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FC24">
      <w:pPr>
        <w:rPr>
          <w:highlight w:val="none"/>
        </w:rPr>
      </w:pPr>
    </w:p>
    <w:p w14:paraId="1EA36EA9">
      <w:pPr>
        <w:rPr>
          <w:highlight w:val="none"/>
        </w:rPr>
      </w:pPr>
    </w:p>
    <w:p w14:paraId="27C2143D">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04F8ADA4">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总行员工食堂食材供应入围项目</w:t>
      </w:r>
    </w:p>
    <w:p w14:paraId="3255CB6B">
      <w:pPr>
        <w:ind w:firstLine="0" w:firstLineChars="0"/>
        <w:jc w:val="center"/>
        <w:rPr>
          <w:rFonts w:cs="Times New Roman"/>
          <w:b/>
          <w:snapToGrid w:val="0"/>
          <w:kern w:val="0"/>
          <w:sz w:val="48"/>
          <w:szCs w:val="84"/>
          <w:highlight w:val="none"/>
        </w:rPr>
      </w:pPr>
    </w:p>
    <w:p w14:paraId="042FF7C3">
      <w:pPr>
        <w:rPr>
          <w:highlight w:val="none"/>
        </w:rPr>
      </w:pPr>
    </w:p>
    <w:p w14:paraId="23F178E8">
      <w:pPr>
        <w:rPr>
          <w:highlight w:val="none"/>
        </w:rPr>
      </w:pPr>
    </w:p>
    <w:p w14:paraId="2D0C1B6E">
      <w:pPr>
        <w:rPr>
          <w:highlight w:val="none"/>
        </w:rPr>
      </w:pPr>
    </w:p>
    <w:p w14:paraId="307698FE">
      <w:pPr>
        <w:rPr>
          <w:highlight w:val="none"/>
        </w:rPr>
      </w:pPr>
    </w:p>
    <w:p w14:paraId="25269D4B">
      <w:pPr>
        <w:rPr>
          <w:highlight w:val="none"/>
        </w:rPr>
      </w:pPr>
    </w:p>
    <w:p w14:paraId="4C1F4E05">
      <w:pPr>
        <w:rPr>
          <w:highlight w:val="none"/>
        </w:rPr>
      </w:pPr>
    </w:p>
    <w:p w14:paraId="35ACC36A">
      <w:pPr>
        <w:rPr>
          <w:highlight w:val="none"/>
        </w:rPr>
      </w:pPr>
    </w:p>
    <w:p w14:paraId="2D010137">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1D87F879">
      <w:pPr>
        <w:rPr>
          <w:highlight w:val="none"/>
        </w:rPr>
      </w:pPr>
    </w:p>
    <w:p w14:paraId="21EED03C">
      <w:pPr>
        <w:rPr>
          <w:highlight w:val="none"/>
        </w:rPr>
      </w:pPr>
    </w:p>
    <w:p w14:paraId="5172CECE">
      <w:pPr>
        <w:rPr>
          <w:highlight w:val="none"/>
        </w:rPr>
      </w:pPr>
    </w:p>
    <w:p w14:paraId="6E95EBFE">
      <w:pPr>
        <w:rPr>
          <w:highlight w:val="none"/>
        </w:rPr>
      </w:pPr>
    </w:p>
    <w:p w14:paraId="596A3A4A">
      <w:pPr>
        <w:rPr>
          <w:highlight w:val="none"/>
        </w:rPr>
      </w:pPr>
    </w:p>
    <w:p w14:paraId="2ECFEC52">
      <w:pPr>
        <w:rPr>
          <w:highlight w:val="none"/>
        </w:rPr>
      </w:pPr>
    </w:p>
    <w:p w14:paraId="0C23E1D6">
      <w:pPr>
        <w:rPr>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7ED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6D73C56">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644FC294">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58F4579C">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0EDE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B10008C">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1CB2E77C">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2025</w:t>
            </w:r>
            <w:r>
              <w:rPr>
                <w:rFonts w:cs="Times New Roman"/>
                <w:b/>
                <w:snapToGrid w:val="0"/>
                <w:kern w:val="0"/>
                <w:sz w:val="30"/>
                <w:szCs w:val="30"/>
                <w:highlight w:val="none"/>
              </w:rPr>
              <w:t>年</w:t>
            </w:r>
            <w:r>
              <w:rPr>
                <w:rFonts w:hint="eastAsia" w:cs="Times New Roman"/>
                <w:b/>
                <w:snapToGrid w:val="0"/>
                <w:kern w:val="0"/>
                <w:sz w:val="30"/>
                <w:szCs w:val="30"/>
                <w:highlight w:val="none"/>
                <w:lang w:val="en-US" w:eastAsia="zh-CN"/>
              </w:rPr>
              <w:t>8</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6F6CEAEA">
            <w:pPr>
              <w:rPr>
                <w:highlight w:val="none"/>
              </w:rPr>
            </w:pPr>
          </w:p>
        </w:tc>
      </w:tr>
    </w:tbl>
    <w:p w14:paraId="41B0032F">
      <w:pPr>
        <w:rPr>
          <w:rFonts w:cs="Times New Roman"/>
          <w:b/>
          <w:snapToGrid w:val="0"/>
          <w:kern w:val="0"/>
          <w:sz w:val="30"/>
          <w:szCs w:val="30"/>
          <w:highlight w:val="none"/>
        </w:rPr>
      </w:pPr>
    </w:p>
    <w:p w14:paraId="32C93F37">
      <w:pPr>
        <w:rPr>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10F231C7">
      <w:pPr>
        <w:pStyle w:val="30"/>
        <w:rPr>
          <w:highlight w:val="none"/>
        </w:rPr>
      </w:pPr>
      <w:r>
        <w:rPr>
          <w:highlight w:val="none"/>
        </w:rPr>
        <w:t>目录</w:t>
      </w:r>
    </w:p>
    <w:p w14:paraId="3AB171C9">
      <w:pPr>
        <w:pStyle w:val="14"/>
        <w:tabs>
          <w:tab w:val="right" w:leader="dot" w:pos="8306"/>
        </w:tabs>
        <w:rPr>
          <w:highlight w:val="none"/>
        </w:rPr>
      </w:pPr>
      <w:r>
        <w:rPr>
          <w:rFonts w:hint="eastAsia"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rFonts w:ascii="宋体"/>
          <w:snapToGrid w:val="0"/>
          <w:kern w:val="0"/>
          <w:szCs w:val="24"/>
          <w:highlight w:val="none"/>
        </w:rPr>
        <w:fldChar w:fldCharType="begin"/>
      </w:r>
      <w:r>
        <w:rPr>
          <w:rFonts w:ascii="宋体"/>
          <w:snapToGrid w:val="0"/>
          <w:kern w:val="0"/>
          <w:szCs w:val="24"/>
          <w:highlight w:val="none"/>
        </w:rPr>
        <w:instrText xml:space="preserve"> HYPERLINK \l _Toc18335 </w:instrText>
      </w:r>
      <w:r>
        <w:rPr>
          <w:rFonts w:ascii="宋体"/>
          <w:snapToGrid w:val="0"/>
          <w:kern w:val="0"/>
          <w:szCs w:val="24"/>
          <w:highlight w:val="none"/>
        </w:rPr>
        <w:fldChar w:fldCharType="separate"/>
      </w:r>
      <w:r>
        <w:rPr>
          <w:rFonts w:hint="eastAsia"/>
          <w:highlight w:val="none"/>
        </w:rPr>
        <w:t>第一章</w:t>
      </w:r>
      <w:r>
        <w:rPr>
          <w:rFonts w:hint="eastAsia"/>
          <w:highlight w:val="none"/>
          <w:lang w:val="en-US" w:eastAsia="zh-CN"/>
        </w:rPr>
        <w:t xml:space="preserve"> </w:t>
      </w:r>
      <w:r>
        <w:rPr>
          <w:rFonts w:hint="eastAsia"/>
          <w:highlight w:val="none"/>
        </w:rPr>
        <w:t>询比公告</w:t>
      </w:r>
      <w:r>
        <w:rPr>
          <w:highlight w:val="none"/>
        </w:rPr>
        <w:tab/>
      </w:r>
      <w:r>
        <w:rPr>
          <w:highlight w:val="none"/>
        </w:rPr>
        <w:fldChar w:fldCharType="begin"/>
      </w:r>
      <w:r>
        <w:rPr>
          <w:highlight w:val="none"/>
        </w:rPr>
        <w:instrText xml:space="preserve"> PAGEREF _Toc18335 \h </w:instrText>
      </w:r>
      <w:r>
        <w:rPr>
          <w:highlight w:val="none"/>
        </w:rPr>
        <w:fldChar w:fldCharType="separate"/>
      </w:r>
      <w:r>
        <w:rPr>
          <w:highlight w:val="none"/>
        </w:rPr>
        <w:t>1</w:t>
      </w:r>
      <w:r>
        <w:rPr>
          <w:highlight w:val="none"/>
        </w:rPr>
        <w:fldChar w:fldCharType="end"/>
      </w:r>
      <w:r>
        <w:rPr>
          <w:rFonts w:ascii="宋体"/>
          <w:snapToGrid w:val="0"/>
          <w:kern w:val="0"/>
          <w:szCs w:val="24"/>
          <w:highlight w:val="none"/>
        </w:rPr>
        <w:fldChar w:fldCharType="end"/>
      </w:r>
    </w:p>
    <w:p w14:paraId="781FEBC5">
      <w:pPr>
        <w:pStyle w:val="14"/>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_Toc6140 </w:instrText>
      </w:r>
      <w:r>
        <w:rPr>
          <w:rFonts w:asci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_Toc6140 \h </w:instrText>
      </w:r>
      <w:r>
        <w:rPr>
          <w:highlight w:val="none"/>
        </w:rPr>
        <w:fldChar w:fldCharType="separate"/>
      </w:r>
      <w:r>
        <w:rPr>
          <w:highlight w:val="none"/>
        </w:rPr>
        <w:t>5</w:t>
      </w:r>
      <w:r>
        <w:rPr>
          <w:highlight w:val="none"/>
        </w:rPr>
        <w:fldChar w:fldCharType="end"/>
      </w:r>
      <w:r>
        <w:rPr>
          <w:rFonts w:ascii="宋体"/>
          <w:snapToGrid w:val="0"/>
          <w:kern w:val="0"/>
          <w:szCs w:val="24"/>
          <w:highlight w:val="none"/>
        </w:rPr>
        <w:fldChar w:fldCharType="end"/>
      </w:r>
    </w:p>
    <w:p w14:paraId="66A482AA">
      <w:pPr>
        <w:pStyle w:val="14"/>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_Toc28549 </w:instrText>
      </w:r>
      <w:r>
        <w:rPr>
          <w:rFonts w:ascii="宋体"/>
          <w:snapToGrid w:val="0"/>
          <w:kern w:val="0"/>
          <w:szCs w:val="24"/>
          <w:highlight w:val="none"/>
        </w:rPr>
        <w:fldChar w:fldCharType="separate"/>
      </w:r>
      <w:r>
        <w:rPr>
          <w:rFonts w:hint="eastAsia"/>
          <w:highlight w:val="none"/>
        </w:rPr>
        <w:t>第三章 项目要求</w:t>
      </w:r>
      <w:bookmarkStart w:id="182" w:name="_GoBack"/>
      <w:bookmarkEnd w:id="182"/>
      <w:r>
        <w:rPr>
          <w:highlight w:val="none"/>
        </w:rPr>
        <w:tab/>
      </w:r>
      <w:r>
        <w:rPr>
          <w:highlight w:val="none"/>
        </w:rPr>
        <w:fldChar w:fldCharType="begin"/>
      </w:r>
      <w:r>
        <w:rPr>
          <w:highlight w:val="none"/>
        </w:rPr>
        <w:instrText xml:space="preserve"> PAGEREF _Toc28549 \h </w:instrText>
      </w:r>
      <w:r>
        <w:rPr>
          <w:highlight w:val="none"/>
        </w:rPr>
        <w:fldChar w:fldCharType="separate"/>
      </w:r>
      <w:r>
        <w:rPr>
          <w:highlight w:val="none"/>
        </w:rPr>
        <w:t>12</w:t>
      </w:r>
      <w:r>
        <w:rPr>
          <w:highlight w:val="none"/>
        </w:rPr>
        <w:fldChar w:fldCharType="end"/>
      </w:r>
      <w:r>
        <w:rPr>
          <w:rFonts w:ascii="宋体"/>
          <w:snapToGrid w:val="0"/>
          <w:kern w:val="0"/>
          <w:szCs w:val="24"/>
          <w:highlight w:val="none"/>
        </w:rPr>
        <w:fldChar w:fldCharType="end"/>
      </w:r>
    </w:p>
    <w:p w14:paraId="63653389">
      <w:pPr>
        <w:pStyle w:val="14"/>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_Toc25916 </w:instrText>
      </w:r>
      <w:r>
        <w:rPr>
          <w:rFonts w:asci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_Toc25916 \h </w:instrText>
      </w:r>
      <w:r>
        <w:rPr>
          <w:highlight w:val="none"/>
        </w:rPr>
        <w:fldChar w:fldCharType="separate"/>
      </w:r>
      <w:r>
        <w:rPr>
          <w:highlight w:val="none"/>
        </w:rPr>
        <w:t>17</w:t>
      </w:r>
      <w:r>
        <w:rPr>
          <w:highlight w:val="none"/>
        </w:rPr>
        <w:fldChar w:fldCharType="end"/>
      </w:r>
      <w:r>
        <w:rPr>
          <w:rFonts w:ascii="宋体"/>
          <w:snapToGrid w:val="0"/>
          <w:kern w:val="0"/>
          <w:szCs w:val="24"/>
          <w:highlight w:val="none"/>
        </w:rPr>
        <w:fldChar w:fldCharType="end"/>
      </w:r>
    </w:p>
    <w:p w14:paraId="437A894E">
      <w:pPr>
        <w:pStyle w:val="14"/>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_Toc19603 </w:instrText>
      </w:r>
      <w:r>
        <w:rPr>
          <w:rFonts w:asci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_Toc19603 \h </w:instrText>
      </w:r>
      <w:r>
        <w:rPr>
          <w:highlight w:val="none"/>
        </w:rPr>
        <w:fldChar w:fldCharType="separate"/>
      </w:r>
      <w:r>
        <w:rPr>
          <w:highlight w:val="none"/>
        </w:rPr>
        <w:t>23</w:t>
      </w:r>
      <w:r>
        <w:rPr>
          <w:highlight w:val="none"/>
        </w:rPr>
        <w:fldChar w:fldCharType="end"/>
      </w:r>
      <w:r>
        <w:rPr>
          <w:rFonts w:ascii="宋体"/>
          <w:snapToGrid w:val="0"/>
          <w:kern w:val="0"/>
          <w:szCs w:val="24"/>
          <w:highlight w:val="none"/>
        </w:rPr>
        <w:fldChar w:fldCharType="end"/>
      </w:r>
    </w:p>
    <w:p w14:paraId="6847BF7E">
      <w:pPr>
        <w:pStyle w:val="14"/>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_Toc17604 </w:instrText>
      </w:r>
      <w:r>
        <w:rPr>
          <w:rFonts w:asci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_Toc17604 \h </w:instrText>
      </w:r>
      <w:r>
        <w:rPr>
          <w:highlight w:val="none"/>
        </w:rPr>
        <w:fldChar w:fldCharType="separate"/>
      </w:r>
      <w:r>
        <w:rPr>
          <w:highlight w:val="none"/>
        </w:rPr>
        <w:t>35</w:t>
      </w:r>
      <w:r>
        <w:rPr>
          <w:highlight w:val="none"/>
        </w:rPr>
        <w:fldChar w:fldCharType="end"/>
      </w:r>
      <w:r>
        <w:rPr>
          <w:rFonts w:ascii="宋体"/>
          <w:snapToGrid w:val="0"/>
          <w:kern w:val="0"/>
          <w:szCs w:val="24"/>
          <w:highlight w:val="none"/>
        </w:rPr>
        <w:fldChar w:fldCharType="end"/>
      </w:r>
    </w:p>
    <w:p w14:paraId="50A6FC23">
      <w:pPr>
        <w:widowControl/>
        <w:jc w:val="left"/>
        <w:rPr>
          <w:rFonts w:ascii="宋体"/>
          <w:snapToGrid w:val="0"/>
          <w:kern w:val="0"/>
          <w:sz w:val="24"/>
          <w:szCs w:val="24"/>
          <w:highlight w:val="none"/>
        </w:rPr>
      </w:pPr>
      <w:r>
        <w:rPr>
          <w:rFonts w:ascii="宋体"/>
          <w:snapToGrid w:val="0"/>
          <w:kern w:val="0"/>
          <w:szCs w:val="24"/>
          <w:highlight w:val="none"/>
        </w:rPr>
        <w:fldChar w:fldCharType="end"/>
      </w:r>
    </w:p>
    <w:p w14:paraId="3B4ABD6D">
      <w:pPr>
        <w:widowControl/>
        <w:jc w:val="left"/>
        <w:rPr>
          <w:rFonts w:asci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45EB845E">
      <w:pPr>
        <w:pStyle w:val="2"/>
        <w:rPr>
          <w:highlight w:val="none"/>
        </w:rPr>
      </w:pPr>
      <w:bookmarkStart w:id="0" w:name="_Toc440628903"/>
      <w:bookmarkStart w:id="1" w:name="_Toc469574661"/>
      <w:bookmarkStart w:id="2" w:name="_Toc6745"/>
      <w:bookmarkStart w:id="3" w:name="_Toc9858"/>
      <w:bookmarkStart w:id="4" w:name="_Toc18335"/>
      <w:bookmarkStart w:id="5" w:name="_Toc29933"/>
      <w:bookmarkStart w:id="6" w:name="_Toc15754"/>
      <w:bookmarkStart w:id="7" w:name="_Toc18624"/>
      <w:bookmarkStart w:id="8" w:name="_Toc25883"/>
      <w:r>
        <w:rPr>
          <w:rFonts w:hint="eastAsia"/>
          <w:highlight w:val="none"/>
        </w:rPr>
        <w:t>第一章</w:t>
      </w:r>
      <w:bookmarkEnd w:id="0"/>
      <w:bookmarkEnd w:id="1"/>
      <w:bookmarkEnd w:id="2"/>
      <w:r>
        <w:rPr>
          <w:rFonts w:hint="eastAsia"/>
          <w:highlight w:val="none"/>
          <w:lang w:val="en-US" w:eastAsia="zh-CN"/>
        </w:rPr>
        <w:t xml:space="preserve"> </w:t>
      </w:r>
      <w:r>
        <w:rPr>
          <w:rFonts w:hint="eastAsia"/>
          <w:highlight w:val="none"/>
        </w:rPr>
        <w:t>询比公告</w:t>
      </w:r>
      <w:bookmarkEnd w:id="3"/>
      <w:bookmarkEnd w:id="4"/>
      <w:bookmarkEnd w:id="5"/>
      <w:bookmarkEnd w:id="6"/>
      <w:bookmarkEnd w:id="7"/>
      <w:bookmarkEnd w:id="8"/>
    </w:p>
    <w:p w14:paraId="2DA6C5D3">
      <w:pPr>
        <w:rPr>
          <w:highlight w:val="none"/>
        </w:rPr>
      </w:pPr>
      <w:bookmarkStart w:id="9" w:name="_Toc55379218"/>
      <w:bookmarkStart w:id="10" w:name="_Toc89675127"/>
      <w:r>
        <w:rPr>
          <w:rFonts w:hint="eastAsia"/>
          <w:highlight w:val="none"/>
        </w:rPr>
        <w:t>本项目已由重庆三峡银行股份有限公司批准实施，</w:t>
      </w:r>
      <w:r>
        <w:rPr>
          <w:rFonts w:hint="eastAsia" w:cs="Times New Roman"/>
          <w:highlight w:val="none"/>
        </w:rPr>
        <w:t>为</w:t>
      </w:r>
      <w:r>
        <w:rPr>
          <w:rFonts w:hint="eastAsia"/>
          <w:highlight w:val="none"/>
        </w:rPr>
        <w:t>重庆三峡银行</w:t>
      </w:r>
      <w:r>
        <w:rPr>
          <w:rFonts w:hint="eastAsia" w:cs="Times New Roman"/>
          <w:highlight w:val="none"/>
        </w:rPr>
        <w:t>总行员工食堂食材供应入围项目公开征集响应人</w:t>
      </w:r>
      <w:r>
        <w:rPr>
          <w:rFonts w:hint="eastAsia"/>
          <w:highlight w:val="none"/>
        </w:rPr>
        <w:t>，</w:t>
      </w:r>
      <w:r>
        <w:rPr>
          <w:highlight w:val="none"/>
        </w:rPr>
        <w:t>特邀请有</w:t>
      </w:r>
      <w:bookmarkStart w:id="11" w:name="_Hlk59455120"/>
      <w:r>
        <w:rPr>
          <w:highlight w:val="none"/>
        </w:rPr>
        <w:t>意向</w:t>
      </w:r>
      <w:bookmarkEnd w:id="11"/>
      <w:r>
        <w:rPr>
          <w:highlight w:val="none"/>
        </w:rPr>
        <w:t>的潜在</w:t>
      </w:r>
      <w:r>
        <w:rPr>
          <w:rFonts w:hint="eastAsia"/>
          <w:highlight w:val="none"/>
        </w:rPr>
        <w:t>响应人参与响应</w:t>
      </w:r>
      <w:r>
        <w:rPr>
          <w:highlight w:val="none"/>
        </w:rPr>
        <w:t>。</w:t>
      </w:r>
    </w:p>
    <w:p w14:paraId="3C3F055A">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12" w:name="_Toc23934"/>
      <w:r>
        <w:rPr>
          <w:rFonts w:hint="eastAsia" w:ascii="Times New Roman" w:hAnsi="Times New Roman" w:eastAsia="宋体" w:cs="Times New Roman"/>
          <w:b/>
          <w:bCs/>
          <w:snapToGrid w:val="0"/>
          <w:kern w:val="2"/>
          <w:sz w:val="21"/>
          <w:szCs w:val="24"/>
          <w:highlight w:val="none"/>
          <w:lang w:val="en-US" w:eastAsia="zh-CN" w:bidi="ar-SA"/>
        </w:rPr>
        <w:t>1. 询比项目内容</w:t>
      </w:r>
      <w:bookmarkEnd w:id="9"/>
      <w:bookmarkEnd w:id="10"/>
      <w:bookmarkEnd w:id="12"/>
    </w:p>
    <w:tbl>
      <w:tblPr>
        <w:tblStyle w:val="16"/>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63"/>
        <w:gridCol w:w="2042"/>
        <w:gridCol w:w="1669"/>
      </w:tblGrid>
      <w:tr w14:paraId="4765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71E911A">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序号</w:t>
            </w:r>
          </w:p>
        </w:tc>
        <w:tc>
          <w:tcPr>
            <w:tcW w:w="2663" w:type="dxa"/>
            <w:vAlign w:val="center"/>
          </w:tcPr>
          <w:p w14:paraId="040E37D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项目名称</w:t>
            </w:r>
          </w:p>
        </w:tc>
        <w:tc>
          <w:tcPr>
            <w:tcW w:w="2042" w:type="dxa"/>
            <w:vAlign w:val="center"/>
          </w:tcPr>
          <w:p w14:paraId="3447ED4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入围供应商数量</w:t>
            </w:r>
          </w:p>
        </w:tc>
        <w:tc>
          <w:tcPr>
            <w:tcW w:w="1669" w:type="dxa"/>
            <w:vAlign w:val="center"/>
          </w:tcPr>
          <w:p w14:paraId="610BE85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备注</w:t>
            </w:r>
          </w:p>
        </w:tc>
      </w:tr>
      <w:tr w14:paraId="101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51" w:type="dxa"/>
            <w:vAlign w:val="center"/>
          </w:tcPr>
          <w:p w14:paraId="19DB50D2">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1</w:t>
            </w:r>
          </w:p>
        </w:tc>
        <w:tc>
          <w:tcPr>
            <w:tcW w:w="2663" w:type="dxa"/>
            <w:vAlign w:val="center"/>
          </w:tcPr>
          <w:p w14:paraId="18A3BA05">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u w:val="none"/>
                <w:lang w:val="en-US" w:eastAsia="zh-CN" w:bidi="ar-SA"/>
              </w:rPr>
              <w:t>重庆三峡银行总行员工食堂食材供应入围项目</w:t>
            </w:r>
          </w:p>
        </w:tc>
        <w:tc>
          <w:tcPr>
            <w:tcW w:w="2042" w:type="dxa"/>
            <w:vAlign w:val="center"/>
          </w:tcPr>
          <w:p w14:paraId="49627A51">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3-4家</w:t>
            </w:r>
          </w:p>
        </w:tc>
        <w:tc>
          <w:tcPr>
            <w:tcW w:w="1669" w:type="dxa"/>
            <w:vAlign w:val="center"/>
          </w:tcPr>
          <w:p w14:paraId="1ABE1C3A">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val="0"/>
                <w:kern w:val="2"/>
                <w:sz w:val="21"/>
                <w:szCs w:val="18"/>
                <w:highlight w:val="none"/>
                <w:lang w:val="en-US" w:eastAsia="zh-CN" w:bidi="ar-SA"/>
              </w:rPr>
              <w:t>服务期限：3年</w:t>
            </w:r>
          </w:p>
        </w:tc>
      </w:tr>
    </w:tbl>
    <w:p w14:paraId="572DCA43">
      <w:pPr>
        <w:rPr>
          <w:b/>
          <w:bCs/>
          <w:highlight w:val="none"/>
        </w:rPr>
      </w:pPr>
      <w:bookmarkStart w:id="13" w:name="_Toc25602"/>
      <w:bookmarkStart w:id="14" w:name="_Toc55379219"/>
      <w:bookmarkStart w:id="15" w:name="_Toc288224935"/>
      <w:bookmarkStart w:id="16" w:name="_Toc297817088"/>
      <w:bookmarkStart w:id="17" w:name="_Toc469574664"/>
      <w:bookmarkStart w:id="18" w:name="_Toc89675128"/>
      <w:r>
        <w:rPr>
          <w:b/>
          <w:bCs/>
          <w:highlight w:val="none"/>
        </w:rPr>
        <w:t>本项目</w:t>
      </w:r>
      <w:r>
        <w:rPr>
          <w:rFonts w:hint="eastAsia" w:ascii="Times New Roman" w:eastAsia="宋体"/>
          <w:b/>
          <w:bCs/>
          <w:highlight w:val="none"/>
          <w:lang w:val="en-US" w:eastAsia="zh-CN"/>
        </w:rPr>
        <w:t>经评审委员会</w:t>
      </w:r>
      <w:r>
        <w:rPr>
          <w:b/>
          <w:bCs/>
          <w:highlight w:val="none"/>
        </w:rPr>
        <w:t>评审后，</w:t>
      </w:r>
      <w:r>
        <w:rPr>
          <w:rFonts w:hint="eastAsia" w:ascii="Times New Roman" w:eastAsia="宋体"/>
          <w:b/>
          <w:bCs/>
          <w:highlight w:val="none"/>
          <w:lang w:val="en-US" w:eastAsia="zh-CN"/>
        </w:rPr>
        <w:t>入围候选人家数为4家及以上，则入围供应商为4家，若入围候选人为3家，则入围供应商为3家</w:t>
      </w:r>
      <w:r>
        <w:rPr>
          <w:b/>
          <w:bCs/>
          <w:highlight w:val="none"/>
        </w:rPr>
        <w:t>。</w:t>
      </w:r>
    </w:p>
    <w:p w14:paraId="01659810">
      <w:pPr>
        <w:widowControl w:val="0"/>
        <w:autoSpaceDE w:val="0"/>
        <w:autoSpaceDN w:val="0"/>
        <w:spacing w:line="600" w:lineRule="exact"/>
        <w:ind w:firstLine="0" w:firstLineChars="0"/>
        <w:jc w:val="both"/>
        <w:outlineLvl w:val="1"/>
        <w:rPr>
          <w:rFonts w:ascii="Times New Roman" w:hAnsi="Times New Roman" w:eastAsia="宋体" w:cs="Times New Roman"/>
          <w:b w:val="0"/>
          <w:bCs w:val="0"/>
          <w:snapToGrid w:val="0"/>
          <w:kern w:val="2"/>
          <w:sz w:val="21"/>
          <w:szCs w:val="24"/>
          <w:highlight w:val="none"/>
          <w:lang w:val="en-US" w:eastAsia="zh-CN" w:bidi="ar-SA"/>
        </w:rPr>
      </w:pPr>
      <w:r>
        <w:rPr>
          <w:rFonts w:hint="eastAsia" w:ascii="Times New Roman" w:hAnsi="Times New Roman" w:eastAsia="宋体" w:cs="Times New Roman"/>
          <w:b/>
          <w:bCs/>
          <w:snapToGrid w:val="0"/>
          <w:kern w:val="2"/>
          <w:sz w:val="21"/>
          <w:szCs w:val="24"/>
          <w:highlight w:val="none"/>
          <w:lang w:val="en-US" w:eastAsia="zh-CN" w:bidi="ar-SA"/>
        </w:rPr>
        <w:t>2. 响应人资格要求</w:t>
      </w:r>
      <w:bookmarkEnd w:id="13"/>
      <w:bookmarkEnd w:id="14"/>
      <w:bookmarkEnd w:id="15"/>
      <w:bookmarkEnd w:id="16"/>
      <w:bookmarkEnd w:id="17"/>
      <w:bookmarkEnd w:id="18"/>
    </w:p>
    <w:p w14:paraId="4F0E29B9">
      <w:pPr>
        <w:rPr>
          <w:highlight w:val="none"/>
        </w:rPr>
      </w:pPr>
      <w:bookmarkStart w:id="19" w:name="_Hlk55488870"/>
      <w:r>
        <w:rPr>
          <w:rFonts w:hint="eastAsia"/>
          <w:highlight w:val="none"/>
        </w:rPr>
        <w:t>2.1 具有独立承担民事责任的能力且应当具备承担询比项目的能力</w:t>
      </w:r>
    </w:p>
    <w:p w14:paraId="71A66A88">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193731B">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18440AC">
      <w:pPr>
        <w:rPr>
          <w:highlight w:val="none"/>
        </w:rPr>
      </w:pPr>
      <w:r>
        <w:rPr>
          <w:rFonts w:hint="eastAsia"/>
          <w:highlight w:val="none"/>
        </w:rPr>
        <w:t>2.3 本项目不允许任何形式的转包【提供书面声明】。</w:t>
      </w:r>
    </w:p>
    <w:p w14:paraId="60A7F815">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867EF3A">
      <w:pPr>
        <w:rPr>
          <w:highlight w:val="none"/>
        </w:rPr>
      </w:pPr>
      <w:r>
        <w:rPr>
          <w:rFonts w:hint="eastAsia"/>
          <w:highlight w:val="none"/>
        </w:rPr>
        <w:t>2.5 本次询比不接受联合体响应。</w:t>
      </w:r>
    </w:p>
    <w:p w14:paraId="33C98AEF">
      <w:pPr>
        <w:rPr>
          <w:rFonts w:hint="eastAsia"/>
          <w:highlight w:val="none"/>
        </w:rPr>
      </w:pPr>
      <w:r>
        <w:rPr>
          <w:rFonts w:hint="eastAsia"/>
          <w:highlight w:val="none"/>
        </w:rPr>
        <w:t>2.6 202</w:t>
      </w:r>
      <w:r>
        <w:rPr>
          <w:rFonts w:hint="eastAsia" w:ascii="Times New Roman" w:eastAsia="宋体"/>
          <w:highlight w:val="none"/>
          <w:lang w:val="en-US" w:eastAsia="zh-CN"/>
        </w:rPr>
        <w:t>1</w:t>
      </w:r>
      <w:r>
        <w:rPr>
          <w:rFonts w:hint="eastAsia"/>
          <w:highlight w:val="none"/>
        </w:rPr>
        <w:t>年1月1日至2024年12月31日（以合同签订时间为准），具有银行或行政机关或企事业单位</w:t>
      </w:r>
      <w:r>
        <w:rPr>
          <w:rFonts w:hint="eastAsia" w:ascii="Times New Roman" w:eastAsia="宋体"/>
          <w:highlight w:val="none"/>
          <w:lang w:val="en-US" w:eastAsia="zh-CN"/>
        </w:rPr>
        <w:t>食材销售或</w:t>
      </w:r>
      <w:r>
        <w:rPr>
          <w:rFonts w:hint="eastAsia"/>
          <w:highlight w:val="none"/>
        </w:rPr>
        <w:t>配送业绩案例不少于1个，年合同金额不低于500万元，低于1个案例或金额低于500万元的取消响应资质（总公司参选的，分公司、</w:t>
      </w:r>
      <w:r>
        <w:rPr>
          <w:rFonts w:hint="eastAsia" w:ascii="Times New Roman" w:eastAsia="宋体"/>
          <w:highlight w:val="none"/>
          <w:lang w:val="en-US" w:eastAsia="zh-CN"/>
        </w:rPr>
        <w:t>全资</w:t>
      </w:r>
      <w:r>
        <w:rPr>
          <w:rFonts w:hint="eastAsia"/>
          <w:highlight w:val="none"/>
        </w:rPr>
        <w:t>子公司</w:t>
      </w:r>
      <w:r>
        <w:rPr>
          <w:highlight w:val="none"/>
        </w:rPr>
        <w:t>业绩</w:t>
      </w:r>
      <w:r>
        <w:rPr>
          <w:rFonts w:hint="eastAsia"/>
          <w:highlight w:val="none"/>
        </w:rPr>
        <w:t>可计算入内。）【提供：1、合同关键页（合同关键页</w:t>
      </w:r>
      <w:r>
        <w:rPr>
          <w:highlight w:val="none"/>
        </w:rPr>
        <w:t>包含：甲乙双方名称、双方印章、项目名称、合同签订时间</w:t>
      </w:r>
      <w:r>
        <w:rPr>
          <w:rFonts w:hint="eastAsia"/>
          <w:highlight w:val="none"/>
        </w:rPr>
        <w:t>、服务范围。）；2、项目简介（格式自拟）；3、合同对应的发票复印件，发票开具日期须晚于合同签订日期，发票购买方须与合同买方一致，发票销售方须与合同卖方（响应人</w:t>
      </w:r>
      <w:r>
        <w:rPr>
          <w:rFonts w:hint="eastAsia" w:ascii="Times New Roman" w:eastAsia="宋体"/>
          <w:highlight w:val="none"/>
          <w:lang w:val="en-US" w:eastAsia="zh-CN"/>
        </w:rPr>
        <w:t>或分公司、全资子公司</w:t>
      </w:r>
      <w:r>
        <w:rPr>
          <w:rFonts w:hint="eastAsia"/>
          <w:highlight w:val="none"/>
        </w:rPr>
        <w:t>）一致），响应人须提供合同签订后任意一年内的发票明细汇总表并逐笔附对应的发票。】</w:t>
      </w:r>
    </w:p>
    <w:p w14:paraId="00D78F08">
      <w:pPr>
        <w:rPr>
          <w:rFonts w:hint="eastAsia"/>
          <w:highlight w:val="none"/>
        </w:rPr>
      </w:pPr>
      <w:r>
        <w:rPr>
          <w:rFonts w:hint="eastAsia" w:ascii="Times New Roman" w:eastAsia="宋体"/>
          <w:highlight w:val="none"/>
          <w:lang w:val="en-US" w:eastAsia="zh-CN"/>
        </w:rPr>
        <w:t>注：若提供分公司、全资子公司业绩证明材料的，响应人须承诺与该公司存在关联关系。【提供承诺函并加盖公章】</w:t>
      </w:r>
    </w:p>
    <w:p w14:paraId="67DF1376">
      <w:pPr>
        <w:rPr>
          <w:rFonts w:hint="eastAsia"/>
          <w:highlight w:val="none"/>
        </w:rPr>
      </w:pPr>
      <w:r>
        <w:rPr>
          <w:rFonts w:hint="eastAsia"/>
          <w:highlight w:val="none"/>
        </w:rPr>
        <w:t>2.7 响应人应为本单位不低于100名员工缴纳社保，并提供近半年（2025年1月-6月）的社保缴纳证明材料（总公司参选的，分公司、</w:t>
      </w:r>
      <w:r>
        <w:rPr>
          <w:rFonts w:hint="eastAsia" w:ascii="Times New Roman" w:eastAsia="宋体"/>
          <w:highlight w:val="none"/>
          <w:lang w:val="en-US" w:eastAsia="zh-CN"/>
        </w:rPr>
        <w:t>全资</w:t>
      </w:r>
      <w:r>
        <w:rPr>
          <w:rFonts w:hint="eastAsia"/>
          <w:highlight w:val="none"/>
        </w:rPr>
        <w:t>子公司员工可计算入内</w:t>
      </w:r>
      <w:r>
        <w:rPr>
          <w:rFonts w:hint="eastAsia" w:eastAsia="宋体"/>
          <w:highlight w:val="none"/>
          <w:lang w:eastAsia="zh-CN"/>
        </w:rPr>
        <w:t>，</w:t>
      </w:r>
      <w:r>
        <w:rPr>
          <w:rFonts w:hint="eastAsia" w:ascii="Times New Roman" w:eastAsia="宋体"/>
          <w:highlight w:val="none"/>
          <w:lang w:val="en-US" w:eastAsia="zh-CN"/>
        </w:rPr>
        <w:t>社保缴纳单位应为响应人或分公司、全资子公司，第三方单位缴纳的不予认定。</w:t>
      </w:r>
      <w:r>
        <w:rPr>
          <w:rFonts w:hint="eastAsia"/>
          <w:highlight w:val="none"/>
        </w:rPr>
        <w:t>）【提供：1.参保员工名单；2.员工近半年社保缴纳证明材料，并加盖响应人公章】。</w:t>
      </w:r>
    </w:p>
    <w:p w14:paraId="462E0B8C">
      <w:pPr>
        <w:rPr>
          <w:rFonts w:hint="default" w:eastAsia="宋体"/>
          <w:highlight w:val="none"/>
          <w:lang w:val="en-US" w:eastAsia="zh-CN"/>
        </w:rPr>
      </w:pPr>
      <w:r>
        <w:rPr>
          <w:rFonts w:hint="eastAsia" w:ascii="Times New Roman" w:eastAsia="宋体"/>
          <w:highlight w:val="none"/>
          <w:lang w:val="en-US" w:eastAsia="zh-CN"/>
        </w:rPr>
        <w:t>注：若提供分公司、全资子公司员工社保缴纳证明材料的，响应人须承诺与该公司存在关联关系。【提供承诺函并加盖公章】</w:t>
      </w:r>
    </w:p>
    <w:p w14:paraId="454B7A2D">
      <w:pPr>
        <w:rPr>
          <w:highlight w:val="none"/>
        </w:rPr>
      </w:pPr>
      <w:r>
        <w:rPr>
          <w:rFonts w:hint="eastAsia"/>
          <w:highlight w:val="none"/>
        </w:rPr>
        <w:t>2.8 响应人应承诺未被有关行政部门暂停投标资格或被有关行政部门暂停投标资格期限已满，也无行贿犯罪记录。【在响应函中单独承诺，加盖响应人公章】</w:t>
      </w:r>
    </w:p>
    <w:p w14:paraId="5D870EC4">
      <w:pPr>
        <w:rPr>
          <w:highlight w:val="none"/>
        </w:rPr>
      </w:pPr>
      <w:r>
        <w:rPr>
          <w:rFonts w:hint="eastAsia"/>
          <w:highlight w:val="none"/>
        </w:rPr>
        <w:t>注:以上证明文件若采购人存疑，响应人需提供原件备查，响应文件中须附相关证明文件复印件并逐页加盖公章。</w:t>
      </w:r>
    </w:p>
    <w:p w14:paraId="2475A2D1">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p>
    <w:bookmarkEnd w:id="19"/>
    <w:p w14:paraId="00D801F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20" w:name="_Toc6570"/>
      <w:bookmarkStart w:id="21" w:name="_Toc55379220"/>
      <w:bookmarkStart w:id="22" w:name="_Toc469574667"/>
      <w:bookmarkStart w:id="23" w:name="_Toc297817090"/>
      <w:bookmarkStart w:id="24" w:name="_Toc89675130"/>
      <w:r>
        <w:rPr>
          <w:rFonts w:hint="eastAsia" w:ascii="Times New Roman" w:hAnsi="Times New Roman" w:eastAsia="宋体" w:cs="Times New Roman"/>
          <w:b/>
          <w:bCs/>
          <w:snapToGrid w:val="0"/>
          <w:kern w:val="2"/>
          <w:sz w:val="21"/>
          <w:szCs w:val="24"/>
          <w:highlight w:val="none"/>
          <w:lang w:val="en-US" w:eastAsia="zh-CN" w:bidi="ar-SA"/>
        </w:rPr>
        <w:t>3. 询比文件的获取</w:t>
      </w:r>
      <w:bookmarkEnd w:id="20"/>
      <w:bookmarkEnd w:id="21"/>
    </w:p>
    <w:p w14:paraId="2D7AF45C">
      <w:pPr>
        <w:rPr>
          <w:highlight w:val="none"/>
        </w:rPr>
      </w:pPr>
      <w:r>
        <w:rPr>
          <w:rFonts w:hint="eastAsia"/>
          <w:highlight w:val="none"/>
        </w:rPr>
        <w:t>3.1 响应截止时间：</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w:t>
      </w:r>
    </w:p>
    <w:p w14:paraId="7FE59016">
      <w:pPr>
        <w:rPr>
          <w:highlight w:val="none"/>
        </w:rPr>
      </w:pPr>
      <w:r>
        <w:rPr>
          <w:rFonts w:hint="eastAsia"/>
          <w:highlight w:val="none"/>
        </w:rPr>
        <w:t>3.2 获取时间和方式：从</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6</w:t>
      </w:r>
      <w:r>
        <w:rPr>
          <w:rFonts w:hint="eastAsia"/>
          <w:highlight w:val="none"/>
        </w:rPr>
        <w:t>日到响应截止时间，在重庆市公共资源交易网（www.cqggzy.com）下载询比文件。</w:t>
      </w:r>
    </w:p>
    <w:p w14:paraId="589399E1">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9</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77CBFD75">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734A5E8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25" w:name="_Toc5833"/>
      <w:bookmarkStart w:id="26" w:name="_Toc55379221"/>
      <w:r>
        <w:rPr>
          <w:rFonts w:hint="eastAsia" w:ascii="Times New Roman" w:hAnsi="Times New Roman" w:eastAsia="宋体" w:cs="Times New Roman"/>
          <w:b/>
          <w:bCs/>
          <w:snapToGrid w:val="0"/>
          <w:kern w:val="2"/>
          <w:sz w:val="21"/>
          <w:szCs w:val="24"/>
          <w:highlight w:val="none"/>
          <w:lang w:val="en-US" w:eastAsia="zh-CN" w:bidi="ar-SA"/>
        </w:rPr>
        <w:t>4. 响应保证金的递交</w:t>
      </w:r>
      <w:bookmarkEnd w:id="22"/>
      <w:bookmarkEnd w:id="23"/>
      <w:bookmarkEnd w:id="24"/>
      <w:bookmarkEnd w:id="25"/>
      <w:bookmarkEnd w:id="26"/>
    </w:p>
    <w:p w14:paraId="13321D07">
      <w:pPr>
        <w:rPr>
          <w:highlight w:val="none"/>
        </w:rPr>
      </w:pPr>
      <w:bookmarkStart w:id="27" w:name="_Toc297817091"/>
      <w:bookmarkStart w:id="28" w:name="_Toc55379222"/>
      <w:bookmarkStart w:id="29" w:name="_Toc89675131"/>
      <w:bookmarkStart w:id="30" w:name="_Toc469574668"/>
      <w:r>
        <w:rPr>
          <w:rFonts w:hint="eastAsia"/>
          <w:highlight w:val="none"/>
        </w:rPr>
        <w:t>4.1响应保证金的金额：</w:t>
      </w:r>
      <w:r>
        <w:rPr>
          <w:rFonts w:hint="eastAsia"/>
          <w:b/>
          <w:bCs/>
          <w:highlight w:val="none"/>
          <w:u w:val="single"/>
        </w:rPr>
        <w:t>10000元整（大写：壹万元整）</w:t>
      </w:r>
      <w:r>
        <w:rPr>
          <w:rFonts w:hint="eastAsia"/>
          <w:highlight w:val="none"/>
        </w:rPr>
        <w:t>。</w:t>
      </w:r>
    </w:p>
    <w:p w14:paraId="0523C079">
      <w:pPr>
        <w:rPr>
          <w:highlight w:val="none"/>
        </w:rPr>
      </w:pPr>
      <w:r>
        <w:rPr>
          <w:rFonts w:hint="eastAsia"/>
          <w:highlight w:val="none"/>
        </w:rPr>
        <w:t>4.2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993DD2B">
      <w:pPr>
        <w:rPr>
          <w:b/>
          <w:bCs/>
          <w:highlight w:val="none"/>
        </w:rPr>
      </w:pPr>
      <w:r>
        <w:rPr>
          <w:rFonts w:hint="eastAsia"/>
          <w:b/>
          <w:bCs/>
          <w:highlight w:val="none"/>
        </w:rPr>
        <w:t>响应人可在付款凭证备注栏中注明项目简称。可简写成：</w:t>
      </w:r>
      <w:r>
        <w:rPr>
          <w:rFonts w:hint="eastAsia"/>
          <w:b/>
          <w:bCs/>
          <w:highlight w:val="none"/>
          <w:u w:val="single"/>
        </w:rPr>
        <w:t>三峡银行食堂食材供应入围项目</w:t>
      </w:r>
      <w:r>
        <w:rPr>
          <w:rFonts w:hint="eastAsia"/>
          <w:b/>
          <w:bCs/>
          <w:highlight w:val="none"/>
        </w:rPr>
        <w:t>。</w:t>
      </w:r>
    </w:p>
    <w:p w14:paraId="390086F0">
      <w:pPr>
        <w:rPr>
          <w:highlight w:val="none"/>
        </w:rPr>
      </w:pPr>
      <w:r>
        <w:rPr>
          <w:rFonts w:hint="eastAsia"/>
          <w:highlight w:val="none"/>
        </w:rPr>
        <w:t>4.3响应保证金递交的截止时间同响应截止时间。响应保证金以重庆市公共资源交易中心询比现场展示的保证金交纳情况为准。</w:t>
      </w:r>
    </w:p>
    <w:p w14:paraId="5B5DEBD4">
      <w:pPr>
        <w:rPr>
          <w:highlight w:val="none"/>
        </w:rPr>
      </w:pPr>
      <w:r>
        <w:rPr>
          <w:rFonts w:hint="eastAsia"/>
          <w:highlight w:val="none"/>
        </w:rPr>
        <w:t>4.</w:t>
      </w:r>
      <w:r>
        <w:rPr>
          <w:highlight w:val="none"/>
        </w:rPr>
        <w:t>4</w:t>
      </w:r>
      <w:r>
        <w:rPr>
          <w:rFonts w:hint="eastAsia"/>
          <w:highlight w:val="none"/>
        </w:rPr>
        <w:t>响应保证金专用账户如下：</w:t>
      </w:r>
    </w:p>
    <w:p w14:paraId="1604CD0D">
      <w:pPr>
        <w:rPr>
          <w:highlight w:val="none"/>
        </w:rPr>
      </w:pPr>
      <w:r>
        <w:rPr>
          <w:rFonts w:hint="eastAsia"/>
          <w:highlight w:val="none"/>
        </w:rPr>
        <w:t>详见重庆市公共资源交易网（www.cqggzy.com）对应本项目询比公告信息栏中的保证金信息。</w:t>
      </w:r>
    </w:p>
    <w:p w14:paraId="7AB9241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31" w:name="_Toc6164"/>
      <w:r>
        <w:rPr>
          <w:rFonts w:hint="eastAsia" w:ascii="Times New Roman" w:hAnsi="Times New Roman" w:eastAsia="宋体" w:cs="Times New Roman"/>
          <w:b/>
          <w:bCs/>
          <w:snapToGrid w:val="0"/>
          <w:kern w:val="2"/>
          <w:sz w:val="21"/>
          <w:szCs w:val="24"/>
          <w:highlight w:val="none"/>
          <w:lang w:val="en-US" w:eastAsia="zh-CN" w:bidi="ar-SA"/>
        </w:rPr>
        <w:t>5. 市场主体信息登记</w:t>
      </w:r>
      <w:bookmarkEnd w:id="31"/>
    </w:p>
    <w:p w14:paraId="272C2F24">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7"/>
    <w:bookmarkEnd w:id="28"/>
    <w:bookmarkEnd w:id="29"/>
    <w:bookmarkEnd w:id="30"/>
    <w:p w14:paraId="0C649DC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32" w:name="_Toc29035"/>
      <w:r>
        <w:rPr>
          <w:rFonts w:hint="eastAsia" w:ascii="Times New Roman" w:hAnsi="Times New Roman" w:eastAsia="宋体" w:cs="Times New Roman"/>
          <w:b/>
          <w:bCs/>
          <w:snapToGrid w:val="0"/>
          <w:kern w:val="2"/>
          <w:sz w:val="21"/>
          <w:szCs w:val="24"/>
          <w:highlight w:val="none"/>
          <w:lang w:val="en-US" w:eastAsia="zh-CN" w:bidi="ar-SA"/>
        </w:rPr>
        <w:t>6. 响应文件的递交</w:t>
      </w:r>
      <w:bookmarkEnd w:id="32"/>
    </w:p>
    <w:p w14:paraId="047CFDA0">
      <w:pPr>
        <w:rPr>
          <w:highlight w:val="none"/>
        </w:rPr>
      </w:pPr>
      <w:bookmarkStart w:id="33" w:name="_Toc55379223"/>
      <w:bookmarkStart w:id="34" w:name="_Toc469574669"/>
      <w:bookmarkStart w:id="35" w:name="_Toc89675132"/>
      <w:r>
        <w:rPr>
          <w:rFonts w:hint="eastAsia"/>
          <w:highlight w:val="none"/>
        </w:rPr>
        <w:t>6.1 响应文件现场递交时间为</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0FB18B1C">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6E43712">
      <w:pPr>
        <w:rPr>
          <w:highlight w:val="none"/>
        </w:rPr>
      </w:pPr>
      <w:r>
        <w:rPr>
          <w:rFonts w:hint="eastAsia"/>
          <w:highlight w:val="none"/>
        </w:rPr>
        <w:t>6.3 逾期送达的响应文件，不予接收。</w:t>
      </w:r>
    </w:p>
    <w:p w14:paraId="32F10DC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36" w:name="_Toc14382"/>
      <w:r>
        <w:rPr>
          <w:rFonts w:hint="eastAsia" w:ascii="Times New Roman" w:hAnsi="Times New Roman" w:eastAsia="宋体" w:cs="Times New Roman"/>
          <w:b/>
          <w:bCs/>
          <w:snapToGrid w:val="0"/>
          <w:kern w:val="2"/>
          <w:sz w:val="21"/>
          <w:szCs w:val="24"/>
          <w:highlight w:val="none"/>
          <w:lang w:val="en-US" w:eastAsia="zh-CN" w:bidi="ar-SA"/>
        </w:rPr>
        <w:t>7. 发布公告的媒介</w:t>
      </w:r>
      <w:bookmarkEnd w:id="33"/>
      <w:bookmarkEnd w:id="34"/>
      <w:bookmarkEnd w:id="35"/>
      <w:bookmarkEnd w:id="36"/>
    </w:p>
    <w:p w14:paraId="047FFC08">
      <w:pPr>
        <w:rPr>
          <w:highlight w:val="none"/>
        </w:rPr>
      </w:pPr>
      <w:bookmarkStart w:id="37" w:name="_Toc55379224"/>
      <w:bookmarkStart w:id="38" w:name="_Toc250565211"/>
      <w:bookmarkStart w:id="39" w:name="_Toc469574670"/>
      <w:bookmarkStart w:id="40" w:name="_Toc89675133"/>
      <w:r>
        <w:rPr>
          <w:rFonts w:hint="eastAsia"/>
          <w:highlight w:val="none"/>
        </w:rPr>
        <w:t>本次询比公告同时在《重庆市公共资源交易网（www.cqggzy.com）》《重庆三峡银行官网（https://www.ccqtgb.com）》和《中国比选投标公共服务平台（http://www.cebpubservice.com）》上发布。</w:t>
      </w:r>
    </w:p>
    <w:p w14:paraId="20650574">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41" w:name="_Toc27710"/>
      <w:r>
        <w:rPr>
          <w:rFonts w:hint="eastAsia" w:ascii="Times New Roman" w:hAnsi="Times New Roman" w:eastAsia="宋体" w:cs="Times New Roman"/>
          <w:b/>
          <w:bCs/>
          <w:snapToGrid w:val="0"/>
          <w:kern w:val="2"/>
          <w:sz w:val="21"/>
          <w:szCs w:val="24"/>
          <w:highlight w:val="none"/>
          <w:lang w:val="en-US" w:eastAsia="zh-CN" w:bidi="ar-SA"/>
        </w:rPr>
        <w:t>8. 联系方式</w:t>
      </w:r>
      <w:bookmarkEnd w:id="37"/>
      <w:bookmarkEnd w:id="38"/>
      <w:bookmarkEnd w:id="39"/>
      <w:bookmarkEnd w:id="40"/>
      <w:bookmarkEnd w:id="41"/>
    </w:p>
    <w:p w14:paraId="5C626625">
      <w:pPr>
        <w:rPr>
          <w:highlight w:val="none"/>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8B4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52CEFB">
            <w:pPr>
              <w:ind w:firstLine="0" w:firstLineChars="0"/>
              <w:jc w:val="left"/>
              <w:rPr>
                <w:highlight w:val="none"/>
              </w:rPr>
            </w:pPr>
            <w:r>
              <w:rPr>
                <w:rFonts w:hint="eastAsia"/>
                <w:highlight w:val="none"/>
              </w:rPr>
              <w:t>8.1 项目需求咨询</w:t>
            </w:r>
          </w:p>
        </w:tc>
      </w:tr>
      <w:tr w14:paraId="3F7F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755A7E">
            <w:pPr>
              <w:ind w:firstLine="0" w:firstLineChars="0"/>
              <w:jc w:val="left"/>
              <w:rPr>
                <w:rFonts w:cs="宋体"/>
                <w:szCs w:val="21"/>
                <w:highlight w:val="none"/>
              </w:rPr>
            </w:pPr>
            <w:r>
              <w:rPr>
                <w:rFonts w:hint="eastAsia"/>
                <w:highlight w:val="none"/>
              </w:rPr>
              <w:t>项目联系人：周老师</w:t>
            </w:r>
          </w:p>
        </w:tc>
        <w:tc>
          <w:tcPr>
            <w:tcW w:w="4480" w:type="dxa"/>
            <w:tcBorders>
              <w:top w:val="nil"/>
              <w:left w:val="nil"/>
              <w:bottom w:val="nil"/>
              <w:right w:val="single" w:color="auto" w:sz="4" w:space="0"/>
            </w:tcBorders>
          </w:tcPr>
          <w:p w14:paraId="47D742D9">
            <w:pPr>
              <w:ind w:firstLine="0" w:firstLineChars="0"/>
              <w:jc w:val="left"/>
              <w:rPr>
                <w:rFonts w:cs="宋体"/>
                <w:szCs w:val="21"/>
                <w:highlight w:val="none"/>
              </w:rPr>
            </w:pPr>
            <w:r>
              <w:rPr>
                <w:rFonts w:hint="eastAsia"/>
                <w:highlight w:val="none"/>
              </w:rPr>
              <w:t>联系方式：023-88890600</w:t>
            </w:r>
          </w:p>
        </w:tc>
      </w:tr>
      <w:tr w14:paraId="15AC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273628B">
            <w:pPr>
              <w:ind w:firstLine="0" w:firstLineChars="0"/>
              <w:jc w:val="left"/>
              <w:rPr>
                <w:highlight w:val="none"/>
              </w:rPr>
            </w:pPr>
          </w:p>
        </w:tc>
      </w:tr>
      <w:tr w14:paraId="43E6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1FAD555">
            <w:pPr>
              <w:ind w:firstLine="0" w:firstLineChars="0"/>
              <w:jc w:val="left"/>
              <w:rPr>
                <w:highlight w:val="none"/>
              </w:rPr>
            </w:pPr>
            <w:r>
              <w:rPr>
                <w:rFonts w:hint="eastAsia"/>
                <w:highlight w:val="none"/>
              </w:rPr>
              <w:t>8.2 项目流程咨询</w:t>
            </w:r>
          </w:p>
        </w:tc>
      </w:tr>
      <w:tr w14:paraId="32F1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D1AD04">
            <w:pPr>
              <w:ind w:firstLine="0" w:firstLineChars="0"/>
              <w:jc w:val="left"/>
              <w:rPr>
                <w:highlight w:val="none"/>
              </w:rPr>
            </w:pPr>
            <w:r>
              <w:rPr>
                <w:rFonts w:hint="eastAsia"/>
                <w:highlight w:val="none"/>
              </w:rPr>
              <w:t>平台服务机构：重庆联合产权交易所集团股份有限公司</w:t>
            </w:r>
          </w:p>
        </w:tc>
      </w:tr>
      <w:tr w14:paraId="4EC5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DA2FBD8">
            <w:pPr>
              <w:ind w:firstLine="0" w:firstLineChars="0"/>
              <w:jc w:val="left"/>
              <w:rPr>
                <w:rFonts w:cs="宋体"/>
                <w:szCs w:val="21"/>
                <w:highlight w:val="none"/>
              </w:rPr>
            </w:pPr>
            <w:r>
              <w:rPr>
                <w:rFonts w:hint="eastAsia"/>
                <w:highlight w:val="none"/>
              </w:rPr>
              <w:t>平台联系人：</w:t>
            </w:r>
            <w:r>
              <w:rPr>
                <w:rFonts w:hint="eastAsia" w:ascii="Times New Roman" w:eastAsia="宋体"/>
                <w:highlight w:val="none"/>
                <w:lang w:val="en-US" w:eastAsia="zh-CN"/>
              </w:rPr>
              <w:t>罗</w:t>
            </w:r>
            <w:r>
              <w:rPr>
                <w:rFonts w:hint="eastAsia"/>
                <w:highlight w:val="none"/>
              </w:rPr>
              <w:t>老师</w:t>
            </w:r>
          </w:p>
        </w:tc>
        <w:tc>
          <w:tcPr>
            <w:tcW w:w="4480" w:type="dxa"/>
            <w:tcBorders>
              <w:top w:val="nil"/>
              <w:left w:val="nil"/>
              <w:bottom w:val="nil"/>
              <w:right w:val="single" w:color="auto" w:sz="4" w:space="0"/>
            </w:tcBorders>
          </w:tcPr>
          <w:p w14:paraId="3AA8A5FF">
            <w:pPr>
              <w:ind w:firstLine="0" w:firstLineChars="0"/>
              <w:jc w:val="left"/>
              <w:rPr>
                <w:rFonts w:cs="宋体"/>
                <w:szCs w:val="21"/>
                <w:highlight w:val="none"/>
              </w:rPr>
            </w:pPr>
            <w:r>
              <w:rPr>
                <w:rFonts w:hint="eastAsia"/>
                <w:highlight w:val="none"/>
              </w:rPr>
              <w:t>联系方式：023-63621694</w:t>
            </w:r>
          </w:p>
        </w:tc>
      </w:tr>
      <w:tr w14:paraId="6E53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9468F18">
            <w:pPr>
              <w:ind w:firstLine="0" w:firstLineChars="0"/>
              <w:jc w:val="left"/>
              <w:rPr>
                <w:highlight w:val="none"/>
              </w:rPr>
            </w:pPr>
          </w:p>
        </w:tc>
      </w:tr>
      <w:tr w14:paraId="7F1E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8E6969">
            <w:pPr>
              <w:ind w:firstLine="0" w:firstLineChars="0"/>
              <w:jc w:val="left"/>
              <w:rPr>
                <w:highlight w:val="none"/>
              </w:rPr>
            </w:pPr>
            <w:r>
              <w:rPr>
                <w:rFonts w:hint="eastAsia"/>
                <w:highlight w:val="none"/>
              </w:rPr>
              <w:t>8.3 采购人联系方式</w:t>
            </w:r>
          </w:p>
        </w:tc>
      </w:tr>
      <w:tr w14:paraId="2686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1DB40B">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45ECD14">
            <w:pPr>
              <w:ind w:firstLine="0" w:firstLineChars="0"/>
              <w:jc w:val="left"/>
              <w:rPr>
                <w:rFonts w:cs="宋体"/>
                <w:szCs w:val="21"/>
                <w:highlight w:val="none"/>
              </w:rPr>
            </w:pPr>
            <w:r>
              <w:rPr>
                <w:rFonts w:hint="eastAsia"/>
                <w:highlight w:val="none"/>
              </w:rPr>
              <w:t>联系方式：023-88890395</w:t>
            </w:r>
          </w:p>
        </w:tc>
      </w:tr>
      <w:tr w14:paraId="24BB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67D5A1C">
            <w:pPr>
              <w:ind w:firstLine="0" w:firstLineChars="0"/>
              <w:jc w:val="left"/>
              <w:rPr>
                <w:highlight w:val="none"/>
              </w:rPr>
            </w:pPr>
            <w:r>
              <w:rPr>
                <w:rFonts w:hint="eastAsia"/>
                <w:highlight w:val="none"/>
              </w:rPr>
              <w:t>采购人地址：重庆市渝北区嘉州路88号中渝国际都会4号写字楼21层</w:t>
            </w:r>
          </w:p>
        </w:tc>
      </w:tr>
    </w:tbl>
    <w:p w14:paraId="59ED6213">
      <w:pPr>
        <w:rPr>
          <w:highlight w:val="none"/>
        </w:rPr>
      </w:pPr>
    </w:p>
    <w:p w14:paraId="428D5318">
      <w:pPr>
        <w:rPr>
          <w:highlight w:val="none"/>
        </w:rPr>
      </w:pPr>
    </w:p>
    <w:p w14:paraId="23ADA48C">
      <w:pPr>
        <w:spacing w:line="240" w:lineRule="auto"/>
        <w:ind w:firstLine="0" w:firstLineChars="0"/>
        <w:jc w:val="right"/>
        <w:rPr>
          <w:highlight w:val="none"/>
        </w:rPr>
      </w:pPr>
      <w:r>
        <w:rPr>
          <w:rFonts w:hint="eastAsia"/>
          <w:highlight w:val="none"/>
        </w:rPr>
        <w:t>重庆三峡银行股份有限公司</w:t>
      </w:r>
    </w:p>
    <w:p w14:paraId="0F1D4006">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6</w:t>
      </w:r>
      <w:r>
        <w:rPr>
          <w:rFonts w:hint="eastAsia"/>
          <w:highlight w:val="none"/>
        </w:rPr>
        <w:t>日</w:t>
      </w:r>
    </w:p>
    <w:p w14:paraId="6445308E">
      <w:pPr>
        <w:pStyle w:val="2"/>
        <w:rPr>
          <w:highlight w:val="none"/>
        </w:rPr>
      </w:pPr>
      <w:r>
        <w:rPr>
          <w:highlight w:val="none"/>
        </w:rPr>
        <w:br w:type="page"/>
      </w:r>
      <w:bookmarkStart w:id="42" w:name="_Toc28316"/>
      <w:bookmarkStart w:id="43" w:name="_Toc89675159"/>
      <w:bookmarkStart w:id="44" w:name="_Toc303066033"/>
      <w:bookmarkStart w:id="45" w:name="_Toc6140"/>
      <w:bookmarkStart w:id="46" w:name="_Toc29946"/>
      <w:bookmarkStart w:id="47" w:name="_Toc2200"/>
      <w:bookmarkStart w:id="48" w:name="_Toc10417"/>
      <w:bookmarkStart w:id="49" w:name="_Toc25325"/>
      <w:r>
        <w:rPr>
          <w:rFonts w:hint="eastAsia"/>
          <w:highlight w:val="none"/>
        </w:rPr>
        <w:t>第二章 响应人须知</w:t>
      </w:r>
      <w:bookmarkEnd w:id="42"/>
      <w:bookmarkEnd w:id="43"/>
      <w:bookmarkEnd w:id="44"/>
      <w:bookmarkEnd w:id="45"/>
      <w:bookmarkEnd w:id="46"/>
      <w:bookmarkEnd w:id="47"/>
      <w:bookmarkEnd w:id="48"/>
      <w:bookmarkEnd w:id="49"/>
    </w:p>
    <w:p w14:paraId="7CAC9A1F">
      <w:pPr>
        <w:pStyle w:val="3"/>
        <w:rPr>
          <w:highlight w:val="none"/>
        </w:rPr>
      </w:pPr>
      <w:bookmarkStart w:id="50" w:name="_Toc29233"/>
      <w:bookmarkStart w:id="51" w:name="_Toc89675160"/>
      <w:r>
        <w:rPr>
          <w:rFonts w:hint="eastAsia"/>
          <w:highlight w:val="none"/>
        </w:rPr>
        <w:t>1. 采购人</w:t>
      </w:r>
      <w:bookmarkEnd w:id="50"/>
    </w:p>
    <w:p w14:paraId="7741799C">
      <w:pPr>
        <w:rPr>
          <w:highlight w:val="none"/>
        </w:rPr>
      </w:pPr>
      <w:r>
        <w:rPr>
          <w:highlight w:val="none"/>
        </w:rPr>
        <w:t>重庆三峡银行股份有限公司</w:t>
      </w:r>
      <w:r>
        <w:rPr>
          <w:rFonts w:hint="eastAsia"/>
          <w:highlight w:val="none"/>
        </w:rPr>
        <w:t>。</w:t>
      </w:r>
    </w:p>
    <w:bookmarkEnd w:id="51"/>
    <w:p w14:paraId="001F429E">
      <w:pPr>
        <w:pStyle w:val="3"/>
        <w:rPr>
          <w:highlight w:val="none"/>
        </w:rPr>
      </w:pPr>
      <w:bookmarkStart w:id="52" w:name="_Toc89675161"/>
      <w:bookmarkStart w:id="53" w:name="_Toc25013"/>
      <w:r>
        <w:rPr>
          <w:rFonts w:hint="eastAsia"/>
          <w:highlight w:val="none"/>
        </w:rPr>
        <w:t xml:space="preserve">2. </w:t>
      </w:r>
      <w:bookmarkEnd w:id="52"/>
      <w:r>
        <w:rPr>
          <w:rFonts w:hint="eastAsia"/>
          <w:highlight w:val="none"/>
        </w:rPr>
        <w:t>响应人</w:t>
      </w:r>
      <w:bookmarkEnd w:id="53"/>
    </w:p>
    <w:p w14:paraId="2333645F">
      <w:pPr>
        <w:rPr>
          <w:highlight w:val="none"/>
        </w:rPr>
      </w:pPr>
      <w:r>
        <w:rPr>
          <w:rFonts w:hint="eastAsia"/>
          <w:highlight w:val="none"/>
        </w:rPr>
        <w:t>为采购人提供工程、货物和服务的承包商、供货商和服务商。</w:t>
      </w:r>
    </w:p>
    <w:p w14:paraId="58B687DB">
      <w:pPr>
        <w:pStyle w:val="4"/>
        <w:rPr>
          <w:highlight w:val="none"/>
        </w:rPr>
      </w:pPr>
      <w:r>
        <w:rPr>
          <w:rFonts w:hint="eastAsia"/>
          <w:highlight w:val="none"/>
        </w:rPr>
        <w:t>2.1 合格响应人条件</w:t>
      </w:r>
    </w:p>
    <w:p w14:paraId="60CB83DB">
      <w:pPr>
        <w:rPr>
          <w:highlight w:val="none"/>
        </w:rPr>
      </w:pPr>
      <w:r>
        <w:rPr>
          <w:rFonts w:hint="eastAsia"/>
          <w:highlight w:val="none"/>
        </w:rPr>
        <w:t>合格响应人应完全符合询比文件第一章中规定的响应人资格条件，并对询比文件作出实质性响应。</w:t>
      </w:r>
    </w:p>
    <w:p w14:paraId="2696A367">
      <w:pPr>
        <w:pStyle w:val="4"/>
        <w:rPr>
          <w:highlight w:val="none"/>
        </w:rPr>
      </w:pPr>
      <w:r>
        <w:rPr>
          <w:rFonts w:hint="eastAsia"/>
          <w:highlight w:val="none"/>
        </w:rPr>
        <w:t>2.2 响应人的风险</w:t>
      </w:r>
    </w:p>
    <w:p w14:paraId="3F67CC1F">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2ADE6B01">
      <w:pPr>
        <w:pStyle w:val="3"/>
        <w:rPr>
          <w:highlight w:val="none"/>
        </w:rPr>
      </w:pPr>
      <w:bookmarkStart w:id="54" w:name="_Toc89675162"/>
      <w:bookmarkStart w:id="55" w:name="_Toc5468"/>
      <w:r>
        <w:rPr>
          <w:rFonts w:hint="eastAsia"/>
          <w:highlight w:val="none"/>
        </w:rPr>
        <w:t xml:space="preserve">3. </w:t>
      </w:r>
      <w:bookmarkEnd w:id="54"/>
      <w:r>
        <w:rPr>
          <w:rFonts w:hint="eastAsia"/>
          <w:highlight w:val="none"/>
        </w:rPr>
        <w:t>询比文件</w:t>
      </w:r>
      <w:bookmarkEnd w:id="55"/>
    </w:p>
    <w:p w14:paraId="65A8BEFE">
      <w:pPr>
        <w:rPr>
          <w:highlight w:val="none"/>
        </w:rPr>
      </w:pPr>
      <w:r>
        <w:rPr>
          <w:rFonts w:hint="eastAsia"/>
          <w:highlight w:val="none"/>
        </w:rPr>
        <w:t>采购人根据自身采购方案或需求编制的采购文件。</w:t>
      </w:r>
    </w:p>
    <w:p w14:paraId="0FE1AEFF">
      <w:pPr>
        <w:rPr>
          <w:highlight w:val="none"/>
        </w:rPr>
      </w:pPr>
      <w:r>
        <w:rPr>
          <w:rFonts w:hint="eastAsia"/>
          <w:highlight w:val="none"/>
        </w:rPr>
        <w:t>询比文件是响应人编制响应文件的依据，是评审委员会评判依据和标准。询比文件也是采购人与入围供应商签订合同的基础。</w:t>
      </w:r>
    </w:p>
    <w:p w14:paraId="779133ED">
      <w:pPr>
        <w:rPr>
          <w:highlight w:val="none"/>
        </w:rPr>
      </w:pPr>
      <w:r>
        <w:rPr>
          <w:rFonts w:hint="eastAsia"/>
          <w:highlight w:val="none"/>
        </w:rPr>
        <w:t>采购人对询比文件所作的一切有效的书面通知、修改及补充，都是询比文件不可分割的部分。</w:t>
      </w:r>
    </w:p>
    <w:p w14:paraId="13008860">
      <w:pPr>
        <w:pStyle w:val="3"/>
        <w:rPr>
          <w:highlight w:val="none"/>
        </w:rPr>
      </w:pPr>
      <w:bookmarkStart w:id="56" w:name="_Toc89675163"/>
      <w:bookmarkStart w:id="57" w:name="_Toc3267"/>
      <w:r>
        <w:rPr>
          <w:rFonts w:hint="eastAsia"/>
          <w:highlight w:val="none"/>
        </w:rPr>
        <w:t xml:space="preserve">4. </w:t>
      </w:r>
      <w:bookmarkEnd w:id="56"/>
      <w:r>
        <w:rPr>
          <w:rFonts w:hint="eastAsia"/>
          <w:highlight w:val="none"/>
        </w:rPr>
        <w:t>响应</w:t>
      </w:r>
      <w:bookmarkEnd w:id="57"/>
    </w:p>
    <w:p w14:paraId="5BFC1064">
      <w:pPr>
        <w:rPr>
          <w:highlight w:val="none"/>
        </w:rPr>
      </w:pPr>
      <w:r>
        <w:rPr>
          <w:rFonts w:hint="eastAsia"/>
          <w:highlight w:val="none"/>
        </w:rPr>
        <w:t>响应人应当按照询比文件的要求编制响应文件，并对询比文件提出的要求和条件作出实质性响应。</w:t>
      </w:r>
    </w:p>
    <w:p w14:paraId="2696E2C5">
      <w:pPr>
        <w:pStyle w:val="4"/>
        <w:rPr>
          <w:highlight w:val="none"/>
        </w:rPr>
      </w:pPr>
      <w:r>
        <w:rPr>
          <w:rFonts w:hint="eastAsia"/>
          <w:highlight w:val="none"/>
        </w:rPr>
        <w:t>4.1 响应文件</w:t>
      </w:r>
    </w:p>
    <w:p w14:paraId="30EC7746">
      <w:pPr>
        <w:rPr>
          <w:highlight w:val="none"/>
        </w:rPr>
      </w:pPr>
      <w:r>
        <w:rPr>
          <w:rFonts w:hint="eastAsia"/>
          <w:highlight w:val="none"/>
        </w:rPr>
        <w:t>参与询比活动的响应人按照询比文件的要求编制提交的要约文件的统称。</w:t>
      </w:r>
    </w:p>
    <w:p w14:paraId="693B40C5">
      <w:pPr>
        <w:pStyle w:val="4"/>
        <w:rPr>
          <w:highlight w:val="none"/>
        </w:rPr>
      </w:pPr>
      <w:r>
        <w:rPr>
          <w:rFonts w:hint="eastAsia"/>
          <w:highlight w:val="none"/>
        </w:rPr>
        <w:t>4.2 响应文件组成</w:t>
      </w:r>
    </w:p>
    <w:p w14:paraId="57F5AA04">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0971CC48">
      <w:pPr>
        <w:pStyle w:val="4"/>
        <w:rPr>
          <w:highlight w:val="none"/>
        </w:rPr>
      </w:pPr>
      <w:r>
        <w:rPr>
          <w:rFonts w:hint="eastAsia"/>
          <w:highlight w:val="none"/>
        </w:rPr>
        <w:t>4.3 联合响应</w:t>
      </w:r>
    </w:p>
    <w:p w14:paraId="13FB8244">
      <w:pPr>
        <w:rPr>
          <w:highlight w:val="none"/>
        </w:rPr>
      </w:pPr>
      <w:r>
        <w:rPr>
          <w:rFonts w:hint="eastAsia"/>
          <w:highlight w:val="none"/>
        </w:rPr>
        <w:t>本询比项目不接受联合响应</w:t>
      </w:r>
    </w:p>
    <w:p w14:paraId="55B66258">
      <w:pPr>
        <w:pStyle w:val="4"/>
        <w:rPr>
          <w:highlight w:val="none"/>
        </w:rPr>
      </w:pPr>
      <w:r>
        <w:rPr>
          <w:rFonts w:hint="eastAsia"/>
          <w:highlight w:val="none"/>
        </w:rPr>
        <w:t>4.4 响应有效期</w:t>
      </w:r>
    </w:p>
    <w:p w14:paraId="27F4897C">
      <w:pPr>
        <w:rPr>
          <w:highlight w:val="none"/>
        </w:rPr>
      </w:pPr>
      <w:r>
        <w:rPr>
          <w:rFonts w:hint="eastAsia"/>
          <w:highlight w:val="none"/>
        </w:rPr>
        <w:t>响应有效期为响应截止时间后90天内。</w:t>
      </w:r>
    </w:p>
    <w:p w14:paraId="679926E8">
      <w:pPr>
        <w:pStyle w:val="4"/>
        <w:rPr>
          <w:highlight w:val="none"/>
        </w:rPr>
      </w:pPr>
      <w:r>
        <w:rPr>
          <w:rFonts w:hint="eastAsia"/>
          <w:highlight w:val="none"/>
        </w:rPr>
        <w:t>4.5 响应保证金</w:t>
      </w:r>
    </w:p>
    <w:p w14:paraId="50BAB0CE">
      <w:pPr>
        <w:rPr>
          <w:highlight w:val="none"/>
        </w:rPr>
      </w:pPr>
      <w:r>
        <w:rPr>
          <w:rFonts w:hint="eastAsia"/>
          <w:highlight w:val="none"/>
        </w:rPr>
        <w:t>4.5.1 响应人应在响应截止时间前，按询比文件第一章规定向采购人缴纳响应保证金。</w:t>
      </w:r>
    </w:p>
    <w:p w14:paraId="573EDD5C">
      <w:pPr>
        <w:rPr>
          <w:highlight w:val="none"/>
        </w:rPr>
      </w:pPr>
      <w:r>
        <w:rPr>
          <w:rFonts w:hint="eastAsia"/>
          <w:highlight w:val="none"/>
        </w:rPr>
        <w:t>4.5.2 响应保证金为响应的有效约束条件。</w:t>
      </w:r>
    </w:p>
    <w:p w14:paraId="431FAFE4">
      <w:pPr>
        <w:rPr>
          <w:highlight w:val="none"/>
        </w:rPr>
      </w:pPr>
      <w:r>
        <w:rPr>
          <w:rFonts w:hint="eastAsia"/>
          <w:highlight w:val="none"/>
        </w:rPr>
        <w:t>4.5.3 响应保证金有效期与响应文件有效期一致。</w:t>
      </w:r>
    </w:p>
    <w:p w14:paraId="4933856E">
      <w:pPr>
        <w:rPr>
          <w:highlight w:val="none"/>
        </w:rPr>
      </w:pPr>
      <w:r>
        <w:rPr>
          <w:rFonts w:hint="eastAsia"/>
          <w:highlight w:val="none"/>
        </w:rPr>
        <w:t>4.5.4 响应保证金币种应与响应报价币种相同。</w:t>
      </w:r>
    </w:p>
    <w:p w14:paraId="16CF0E78">
      <w:pPr>
        <w:rPr>
          <w:highlight w:val="none"/>
        </w:rPr>
      </w:pPr>
      <w:r>
        <w:rPr>
          <w:rFonts w:hint="eastAsia"/>
          <w:highlight w:val="none"/>
        </w:rPr>
        <w:t>4.5.5 响应保证金的退还：</w:t>
      </w:r>
    </w:p>
    <w:p w14:paraId="53D346CF">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入围供应商和入围候选人以外的响应人，退还响应保证金。</w:t>
      </w:r>
    </w:p>
    <w:p w14:paraId="79F3DC83">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采购人在合同生效后2个工作日内将签订的合同和保证金退还通知抄告重庆市公共资源交易中心，重庆市公共资源交易中心在收到保证金退还通知后2个工作日内，向入围供应商和入围候选人退还响应保证金。</w:t>
      </w:r>
    </w:p>
    <w:p w14:paraId="13C62047">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1C7014C6">
      <w:pPr>
        <w:rPr>
          <w:highlight w:val="none"/>
        </w:rPr>
      </w:pPr>
      <w:r>
        <w:rPr>
          <w:rFonts w:hint="eastAsia"/>
          <w:highlight w:val="none"/>
        </w:rPr>
        <w:t>4.5.6 响应人有下列情形之一的，响应保证金将不予退还：</w:t>
      </w:r>
    </w:p>
    <w:p w14:paraId="7B4B120C">
      <w:pPr>
        <w:rPr>
          <w:highlight w:val="none"/>
        </w:rPr>
      </w:pPr>
      <w:r>
        <w:rPr>
          <w:rFonts w:hint="eastAsia"/>
          <w:highlight w:val="none"/>
        </w:rPr>
        <w:t>4.5.6.1 响应人在响应有效期内撤销响应文件的；</w:t>
      </w:r>
    </w:p>
    <w:p w14:paraId="35738E30">
      <w:pPr>
        <w:rPr>
          <w:highlight w:val="none"/>
        </w:rPr>
      </w:pPr>
      <w:r>
        <w:rPr>
          <w:rFonts w:hint="eastAsia"/>
          <w:highlight w:val="none"/>
        </w:rPr>
        <w:t>4.5.6.2 响应人在响应过程中弄虚作假，提供虚假材料的；</w:t>
      </w:r>
    </w:p>
    <w:p w14:paraId="7AEF9A2A">
      <w:pPr>
        <w:rPr>
          <w:highlight w:val="none"/>
        </w:rPr>
      </w:pPr>
      <w:r>
        <w:rPr>
          <w:rFonts w:hint="eastAsia"/>
          <w:highlight w:val="none"/>
        </w:rPr>
        <w:t>4.5.6.3 入围供应商无故弃选或无正当理由不与采购人签订合同的；</w:t>
      </w:r>
    </w:p>
    <w:p w14:paraId="1992B0C8">
      <w:pPr>
        <w:rPr>
          <w:highlight w:val="none"/>
        </w:rPr>
      </w:pPr>
      <w:r>
        <w:rPr>
          <w:rFonts w:hint="eastAsia"/>
          <w:highlight w:val="none"/>
        </w:rPr>
        <w:t>4.5.6.4 入围供应商将成交项目转让给他人或者在响应文件中未说明且未经询比单位同意，将成交项目分包给他人的；</w:t>
      </w:r>
    </w:p>
    <w:p w14:paraId="42031455">
      <w:pPr>
        <w:rPr>
          <w:highlight w:val="none"/>
        </w:rPr>
      </w:pPr>
      <w:r>
        <w:rPr>
          <w:rFonts w:hint="eastAsia"/>
          <w:highlight w:val="none"/>
        </w:rPr>
        <w:t>4.5.6.5 入围供应商拒绝履行合同义务的；</w:t>
      </w:r>
    </w:p>
    <w:p w14:paraId="3CB83FF8">
      <w:pPr>
        <w:rPr>
          <w:highlight w:val="none"/>
        </w:rPr>
      </w:pPr>
      <w:r>
        <w:rPr>
          <w:rFonts w:hint="eastAsia"/>
          <w:highlight w:val="none"/>
        </w:rPr>
        <w:t>4.5.6.6 其他严重扰乱询比程序的；</w:t>
      </w:r>
    </w:p>
    <w:p w14:paraId="266F8B96">
      <w:pPr>
        <w:pStyle w:val="4"/>
        <w:rPr>
          <w:highlight w:val="none"/>
        </w:rPr>
      </w:pPr>
      <w:r>
        <w:rPr>
          <w:rFonts w:hint="eastAsia"/>
          <w:highlight w:val="none"/>
        </w:rPr>
        <w:t>4.6 响应文件的份数和签署</w:t>
      </w:r>
    </w:p>
    <w:p w14:paraId="40346F85">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6AAB9CA3">
      <w:pPr>
        <w:rPr>
          <w:highlight w:val="none"/>
        </w:rPr>
      </w:pPr>
      <w:r>
        <w:rPr>
          <w:rFonts w:hint="eastAsia"/>
          <w:highlight w:val="none"/>
        </w:rPr>
        <w:t>4.6.2 响应文件正本中，每一页均应由响应人加盖公章，其中规定格式的文件应当按要求签名和加盖响应人公章。</w:t>
      </w:r>
    </w:p>
    <w:p w14:paraId="1427A8A3">
      <w:pPr>
        <w:rPr>
          <w:highlight w:val="none"/>
        </w:rPr>
      </w:pPr>
      <w:r>
        <w:rPr>
          <w:rFonts w:hint="eastAsia"/>
          <w:highlight w:val="none"/>
        </w:rPr>
        <w:t>4.6.3 若响应人对响应文件的错处作必要修改，则应在修改处加盖响应人公章或由法人或委托代理人签字确认。</w:t>
      </w:r>
    </w:p>
    <w:p w14:paraId="7896AD50">
      <w:pPr>
        <w:rPr>
          <w:highlight w:val="none"/>
        </w:rPr>
      </w:pPr>
      <w:r>
        <w:rPr>
          <w:rFonts w:hint="eastAsia"/>
          <w:highlight w:val="none"/>
        </w:rPr>
        <w:t>4.6.4 电报、电话、邮寄、传真形式的响应文件概不接受。</w:t>
      </w:r>
    </w:p>
    <w:p w14:paraId="1C205742">
      <w:pPr>
        <w:pStyle w:val="4"/>
        <w:rPr>
          <w:highlight w:val="none"/>
        </w:rPr>
      </w:pPr>
      <w:r>
        <w:rPr>
          <w:rFonts w:hint="eastAsia"/>
          <w:highlight w:val="none"/>
        </w:rPr>
        <w:t>4.7 响应文件的密封与标记</w:t>
      </w:r>
    </w:p>
    <w:p w14:paraId="2D6001BD">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392E68C0">
      <w:pPr>
        <w:rPr>
          <w:highlight w:val="none"/>
        </w:rPr>
      </w:pPr>
      <w:r>
        <w:rPr>
          <w:rFonts w:hint="eastAsia"/>
          <w:highlight w:val="none"/>
        </w:rPr>
        <w:t>如果未按上述规定进行密封和标记，则其响应将作为无效响应处理。</w:t>
      </w:r>
    </w:p>
    <w:p w14:paraId="372968AA">
      <w:pPr>
        <w:pStyle w:val="4"/>
        <w:rPr>
          <w:highlight w:val="none"/>
        </w:rPr>
      </w:pPr>
      <w:r>
        <w:rPr>
          <w:rFonts w:hint="eastAsia"/>
          <w:highlight w:val="none"/>
        </w:rPr>
        <w:t>4.8 响应报价</w:t>
      </w:r>
    </w:p>
    <w:p w14:paraId="52F1250A">
      <w:pPr>
        <w:rPr>
          <w:highlight w:val="none"/>
        </w:rPr>
      </w:pPr>
      <w:r>
        <w:rPr>
          <w:rFonts w:hint="eastAsia"/>
          <w:highlight w:val="none"/>
        </w:rPr>
        <w:t>4.8.1 响应人应严格按照“响应文件格式”填写报价。</w:t>
      </w:r>
    </w:p>
    <w:p w14:paraId="44FAAE84">
      <w:pPr>
        <w:rPr>
          <w:highlight w:val="none"/>
        </w:rPr>
      </w:pPr>
      <w:r>
        <w:rPr>
          <w:rFonts w:hint="eastAsia"/>
          <w:highlight w:val="none"/>
        </w:rPr>
        <w:t>4.8.2 响应人的报价为一次性报价，即在响应有效期内响应价格固定不变。</w:t>
      </w:r>
    </w:p>
    <w:p w14:paraId="547EF95D">
      <w:pPr>
        <w:rPr>
          <w:highlight w:val="none"/>
        </w:rPr>
      </w:pPr>
      <w:r>
        <w:rPr>
          <w:rFonts w:hint="eastAsia"/>
          <w:highlight w:val="none"/>
        </w:rPr>
        <w:t>4.8.3 本项目只接受一个响应报价，有选择的或有条件的响应将不予接受。</w:t>
      </w:r>
    </w:p>
    <w:p w14:paraId="6022AF34">
      <w:pPr>
        <w:rPr>
          <w:highlight w:val="none"/>
        </w:rPr>
      </w:pPr>
      <w:r>
        <w:rPr>
          <w:rFonts w:hint="eastAsia"/>
          <w:highlight w:val="none"/>
        </w:rPr>
        <w:t>4.8.4 响应报价不得高于最高限价。</w:t>
      </w:r>
    </w:p>
    <w:p w14:paraId="621C02D0">
      <w:pPr>
        <w:pStyle w:val="4"/>
        <w:rPr>
          <w:highlight w:val="none"/>
        </w:rPr>
      </w:pPr>
      <w:r>
        <w:rPr>
          <w:rFonts w:hint="eastAsia"/>
          <w:highlight w:val="none"/>
        </w:rPr>
        <w:t>4.9 修正错误</w:t>
      </w:r>
    </w:p>
    <w:p w14:paraId="5898CA1A">
      <w:pPr>
        <w:rPr>
          <w:highlight w:val="none"/>
        </w:rPr>
      </w:pPr>
      <w:r>
        <w:rPr>
          <w:rFonts w:hint="eastAsia"/>
          <w:highlight w:val="none"/>
        </w:rPr>
        <w:t>若响应文件出现计算或表达上的错误，修正错误的原则如下：</w:t>
      </w:r>
    </w:p>
    <w:p w14:paraId="7215AC21">
      <w:pPr>
        <w:rPr>
          <w:highlight w:val="none"/>
        </w:rPr>
      </w:pPr>
      <w:r>
        <w:rPr>
          <w:rFonts w:hint="eastAsia"/>
          <w:highlight w:val="none"/>
        </w:rPr>
        <w:t>4.9.1 响应文件的大写金额和小写金额不一致的，以大写金额为准；</w:t>
      </w:r>
    </w:p>
    <w:p w14:paraId="0E628D62">
      <w:pPr>
        <w:rPr>
          <w:highlight w:val="none"/>
        </w:rPr>
      </w:pPr>
      <w:r>
        <w:rPr>
          <w:rFonts w:hint="eastAsia"/>
          <w:highlight w:val="none"/>
        </w:rPr>
        <w:t>4.9.2 总价金额与按单价汇总金额不一致的，以单价金额计算结果为准；</w:t>
      </w:r>
    </w:p>
    <w:p w14:paraId="14B10025">
      <w:pPr>
        <w:rPr>
          <w:highlight w:val="none"/>
        </w:rPr>
      </w:pPr>
      <w:r>
        <w:rPr>
          <w:rFonts w:hint="eastAsia"/>
          <w:highlight w:val="none"/>
        </w:rPr>
        <w:t>4.9.3 单价金额小数点有明显错位的，应以总价为准，并修正单价；</w:t>
      </w:r>
    </w:p>
    <w:p w14:paraId="2FB02E93">
      <w:pPr>
        <w:rPr>
          <w:highlight w:val="none"/>
        </w:rPr>
      </w:pPr>
      <w:r>
        <w:rPr>
          <w:rFonts w:hint="eastAsia"/>
          <w:highlight w:val="none"/>
        </w:rPr>
        <w:t>4.9.4 对不同文字文本响应文件的解释发生异议的，以中文文本为准。</w:t>
      </w:r>
    </w:p>
    <w:p w14:paraId="168275AA">
      <w:pPr>
        <w:rPr>
          <w:highlight w:val="none"/>
        </w:rPr>
      </w:pPr>
      <w:r>
        <w:rPr>
          <w:rFonts w:hint="eastAsia"/>
          <w:highlight w:val="none"/>
        </w:rPr>
        <w:t>4.9.5 含税金额与不含税金额不一致的，以含税金额为准。</w:t>
      </w:r>
    </w:p>
    <w:p w14:paraId="3A8FCEB9">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DA1C367">
      <w:pPr>
        <w:pStyle w:val="3"/>
        <w:rPr>
          <w:highlight w:val="none"/>
        </w:rPr>
      </w:pPr>
      <w:bookmarkStart w:id="58" w:name="_Toc25772"/>
      <w:bookmarkStart w:id="59" w:name="_Toc89675166"/>
      <w:r>
        <w:rPr>
          <w:rFonts w:hint="eastAsia"/>
          <w:highlight w:val="none"/>
        </w:rPr>
        <w:t>5. 询比程序</w:t>
      </w:r>
      <w:bookmarkEnd w:id="58"/>
    </w:p>
    <w:p w14:paraId="522FB15A">
      <w:pPr>
        <w:rPr>
          <w:highlight w:val="none"/>
        </w:rPr>
      </w:pPr>
      <w:r>
        <w:rPr>
          <w:rFonts w:hint="eastAsia"/>
          <w:highlight w:val="none"/>
        </w:rPr>
        <w:t>主持人按下列程序进行询比：</w:t>
      </w:r>
    </w:p>
    <w:p w14:paraId="108AC170">
      <w:pPr>
        <w:rPr>
          <w:highlight w:val="none"/>
        </w:rPr>
      </w:pPr>
      <w:r>
        <w:rPr>
          <w:rFonts w:hint="eastAsia"/>
          <w:highlight w:val="none"/>
        </w:rPr>
        <w:t>5.1 宣布询比纪律；</w:t>
      </w:r>
    </w:p>
    <w:p w14:paraId="7BF83036">
      <w:pPr>
        <w:rPr>
          <w:highlight w:val="none"/>
        </w:rPr>
      </w:pPr>
      <w:r>
        <w:rPr>
          <w:rFonts w:hint="eastAsia"/>
          <w:highlight w:val="none"/>
        </w:rPr>
        <w:t>5.2 宣布采购人、唱标人、记录人、监督人等有关人员姓名；</w:t>
      </w:r>
    </w:p>
    <w:p w14:paraId="72CC7E94">
      <w:pPr>
        <w:rPr>
          <w:highlight w:val="none"/>
        </w:rPr>
      </w:pPr>
      <w:r>
        <w:rPr>
          <w:rFonts w:hint="eastAsia"/>
          <w:highlight w:val="none"/>
        </w:rPr>
        <w:t>5.3 公布在响应截止时间前递交响应文件的响应人名称，并点名确认响应人是否派人到场；</w:t>
      </w:r>
    </w:p>
    <w:p w14:paraId="454EA750">
      <w:pPr>
        <w:rPr>
          <w:highlight w:val="none"/>
        </w:rPr>
      </w:pPr>
      <w:r>
        <w:rPr>
          <w:rFonts w:hint="eastAsia"/>
          <w:highlight w:val="none"/>
        </w:rPr>
        <w:t>5.4 展示响应保证金，响应保证金缴款不全或有误的，则记录在案交由评审委员会评审；</w:t>
      </w:r>
    </w:p>
    <w:p w14:paraId="56F314A0">
      <w:pPr>
        <w:rPr>
          <w:highlight w:val="none"/>
        </w:rPr>
      </w:pPr>
      <w:r>
        <w:rPr>
          <w:rFonts w:hint="eastAsia"/>
          <w:highlight w:val="none"/>
        </w:rPr>
        <w:t>5.5 封装情况检查：响应人或者其推选的代表检查各响应文件的封装情况并确认；</w:t>
      </w:r>
    </w:p>
    <w:p w14:paraId="519A8074">
      <w:pPr>
        <w:rPr>
          <w:highlight w:val="none"/>
        </w:rPr>
      </w:pPr>
      <w:r>
        <w:rPr>
          <w:rFonts w:hint="eastAsia"/>
          <w:highlight w:val="none"/>
        </w:rPr>
        <w:t>5.6 设有最高限价的，公布最高限价；</w:t>
      </w:r>
    </w:p>
    <w:p w14:paraId="0857B2CE">
      <w:pPr>
        <w:rPr>
          <w:highlight w:val="none"/>
        </w:rPr>
      </w:pPr>
      <w:r>
        <w:rPr>
          <w:rFonts w:hint="eastAsia"/>
          <w:highlight w:val="none"/>
        </w:rPr>
        <w:t>5.7 开启响应文件；</w:t>
      </w:r>
    </w:p>
    <w:p w14:paraId="123A1DCA">
      <w:pPr>
        <w:rPr>
          <w:highlight w:val="none"/>
        </w:rPr>
      </w:pPr>
      <w:r>
        <w:rPr>
          <w:rFonts w:hint="eastAsia"/>
          <w:highlight w:val="none"/>
        </w:rPr>
        <w:t>5.8 采购人代表、响应人代表、监督人、记录人等有关人员在询比记录上签字确认；</w:t>
      </w:r>
    </w:p>
    <w:p w14:paraId="659AF22A">
      <w:pPr>
        <w:rPr>
          <w:highlight w:val="none"/>
        </w:rPr>
      </w:pPr>
      <w:r>
        <w:rPr>
          <w:rFonts w:hint="eastAsia"/>
          <w:highlight w:val="none"/>
        </w:rPr>
        <w:t>5.9 询比结束。</w:t>
      </w:r>
    </w:p>
    <w:p w14:paraId="5E0BE9D4">
      <w:pPr>
        <w:pStyle w:val="3"/>
        <w:rPr>
          <w:highlight w:val="none"/>
        </w:rPr>
      </w:pPr>
      <w:bookmarkStart w:id="60" w:name="_Toc777"/>
      <w:r>
        <w:rPr>
          <w:rFonts w:hint="eastAsia"/>
          <w:highlight w:val="none"/>
        </w:rPr>
        <w:t>6. 评审</w:t>
      </w:r>
      <w:bookmarkEnd w:id="60"/>
    </w:p>
    <w:p w14:paraId="7E211EA2">
      <w:pPr>
        <w:rPr>
          <w:highlight w:val="none"/>
        </w:rPr>
      </w:pPr>
      <w:r>
        <w:rPr>
          <w:rFonts w:hint="eastAsia"/>
          <w:highlight w:val="none"/>
        </w:rPr>
        <w:t>见第四章内容。</w:t>
      </w:r>
    </w:p>
    <w:bookmarkEnd w:id="59"/>
    <w:p w14:paraId="4BE83A09">
      <w:pPr>
        <w:pStyle w:val="3"/>
        <w:numPr>
          <w:ilvl w:val="0"/>
          <w:numId w:val="1"/>
        </w:numPr>
        <w:rPr>
          <w:highlight w:val="none"/>
        </w:rPr>
      </w:pPr>
      <w:bookmarkStart w:id="61" w:name="_Toc21594"/>
      <w:r>
        <w:rPr>
          <w:rFonts w:hint="eastAsia"/>
          <w:highlight w:val="none"/>
        </w:rPr>
        <w:t>确定入围供应商</w:t>
      </w:r>
      <w:bookmarkEnd w:id="61"/>
    </w:p>
    <w:p w14:paraId="4EFA2EC1">
      <w:pPr>
        <w:pStyle w:val="3"/>
        <w:numPr>
          <w:ilvl w:val="0"/>
          <w:numId w:val="1"/>
        </w:numPr>
        <w:rPr>
          <w:highlight w:val="none"/>
        </w:rPr>
      </w:pPr>
      <w:bookmarkStart w:id="62" w:name="_Toc16158"/>
      <w:r>
        <w:rPr>
          <w:rFonts w:hint="eastAsia"/>
          <w:highlight w:val="none"/>
        </w:rPr>
        <w:t>7.1 确定入围供应商原则</w:t>
      </w:r>
      <w:bookmarkEnd w:id="62"/>
    </w:p>
    <w:p w14:paraId="52F54D58">
      <w:pPr>
        <w:rPr>
          <w:highlight w:val="none"/>
        </w:rPr>
      </w:pPr>
      <w:r>
        <w:rPr>
          <w:rFonts w:hint="eastAsia"/>
          <w:highlight w:val="none"/>
        </w:rPr>
        <w:t>采购人按照评审报告中推荐的入围候选人排名顺序确定入围供应商，如入围供应商因不可抗力或者自身原因不能履行合同的，采购人可以重新采购或确定依次其后的候选人为入围供应商，以此类推。</w:t>
      </w:r>
    </w:p>
    <w:p w14:paraId="0C1803D7">
      <w:pPr>
        <w:rPr>
          <w:highlight w:val="none"/>
        </w:rPr>
      </w:pPr>
      <w:r>
        <w:rPr>
          <w:rFonts w:hint="eastAsia"/>
          <w:highlight w:val="none"/>
        </w:rPr>
        <w:t>7.2 不承诺最低价格成交。</w:t>
      </w:r>
    </w:p>
    <w:p w14:paraId="2BEC8CE1">
      <w:pPr>
        <w:rPr>
          <w:highlight w:val="none"/>
        </w:rPr>
      </w:pPr>
      <w:r>
        <w:rPr>
          <w:rFonts w:hint="eastAsia"/>
          <w:highlight w:val="none"/>
        </w:rPr>
        <w:t>7.3 若入围供应商响应材料出现造假、不实等与实际查询结果不符或无故弃选的情况，采购人有权选择重新询比或顺延下一入围候选人，由此带来的损失采购人有权通过没收响应保证金等方式进行追溯。</w:t>
      </w:r>
    </w:p>
    <w:p w14:paraId="344502DC">
      <w:pPr>
        <w:pStyle w:val="3"/>
        <w:rPr>
          <w:highlight w:val="none"/>
        </w:rPr>
      </w:pPr>
      <w:bookmarkStart w:id="63" w:name="_Toc12245"/>
      <w:bookmarkStart w:id="64" w:name="_Toc30426"/>
      <w:bookmarkStart w:id="65" w:name="_Toc89675168"/>
      <w:r>
        <w:rPr>
          <w:rFonts w:hint="eastAsia"/>
          <w:highlight w:val="none"/>
        </w:rPr>
        <w:t>8. 签订合同</w:t>
      </w:r>
      <w:bookmarkEnd w:id="63"/>
      <w:bookmarkEnd w:id="64"/>
      <w:bookmarkEnd w:id="65"/>
    </w:p>
    <w:p w14:paraId="1C95FFB0">
      <w:pPr>
        <w:rPr>
          <w:highlight w:val="none"/>
        </w:rPr>
      </w:pPr>
      <w:r>
        <w:rPr>
          <w:rFonts w:hint="eastAsia"/>
          <w:highlight w:val="none"/>
        </w:rPr>
        <w:t>8.1 采购人指定的使用单位将在自成交通知发出之日起，依据询比文件和入围供应商响应文件的约定，按照采购人内部流程与入围供应商签订书面合同。所签订的合同不得对询比文件和入围供应商响应文件作实质性修改。</w:t>
      </w:r>
    </w:p>
    <w:p w14:paraId="3AE9A409">
      <w:pPr>
        <w:rPr>
          <w:highlight w:val="none"/>
        </w:rPr>
      </w:pPr>
      <w:r>
        <w:rPr>
          <w:rFonts w:hint="eastAsia"/>
          <w:highlight w:val="none"/>
        </w:rPr>
        <w:t>8.2 入围供应商在领取成交通知书后，应根据第一章中“联系方式”内容，及时与项目联系人对接，并按采购人要求在规定时间完成合同的签订。如未在规定时间内签订合同，且经采购人书面通知后仍不按照通知要求签订合同的，可视为入围候选人无故弃选。</w:t>
      </w:r>
    </w:p>
    <w:p w14:paraId="7CAC1F06">
      <w:pPr>
        <w:rPr>
          <w:highlight w:val="none"/>
        </w:rPr>
      </w:pPr>
      <w:r>
        <w:rPr>
          <w:rFonts w:hint="eastAsia"/>
          <w:highlight w:val="none"/>
        </w:rPr>
        <w:t>8.3 询比文件、入围供应商的响应文件及澄清文件等，均为签订合同的依据。</w:t>
      </w:r>
    </w:p>
    <w:p w14:paraId="27108F1E">
      <w:pPr>
        <w:rPr>
          <w:highlight w:val="none"/>
        </w:rPr>
      </w:pPr>
      <w:r>
        <w:rPr>
          <w:rFonts w:hint="eastAsia"/>
          <w:highlight w:val="none"/>
        </w:rPr>
        <w:t>8.4 合同生效条款由供需双方约定，法律、行政法规规定应当办理批准、登记等手续后生效的合同，依照其规定。</w:t>
      </w:r>
    </w:p>
    <w:p w14:paraId="17A31E36">
      <w:pPr>
        <w:rPr>
          <w:highlight w:val="none"/>
        </w:rPr>
      </w:pPr>
      <w:r>
        <w:rPr>
          <w:rFonts w:hint="eastAsia"/>
          <w:highlight w:val="none"/>
        </w:rPr>
        <w:t>8.5 签订合同前后，若入围供应商无法按要求履约，采购人可以废除入围供应商资格，并可重新采购或选择按照入围候选人顺位与下一候选人签订合同。</w:t>
      </w:r>
    </w:p>
    <w:p w14:paraId="5C2D3EB7">
      <w:pPr>
        <w:rPr>
          <w:highlight w:val="none"/>
        </w:rPr>
      </w:pPr>
      <w:r>
        <w:rPr>
          <w:rFonts w:hint="eastAsia"/>
          <w:highlight w:val="none"/>
        </w:rPr>
        <w:t>8.6 该项目不允许任何形式的转包。</w:t>
      </w:r>
    </w:p>
    <w:p w14:paraId="62AA737B">
      <w:pPr>
        <w:pStyle w:val="3"/>
        <w:rPr>
          <w:highlight w:val="none"/>
        </w:rPr>
      </w:pPr>
      <w:bookmarkStart w:id="66" w:name="_Toc27385"/>
      <w:r>
        <w:rPr>
          <w:rFonts w:hint="eastAsia"/>
          <w:highlight w:val="none"/>
        </w:rPr>
        <w:t>9. 纪律与要求</w:t>
      </w:r>
      <w:bookmarkEnd w:id="66"/>
    </w:p>
    <w:p w14:paraId="3BC6282F">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2BA31A8A">
      <w:pPr>
        <w:rPr>
          <w:highlight w:val="none"/>
        </w:rPr>
      </w:pPr>
      <w:r>
        <w:rPr>
          <w:rFonts w:hint="eastAsia"/>
          <w:highlight w:val="none"/>
        </w:rPr>
        <w:t>9.1 有下列情形之一的，属于响应人相互串通响应：</w:t>
      </w:r>
    </w:p>
    <w:p w14:paraId="15DDCB60">
      <w:pPr>
        <w:rPr>
          <w:highlight w:val="none"/>
        </w:rPr>
      </w:pPr>
      <w:r>
        <w:rPr>
          <w:rFonts w:hint="eastAsia"/>
          <w:highlight w:val="none"/>
        </w:rPr>
        <w:t>9.1.1 响应人之间协商响应报价等响应文件的实质性内容；</w:t>
      </w:r>
    </w:p>
    <w:p w14:paraId="54DBE024">
      <w:pPr>
        <w:rPr>
          <w:highlight w:val="none"/>
        </w:rPr>
      </w:pPr>
      <w:r>
        <w:rPr>
          <w:rFonts w:hint="eastAsia"/>
          <w:highlight w:val="none"/>
        </w:rPr>
        <w:t>9.1.2 响应人之间约定入围供应商；</w:t>
      </w:r>
    </w:p>
    <w:p w14:paraId="28274138">
      <w:pPr>
        <w:rPr>
          <w:highlight w:val="none"/>
        </w:rPr>
      </w:pPr>
      <w:r>
        <w:rPr>
          <w:rFonts w:hint="eastAsia"/>
          <w:highlight w:val="none"/>
        </w:rPr>
        <w:t>9.1.3 响应人之间约定部分响应人放弃响应或者成交；</w:t>
      </w:r>
    </w:p>
    <w:p w14:paraId="5438FFA3">
      <w:pPr>
        <w:rPr>
          <w:highlight w:val="none"/>
        </w:rPr>
      </w:pPr>
      <w:r>
        <w:rPr>
          <w:rFonts w:hint="eastAsia"/>
          <w:highlight w:val="none"/>
        </w:rPr>
        <w:t>9.1.4 属于同一集团、协会、商会等组织成员的响应人按照该组织要求协同响应；</w:t>
      </w:r>
    </w:p>
    <w:p w14:paraId="52FEF2E6">
      <w:pPr>
        <w:rPr>
          <w:highlight w:val="none"/>
        </w:rPr>
      </w:pPr>
      <w:r>
        <w:rPr>
          <w:rFonts w:hint="eastAsia"/>
          <w:highlight w:val="none"/>
        </w:rPr>
        <w:t>9.1.5 响应人之间为谋取成交或者排斥特定响应人而采取的其他联合行动。</w:t>
      </w:r>
    </w:p>
    <w:p w14:paraId="352A43D9">
      <w:pPr>
        <w:rPr>
          <w:highlight w:val="none"/>
        </w:rPr>
      </w:pPr>
      <w:r>
        <w:rPr>
          <w:rFonts w:hint="eastAsia"/>
          <w:highlight w:val="none"/>
        </w:rPr>
        <w:t>9.2 有下列情形之一的，视为响应人相互串通响应：</w:t>
      </w:r>
    </w:p>
    <w:p w14:paraId="61A1DACD">
      <w:pPr>
        <w:rPr>
          <w:highlight w:val="none"/>
        </w:rPr>
      </w:pPr>
      <w:r>
        <w:rPr>
          <w:rFonts w:hint="eastAsia"/>
          <w:highlight w:val="none"/>
        </w:rPr>
        <w:t>9.2.1 不同响应人的响应文件由同一单位或者个人编制；</w:t>
      </w:r>
    </w:p>
    <w:p w14:paraId="2A6B42AB">
      <w:pPr>
        <w:rPr>
          <w:highlight w:val="none"/>
        </w:rPr>
      </w:pPr>
      <w:r>
        <w:rPr>
          <w:rFonts w:hint="eastAsia"/>
          <w:highlight w:val="none"/>
        </w:rPr>
        <w:t>9.2.2 不同响应人委托同一单位或者个人办理响应事宜；</w:t>
      </w:r>
    </w:p>
    <w:p w14:paraId="2755F88E">
      <w:pPr>
        <w:rPr>
          <w:highlight w:val="none"/>
        </w:rPr>
      </w:pPr>
      <w:r>
        <w:rPr>
          <w:rFonts w:hint="eastAsia"/>
          <w:highlight w:val="none"/>
        </w:rPr>
        <w:t>9.2.3 不同响应人的响应文件载明的项目管理成员为同一人；</w:t>
      </w:r>
    </w:p>
    <w:p w14:paraId="1EBAFF73">
      <w:pPr>
        <w:rPr>
          <w:highlight w:val="none"/>
        </w:rPr>
      </w:pPr>
      <w:r>
        <w:rPr>
          <w:rFonts w:hint="eastAsia"/>
          <w:highlight w:val="none"/>
        </w:rPr>
        <w:t>9.2.4 不同响应人的响应文件相互混装；</w:t>
      </w:r>
    </w:p>
    <w:p w14:paraId="7DF02C17">
      <w:pPr>
        <w:rPr>
          <w:highlight w:val="none"/>
        </w:rPr>
      </w:pPr>
      <w:r>
        <w:rPr>
          <w:rFonts w:hint="eastAsia"/>
          <w:highlight w:val="none"/>
        </w:rPr>
        <w:t>9.2.5 不同响应人的响应保证金从同一单位或者个人的账户转出。</w:t>
      </w:r>
    </w:p>
    <w:p w14:paraId="5B077A93">
      <w:pPr>
        <w:rPr>
          <w:highlight w:val="none"/>
        </w:rPr>
      </w:pPr>
      <w:r>
        <w:rPr>
          <w:rFonts w:hint="eastAsia"/>
          <w:highlight w:val="none"/>
        </w:rPr>
        <w:t>9.3 使用通过受让或者租借等方式获取的资格、资质证书响应的，属于以他人名义响应。</w:t>
      </w:r>
    </w:p>
    <w:p w14:paraId="65CB3975">
      <w:pPr>
        <w:rPr>
          <w:highlight w:val="none"/>
        </w:rPr>
      </w:pPr>
      <w:r>
        <w:rPr>
          <w:rFonts w:hint="eastAsia"/>
          <w:highlight w:val="none"/>
        </w:rPr>
        <w:t>9.4 响应人有下列情形之一的，属于弄虚作假的行为：</w:t>
      </w:r>
    </w:p>
    <w:p w14:paraId="37709963">
      <w:pPr>
        <w:rPr>
          <w:highlight w:val="none"/>
        </w:rPr>
      </w:pPr>
      <w:r>
        <w:rPr>
          <w:rFonts w:hint="eastAsia"/>
          <w:highlight w:val="none"/>
        </w:rPr>
        <w:t>9.4.1 使用伪造、变造的许可证件；</w:t>
      </w:r>
    </w:p>
    <w:p w14:paraId="3CBA0B45">
      <w:pPr>
        <w:rPr>
          <w:highlight w:val="none"/>
        </w:rPr>
      </w:pPr>
      <w:r>
        <w:rPr>
          <w:rFonts w:hint="eastAsia"/>
          <w:highlight w:val="none"/>
        </w:rPr>
        <w:t>9.4.2 提供虚假的财务状况或者虚假业绩；</w:t>
      </w:r>
    </w:p>
    <w:p w14:paraId="426D1F5B">
      <w:pPr>
        <w:rPr>
          <w:highlight w:val="none"/>
        </w:rPr>
      </w:pPr>
      <w:r>
        <w:rPr>
          <w:rFonts w:hint="eastAsia"/>
          <w:highlight w:val="none"/>
        </w:rPr>
        <w:t>9.4.3 提供虚假的项目负责人或者主要技术人员简历、劳动关系证明；</w:t>
      </w:r>
    </w:p>
    <w:p w14:paraId="66A6B821">
      <w:pPr>
        <w:rPr>
          <w:highlight w:val="none"/>
        </w:rPr>
      </w:pPr>
      <w:r>
        <w:rPr>
          <w:rFonts w:hint="eastAsia"/>
          <w:highlight w:val="none"/>
        </w:rPr>
        <w:t>9.4.4 提供虚假的信用状况；</w:t>
      </w:r>
    </w:p>
    <w:p w14:paraId="5F5BFC80">
      <w:pPr>
        <w:rPr>
          <w:highlight w:val="none"/>
        </w:rPr>
      </w:pPr>
      <w:r>
        <w:rPr>
          <w:rFonts w:hint="eastAsia"/>
          <w:highlight w:val="none"/>
        </w:rPr>
        <w:t>9.4.5 其它弄虚作假的行为。</w:t>
      </w:r>
    </w:p>
    <w:p w14:paraId="7062D92F">
      <w:pPr>
        <w:rPr>
          <w:highlight w:val="none"/>
        </w:rPr>
      </w:pPr>
      <w:r>
        <w:rPr>
          <w:rFonts w:hint="eastAsia"/>
          <w:highlight w:val="none"/>
        </w:rPr>
        <w:t>针对以上情况，采购人有权没收响应人的响应保证金，并保留进一步追究由此带来损失的权利。</w:t>
      </w:r>
    </w:p>
    <w:p w14:paraId="2DF3CB4C">
      <w:pPr>
        <w:pStyle w:val="3"/>
        <w:rPr>
          <w:highlight w:val="none"/>
        </w:rPr>
      </w:pPr>
      <w:bookmarkStart w:id="67" w:name="_Toc29270"/>
      <w:bookmarkStart w:id="68" w:name="_Toc89675169"/>
      <w:r>
        <w:rPr>
          <w:rFonts w:hint="eastAsia"/>
          <w:highlight w:val="none"/>
        </w:rPr>
        <w:t>10. 提问、质疑、投诉</w:t>
      </w:r>
      <w:bookmarkEnd w:id="67"/>
    </w:p>
    <w:p w14:paraId="3A0DD9B8">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4E13A043">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2CCDCEF">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35FB2F6E">
      <w:pPr>
        <w:rPr>
          <w:highlight w:val="none"/>
        </w:rPr>
      </w:pPr>
      <w:r>
        <w:rPr>
          <w:rFonts w:hint="eastAsia"/>
          <w:highlight w:val="none"/>
        </w:rPr>
        <w:t>10.4 响应人对采购人的答复不满意或者有质疑，可向采购人纪检监察部投诉。</w:t>
      </w:r>
    </w:p>
    <w:p w14:paraId="63109282">
      <w:pPr>
        <w:rPr>
          <w:highlight w:val="none"/>
        </w:rPr>
      </w:pPr>
      <w:r>
        <w:rPr>
          <w:rFonts w:hint="eastAsia"/>
          <w:highlight w:val="none"/>
        </w:rPr>
        <w:t>采购质疑邮箱：</w:t>
      </w:r>
      <w:r>
        <w:rPr>
          <w:highlight w:val="none"/>
        </w:rPr>
        <w:t>sx.jcb@ccqtgb.com</w:t>
      </w:r>
    </w:p>
    <w:p w14:paraId="2DE44264">
      <w:pPr>
        <w:rPr>
          <w:highlight w:val="none"/>
        </w:rPr>
      </w:pPr>
      <w:r>
        <w:rPr>
          <w:rFonts w:hint="eastAsia"/>
          <w:highlight w:val="none"/>
        </w:rPr>
        <w:t>采购投诉邮箱：</w:t>
      </w:r>
      <w:bookmarkStart w:id="69" w:name="_Hlk74215856"/>
      <w:r>
        <w:rPr>
          <w:rFonts w:hint="eastAsia"/>
          <w:highlight w:val="none"/>
        </w:rPr>
        <w:t>sxyhjjz@</w:t>
      </w:r>
      <w:r>
        <w:rPr>
          <w:highlight w:val="none"/>
        </w:rPr>
        <w:t>ccqtgb</w:t>
      </w:r>
      <w:r>
        <w:rPr>
          <w:rFonts w:hint="eastAsia"/>
          <w:highlight w:val="none"/>
        </w:rPr>
        <w:t>.com</w:t>
      </w:r>
      <w:bookmarkEnd w:id="69"/>
    </w:p>
    <w:p w14:paraId="2EB2FDFA">
      <w:pPr>
        <w:pStyle w:val="3"/>
        <w:rPr>
          <w:highlight w:val="none"/>
        </w:rPr>
      </w:pPr>
      <w:bookmarkStart w:id="70" w:name="_Toc11439"/>
      <w:bookmarkStart w:id="71" w:name="_Toc89675157"/>
      <w:bookmarkStart w:id="72" w:name="_Toc440628924"/>
      <w:bookmarkStart w:id="73" w:name="_Toc20478"/>
      <w:bookmarkStart w:id="74" w:name="_Toc275199618"/>
      <w:bookmarkStart w:id="75" w:name="_Toc15059431"/>
      <w:r>
        <w:rPr>
          <w:rFonts w:hint="eastAsia"/>
          <w:highlight w:val="none"/>
        </w:rPr>
        <w:t>11. 无效响应条款</w:t>
      </w:r>
      <w:bookmarkEnd w:id="70"/>
      <w:bookmarkEnd w:id="71"/>
      <w:bookmarkEnd w:id="72"/>
      <w:bookmarkEnd w:id="73"/>
      <w:bookmarkEnd w:id="74"/>
      <w:bookmarkEnd w:id="75"/>
    </w:p>
    <w:p w14:paraId="3D23F08D">
      <w:pPr>
        <w:rPr>
          <w:highlight w:val="none"/>
        </w:rPr>
      </w:pPr>
      <w:r>
        <w:rPr>
          <w:rFonts w:hint="eastAsia"/>
          <w:highlight w:val="none"/>
        </w:rPr>
        <w:t>响应人或其响应文件出现下列情况之一者，应为无效响应：</w:t>
      </w:r>
    </w:p>
    <w:p w14:paraId="0C477628">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154597CA">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586B09DE">
      <w:pPr>
        <w:rPr>
          <w:highlight w:val="none"/>
        </w:rPr>
      </w:pPr>
      <w:r>
        <w:rPr>
          <w:rFonts w:hint="eastAsia"/>
          <w:highlight w:val="none"/>
        </w:rPr>
        <w:t>11.3 响应人超出其营业执照或事业单位法人证书上经营范围（业务范围）响应的。</w:t>
      </w:r>
    </w:p>
    <w:p w14:paraId="062C856C">
      <w:pPr>
        <w:rPr>
          <w:highlight w:val="none"/>
        </w:rPr>
      </w:pPr>
      <w:r>
        <w:rPr>
          <w:rFonts w:hint="eastAsia"/>
          <w:highlight w:val="none"/>
        </w:rPr>
        <w:t>11.4 单位负责人为同一人或者存在直接控股、管理关系的不同响应人，不得参加同一合同项下的采购活动。</w:t>
      </w:r>
    </w:p>
    <w:p w14:paraId="38DA2199">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312A4976">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0992FF4E">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4EB2D8E4">
      <w:pPr>
        <w:rPr>
          <w:highlight w:val="none"/>
        </w:rPr>
      </w:pPr>
      <w:r>
        <w:rPr>
          <w:rFonts w:hint="eastAsia"/>
          <w:highlight w:val="none"/>
        </w:rPr>
        <w:t>11.8 响应报价</w:t>
      </w:r>
      <w:r>
        <w:rPr>
          <w:highlight w:val="none"/>
        </w:rPr>
        <w:t>超出最高限价的</w:t>
      </w:r>
      <w:r>
        <w:rPr>
          <w:rFonts w:hint="eastAsia"/>
          <w:highlight w:val="none"/>
        </w:rPr>
        <w:t>。</w:t>
      </w:r>
    </w:p>
    <w:p w14:paraId="436EB913">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0E964FE6">
      <w:pPr>
        <w:rPr>
          <w:highlight w:val="none"/>
        </w:rPr>
      </w:pPr>
      <w:r>
        <w:rPr>
          <w:rFonts w:hint="eastAsia"/>
          <w:highlight w:val="none"/>
        </w:rPr>
        <w:t>11.10 出现影响询比公正的违法、违规行为的。</w:t>
      </w:r>
    </w:p>
    <w:p w14:paraId="2C3A297E">
      <w:pPr>
        <w:rPr>
          <w:highlight w:val="none"/>
        </w:rPr>
      </w:pPr>
      <w:r>
        <w:rPr>
          <w:rFonts w:hint="eastAsia"/>
          <w:highlight w:val="none"/>
        </w:rPr>
        <w:t>11.11 与采购人、评审专家、其他响应人恶意串通。</w:t>
      </w:r>
    </w:p>
    <w:p w14:paraId="173C7587">
      <w:pPr>
        <w:rPr>
          <w:highlight w:val="none"/>
        </w:rPr>
      </w:pPr>
      <w:r>
        <w:rPr>
          <w:rFonts w:hint="eastAsia"/>
          <w:highlight w:val="none"/>
        </w:rPr>
        <w:t>11.12 参与响应的法人发生合并、分立、破产等重大变化后，不再具备询比要求的资格条件的。</w:t>
      </w:r>
    </w:p>
    <w:p w14:paraId="46B83517">
      <w:pPr>
        <w:rPr>
          <w:highlight w:val="none"/>
        </w:rPr>
      </w:pPr>
      <w:r>
        <w:rPr>
          <w:rFonts w:hint="eastAsia"/>
          <w:highlight w:val="none"/>
        </w:rPr>
        <w:t>11.13 提供虚假材料谋取成交资格的。</w:t>
      </w:r>
    </w:p>
    <w:p w14:paraId="4323AD2E">
      <w:pPr>
        <w:rPr>
          <w:highlight w:val="none"/>
        </w:rPr>
      </w:pPr>
      <w:r>
        <w:rPr>
          <w:rFonts w:hint="eastAsia"/>
          <w:highlight w:val="none"/>
        </w:rPr>
        <w:t>11.14 响应文件含有采购人不能接受的附件条件的。</w:t>
      </w:r>
    </w:p>
    <w:p w14:paraId="0F5033B5">
      <w:pPr>
        <w:pStyle w:val="3"/>
        <w:rPr>
          <w:highlight w:val="none"/>
        </w:rPr>
      </w:pPr>
      <w:bookmarkStart w:id="76" w:name="_Toc16121"/>
      <w:r>
        <w:rPr>
          <w:rFonts w:hint="eastAsia"/>
          <w:highlight w:val="none"/>
        </w:rPr>
        <w:t>12. 询比失败情形</w:t>
      </w:r>
      <w:bookmarkEnd w:id="76"/>
    </w:p>
    <w:p w14:paraId="4D1919F5">
      <w:pPr>
        <w:outlineLvl w:val="1"/>
        <w:rPr>
          <w:highlight w:val="none"/>
        </w:rPr>
      </w:pPr>
      <w:r>
        <w:rPr>
          <w:rFonts w:hint="eastAsia"/>
          <w:highlight w:val="none"/>
        </w:rPr>
        <w:t>12.1 出现以下情形本次询比失败：</w:t>
      </w:r>
    </w:p>
    <w:p w14:paraId="619D6EF9">
      <w:pPr>
        <w:rPr>
          <w:highlight w:val="none"/>
        </w:rPr>
      </w:pPr>
      <w:r>
        <w:rPr>
          <w:rFonts w:hint="eastAsia"/>
          <w:highlight w:val="none"/>
        </w:rPr>
        <w:t>12.1.1首次询比的项目，截至响应截止时间，响应人少于3个的。</w:t>
      </w:r>
    </w:p>
    <w:p w14:paraId="7D22B2D0">
      <w:pPr>
        <w:rPr>
          <w:highlight w:val="none"/>
        </w:rPr>
      </w:pPr>
      <w:r>
        <w:rPr>
          <w:rFonts w:hint="eastAsia"/>
          <w:highlight w:val="none"/>
        </w:rPr>
        <w:t>12.1.2 经评审委员会评审后，通过初步评审的供应商少于3家的。</w:t>
      </w:r>
    </w:p>
    <w:p w14:paraId="67D60975">
      <w:pPr>
        <w:rPr>
          <w:highlight w:val="none"/>
        </w:rPr>
      </w:pPr>
      <w:r>
        <w:rPr>
          <w:rFonts w:hint="eastAsia"/>
          <w:highlight w:val="none"/>
        </w:rPr>
        <w:t>12.1.3 法律法规规定的其他情形。</w:t>
      </w:r>
    </w:p>
    <w:p w14:paraId="51F25C95">
      <w:pPr>
        <w:outlineLvl w:val="1"/>
        <w:rPr>
          <w:highlight w:val="none"/>
        </w:rPr>
      </w:pPr>
      <w:r>
        <w:rPr>
          <w:rFonts w:hint="eastAsia"/>
          <w:highlight w:val="none"/>
        </w:rPr>
        <w:t>12.2 重新询比和不再询比</w:t>
      </w:r>
    </w:p>
    <w:p w14:paraId="3C61BD1C">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入围候选人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3C3572E0">
      <w:pPr>
        <w:pStyle w:val="3"/>
        <w:rPr>
          <w:highlight w:val="none"/>
        </w:rPr>
      </w:pPr>
      <w:bookmarkStart w:id="77" w:name="_Toc28834"/>
      <w:r>
        <w:rPr>
          <w:rFonts w:hint="eastAsia"/>
          <w:highlight w:val="none"/>
        </w:rPr>
        <w:t>13. 终止</w:t>
      </w:r>
      <w:bookmarkEnd w:id="68"/>
      <w:r>
        <w:rPr>
          <w:rFonts w:hint="eastAsia"/>
          <w:highlight w:val="none"/>
        </w:rPr>
        <w:t>询比</w:t>
      </w:r>
      <w:bookmarkEnd w:id="77"/>
    </w:p>
    <w:p w14:paraId="471D9E71">
      <w:pPr>
        <w:rPr>
          <w:highlight w:val="none"/>
        </w:rPr>
      </w:pPr>
      <w:r>
        <w:rPr>
          <w:rFonts w:hint="eastAsia"/>
          <w:highlight w:val="none"/>
        </w:rPr>
        <w:t>13.1 因情况发生变化或其他原因造成该项目取消的，本次询比自动终止，双方互不承担责任，采购人有息退还响应保证金。</w:t>
      </w:r>
    </w:p>
    <w:p w14:paraId="3FE8A430">
      <w:pPr>
        <w:rPr>
          <w:highlight w:val="none"/>
        </w:rPr>
      </w:pPr>
      <w:r>
        <w:rPr>
          <w:rFonts w:hint="eastAsia"/>
          <w:highlight w:val="none"/>
        </w:rPr>
        <w:t>13.2 签订合同之前，采购人发现入围供应商经营、财务状况发生较大变化或存在违法行为，采购人认为可能影响其履约能力的，采购人可废除入围供应商资格。</w:t>
      </w:r>
    </w:p>
    <w:p w14:paraId="297BD080">
      <w:pPr>
        <w:pStyle w:val="3"/>
        <w:rPr>
          <w:highlight w:val="none"/>
        </w:rPr>
      </w:pPr>
      <w:bookmarkStart w:id="78" w:name="_Toc23696"/>
      <w:r>
        <w:rPr>
          <w:rFonts w:hint="eastAsia"/>
          <w:highlight w:val="none"/>
        </w:rPr>
        <w:t>14. 参与项目费用</w:t>
      </w:r>
      <w:bookmarkEnd w:id="78"/>
    </w:p>
    <w:p w14:paraId="2E4CD21A">
      <w:pPr>
        <w:rPr>
          <w:highlight w:val="none"/>
        </w:rPr>
      </w:pPr>
      <w:r>
        <w:rPr>
          <w:rFonts w:hint="eastAsia"/>
          <w:highlight w:val="none"/>
        </w:rPr>
        <w:t>响应人参与本询比项目时，一切与响应有关的费用均由响应人自理。</w:t>
      </w:r>
    </w:p>
    <w:p w14:paraId="4E94F0B1">
      <w:pPr>
        <w:rPr>
          <w:highlight w:val="none"/>
        </w:rPr>
      </w:pPr>
      <w:r>
        <w:rPr>
          <w:rFonts w:hint="eastAsia"/>
          <w:highlight w:val="none"/>
        </w:rPr>
        <w:t>本项目平台服务费为15000.00元，由入围供应商向重庆联合产权交易所集团股份有限公司均摊支付。入围供应商应在领取成交通知书时一次性缴纳，请各响应人综合考虑进行报价。</w:t>
      </w:r>
    </w:p>
    <w:p w14:paraId="2EEA6B04">
      <w:pPr>
        <w:rPr>
          <w:highlight w:val="none"/>
        </w:rPr>
      </w:pPr>
    </w:p>
    <w:p w14:paraId="6347F531">
      <w:pPr>
        <w:pStyle w:val="2"/>
        <w:rPr>
          <w:highlight w:val="none"/>
        </w:rPr>
      </w:pPr>
      <w:r>
        <w:rPr>
          <w:highlight w:val="none"/>
        </w:rPr>
        <w:br w:type="page"/>
      </w:r>
      <w:bookmarkStart w:id="79" w:name="_Toc25855"/>
      <w:bookmarkStart w:id="80" w:name="_Toc28549"/>
      <w:bookmarkStart w:id="81" w:name="_Toc11994"/>
      <w:bookmarkStart w:id="82" w:name="_Toc28375"/>
      <w:bookmarkStart w:id="83" w:name="_Toc30519"/>
      <w:bookmarkStart w:id="84" w:name="_Toc24569"/>
      <w:r>
        <w:rPr>
          <w:rFonts w:hint="eastAsia"/>
          <w:highlight w:val="none"/>
        </w:rPr>
        <w:t>第三章 项目要求</w:t>
      </w:r>
      <w:bookmarkEnd w:id="79"/>
      <w:bookmarkEnd w:id="80"/>
      <w:bookmarkEnd w:id="81"/>
      <w:bookmarkEnd w:id="82"/>
      <w:bookmarkEnd w:id="83"/>
      <w:bookmarkEnd w:id="84"/>
    </w:p>
    <w:p w14:paraId="534CB080">
      <w:pPr>
        <w:pStyle w:val="3"/>
        <w:rPr>
          <w:highlight w:val="none"/>
        </w:rPr>
      </w:pPr>
      <w:bookmarkStart w:id="85" w:name="_Toc25172"/>
      <w:r>
        <w:rPr>
          <w:rFonts w:hint="eastAsia"/>
          <w:highlight w:val="none"/>
        </w:rPr>
        <w:t>1.项目概况</w:t>
      </w:r>
      <w:bookmarkEnd w:id="85"/>
    </w:p>
    <w:p w14:paraId="28CE9BD2">
      <w:pPr>
        <w:rPr>
          <w:highlight w:val="none"/>
        </w:rPr>
      </w:pPr>
      <w:r>
        <w:rPr>
          <w:rFonts w:hint="eastAsia"/>
          <w:highlight w:val="none"/>
        </w:rPr>
        <w:t>重庆三峡银行员工食堂位于渝北区嘉州路88号4号写字楼11层，</w:t>
      </w:r>
      <w:r>
        <w:rPr>
          <w:rFonts w:hint="eastAsia"/>
          <w:bCs/>
          <w:highlight w:val="none"/>
        </w:rPr>
        <w:t>用餐人员约650-700人</w:t>
      </w:r>
      <w:r>
        <w:rPr>
          <w:rFonts w:hint="eastAsia"/>
          <w:highlight w:val="none"/>
        </w:rPr>
        <w:t>，提供早、中、晚三餐</w:t>
      </w:r>
      <w:r>
        <w:rPr>
          <w:highlight w:val="none"/>
        </w:rPr>
        <w:t>食材</w:t>
      </w:r>
      <w:r>
        <w:rPr>
          <w:rFonts w:hint="eastAsia"/>
          <w:highlight w:val="none"/>
        </w:rPr>
        <w:t>。</w:t>
      </w:r>
    </w:p>
    <w:p w14:paraId="19A2E75D">
      <w:pPr>
        <w:pStyle w:val="3"/>
        <w:rPr>
          <w:highlight w:val="none"/>
        </w:rPr>
      </w:pPr>
      <w:bookmarkStart w:id="86" w:name="_Toc20205"/>
      <w:r>
        <w:rPr>
          <w:rFonts w:hint="eastAsia"/>
          <w:highlight w:val="none"/>
        </w:rPr>
        <w:t>2 项目目标</w:t>
      </w:r>
      <w:bookmarkEnd w:id="86"/>
    </w:p>
    <w:p w14:paraId="6112E801">
      <w:pPr>
        <w:pStyle w:val="3"/>
        <w:ind w:firstLine="420" w:firstLineChars="200"/>
        <w:rPr>
          <w:highlight w:val="none"/>
        </w:rPr>
      </w:pPr>
      <w:r>
        <w:rPr>
          <w:rFonts w:hint="eastAsia" w:cs="Cambria Math"/>
          <w:b w:val="0"/>
          <w:bCs w:val="0"/>
          <w:snapToGrid/>
          <w:szCs w:val="20"/>
          <w:highlight w:val="none"/>
        </w:rPr>
        <w:t>为重庆三峡银行总行员工食堂选聘全品类食材响应人，确保食材质量及安全。</w:t>
      </w:r>
    </w:p>
    <w:p w14:paraId="64C3CDE4">
      <w:pPr>
        <w:pStyle w:val="3"/>
        <w:rPr>
          <w:highlight w:val="none"/>
        </w:rPr>
      </w:pPr>
      <w:bookmarkStart w:id="87" w:name="_Toc8662"/>
      <w:r>
        <w:rPr>
          <w:rFonts w:hint="eastAsia"/>
          <w:highlight w:val="none"/>
        </w:rPr>
        <w:t>3. 项目要求</w:t>
      </w:r>
      <w:bookmarkEnd w:id="87"/>
    </w:p>
    <w:p w14:paraId="4EE2A72B">
      <w:pPr>
        <w:rPr>
          <w:highlight w:val="none"/>
        </w:rPr>
      </w:pPr>
      <w:r>
        <w:rPr>
          <w:rFonts w:hint="eastAsia"/>
          <w:highlight w:val="none"/>
        </w:rPr>
        <w:t>3.1食品类别</w:t>
      </w:r>
    </w:p>
    <w:p w14:paraId="51493D1A">
      <w:pPr>
        <w:rPr>
          <w:highlight w:val="none"/>
        </w:rPr>
      </w:pPr>
      <w:r>
        <w:rPr>
          <w:rFonts w:hint="eastAsia"/>
          <w:highlight w:val="none"/>
        </w:rPr>
        <w:t>3.1.1 配送米面粮油、肉蛋禽类、果蔬类、干副调料品及易耗品、牛奶及奶制品以及蛋糕面包类预包装食品。</w:t>
      </w:r>
    </w:p>
    <w:p w14:paraId="42DFBCCA">
      <w:pPr>
        <w:rPr>
          <w:highlight w:val="none"/>
        </w:rPr>
      </w:pPr>
      <w:r>
        <w:rPr>
          <w:rFonts w:hint="eastAsia"/>
          <w:highlight w:val="none"/>
        </w:rPr>
        <w:t>3.2 质量要求</w:t>
      </w:r>
    </w:p>
    <w:p w14:paraId="4C02F3A9">
      <w:pPr>
        <w:rPr>
          <w:highlight w:val="none"/>
        </w:rPr>
      </w:pPr>
      <w:r>
        <w:rPr>
          <w:rFonts w:hint="eastAsia"/>
          <w:highlight w:val="none"/>
        </w:rPr>
        <w:t>3.2.1 蔬菜类：成熟适度、新鲜脆嫩、外形色泽良好清洁、无影响使用的病虫害、无机械损伤，无农药残留超标，在交付前必须经过前期处理，严禁配送“坝脚菜、边角菜"等劣质和腐烂变质的蔬菜。</w:t>
      </w:r>
    </w:p>
    <w:p w14:paraId="676410B2">
      <w:pPr>
        <w:rPr>
          <w:highlight w:val="none"/>
        </w:rPr>
      </w:pPr>
      <w:r>
        <w:rPr>
          <w:rFonts w:hint="eastAsia"/>
          <w:highlight w:val="none"/>
        </w:rPr>
        <w:t>3.2.2 水果类：色泽鲜艳、形体完整，无腐烂、霉变、异味、虫蛀、寄生虫等。</w:t>
      </w:r>
    </w:p>
    <w:p w14:paraId="73C7A912">
      <w:pPr>
        <w:rPr>
          <w:highlight w:val="none"/>
        </w:rPr>
      </w:pPr>
      <w:r>
        <w:rPr>
          <w:rFonts w:hint="eastAsia"/>
          <w:highlight w:val="none"/>
        </w:rPr>
        <w:t>3.2.3 肉禽、水产、蛋类：肉质新鲜有弹性、无腐败变质、无异味寄生虫、无变异物、无淤血、毛孔清晰、无红白相间穿插性交织模糊不清状态，骨骼尺寸正常、含水量适中，符合食品安全法相关规定。</w:t>
      </w:r>
    </w:p>
    <w:p w14:paraId="3E86941B">
      <w:pPr>
        <w:rPr>
          <w:highlight w:val="none"/>
        </w:rPr>
      </w:pPr>
      <w:r>
        <w:rPr>
          <w:rFonts w:hint="eastAsia"/>
          <w:highlight w:val="none"/>
        </w:rPr>
        <w:t>3.2.3.1 家禽眼睛明亮饱满、形态完整、表皮颜色有光泽且皮肉结合紧密，肉质弹性好按之可立即恢复，表面干湿适合、肌肉有弹性、内脏干净无积血、无异味，家禽需通过防疫检疫站检测，并有相关检验检疫证明。</w:t>
      </w:r>
    </w:p>
    <w:p w14:paraId="00FE9DAF">
      <w:pPr>
        <w:rPr>
          <w:highlight w:val="none"/>
        </w:rPr>
      </w:pPr>
      <w:r>
        <w:rPr>
          <w:rFonts w:hint="eastAsia"/>
          <w:highlight w:val="none"/>
        </w:rPr>
        <w:t>3.2.3.2 鱼类鱼鳃鲜红、鱼鳞完整、鱼眼睛光亮透明。</w:t>
      </w:r>
    </w:p>
    <w:p w14:paraId="7B69CA39">
      <w:pPr>
        <w:rPr>
          <w:highlight w:val="none"/>
        </w:rPr>
      </w:pPr>
      <w:r>
        <w:rPr>
          <w:rFonts w:hint="eastAsia"/>
          <w:highlight w:val="none"/>
        </w:rPr>
        <w:t>3.2.3.3 猪肉应为生猪定点屠宰企业提供的具有“动物检疫合格证明”和“肉品品质检验合格证” 的新鲜肉，同时应符合《猪肉等级规格》 NY/T1759-2009 规定。猪肉非白条检验合格票随货同行，货票一致。</w:t>
      </w:r>
    </w:p>
    <w:p w14:paraId="51F69756">
      <w:pPr>
        <w:rPr>
          <w:highlight w:val="none"/>
        </w:rPr>
      </w:pPr>
      <w:r>
        <w:rPr>
          <w:rFonts w:hint="eastAsia"/>
          <w:highlight w:val="none"/>
        </w:rPr>
        <w:t>严禁配送来源不明、腐烂变质、感官异常、未按规定进行检疫或检验检疫不合格的禽、畜、肉。</w:t>
      </w:r>
    </w:p>
    <w:p w14:paraId="120E42DC">
      <w:pPr>
        <w:rPr>
          <w:highlight w:val="none"/>
        </w:rPr>
      </w:pPr>
    </w:p>
    <w:p w14:paraId="157B59EB">
      <w:pPr>
        <w:rPr>
          <w:highlight w:val="none"/>
        </w:rPr>
      </w:pPr>
      <w:r>
        <w:rPr>
          <w:rFonts w:hint="eastAsia"/>
          <w:highlight w:val="none"/>
        </w:rPr>
        <w:t>3.2.3.4 禽蛋表皮略粗、有光泽、在光线下呈透明状，蛋黄完整不下沉、蛋清透明，用手摇晃没有声音，放入水中下沉。</w:t>
      </w:r>
    </w:p>
    <w:p w14:paraId="104F7F79">
      <w:pPr>
        <w:rPr>
          <w:highlight w:val="none"/>
        </w:rPr>
      </w:pPr>
      <w:r>
        <w:rPr>
          <w:rFonts w:hint="eastAsia"/>
          <w:highlight w:val="none"/>
        </w:rPr>
        <w:t>3.2.4 米面油：必须为预包装产品，且符合国家有关标准。</w:t>
      </w:r>
    </w:p>
    <w:p w14:paraId="1C74F268">
      <w:pPr>
        <w:rPr>
          <w:highlight w:val="none"/>
        </w:rPr>
      </w:pPr>
      <w:r>
        <w:rPr>
          <w:rFonts w:hint="eastAsia"/>
          <w:highlight w:val="none"/>
        </w:rPr>
        <w:t>食堂用大宗米面油推荐以下品牌或同等品质及其以上品牌：</w:t>
      </w:r>
    </w:p>
    <w:p w14:paraId="42D7D538">
      <w:pPr>
        <w:rPr>
          <w:highlight w:val="none"/>
        </w:rPr>
      </w:pPr>
      <w:r>
        <w:rPr>
          <w:rFonts w:hint="eastAsia"/>
          <w:highlight w:val="none"/>
        </w:rPr>
        <w:t>大米：人和、金龙鱼、五丰、福临门、元宝</w:t>
      </w:r>
    </w:p>
    <w:p w14:paraId="05669488">
      <w:pPr>
        <w:rPr>
          <w:highlight w:val="none"/>
        </w:rPr>
      </w:pPr>
      <w:r>
        <w:rPr>
          <w:rFonts w:hint="eastAsia"/>
          <w:highlight w:val="none"/>
        </w:rPr>
        <w:t>面粉：卫丰、香雪、五得利、香满园</w:t>
      </w:r>
    </w:p>
    <w:p w14:paraId="37148C2A">
      <w:pPr>
        <w:rPr>
          <w:highlight w:val="none"/>
        </w:rPr>
      </w:pPr>
      <w:r>
        <w:rPr>
          <w:rFonts w:hint="eastAsia"/>
          <w:highlight w:val="none"/>
        </w:rPr>
        <w:t>食用油（非转基因）：金龙鱼、红蜻蜓、福临门、西王、长寿花、鲁花</w:t>
      </w:r>
    </w:p>
    <w:p w14:paraId="26769614">
      <w:pPr>
        <w:rPr>
          <w:highlight w:val="none"/>
        </w:rPr>
      </w:pPr>
      <w:r>
        <w:rPr>
          <w:rFonts w:hint="eastAsia"/>
          <w:highlight w:val="none"/>
        </w:rPr>
        <w:t>3.2.5 大米：非转基因必须符合《大米》GB/T1354-2018大米质量标准二级及以上标准，随货附有同批次出厂检测报告和第三方外检报告。</w:t>
      </w:r>
    </w:p>
    <w:p w14:paraId="5825B803">
      <w:pPr>
        <w:rPr>
          <w:highlight w:val="none"/>
        </w:rPr>
      </w:pPr>
      <w:r>
        <w:rPr>
          <w:rFonts w:hint="eastAsia"/>
          <w:highlight w:val="none"/>
        </w:rPr>
        <w:t>3.2.6 面粉：符合《小麦粉》GB/T1355-2021标准相关要求，随货附有同批次出厂检测报告和第三方外检报告。</w:t>
      </w:r>
    </w:p>
    <w:p w14:paraId="2D222FCA">
      <w:pPr>
        <w:rPr>
          <w:highlight w:val="none"/>
        </w:rPr>
      </w:pPr>
      <w:r>
        <w:rPr>
          <w:rFonts w:hint="eastAsia"/>
          <w:highlight w:val="none"/>
        </w:rPr>
        <w:t>3.2.7 食用油：符合有关要求的一、三级非转基因物理压榨标准，根据供餐规模和采购人要求选择适宜规格的预包装食用油配送，严禁配送散装食用油，随货附有同批次出厂检测报告和第三方外检报告。</w:t>
      </w:r>
    </w:p>
    <w:p w14:paraId="2B4988A5">
      <w:pPr>
        <w:rPr>
          <w:highlight w:val="none"/>
        </w:rPr>
      </w:pPr>
      <w:r>
        <w:rPr>
          <w:rFonts w:hint="eastAsia"/>
          <w:highlight w:val="none"/>
        </w:rPr>
        <w:t>3.2.8 米面制品：具有该品种应有的形态，外形完整，组织结构均匀；具有该品种应有的色泽；具有该品种应有的滋味和气味，无异味；外表及内部均无肉眼可见杂质，检验合格并有相对应的检验报告。</w:t>
      </w:r>
    </w:p>
    <w:p w14:paraId="68C36026">
      <w:pPr>
        <w:rPr>
          <w:highlight w:val="none"/>
        </w:rPr>
      </w:pPr>
      <w:r>
        <w:rPr>
          <w:rFonts w:hint="eastAsia"/>
          <w:highlight w:val="none"/>
        </w:rPr>
        <w:t>3.2.9 干副调料：物资干燥、无杂质、无霉变、无硫磺的刺激性气味。应配送具有合法资质响应人提供的检验合格且感官正常的干副品。应配送获证企业生产的干副调料，不得配送食品加工小作坊生产的或三无干副调料。干副调料包装上应有明确的生产厂家、生产、日期、保质期等标识，送货日至保质期到期日的天数必须大于保质期天数的三分之二；包装材料应符合食品安全相关、无毒无害。随货附有同批次产品出厂检验合格报告或合格证明文件。</w:t>
      </w:r>
    </w:p>
    <w:p w14:paraId="483085F7">
      <w:pPr>
        <w:rPr>
          <w:highlight w:val="none"/>
        </w:rPr>
      </w:pPr>
      <w:r>
        <w:rPr>
          <w:rFonts w:hint="eastAsia"/>
          <w:highlight w:val="none"/>
        </w:rPr>
        <w:t>3.2.10 牛奶、奶制品、蛋糕、面包、矿泉水等预包装食品：按照采购人的要求配送品牌生产商生产的</w:t>
      </w:r>
      <w:r>
        <w:rPr>
          <w:highlight w:val="none"/>
        </w:rPr>
        <w:t>奶制品</w:t>
      </w:r>
      <w:r>
        <w:rPr>
          <w:rFonts w:hint="eastAsia"/>
          <w:highlight w:val="none"/>
        </w:rPr>
        <w:t>（天友、蒙牛、伊利、奶牛梦工厂等）、饮料及其他预包装食品。包装上有明确清晰规范的各类标识；物品完好、包装完整、无挤压、无破损、无异味、无任何表面附着物和衍生物；内容物内无异物、霉变等现象，符合相关食品安全及质量要求。</w:t>
      </w:r>
      <w:r>
        <w:rPr>
          <w:highlight w:val="none"/>
        </w:rPr>
        <w:t>21天以上保质期的</w:t>
      </w:r>
      <w:r>
        <w:rPr>
          <w:rFonts w:hint="eastAsia"/>
          <w:highlight w:val="none"/>
        </w:rPr>
        <w:t>食品送货日至保质期到期日的天数必须大于保质期天数的</w:t>
      </w:r>
      <w:r>
        <w:rPr>
          <w:highlight w:val="none"/>
        </w:rPr>
        <w:t>80%</w:t>
      </w:r>
      <w:r>
        <w:rPr>
          <w:rFonts w:hint="eastAsia"/>
          <w:highlight w:val="none"/>
        </w:rPr>
        <w:t>；</w:t>
      </w:r>
      <w:r>
        <w:rPr>
          <w:highlight w:val="none"/>
        </w:rPr>
        <w:t>7天以内保质期的食品</w:t>
      </w:r>
      <w:r>
        <w:rPr>
          <w:rFonts w:hint="eastAsia"/>
          <w:highlight w:val="none"/>
        </w:rPr>
        <w:t>面包</w:t>
      </w:r>
      <w:r>
        <w:rPr>
          <w:highlight w:val="none"/>
        </w:rPr>
        <w:t>鲜奶</w:t>
      </w:r>
      <w:r>
        <w:rPr>
          <w:rFonts w:hint="eastAsia"/>
          <w:highlight w:val="none"/>
        </w:rPr>
        <w:t>等鲜食品必须为当日货，余货退还。随货附有同批次产品岀厂检验合格报告或合格证明文件。</w:t>
      </w:r>
    </w:p>
    <w:p w14:paraId="3860A8C9">
      <w:pPr>
        <w:rPr>
          <w:rFonts w:cs="微软雅黑"/>
          <w:bCs/>
          <w:snapToGrid w:val="0"/>
          <w:highlight w:val="none"/>
        </w:rPr>
      </w:pPr>
      <w:bookmarkStart w:id="88" w:name="_Toc76387238"/>
      <w:bookmarkStart w:id="89" w:name="_Toc29432"/>
      <w:bookmarkStart w:id="90" w:name="_Toc267320049"/>
      <w:bookmarkStart w:id="91" w:name="_Toc25803"/>
      <w:bookmarkStart w:id="92" w:name="_Toc27827"/>
      <w:bookmarkStart w:id="93" w:name="_Toc703"/>
      <w:bookmarkStart w:id="94" w:name="_Toc74727658"/>
      <w:r>
        <w:rPr>
          <w:rFonts w:hint="eastAsia" w:cs="微软雅黑"/>
          <w:bCs/>
          <w:snapToGrid w:val="0"/>
          <w:highlight w:val="none"/>
        </w:rPr>
        <w:t>3.3 服务期、服务地点</w:t>
      </w:r>
      <w:bookmarkEnd w:id="88"/>
      <w:bookmarkEnd w:id="89"/>
      <w:bookmarkEnd w:id="90"/>
      <w:bookmarkEnd w:id="91"/>
      <w:bookmarkEnd w:id="92"/>
    </w:p>
    <w:p w14:paraId="3137A4EE">
      <w:pPr>
        <w:rPr>
          <w:rFonts w:cs="Times New Roman"/>
          <w:bCs/>
          <w:snapToGrid w:val="0"/>
          <w:highlight w:val="none"/>
        </w:rPr>
      </w:pPr>
      <w:r>
        <w:rPr>
          <w:rFonts w:hint="eastAsia" w:cs="Times New Roman"/>
          <w:bCs/>
          <w:snapToGrid w:val="0"/>
          <w:highlight w:val="none"/>
        </w:rPr>
        <w:t>3.3.1 服务期：本项目总服务期</w:t>
      </w:r>
      <w:r>
        <w:rPr>
          <w:rFonts w:cs="Times New Roman"/>
          <w:bCs/>
          <w:snapToGrid w:val="0"/>
          <w:highlight w:val="none"/>
        </w:rPr>
        <w:t>3</w:t>
      </w:r>
      <w:r>
        <w:rPr>
          <w:rFonts w:hint="eastAsia" w:cs="Times New Roman"/>
          <w:bCs/>
          <w:snapToGrid w:val="0"/>
          <w:highlight w:val="none"/>
        </w:rPr>
        <w:t>年</w:t>
      </w:r>
      <w:r>
        <w:rPr>
          <w:rFonts w:cs="Times New Roman"/>
          <w:bCs/>
          <w:snapToGrid w:val="0"/>
          <w:highlight w:val="none"/>
        </w:rPr>
        <w:t>，合同1年1签</w:t>
      </w:r>
      <w:r>
        <w:rPr>
          <w:rFonts w:hint="eastAsia" w:cs="Times New Roman"/>
          <w:bCs/>
          <w:snapToGrid w:val="0"/>
          <w:highlight w:val="none"/>
        </w:rPr>
        <w:t>。根据</w:t>
      </w:r>
      <w:r>
        <w:rPr>
          <w:rFonts w:cs="Times New Roman"/>
          <w:bCs/>
          <w:snapToGrid w:val="0"/>
          <w:highlight w:val="none"/>
        </w:rPr>
        <w:t>采购人</w:t>
      </w:r>
      <w:r>
        <w:rPr>
          <w:rFonts w:hint="eastAsia" w:cs="Times New Roman"/>
          <w:bCs/>
          <w:snapToGrid w:val="0"/>
          <w:highlight w:val="none"/>
        </w:rPr>
        <w:t>规定进行不定期考核，考核原则在合同中约定，考核不合格，采购人有权终止履行合同。具体供货的食品类别由采购人确定，采购人有权根据考核情况调整响应人的供货类别和周期。响应人在</w:t>
      </w:r>
      <w:r>
        <w:rPr>
          <w:rFonts w:cs="Times New Roman"/>
          <w:bCs/>
          <w:snapToGrid w:val="0"/>
          <w:highlight w:val="none"/>
        </w:rPr>
        <w:t>参与询比</w:t>
      </w:r>
      <w:r>
        <w:rPr>
          <w:rFonts w:hint="eastAsia" w:cs="Times New Roman"/>
          <w:bCs/>
          <w:snapToGrid w:val="0"/>
          <w:highlight w:val="none"/>
        </w:rPr>
        <w:t>前应充分考虑此潜在风险，并承担可能因此造成的一切经济损失。</w:t>
      </w:r>
    </w:p>
    <w:p w14:paraId="3B5367AC">
      <w:pPr>
        <w:rPr>
          <w:rFonts w:cs="Times New Roman"/>
          <w:bCs/>
          <w:snapToGrid w:val="0"/>
          <w:highlight w:val="none"/>
        </w:rPr>
      </w:pPr>
      <w:r>
        <w:rPr>
          <w:rFonts w:hint="eastAsia" w:cs="Times New Roman"/>
          <w:bCs/>
          <w:snapToGrid w:val="0"/>
          <w:highlight w:val="none"/>
        </w:rPr>
        <w:t>3.3.2 服务地点：采购人指定的地点。</w:t>
      </w:r>
    </w:p>
    <w:p w14:paraId="59F5CC08">
      <w:pPr>
        <w:rPr>
          <w:rFonts w:cs="Times New Roman"/>
          <w:bCs/>
          <w:snapToGrid w:val="0"/>
          <w:highlight w:val="none"/>
        </w:rPr>
      </w:pPr>
      <w:r>
        <w:rPr>
          <w:rFonts w:hint="eastAsia" w:cs="Times New Roman"/>
          <w:bCs/>
          <w:snapToGrid w:val="0"/>
          <w:highlight w:val="none"/>
        </w:rPr>
        <w:t>3.3.3 响应人应结合采购人需求，开展节日主题活动、员工生日活动等增值服务，活动费用由响应人承担。</w:t>
      </w:r>
    </w:p>
    <w:p w14:paraId="5E49CFB9">
      <w:pPr>
        <w:rPr>
          <w:rFonts w:cs="Times New Roman"/>
          <w:bCs/>
          <w:snapToGrid w:val="0"/>
          <w:highlight w:val="none"/>
        </w:rPr>
      </w:pPr>
      <w:r>
        <w:rPr>
          <w:rFonts w:hint="eastAsia" w:cs="Times New Roman"/>
          <w:bCs/>
          <w:snapToGrid w:val="0"/>
          <w:highlight w:val="none"/>
        </w:rPr>
        <w:t>3.4 验收标准及验收方式</w:t>
      </w:r>
    </w:p>
    <w:p w14:paraId="09656847">
      <w:pPr>
        <w:rPr>
          <w:rFonts w:cs="Times New Roman"/>
          <w:bCs/>
          <w:snapToGrid w:val="0"/>
          <w:highlight w:val="none"/>
        </w:rPr>
      </w:pPr>
      <w:r>
        <w:rPr>
          <w:rFonts w:hint="eastAsia" w:cs="Times New Roman"/>
          <w:bCs/>
          <w:snapToGrid w:val="0"/>
          <w:highlight w:val="none"/>
        </w:rPr>
        <w:t>3.4.1 验收标准：响应人配送物资必须符合食品安全相关法规，米、面、油、干副等干燥袋装食材无杂质、无霉变、无硫磺等刺激性气味，包装完整，生产日期、保质期、生产厂家和食品生产许可证SC标识齐全明晰；肉禽类食材需提供合法屠宰加工检验证明、检验检疫证明；蔬菜类食材需提供当日产品快速检测检验合格报告。</w:t>
      </w:r>
    </w:p>
    <w:p w14:paraId="47314DCC">
      <w:pPr>
        <w:rPr>
          <w:rFonts w:ascii="宋体" w:cs="宋体"/>
          <w:szCs w:val="21"/>
          <w:highlight w:val="none"/>
        </w:rPr>
      </w:pPr>
      <w:r>
        <w:rPr>
          <w:rFonts w:hint="eastAsia" w:cs="Times New Roman"/>
          <w:bCs/>
          <w:snapToGrid w:val="0"/>
          <w:highlight w:val="none"/>
        </w:rPr>
        <w:t>3.4.2 验收方式：</w:t>
      </w:r>
      <w:r>
        <w:rPr>
          <w:rFonts w:ascii="宋体" w:cs="宋体"/>
          <w:szCs w:val="21"/>
          <w:highlight w:val="none"/>
        </w:rPr>
        <w:t>响应</w:t>
      </w:r>
      <w:r>
        <w:rPr>
          <w:rFonts w:hint="eastAsia" w:ascii="宋体" w:cs="宋体"/>
          <w:szCs w:val="21"/>
          <w:highlight w:val="none"/>
        </w:rPr>
        <w:t>人为</w:t>
      </w:r>
      <w:r>
        <w:rPr>
          <w:rFonts w:ascii="宋体" w:cs="宋体"/>
          <w:szCs w:val="21"/>
          <w:highlight w:val="none"/>
        </w:rPr>
        <w:t>采购</w:t>
      </w:r>
      <w:r>
        <w:rPr>
          <w:rFonts w:hint="eastAsia" w:ascii="宋体" w:cs="宋体"/>
          <w:szCs w:val="21"/>
          <w:highlight w:val="none"/>
        </w:rPr>
        <w:t>人提供专业的配送服务，在收到</w:t>
      </w:r>
      <w:r>
        <w:rPr>
          <w:rFonts w:ascii="宋体" w:cs="宋体"/>
          <w:szCs w:val="21"/>
          <w:highlight w:val="none"/>
        </w:rPr>
        <w:t>采购</w:t>
      </w:r>
      <w:r>
        <w:rPr>
          <w:rFonts w:hint="eastAsia" w:ascii="宋体" w:cs="宋体"/>
          <w:szCs w:val="21"/>
          <w:highlight w:val="none"/>
        </w:rPr>
        <w:t>人订单的次日，在规定时间之内完成供货</w:t>
      </w:r>
      <w:r>
        <w:rPr>
          <w:rFonts w:ascii="宋体" w:cs="宋体"/>
          <w:szCs w:val="21"/>
          <w:highlight w:val="none"/>
        </w:rPr>
        <w:t>。</w:t>
      </w:r>
    </w:p>
    <w:p w14:paraId="2B3A2A00">
      <w:pPr>
        <w:rPr>
          <w:rFonts w:cs="Times New Roman"/>
          <w:bCs/>
          <w:snapToGrid w:val="0"/>
          <w:highlight w:val="none"/>
        </w:rPr>
      </w:pPr>
      <w:r>
        <w:rPr>
          <w:rFonts w:hint="eastAsia" w:cs="Times New Roman"/>
          <w:bCs/>
          <w:snapToGrid w:val="0"/>
          <w:highlight w:val="none"/>
        </w:rPr>
        <w:t xml:space="preserve">3.4.2.1 </w:t>
      </w:r>
      <w:r>
        <w:rPr>
          <w:rFonts w:ascii="宋体" w:cs="宋体"/>
          <w:szCs w:val="21"/>
          <w:highlight w:val="none"/>
        </w:rPr>
        <w:t>响应</w:t>
      </w:r>
      <w:r>
        <w:rPr>
          <w:rFonts w:hint="eastAsia" w:ascii="宋体" w:cs="宋体"/>
          <w:szCs w:val="21"/>
          <w:highlight w:val="none"/>
        </w:rPr>
        <w:t>人将货品运送至指定地点后，</w:t>
      </w:r>
      <w:r>
        <w:rPr>
          <w:rFonts w:cs="Times New Roman"/>
          <w:bCs/>
          <w:snapToGrid w:val="0"/>
          <w:highlight w:val="none"/>
        </w:rPr>
        <w:t>响应人</w:t>
      </w:r>
      <w:r>
        <w:rPr>
          <w:rFonts w:hint="eastAsia" w:cs="Times New Roman"/>
          <w:bCs/>
          <w:snapToGrid w:val="0"/>
          <w:highlight w:val="none"/>
        </w:rPr>
        <w:t>应在采购人相关人员在场情况下当面进行感官检验、外观检验或试用检验，若产品外观、包装、质量不能达到收货标准，采购人有权拒收配送物资，响应人应无条件迅速补充合格产品，不得影响正常开餐。对符合要求的产品当场作出记录，双方签字确认。</w:t>
      </w:r>
    </w:p>
    <w:p w14:paraId="1C5F93EC">
      <w:pPr>
        <w:rPr>
          <w:rFonts w:cs="Times New Roman"/>
          <w:bCs/>
          <w:snapToGrid w:val="0"/>
          <w:highlight w:val="none"/>
        </w:rPr>
      </w:pPr>
      <w:r>
        <w:rPr>
          <w:rFonts w:hint="eastAsia" w:cs="Times New Roman"/>
          <w:bCs/>
          <w:snapToGrid w:val="0"/>
          <w:highlight w:val="none"/>
        </w:rPr>
        <w:t>3.4.2.2 提供货物未达到文件规定要求，且对采购人造成损失的，由</w:t>
      </w:r>
      <w:r>
        <w:rPr>
          <w:rFonts w:cs="Times New Roman"/>
          <w:bCs/>
          <w:snapToGrid w:val="0"/>
          <w:highlight w:val="none"/>
        </w:rPr>
        <w:t>响应人</w:t>
      </w:r>
      <w:r>
        <w:rPr>
          <w:rFonts w:hint="eastAsia" w:cs="Times New Roman"/>
          <w:bCs/>
          <w:snapToGrid w:val="0"/>
          <w:highlight w:val="none"/>
        </w:rPr>
        <w:t>承担一切责任，并赔偿所造成损失。</w:t>
      </w:r>
    </w:p>
    <w:p w14:paraId="5C0BD6D2">
      <w:pPr>
        <w:rPr>
          <w:rFonts w:cs="Times New Roman"/>
          <w:bCs/>
          <w:snapToGrid w:val="0"/>
          <w:highlight w:val="none"/>
        </w:rPr>
      </w:pPr>
      <w:r>
        <w:rPr>
          <w:rFonts w:hint="eastAsia" w:cs="Times New Roman"/>
          <w:bCs/>
          <w:snapToGrid w:val="0"/>
          <w:highlight w:val="none"/>
        </w:rPr>
        <w:t>3.4.2.3 采购人组织定期或不定期货品抽检和送检。对检验不合格产品</w:t>
      </w:r>
      <w:r>
        <w:rPr>
          <w:rFonts w:cs="Times New Roman"/>
          <w:bCs/>
          <w:snapToGrid w:val="0"/>
          <w:highlight w:val="none"/>
        </w:rPr>
        <w:t>响应人</w:t>
      </w:r>
      <w:r>
        <w:rPr>
          <w:rFonts w:hint="eastAsia" w:cs="Times New Roman"/>
          <w:bCs/>
          <w:snapToGrid w:val="0"/>
          <w:highlight w:val="none"/>
        </w:rPr>
        <w:t>无条件退、换货外，需按双方约定予以处理。</w:t>
      </w:r>
    </w:p>
    <w:p w14:paraId="49C7686F">
      <w:pPr>
        <w:rPr>
          <w:rFonts w:cs="Times New Roman"/>
          <w:bCs/>
          <w:snapToGrid w:val="0"/>
          <w:highlight w:val="none"/>
        </w:rPr>
      </w:pPr>
      <w:r>
        <w:rPr>
          <w:rFonts w:hint="eastAsia" w:cs="Times New Roman"/>
          <w:bCs/>
          <w:snapToGrid w:val="0"/>
          <w:highlight w:val="none"/>
        </w:rPr>
        <w:t>3.4.2.4 因验收货物时不能直接判断质量的，在使用过程中发现不合格商品，响应人应作退货处理。</w:t>
      </w:r>
    </w:p>
    <w:p w14:paraId="516E651B">
      <w:pPr>
        <w:rPr>
          <w:rFonts w:cs="Times New Roman"/>
          <w:bCs/>
          <w:snapToGrid w:val="0"/>
          <w:highlight w:val="none"/>
        </w:rPr>
      </w:pPr>
      <w:r>
        <w:rPr>
          <w:rFonts w:hint="eastAsia" w:cs="Times New Roman"/>
          <w:bCs/>
          <w:snapToGrid w:val="0"/>
          <w:highlight w:val="none"/>
        </w:rPr>
        <w:t>3.4.2.5 凡按重量计量物资，均以物品净重方式计量结算。</w:t>
      </w:r>
      <w:r>
        <w:rPr>
          <w:rFonts w:hint="eastAsia" w:ascii="宋体" w:cs="宋体"/>
          <w:szCs w:val="21"/>
          <w:highlight w:val="none"/>
        </w:rPr>
        <w:t>当货品数量不足订货量的90%时，</w:t>
      </w:r>
      <w:r>
        <w:rPr>
          <w:rFonts w:ascii="宋体" w:cs="宋体"/>
          <w:szCs w:val="21"/>
          <w:highlight w:val="none"/>
        </w:rPr>
        <w:t>采购</w:t>
      </w:r>
      <w:r>
        <w:rPr>
          <w:rFonts w:hint="eastAsia" w:ascii="宋体" w:cs="宋体"/>
          <w:szCs w:val="21"/>
          <w:highlight w:val="none"/>
        </w:rPr>
        <w:t>人有权要求</w:t>
      </w:r>
      <w:r>
        <w:rPr>
          <w:rFonts w:ascii="宋体" w:cs="宋体"/>
          <w:szCs w:val="21"/>
          <w:highlight w:val="none"/>
        </w:rPr>
        <w:t>响应</w:t>
      </w:r>
      <w:r>
        <w:rPr>
          <w:rFonts w:hint="eastAsia" w:ascii="宋体" w:cs="宋体"/>
          <w:szCs w:val="21"/>
          <w:highlight w:val="none"/>
        </w:rPr>
        <w:t>人立即补足货品。对于临时需求，能在2小时内配送到位。</w:t>
      </w:r>
    </w:p>
    <w:p w14:paraId="19D4E50D">
      <w:pPr>
        <w:rPr>
          <w:rFonts w:cs="微软雅黑"/>
          <w:bCs/>
          <w:snapToGrid w:val="0"/>
          <w:highlight w:val="none"/>
        </w:rPr>
      </w:pPr>
      <w:bookmarkStart w:id="95" w:name="_Toc20874"/>
      <w:bookmarkStart w:id="96" w:name="_Toc26802"/>
      <w:bookmarkStart w:id="97" w:name="_Toc23685"/>
      <w:bookmarkStart w:id="98" w:name="_Toc19731"/>
      <w:bookmarkStart w:id="99" w:name="_Toc76387241"/>
      <w:bookmarkStart w:id="100" w:name="_Toc267320054"/>
      <w:r>
        <w:rPr>
          <w:rFonts w:hint="eastAsia" w:cs="微软雅黑"/>
          <w:bCs/>
          <w:snapToGrid w:val="0"/>
          <w:highlight w:val="none"/>
        </w:rPr>
        <w:t>3.5 入围后供应商选择</w:t>
      </w:r>
    </w:p>
    <w:p w14:paraId="354FEA43">
      <w:pPr>
        <w:rPr>
          <w:rFonts w:cs="微软雅黑"/>
          <w:bCs/>
          <w:snapToGrid w:val="0"/>
          <w:highlight w:val="none"/>
        </w:rPr>
      </w:pPr>
      <w:r>
        <w:rPr>
          <w:rFonts w:hint="eastAsia" w:cs="微软雅黑"/>
          <w:bCs/>
          <w:snapToGrid w:val="0"/>
          <w:highlight w:val="none"/>
        </w:rPr>
        <w:t>3.5.1 本项目为食材供应商入围，入围后与采购人签订框架协议。</w:t>
      </w:r>
    </w:p>
    <w:p w14:paraId="4DB604D8">
      <w:pPr>
        <w:rPr>
          <w:rFonts w:cs="微软雅黑"/>
          <w:bCs/>
          <w:snapToGrid w:val="0"/>
          <w:highlight w:val="none"/>
        </w:rPr>
      </w:pPr>
      <w:r>
        <w:rPr>
          <w:rFonts w:hint="eastAsia" w:cs="微软雅黑"/>
          <w:bCs/>
          <w:snapToGrid w:val="0"/>
          <w:highlight w:val="none"/>
        </w:rPr>
        <w:t>3.5.2 采购人不对配送的具体数量作承诺。</w:t>
      </w:r>
    </w:p>
    <w:p w14:paraId="740B5218">
      <w:pPr>
        <w:rPr>
          <w:rFonts w:cs="微软雅黑"/>
          <w:bCs/>
          <w:snapToGrid w:val="0"/>
          <w:highlight w:val="none"/>
        </w:rPr>
      </w:pPr>
      <w:r>
        <w:rPr>
          <w:rFonts w:hint="eastAsia" w:cs="微软雅黑"/>
          <w:bCs/>
          <w:snapToGrid w:val="0"/>
          <w:highlight w:val="none"/>
        </w:rPr>
        <w:t>3.5.3 入围后的具体选取方式、配送规则按照采购人的要求执行。</w:t>
      </w:r>
    </w:p>
    <w:p w14:paraId="5CAFDC58">
      <w:pPr>
        <w:rPr>
          <w:rFonts w:cs="微软雅黑"/>
          <w:bCs/>
          <w:snapToGrid w:val="0"/>
          <w:highlight w:val="none"/>
        </w:rPr>
      </w:pPr>
      <w:r>
        <w:rPr>
          <w:rFonts w:hint="eastAsia" w:cs="微软雅黑"/>
          <w:bCs/>
          <w:snapToGrid w:val="0"/>
          <w:highlight w:val="none"/>
        </w:rPr>
        <w:t>3.5.4 履约保证金</w:t>
      </w:r>
      <w:bookmarkEnd w:id="95"/>
      <w:bookmarkEnd w:id="96"/>
      <w:bookmarkEnd w:id="97"/>
    </w:p>
    <w:p w14:paraId="28F290FD">
      <w:pPr>
        <w:rPr>
          <w:rFonts w:cs="Times New Roman"/>
          <w:bCs/>
          <w:snapToGrid w:val="0"/>
          <w:highlight w:val="none"/>
        </w:rPr>
      </w:pPr>
      <w:r>
        <w:rPr>
          <w:rFonts w:hint="eastAsia" w:cs="Times New Roman"/>
          <w:bCs/>
          <w:snapToGrid w:val="0"/>
          <w:highlight w:val="none"/>
        </w:rPr>
        <w:t>3.5.4.1 履约保证金提交时间：响应人与采购人签订合同之前。</w:t>
      </w:r>
    </w:p>
    <w:p w14:paraId="1CBABE30">
      <w:pPr>
        <w:rPr>
          <w:rFonts w:cs="Times New Roman"/>
          <w:bCs/>
          <w:snapToGrid w:val="0"/>
          <w:highlight w:val="none"/>
        </w:rPr>
      </w:pPr>
      <w:r>
        <w:rPr>
          <w:rFonts w:hint="eastAsia" w:cs="Times New Roman"/>
          <w:bCs/>
          <w:snapToGrid w:val="0"/>
          <w:highlight w:val="none"/>
        </w:rPr>
        <w:t>3.5.4.2 履约保证金形式：银行保函、支票或者现金的方式缴纳，以现金或者支票形式提交的履约保证金，应当从其基本账户转出。</w:t>
      </w:r>
    </w:p>
    <w:p w14:paraId="2947FA06">
      <w:pPr>
        <w:rPr>
          <w:rFonts w:cs="Times New Roman"/>
          <w:bCs/>
          <w:snapToGrid w:val="0"/>
          <w:highlight w:val="none"/>
        </w:rPr>
      </w:pPr>
      <w:r>
        <w:rPr>
          <w:rFonts w:hint="eastAsia" w:cs="Times New Roman"/>
          <w:bCs/>
          <w:snapToGrid w:val="0"/>
          <w:highlight w:val="none"/>
        </w:rPr>
        <w:t>3.5.4.3 履约保证金金额：50000元（大写：伍万元整）。</w:t>
      </w:r>
    </w:p>
    <w:p w14:paraId="3D8DC070">
      <w:pPr>
        <w:rPr>
          <w:rFonts w:cs="Times New Roman"/>
          <w:bCs/>
          <w:snapToGrid w:val="0"/>
          <w:highlight w:val="none"/>
        </w:rPr>
      </w:pPr>
      <w:r>
        <w:rPr>
          <w:rFonts w:hint="eastAsia" w:cs="Times New Roman"/>
          <w:bCs/>
          <w:snapToGrid w:val="0"/>
          <w:highlight w:val="none"/>
        </w:rPr>
        <w:t>3.5.4.4 退还时间：响应人在履约完成并经采购人终验收合格后，采购人于五个工作日内无息退还其履约保证金。</w:t>
      </w:r>
    </w:p>
    <w:p w14:paraId="79AEAE3C">
      <w:pPr>
        <w:rPr>
          <w:rFonts w:cs="微软雅黑"/>
          <w:bCs/>
          <w:snapToGrid w:val="0"/>
          <w:highlight w:val="none"/>
        </w:rPr>
      </w:pPr>
      <w:bookmarkStart w:id="101" w:name="_Toc20586"/>
      <w:bookmarkStart w:id="102" w:name="_Toc28827"/>
      <w:bookmarkStart w:id="103" w:name="_Toc5225"/>
      <w:r>
        <w:rPr>
          <w:rFonts w:hint="eastAsia" w:cs="微软雅黑"/>
          <w:bCs/>
          <w:snapToGrid w:val="0"/>
          <w:highlight w:val="none"/>
        </w:rPr>
        <w:t>3.6 付款方式</w:t>
      </w:r>
      <w:bookmarkEnd w:id="101"/>
      <w:bookmarkEnd w:id="102"/>
      <w:bookmarkEnd w:id="103"/>
    </w:p>
    <w:p w14:paraId="457E7A73">
      <w:pPr>
        <w:rPr>
          <w:rFonts w:cs="Times New Roman"/>
          <w:bCs/>
          <w:snapToGrid w:val="0"/>
          <w:highlight w:val="none"/>
        </w:rPr>
      </w:pPr>
      <w:r>
        <w:rPr>
          <w:rFonts w:hint="eastAsia" w:cs="Times New Roman"/>
          <w:bCs/>
          <w:snapToGrid w:val="0"/>
          <w:highlight w:val="none"/>
        </w:rPr>
        <w:t>根据市场定价和采购量由采购人据实结算，以每月最后一天为结算时间点，结算及付款方式如下：</w:t>
      </w:r>
    </w:p>
    <w:p w14:paraId="6228FA04">
      <w:pPr>
        <w:rPr>
          <w:rFonts w:cs="Times New Roman"/>
          <w:bCs/>
          <w:snapToGrid w:val="0"/>
          <w:highlight w:val="none"/>
        </w:rPr>
      </w:pPr>
      <w:r>
        <w:rPr>
          <w:rFonts w:hint="eastAsia" w:cs="Times New Roman"/>
          <w:bCs/>
          <w:snapToGrid w:val="0"/>
          <w:highlight w:val="none"/>
        </w:rPr>
        <w:t>3.6.1 本项目由采购人付款；响应人按时按量将货品送到采购人指定地点，基本结算形式为先送货后付款，所有订购原料的配送清单，经双方核对无误后，按每月结算一次。</w:t>
      </w:r>
    </w:p>
    <w:p w14:paraId="31DD76DD">
      <w:pPr>
        <w:rPr>
          <w:rFonts w:cs="Times New Roman"/>
          <w:bCs/>
          <w:snapToGrid w:val="0"/>
          <w:highlight w:val="none"/>
        </w:rPr>
      </w:pPr>
      <w:r>
        <w:rPr>
          <w:rFonts w:hint="eastAsia" w:cs="Times New Roman"/>
          <w:bCs/>
          <w:snapToGrid w:val="0"/>
          <w:highlight w:val="none"/>
        </w:rPr>
        <w:t>3.6.2 响应人于合同履行次月开始，根据双方核定的上月合同金额于每月10日前开具</w:t>
      </w:r>
      <w:r>
        <w:rPr>
          <w:rFonts w:cs="Times New Roman"/>
          <w:bCs/>
          <w:snapToGrid w:val="0"/>
          <w:highlight w:val="none"/>
        </w:rPr>
        <w:t>等额的增值税专票</w:t>
      </w:r>
      <w:r>
        <w:rPr>
          <w:rFonts w:hint="eastAsia" w:cs="Times New Roman"/>
          <w:bCs/>
          <w:snapToGrid w:val="0"/>
          <w:highlight w:val="none"/>
        </w:rPr>
        <w:t>、</w:t>
      </w:r>
      <w:r>
        <w:rPr>
          <w:rFonts w:cs="Times New Roman"/>
          <w:bCs/>
          <w:snapToGrid w:val="0"/>
          <w:highlight w:val="none"/>
        </w:rPr>
        <w:t>付款申请等必要材料</w:t>
      </w:r>
      <w:r>
        <w:rPr>
          <w:rFonts w:hint="eastAsia" w:cs="Times New Roman"/>
          <w:bCs/>
          <w:snapToGrid w:val="0"/>
          <w:highlight w:val="none"/>
        </w:rPr>
        <w:t>向采购人申请付款；</w:t>
      </w:r>
    </w:p>
    <w:p w14:paraId="6FE68A81">
      <w:pPr>
        <w:rPr>
          <w:rFonts w:cs="Times New Roman"/>
          <w:bCs/>
          <w:snapToGrid w:val="0"/>
          <w:highlight w:val="none"/>
        </w:rPr>
      </w:pPr>
      <w:r>
        <w:rPr>
          <w:rFonts w:hint="eastAsia" w:cs="Times New Roman"/>
          <w:bCs/>
          <w:snapToGrid w:val="0"/>
          <w:highlight w:val="none"/>
        </w:rPr>
        <w:t>3.6.3 采购人对响应人提供的付款资料审核通过后十个工作日内，以转账方式向响应人支付上月采购货款；</w:t>
      </w:r>
    </w:p>
    <w:p w14:paraId="010436E2">
      <w:pPr>
        <w:rPr>
          <w:rFonts w:cs="Times New Roman"/>
          <w:bCs/>
          <w:snapToGrid w:val="0"/>
          <w:highlight w:val="none"/>
        </w:rPr>
      </w:pPr>
      <w:bookmarkStart w:id="104" w:name="_Toc4600"/>
      <w:bookmarkStart w:id="105" w:name="_Toc7405"/>
      <w:bookmarkStart w:id="106" w:name="_Toc31959"/>
      <w:r>
        <w:rPr>
          <w:rFonts w:hint="eastAsia" w:cs="Times New Roman"/>
          <w:bCs/>
          <w:snapToGrid w:val="0"/>
          <w:highlight w:val="none"/>
        </w:rPr>
        <w:t>3.6.4 货款结算均以人民币（元）为单位。</w:t>
      </w:r>
      <w:bookmarkEnd w:id="104"/>
      <w:bookmarkEnd w:id="105"/>
      <w:bookmarkEnd w:id="106"/>
    </w:p>
    <w:bookmarkEnd w:id="98"/>
    <w:bookmarkEnd w:id="99"/>
    <w:bookmarkEnd w:id="100"/>
    <w:p w14:paraId="39D33F10">
      <w:pPr>
        <w:rPr>
          <w:rFonts w:cs="微软雅黑"/>
          <w:bCs/>
          <w:snapToGrid w:val="0"/>
          <w:highlight w:val="none"/>
        </w:rPr>
      </w:pPr>
      <w:bookmarkStart w:id="107" w:name="_Toc6532"/>
      <w:bookmarkStart w:id="108" w:name="_Toc30199"/>
      <w:r>
        <w:rPr>
          <w:rFonts w:hint="eastAsia" w:cs="微软雅黑"/>
          <w:bCs/>
          <w:snapToGrid w:val="0"/>
          <w:highlight w:val="none"/>
        </w:rPr>
        <w:t>3.7 质量保证及售后服务</w:t>
      </w:r>
      <w:bookmarkEnd w:id="107"/>
      <w:bookmarkEnd w:id="108"/>
    </w:p>
    <w:p w14:paraId="6CF0BB0F">
      <w:pPr>
        <w:rPr>
          <w:rFonts w:cs="Times New Roman"/>
          <w:bCs/>
          <w:snapToGrid w:val="0"/>
          <w:highlight w:val="none"/>
        </w:rPr>
      </w:pPr>
      <w:r>
        <w:rPr>
          <w:rFonts w:hint="eastAsia" w:cs="Times New Roman"/>
          <w:bCs/>
          <w:snapToGrid w:val="0"/>
          <w:highlight w:val="none"/>
        </w:rPr>
        <w:t>3.7.1 货物验收中不合格产品，响应人应按照采购人规定时间内调换，以不影响采购人食堂正常供餐工作。由于响应人拖沓造成采购人利益受损的，采购人有权要求响应人赔偿。同时按单次处以响应人每次1000元罚款；达到3次及以上的，处以响应人每次5000元罚款，以上罚款均在供货结算款内扣除。达到3次及以上的，采购人有权解除合同且不再进入下一轮次签约，不退还履约保证金。</w:t>
      </w:r>
    </w:p>
    <w:p w14:paraId="2B6EBE92">
      <w:pPr>
        <w:rPr>
          <w:rFonts w:cs="Times New Roman"/>
          <w:bCs/>
          <w:snapToGrid w:val="0"/>
          <w:highlight w:val="none"/>
        </w:rPr>
      </w:pPr>
      <w:r>
        <w:rPr>
          <w:rFonts w:hint="eastAsia" w:cs="Times New Roman"/>
          <w:bCs/>
          <w:snapToGrid w:val="0"/>
          <w:highlight w:val="none"/>
        </w:rPr>
        <w:t>3.7.2 在服务期内，响应人所供物资出现任何质量问题，响应人应在1小时内到达现场，并免费进行更换，针对情况进行处理直至采购人满意为止。</w:t>
      </w:r>
    </w:p>
    <w:p w14:paraId="408B3CA8">
      <w:pPr>
        <w:rPr>
          <w:rFonts w:cs="Times New Roman"/>
          <w:bCs/>
          <w:snapToGrid w:val="0"/>
          <w:highlight w:val="none"/>
        </w:rPr>
      </w:pPr>
      <w:r>
        <w:rPr>
          <w:rFonts w:hint="eastAsia" w:cs="Times New Roman"/>
          <w:bCs/>
          <w:snapToGrid w:val="0"/>
          <w:highlight w:val="none"/>
        </w:rPr>
        <w:t>3.7.3 对于滞销或低于总保质期三分之二的货品，采购人有权要求退换物资，响应人承诺按采购人要求时间及时退换。</w:t>
      </w:r>
    </w:p>
    <w:p w14:paraId="23A50147">
      <w:pPr>
        <w:rPr>
          <w:rFonts w:cs="Times New Roman"/>
          <w:bCs/>
          <w:snapToGrid w:val="0"/>
          <w:highlight w:val="none"/>
        </w:rPr>
      </w:pPr>
      <w:r>
        <w:rPr>
          <w:rFonts w:hint="eastAsia" w:cs="Times New Roman"/>
          <w:bCs/>
          <w:snapToGrid w:val="0"/>
          <w:highlight w:val="none"/>
        </w:rPr>
        <w:t>3.7.4 采购人定期或不定期对响应人所供货物进行抽检，抽检一次不合格严重警告并扣除该批货物全部资金；抽检二次不合格除扣除货物资金外还有权无条件提出解除本合同。</w:t>
      </w:r>
    </w:p>
    <w:p w14:paraId="7596D5CA">
      <w:pPr>
        <w:rPr>
          <w:rFonts w:cs="Times New Roman"/>
          <w:bCs/>
          <w:snapToGrid w:val="0"/>
          <w:highlight w:val="none"/>
        </w:rPr>
      </w:pPr>
      <w:r>
        <w:rPr>
          <w:rFonts w:hint="eastAsia" w:cs="Times New Roman"/>
          <w:bCs/>
          <w:snapToGrid w:val="0"/>
          <w:highlight w:val="none"/>
        </w:rPr>
        <w:t>3.7.5 响应人提供不合格的、假冒伪劣、过期、变质、有毒食品的，一经发现，除按采购人要求无条件退货或换货外，还将受到如下处罚：</w:t>
      </w:r>
    </w:p>
    <w:p w14:paraId="15C633BC">
      <w:pPr>
        <w:rPr>
          <w:rFonts w:cs="Times New Roman"/>
          <w:bCs/>
          <w:snapToGrid w:val="0"/>
          <w:highlight w:val="none"/>
        </w:rPr>
      </w:pPr>
      <w:r>
        <w:rPr>
          <w:rFonts w:hint="eastAsia" w:cs="Times New Roman"/>
          <w:bCs/>
          <w:snapToGrid w:val="0"/>
          <w:highlight w:val="none"/>
        </w:rPr>
        <w:t>3.7.5.1 响应人提供不合格的、以次充好、变质食品的，要求无条件退货或换货外，并处以该类供应食品当季度货款2倍的罚款，罚款由采购人在供货结算款内扣除，供货结算款不足以支付罚款的，响应人应当及时向采购人支付不足部分。</w:t>
      </w:r>
    </w:p>
    <w:p w14:paraId="5B0FC449">
      <w:pPr>
        <w:rPr>
          <w:rFonts w:cs="Times New Roman"/>
          <w:bCs/>
          <w:snapToGrid w:val="0"/>
          <w:highlight w:val="none"/>
        </w:rPr>
      </w:pPr>
      <w:r>
        <w:rPr>
          <w:rFonts w:hint="eastAsia" w:cs="Times New Roman"/>
          <w:bCs/>
          <w:snapToGrid w:val="0"/>
          <w:highlight w:val="none"/>
        </w:rPr>
        <w:t>3.7.5.2 响应人提供有毒、过期、假冒伪劣食品的，采购人有权没收响应人履约保证金并终止合同；造成事故的，响应人除须负担全部之医药费及相关赔偿费用外，同时还须承担相应的民事、行政及刑事等法律责任并放弃申诉抗辩权。</w:t>
      </w:r>
    </w:p>
    <w:p w14:paraId="1E5805DE">
      <w:pPr>
        <w:rPr>
          <w:rFonts w:cs="Times New Roman"/>
          <w:bCs/>
          <w:snapToGrid w:val="0"/>
          <w:highlight w:val="none"/>
        </w:rPr>
      </w:pPr>
      <w:r>
        <w:rPr>
          <w:rFonts w:hint="eastAsia" w:cs="Times New Roman"/>
          <w:bCs/>
          <w:snapToGrid w:val="0"/>
          <w:highlight w:val="none"/>
        </w:rPr>
        <w:t>3.7.5.3 若响应人未能按照合同要求提供每批次送货单项货物的相关检验检疫证明材料，以违约论处，按单次处以响应人每次500元罚款。</w:t>
      </w:r>
    </w:p>
    <w:p w14:paraId="002BE72E">
      <w:pPr>
        <w:rPr>
          <w:rFonts w:cs="Times New Roman"/>
          <w:bCs/>
          <w:snapToGrid w:val="0"/>
          <w:highlight w:val="none"/>
        </w:rPr>
      </w:pPr>
      <w:r>
        <w:rPr>
          <w:rFonts w:hint="eastAsia" w:cs="Times New Roman"/>
          <w:bCs/>
          <w:snapToGrid w:val="0"/>
          <w:highlight w:val="none"/>
        </w:rPr>
        <w:t>3.7.5.4 一经发现供应未按本合同货品“质量标准和要求”送货的，除全部退换货外，并处以相应罚款，严重违反合同约定的，将有权没收响应人履约保证金并终止合同；响应人承担由此造成的经济责任和法律责任。</w:t>
      </w:r>
    </w:p>
    <w:p w14:paraId="7B1981B3">
      <w:pPr>
        <w:rPr>
          <w:rFonts w:cs="Times New Roman"/>
          <w:bCs/>
          <w:snapToGrid w:val="0"/>
          <w:highlight w:val="none"/>
        </w:rPr>
      </w:pPr>
      <w:r>
        <w:rPr>
          <w:rFonts w:hint="eastAsia" w:cs="Times New Roman"/>
          <w:bCs/>
          <w:snapToGrid w:val="0"/>
          <w:highlight w:val="none"/>
        </w:rPr>
        <w:t>3.7.5.5 若采购人发现响应人所提供货物出现严重质量或数量问题，有权终止合同，并要求响应人承担由此造成的赔偿责任和违约责任，采购人有权按照合同有关约定扣除保证金。</w:t>
      </w:r>
    </w:p>
    <w:p w14:paraId="17FC32B9">
      <w:pPr>
        <w:rPr>
          <w:rFonts w:cs="Times New Roman"/>
          <w:bCs/>
          <w:snapToGrid w:val="0"/>
          <w:highlight w:val="none"/>
        </w:rPr>
      </w:pPr>
      <w:r>
        <w:rPr>
          <w:rFonts w:hint="eastAsia" w:cs="Times New Roman"/>
          <w:bCs/>
          <w:snapToGrid w:val="0"/>
          <w:highlight w:val="none"/>
        </w:rPr>
        <w:t>3.8 因采购人不具备对货品的病毒、农药残留物、添加剂等的检验检疫能力，采购人收货或使用，并不代表采购人认可货品完全符合质量要求，响应人不能以此为由要求免除其任何责任，也不能要求采购人承担责任，响应人仍应承担所供货品的质量责任。</w:t>
      </w:r>
    </w:p>
    <w:p w14:paraId="31DAA99B">
      <w:pPr>
        <w:rPr>
          <w:rFonts w:cs="Times New Roman"/>
          <w:bCs/>
          <w:snapToGrid w:val="0"/>
          <w:highlight w:val="none"/>
        </w:rPr>
      </w:pPr>
      <w:r>
        <w:rPr>
          <w:rFonts w:hint="eastAsia" w:cs="Times New Roman"/>
          <w:bCs/>
          <w:snapToGrid w:val="0"/>
          <w:highlight w:val="none"/>
        </w:rPr>
        <w:t>3.9 对于违反《食品安全法》，响应人供应食品给采购人带来伤害以及造成恶劣影响的，除承担一切经济责任外，响应人同时必须承担相关法律责任。</w:t>
      </w:r>
    </w:p>
    <w:p w14:paraId="65D6FC1A">
      <w:pPr>
        <w:rPr>
          <w:rFonts w:cs="Times New Roman"/>
          <w:bCs/>
          <w:snapToGrid w:val="0"/>
          <w:highlight w:val="none"/>
        </w:rPr>
      </w:pPr>
      <w:r>
        <w:rPr>
          <w:rFonts w:hint="eastAsia" w:cs="Times New Roman"/>
          <w:bCs/>
          <w:snapToGrid w:val="0"/>
          <w:highlight w:val="none"/>
        </w:rPr>
        <w:t>3.10 采购人和响应人在执行合同过程中发生争议的，双方应首先协商解决，协商不能达成一致意见时，均应向采购人所在地人民法院提起诉讼。</w:t>
      </w:r>
    </w:p>
    <w:bookmarkEnd w:id="93"/>
    <w:bookmarkEnd w:id="94"/>
    <w:p w14:paraId="097F16F3">
      <w:pPr>
        <w:pStyle w:val="3"/>
        <w:rPr>
          <w:highlight w:val="none"/>
        </w:rPr>
      </w:pPr>
      <w:bookmarkStart w:id="109" w:name="_Toc17390"/>
      <w:bookmarkStart w:id="110" w:name="_Toc27152"/>
      <w:bookmarkStart w:id="111" w:name="_Toc0"/>
      <w:bookmarkStart w:id="112" w:name="_Toc74727659"/>
      <w:r>
        <w:rPr>
          <w:highlight w:val="none"/>
        </w:rPr>
        <w:t xml:space="preserve">4 </w:t>
      </w:r>
      <w:r>
        <w:rPr>
          <w:rFonts w:hint="eastAsia"/>
          <w:highlight w:val="none"/>
        </w:rPr>
        <w:t>其他</w:t>
      </w:r>
      <w:bookmarkEnd w:id="109"/>
    </w:p>
    <w:p w14:paraId="2B97BC37">
      <w:pPr>
        <w:rPr>
          <w:highlight w:val="none"/>
        </w:rPr>
      </w:pPr>
      <w:r>
        <w:rPr>
          <w:rFonts w:hint="eastAsia" w:cs="微软雅黑"/>
          <w:bCs/>
          <w:snapToGrid w:val="0"/>
          <w:highlight w:val="none"/>
        </w:rPr>
        <w:t>4.1</w:t>
      </w:r>
      <w:r>
        <w:rPr>
          <w:rFonts w:hint="eastAsia"/>
          <w:highlight w:val="none"/>
        </w:rPr>
        <w:t>响应人必须在响应承诺函中对本章内容做出整体性响应和承诺，承诺内容必须达到本章及询比文件其他条款的要求。</w:t>
      </w:r>
    </w:p>
    <w:p w14:paraId="3462B9D6">
      <w:pPr>
        <w:rPr>
          <w:highlight w:val="none"/>
        </w:rPr>
      </w:pPr>
      <w:r>
        <w:rPr>
          <w:rFonts w:hint="eastAsia" w:cs="微软雅黑"/>
          <w:bCs/>
          <w:snapToGrid w:val="0"/>
          <w:highlight w:val="none"/>
        </w:rPr>
        <w:t>4.2</w:t>
      </w:r>
      <w:r>
        <w:rPr>
          <w:rFonts w:hint="eastAsia"/>
          <w:highlight w:val="none"/>
        </w:rPr>
        <w:t>响应人应根据本章内容和要求，提供对应资料，无遗漏。</w:t>
      </w:r>
    </w:p>
    <w:p w14:paraId="361B3F8C">
      <w:pPr>
        <w:rPr>
          <w:highlight w:val="none"/>
        </w:rPr>
      </w:pPr>
      <w:r>
        <w:rPr>
          <w:rFonts w:hint="eastAsia" w:cs="微软雅黑"/>
          <w:bCs/>
          <w:snapToGrid w:val="0"/>
          <w:highlight w:val="none"/>
        </w:rPr>
        <w:t>4.3</w:t>
      </w:r>
      <w:r>
        <w:rPr>
          <w:rFonts w:hint="eastAsia"/>
          <w:highlight w:val="none"/>
        </w:rPr>
        <w:t xml:space="preserve"> 其他未尽事宜由供需双方在合同中详细约定。</w:t>
      </w:r>
    </w:p>
    <w:bookmarkEnd w:id="110"/>
    <w:bookmarkEnd w:id="111"/>
    <w:bookmarkEnd w:id="112"/>
    <w:p w14:paraId="37C1D8C1">
      <w:pPr>
        <w:pStyle w:val="2"/>
        <w:rPr>
          <w:highlight w:val="none"/>
        </w:rPr>
      </w:pPr>
      <w:bookmarkStart w:id="113" w:name="_Toc29189"/>
      <w:r>
        <w:rPr>
          <w:rFonts w:hint="eastAsia"/>
          <w:highlight w:val="none"/>
        </w:rPr>
        <w:br w:type="page"/>
      </w:r>
      <w:bookmarkStart w:id="114" w:name="_Toc25916"/>
      <w:bookmarkStart w:id="115" w:name="_Toc7773"/>
      <w:bookmarkStart w:id="116" w:name="_Toc29643"/>
      <w:bookmarkStart w:id="117" w:name="_Toc16901"/>
      <w:bookmarkStart w:id="118" w:name="_Toc304"/>
      <w:bookmarkStart w:id="119" w:name="_Toc22407"/>
      <w:r>
        <w:rPr>
          <w:rFonts w:hint="eastAsia"/>
          <w:highlight w:val="none"/>
        </w:rPr>
        <w:t>第四章 评审办法（综合评估法）</w:t>
      </w:r>
      <w:bookmarkEnd w:id="114"/>
      <w:bookmarkEnd w:id="115"/>
      <w:bookmarkEnd w:id="116"/>
      <w:bookmarkEnd w:id="117"/>
      <w:bookmarkEnd w:id="118"/>
    </w:p>
    <w:p w14:paraId="47192A30">
      <w:pPr>
        <w:pStyle w:val="3"/>
        <w:rPr>
          <w:highlight w:val="none"/>
        </w:rPr>
      </w:pPr>
      <w:r>
        <w:rPr>
          <w:rFonts w:hint="eastAsia"/>
          <w:highlight w:val="none"/>
        </w:rPr>
        <w:t>评审办法前附表</w:t>
      </w:r>
    </w:p>
    <w:p w14:paraId="21BD7838">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8C1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2DBD042">
            <w:pPr>
              <w:pStyle w:val="26"/>
              <w:rPr>
                <w:highlight w:val="none"/>
              </w:rPr>
            </w:pPr>
            <w:r>
              <w:rPr>
                <w:rFonts w:hint="eastAsia"/>
                <w:highlight w:val="none"/>
              </w:rPr>
              <w:t>条款号</w:t>
            </w:r>
          </w:p>
        </w:tc>
        <w:tc>
          <w:tcPr>
            <w:tcW w:w="1482" w:type="dxa"/>
            <w:vAlign w:val="center"/>
          </w:tcPr>
          <w:p w14:paraId="0B525708">
            <w:pPr>
              <w:pStyle w:val="26"/>
              <w:rPr>
                <w:highlight w:val="none"/>
              </w:rPr>
            </w:pPr>
            <w:r>
              <w:rPr>
                <w:rFonts w:hint="eastAsia"/>
                <w:highlight w:val="none"/>
              </w:rPr>
              <w:t>评审因素</w:t>
            </w:r>
          </w:p>
        </w:tc>
        <w:tc>
          <w:tcPr>
            <w:tcW w:w="7162" w:type="dxa"/>
            <w:gridSpan w:val="3"/>
            <w:vAlign w:val="center"/>
          </w:tcPr>
          <w:p w14:paraId="69F1257E">
            <w:pPr>
              <w:pStyle w:val="26"/>
              <w:rPr>
                <w:highlight w:val="none"/>
              </w:rPr>
            </w:pPr>
            <w:r>
              <w:rPr>
                <w:rFonts w:hint="eastAsia"/>
                <w:highlight w:val="none"/>
              </w:rPr>
              <w:t>评审标准</w:t>
            </w:r>
          </w:p>
        </w:tc>
      </w:tr>
      <w:tr w14:paraId="1C85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CB27472">
            <w:pPr>
              <w:pStyle w:val="25"/>
              <w:rPr>
                <w:highlight w:val="none"/>
              </w:rPr>
            </w:pPr>
            <w:r>
              <w:rPr>
                <w:rFonts w:hint="eastAsia"/>
                <w:highlight w:val="none"/>
              </w:rPr>
              <w:t>1</w:t>
            </w:r>
          </w:p>
        </w:tc>
        <w:tc>
          <w:tcPr>
            <w:tcW w:w="1482" w:type="dxa"/>
            <w:vAlign w:val="center"/>
          </w:tcPr>
          <w:p w14:paraId="5200A0B7">
            <w:pPr>
              <w:pStyle w:val="25"/>
              <w:rPr>
                <w:highlight w:val="none"/>
              </w:rPr>
            </w:pPr>
            <w:r>
              <w:rPr>
                <w:rFonts w:hint="eastAsia"/>
                <w:highlight w:val="none"/>
              </w:rPr>
              <w:t>评审办法</w:t>
            </w:r>
          </w:p>
        </w:tc>
        <w:tc>
          <w:tcPr>
            <w:tcW w:w="7162" w:type="dxa"/>
            <w:gridSpan w:val="3"/>
            <w:vAlign w:val="center"/>
          </w:tcPr>
          <w:p w14:paraId="55236487">
            <w:pPr>
              <w:pStyle w:val="25"/>
              <w:rPr>
                <w:highlight w:val="none"/>
              </w:rPr>
            </w:pPr>
            <w:r>
              <w:rPr>
                <w:rFonts w:hint="eastAsia"/>
                <w:highlight w:val="none"/>
              </w:rPr>
              <w:t>本次评审采用综合评估法。评审委员会按照评审办法前附表第2.1 条规定的标准进行初步评审，初步评审合格的响应人评审委员会按照评审办法前附表第2.2 条规定的评分标准进行打分，按得分由高到低顺序推荐3-6名入围候选人。综合评分相等时，由评审委员会按照单个案例金额最大的原则排序。若入围单位不足3家，本项目询比失败。</w:t>
            </w:r>
          </w:p>
        </w:tc>
      </w:tr>
      <w:tr w14:paraId="2EB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1E05298">
            <w:pPr>
              <w:pStyle w:val="25"/>
              <w:rPr>
                <w:highlight w:val="none"/>
              </w:rPr>
            </w:pPr>
            <w:r>
              <w:rPr>
                <w:rFonts w:hint="eastAsia"/>
                <w:highlight w:val="none"/>
              </w:rPr>
              <w:t>2.1</w:t>
            </w:r>
          </w:p>
        </w:tc>
        <w:tc>
          <w:tcPr>
            <w:tcW w:w="1482" w:type="dxa"/>
            <w:vAlign w:val="center"/>
          </w:tcPr>
          <w:p w14:paraId="2BE3ECDC">
            <w:pPr>
              <w:pStyle w:val="25"/>
              <w:rPr>
                <w:highlight w:val="none"/>
              </w:rPr>
            </w:pPr>
            <w:r>
              <w:rPr>
                <w:rFonts w:hint="eastAsia"/>
                <w:highlight w:val="none"/>
              </w:rPr>
              <w:t>初步评审标准</w:t>
            </w:r>
          </w:p>
        </w:tc>
        <w:tc>
          <w:tcPr>
            <w:tcW w:w="7162" w:type="dxa"/>
            <w:gridSpan w:val="3"/>
            <w:vAlign w:val="center"/>
          </w:tcPr>
          <w:p w14:paraId="684767DD">
            <w:pPr>
              <w:pStyle w:val="25"/>
              <w:rPr>
                <w:highlight w:val="none"/>
              </w:rPr>
            </w:pPr>
            <w:r>
              <w:rPr>
                <w:rFonts w:hint="eastAsia"/>
                <w:highlight w:val="none"/>
              </w:rPr>
              <w:t>所有响应单位进行初步评审。初步评审内容：资格评审、形式评审、响应性评审。</w:t>
            </w:r>
          </w:p>
        </w:tc>
      </w:tr>
      <w:tr w14:paraId="6AC6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314CCDF">
            <w:pPr>
              <w:pStyle w:val="25"/>
              <w:rPr>
                <w:highlight w:val="none"/>
              </w:rPr>
            </w:pPr>
            <w:r>
              <w:rPr>
                <w:rFonts w:hint="eastAsia"/>
                <w:highlight w:val="none"/>
              </w:rPr>
              <w:t>2.1.1</w:t>
            </w:r>
          </w:p>
        </w:tc>
        <w:tc>
          <w:tcPr>
            <w:tcW w:w="1482" w:type="dxa"/>
            <w:vAlign w:val="center"/>
          </w:tcPr>
          <w:p w14:paraId="4BB796BB">
            <w:pPr>
              <w:pStyle w:val="25"/>
              <w:rPr>
                <w:highlight w:val="none"/>
              </w:rPr>
            </w:pPr>
            <w:r>
              <w:rPr>
                <w:rFonts w:hint="eastAsia"/>
                <w:highlight w:val="none"/>
              </w:rPr>
              <w:t>资格评审标准</w:t>
            </w:r>
          </w:p>
        </w:tc>
        <w:tc>
          <w:tcPr>
            <w:tcW w:w="1686" w:type="dxa"/>
            <w:gridSpan w:val="2"/>
            <w:vAlign w:val="center"/>
          </w:tcPr>
          <w:p w14:paraId="5EA68C12">
            <w:pPr>
              <w:pStyle w:val="25"/>
              <w:rPr>
                <w:highlight w:val="none"/>
              </w:rPr>
            </w:pPr>
            <w:r>
              <w:rPr>
                <w:rFonts w:hint="eastAsia"/>
                <w:highlight w:val="none"/>
              </w:rPr>
              <w:t>资格条件要求</w:t>
            </w:r>
          </w:p>
        </w:tc>
        <w:tc>
          <w:tcPr>
            <w:tcW w:w="5476" w:type="dxa"/>
            <w:vAlign w:val="center"/>
          </w:tcPr>
          <w:p w14:paraId="61F13481">
            <w:pPr>
              <w:pStyle w:val="25"/>
              <w:rPr>
                <w:highlight w:val="none"/>
              </w:rPr>
            </w:pPr>
            <w:r>
              <w:rPr>
                <w:rFonts w:hint="eastAsia"/>
                <w:highlight w:val="none"/>
              </w:rPr>
              <w:t>符合第一章“2. 响应人资格要求”规定</w:t>
            </w:r>
          </w:p>
        </w:tc>
      </w:tr>
      <w:tr w14:paraId="553F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F3F76C0">
            <w:pPr>
              <w:pStyle w:val="25"/>
              <w:rPr>
                <w:highlight w:val="none"/>
              </w:rPr>
            </w:pPr>
            <w:r>
              <w:rPr>
                <w:rFonts w:hint="eastAsia"/>
                <w:highlight w:val="none"/>
              </w:rPr>
              <w:t>2.1.2</w:t>
            </w:r>
          </w:p>
        </w:tc>
        <w:tc>
          <w:tcPr>
            <w:tcW w:w="1482" w:type="dxa"/>
            <w:vMerge w:val="restart"/>
            <w:vAlign w:val="center"/>
          </w:tcPr>
          <w:p w14:paraId="361244E5">
            <w:pPr>
              <w:pStyle w:val="25"/>
              <w:rPr>
                <w:highlight w:val="none"/>
              </w:rPr>
            </w:pPr>
            <w:r>
              <w:rPr>
                <w:rFonts w:hint="eastAsia"/>
                <w:highlight w:val="none"/>
              </w:rPr>
              <w:t>形式评审标准</w:t>
            </w:r>
          </w:p>
        </w:tc>
        <w:tc>
          <w:tcPr>
            <w:tcW w:w="1686" w:type="dxa"/>
            <w:gridSpan w:val="2"/>
            <w:vAlign w:val="center"/>
          </w:tcPr>
          <w:p w14:paraId="2FED0BCF">
            <w:pPr>
              <w:pStyle w:val="25"/>
              <w:rPr>
                <w:highlight w:val="none"/>
              </w:rPr>
            </w:pPr>
            <w:r>
              <w:rPr>
                <w:rFonts w:hint="eastAsia"/>
                <w:highlight w:val="none"/>
              </w:rPr>
              <w:t>响应人名称</w:t>
            </w:r>
          </w:p>
        </w:tc>
        <w:tc>
          <w:tcPr>
            <w:tcW w:w="5476" w:type="dxa"/>
            <w:vAlign w:val="center"/>
          </w:tcPr>
          <w:p w14:paraId="74AA8AB9">
            <w:pPr>
              <w:pStyle w:val="25"/>
              <w:rPr>
                <w:highlight w:val="none"/>
              </w:rPr>
            </w:pPr>
            <w:r>
              <w:rPr>
                <w:rFonts w:hint="eastAsia"/>
                <w:highlight w:val="none"/>
              </w:rPr>
              <w:t>与营业执照、资格证明材料一致</w:t>
            </w:r>
          </w:p>
        </w:tc>
      </w:tr>
      <w:tr w14:paraId="1206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8C71941">
            <w:pPr>
              <w:rPr>
                <w:highlight w:val="none"/>
              </w:rPr>
            </w:pPr>
          </w:p>
        </w:tc>
        <w:tc>
          <w:tcPr>
            <w:tcW w:w="1482" w:type="dxa"/>
            <w:vMerge w:val="continue"/>
            <w:textDirection w:val="tbRlV"/>
            <w:vAlign w:val="center"/>
          </w:tcPr>
          <w:p w14:paraId="68C2BC9F">
            <w:pPr>
              <w:rPr>
                <w:highlight w:val="none"/>
              </w:rPr>
            </w:pPr>
          </w:p>
        </w:tc>
        <w:tc>
          <w:tcPr>
            <w:tcW w:w="1686" w:type="dxa"/>
            <w:gridSpan w:val="2"/>
            <w:vAlign w:val="center"/>
          </w:tcPr>
          <w:p w14:paraId="397ECFCC">
            <w:pPr>
              <w:pStyle w:val="25"/>
              <w:rPr>
                <w:highlight w:val="none"/>
              </w:rPr>
            </w:pPr>
            <w:r>
              <w:rPr>
                <w:rFonts w:hint="eastAsia"/>
                <w:highlight w:val="none"/>
              </w:rPr>
              <w:t>响应文件的签字盖章</w:t>
            </w:r>
          </w:p>
        </w:tc>
        <w:tc>
          <w:tcPr>
            <w:tcW w:w="5476" w:type="dxa"/>
            <w:vAlign w:val="center"/>
          </w:tcPr>
          <w:p w14:paraId="6E2DCC97">
            <w:pPr>
              <w:pStyle w:val="25"/>
              <w:rPr>
                <w:highlight w:val="none"/>
              </w:rPr>
            </w:pPr>
            <w:r>
              <w:rPr>
                <w:rFonts w:hint="eastAsia"/>
                <w:highlight w:val="none"/>
              </w:rPr>
              <w:t>符合第二章“响应人须知”4.6 条规定</w:t>
            </w:r>
          </w:p>
        </w:tc>
      </w:tr>
      <w:tr w14:paraId="7F97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522E7EB">
            <w:pPr>
              <w:rPr>
                <w:highlight w:val="none"/>
              </w:rPr>
            </w:pPr>
          </w:p>
        </w:tc>
        <w:tc>
          <w:tcPr>
            <w:tcW w:w="1482" w:type="dxa"/>
            <w:vMerge w:val="continue"/>
            <w:textDirection w:val="tbRlV"/>
            <w:vAlign w:val="center"/>
          </w:tcPr>
          <w:p w14:paraId="615349A5">
            <w:pPr>
              <w:rPr>
                <w:highlight w:val="none"/>
              </w:rPr>
            </w:pPr>
          </w:p>
        </w:tc>
        <w:tc>
          <w:tcPr>
            <w:tcW w:w="1686" w:type="dxa"/>
            <w:gridSpan w:val="2"/>
            <w:vAlign w:val="center"/>
          </w:tcPr>
          <w:p w14:paraId="4AABEE8E">
            <w:pPr>
              <w:pStyle w:val="25"/>
              <w:rPr>
                <w:highlight w:val="none"/>
              </w:rPr>
            </w:pPr>
            <w:r>
              <w:rPr>
                <w:rFonts w:hint="eastAsia"/>
                <w:highlight w:val="none"/>
              </w:rPr>
              <w:t>响应文件的密封</w:t>
            </w:r>
          </w:p>
        </w:tc>
        <w:tc>
          <w:tcPr>
            <w:tcW w:w="5476" w:type="dxa"/>
            <w:vAlign w:val="center"/>
          </w:tcPr>
          <w:p w14:paraId="066673F5">
            <w:pPr>
              <w:pStyle w:val="25"/>
              <w:rPr>
                <w:highlight w:val="none"/>
              </w:rPr>
            </w:pPr>
            <w:r>
              <w:rPr>
                <w:rFonts w:hint="eastAsia"/>
                <w:highlight w:val="none"/>
              </w:rPr>
              <w:t>符合第二章“响应人须知”4.7 条规定</w:t>
            </w:r>
          </w:p>
        </w:tc>
      </w:tr>
      <w:tr w14:paraId="2611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B6343C4">
            <w:pPr>
              <w:rPr>
                <w:highlight w:val="none"/>
              </w:rPr>
            </w:pPr>
          </w:p>
        </w:tc>
        <w:tc>
          <w:tcPr>
            <w:tcW w:w="1482" w:type="dxa"/>
            <w:vMerge w:val="continue"/>
            <w:textDirection w:val="tbRlV"/>
            <w:vAlign w:val="center"/>
          </w:tcPr>
          <w:p w14:paraId="6524D20E">
            <w:pPr>
              <w:rPr>
                <w:highlight w:val="none"/>
              </w:rPr>
            </w:pPr>
          </w:p>
        </w:tc>
        <w:tc>
          <w:tcPr>
            <w:tcW w:w="1686" w:type="dxa"/>
            <w:gridSpan w:val="2"/>
            <w:vAlign w:val="center"/>
          </w:tcPr>
          <w:p w14:paraId="19616737">
            <w:pPr>
              <w:pStyle w:val="25"/>
              <w:rPr>
                <w:highlight w:val="none"/>
              </w:rPr>
            </w:pPr>
            <w:r>
              <w:rPr>
                <w:rFonts w:hint="eastAsia"/>
                <w:highlight w:val="none"/>
              </w:rPr>
              <w:t>响应文件格式</w:t>
            </w:r>
          </w:p>
        </w:tc>
        <w:tc>
          <w:tcPr>
            <w:tcW w:w="5476" w:type="dxa"/>
            <w:vAlign w:val="center"/>
          </w:tcPr>
          <w:p w14:paraId="5A73A595">
            <w:pPr>
              <w:pStyle w:val="25"/>
              <w:rPr>
                <w:highlight w:val="none"/>
              </w:rPr>
            </w:pPr>
            <w:r>
              <w:rPr>
                <w:rFonts w:hint="eastAsia"/>
                <w:highlight w:val="none"/>
              </w:rPr>
              <w:t>符合第六章“响应文件格式”的要求</w:t>
            </w:r>
          </w:p>
        </w:tc>
      </w:tr>
      <w:tr w14:paraId="47DA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33C6CE4">
            <w:pPr>
              <w:rPr>
                <w:highlight w:val="none"/>
              </w:rPr>
            </w:pPr>
          </w:p>
        </w:tc>
        <w:tc>
          <w:tcPr>
            <w:tcW w:w="1482" w:type="dxa"/>
            <w:vMerge w:val="continue"/>
            <w:textDirection w:val="tbRlV"/>
            <w:vAlign w:val="center"/>
          </w:tcPr>
          <w:p w14:paraId="16E005DA">
            <w:pPr>
              <w:rPr>
                <w:highlight w:val="none"/>
              </w:rPr>
            </w:pPr>
          </w:p>
        </w:tc>
        <w:tc>
          <w:tcPr>
            <w:tcW w:w="1686" w:type="dxa"/>
            <w:gridSpan w:val="2"/>
            <w:vAlign w:val="center"/>
          </w:tcPr>
          <w:p w14:paraId="3BAAB1EE">
            <w:pPr>
              <w:pStyle w:val="25"/>
              <w:rPr>
                <w:highlight w:val="none"/>
              </w:rPr>
            </w:pPr>
            <w:r>
              <w:rPr>
                <w:rFonts w:hint="eastAsia"/>
                <w:highlight w:val="none"/>
              </w:rPr>
              <w:t>响应文件组成</w:t>
            </w:r>
          </w:p>
        </w:tc>
        <w:tc>
          <w:tcPr>
            <w:tcW w:w="5476" w:type="dxa"/>
            <w:vAlign w:val="center"/>
          </w:tcPr>
          <w:p w14:paraId="2177F4D9">
            <w:pPr>
              <w:pStyle w:val="25"/>
              <w:rPr>
                <w:highlight w:val="none"/>
              </w:rPr>
            </w:pPr>
            <w:r>
              <w:rPr>
                <w:rFonts w:hint="eastAsia"/>
                <w:highlight w:val="none"/>
              </w:rPr>
              <w:t>符合第二章“响应人须知”4.2 条规定，内容齐全、无遗漏</w:t>
            </w:r>
          </w:p>
        </w:tc>
      </w:tr>
      <w:tr w14:paraId="2432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78544BE">
            <w:pPr>
              <w:rPr>
                <w:highlight w:val="none"/>
              </w:rPr>
            </w:pPr>
          </w:p>
        </w:tc>
        <w:tc>
          <w:tcPr>
            <w:tcW w:w="1482" w:type="dxa"/>
            <w:vMerge w:val="continue"/>
            <w:textDirection w:val="tbRlV"/>
            <w:vAlign w:val="center"/>
          </w:tcPr>
          <w:p w14:paraId="5533D048">
            <w:pPr>
              <w:rPr>
                <w:highlight w:val="none"/>
              </w:rPr>
            </w:pPr>
          </w:p>
        </w:tc>
        <w:tc>
          <w:tcPr>
            <w:tcW w:w="1686" w:type="dxa"/>
            <w:gridSpan w:val="2"/>
            <w:vAlign w:val="center"/>
          </w:tcPr>
          <w:p w14:paraId="6941DB65">
            <w:pPr>
              <w:pStyle w:val="25"/>
              <w:rPr>
                <w:highlight w:val="none"/>
              </w:rPr>
            </w:pPr>
            <w:r>
              <w:rPr>
                <w:rFonts w:hint="eastAsia"/>
                <w:highlight w:val="none"/>
              </w:rPr>
              <w:t>联合体响应</w:t>
            </w:r>
          </w:p>
        </w:tc>
        <w:tc>
          <w:tcPr>
            <w:tcW w:w="5476" w:type="dxa"/>
            <w:vAlign w:val="center"/>
          </w:tcPr>
          <w:p w14:paraId="3722BAEF">
            <w:pPr>
              <w:pStyle w:val="25"/>
              <w:rPr>
                <w:highlight w:val="none"/>
              </w:rPr>
            </w:pPr>
            <w:r>
              <w:rPr>
                <w:rFonts w:hint="eastAsia"/>
                <w:highlight w:val="none"/>
              </w:rPr>
              <w:t>符合第一章“2. 响应人资格要求”2.5 条的要求</w:t>
            </w:r>
          </w:p>
        </w:tc>
      </w:tr>
      <w:tr w14:paraId="700C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277AA151">
            <w:pPr>
              <w:pStyle w:val="25"/>
              <w:rPr>
                <w:highlight w:val="none"/>
              </w:rPr>
            </w:pPr>
            <w:r>
              <w:rPr>
                <w:rFonts w:hint="eastAsia"/>
                <w:highlight w:val="none"/>
              </w:rPr>
              <w:t>2.1.3</w:t>
            </w:r>
          </w:p>
        </w:tc>
        <w:tc>
          <w:tcPr>
            <w:tcW w:w="1482" w:type="dxa"/>
            <w:vMerge w:val="restart"/>
            <w:vAlign w:val="center"/>
          </w:tcPr>
          <w:p w14:paraId="5E0E7DC6">
            <w:pPr>
              <w:pStyle w:val="25"/>
              <w:rPr>
                <w:highlight w:val="none"/>
              </w:rPr>
            </w:pPr>
            <w:r>
              <w:rPr>
                <w:rFonts w:hint="eastAsia"/>
                <w:highlight w:val="none"/>
              </w:rPr>
              <w:t>响应性评审标准</w:t>
            </w:r>
          </w:p>
        </w:tc>
        <w:tc>
          <w:tcPr>
            <w:tcW w:w="1686" w:type="dxa"/>
            <w:gridSpan w:val="2"/>
            <w:vAlign w:val="center"/>
          </w:tcPr>
          <w:p w14:paraId="406B090C">
            <w:pPr>
              <w:pStyle w:val="25"/>
              <w:rPr>
                <w:highlight w:val="none"/>
              </w:rPr>
            </w:pPr>
            <w:r>
              <w:rPr>
                <w:rFonts w:hint="eastAsia"/>
                <w:highlight w:val="none"/>
              </w:rPr>
              <w:t>响应内容</w:t>
            </w:r>
          </w:p>
        </w:tc>
        <w:tc>
          <w:tcPr>
            <w:tcW w:w="5476" w:type="dxa"/>
            <w:vAlign w:val="center"/>
          </w:tcPr>
          <w:p w14:paraId="27360EAC">
            <w:pPr>
              <w:pStyle w:val="25"/>
              <w:rPr>
                <w:highlight w:val="none"/>
              </w:rPr>
            </w:pPr>
            <w:r>
              <w:rPr>
                <w:rFonts w:hint="eastAsia"/>
                <w:highlight w:val="none"/>
              </w:rPr>
              <w:t>1. 在响应承诺函中对第三章“项目要求”内容做出整体承诺；</w:t>
            </w:r>
          </w:p>
          <w:p w14:paraId="7E500A48">
            <w:pPr>
              <w:pStyle w:val="25"/>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资料</w:t>
            </w:r>
            <w:r>
              <w:rPr>
                <w:highlight w:val="none"/>
              </w:rPr>
              <w:t>，内容齐全、无遗漏。</w:t>
            </w:r>
          </w:p>
        </w:tc>
      </w:tr>
      <w:tr w14:paraId="5D01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2B1E8C4">
            <w:pPr>
              <w:rPr>
                <w:highlight w:val="none"/>
              </w:rPr>
            </w:pPr>
          </w:p>
        </w:tc>
        <w:tc>
          <w:tcPr>
            <w:tcW w:w="1482" w:type="dxa"/>
            <w:vMerge w:val="continue"/>
          </w:tcPr>
          <w:p w14:paraId="3AF3E193">
            <w:pPr>
              <w:rPr>
                <w:highlight w:val="none"/>
              </w:rPr>
            </w:pPr>
          </w:p>
        </w:tc>
        <w:tc>
          <w:tcPr>
            <w:tcW w:w="1686" w:type="dxa"/>
            <w:gridSpan w:val="2"/>
            <w:vAlign w:val="center"/>
          </w:tcPr>
          <w:p w14:paraId="44F61E2D">
            <w:pPr>
              <w:pStyle w:val="25"/>
              <w:rPr>
                <w:highlight w:val="none"/>
              </w:rPr>
            </w:pPr>
            <w:r>
              <w:rPr>
                <w:rFonts w:hint="eastAsia"/>
                <w:highlight w:val="none"/>
              </w:rPr>
              <w:t>响应文件份数</w:t>
            </w:r>
          </w:p>
        </w:tc>
        <w:tc>
          <w:tcPr>
            <w:tcW w:w="5476" w:type="dxa"/>
            <w:vAlign w:val="center"/>
          </w:tcPr>
          <w:p w14:paraId="6A313225">
            <w:pPr>
              <w:pStyle w:val="25"/>
              <w:rPr>
                <w:highlight w:val="none"/>
              </w:rPr>
            </w:pPr>
            <w:r>
              <w:rPr>
                <w:rFonts w:hint="eastAsia"/>
                <w:highlight w:val="none"/>
              </w:rPr>
              <w:t>符合第二章“响应人须知”4.6 条规定</w:t>
            </w:r>
          </w:p>
        </w:tc>
      </w:tr>
      <w:tr w14:paraId="4EC7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6CB25F5">
            <w:pPr>
              <w:rPr>
                <w:highlight w:val="none"/>
              </w:rPr>
            </w:pPr>
          </w:p>
        </w:tc>
        <w:tc>
          <w:tcPr>
            <w:tcW w:w="1482" w:type="dxa"/>
            <w:vMerge w:val="continue"/>
          </w:tcPr>
          <w:p w14:paraId="3062028E">
            <w:pPr>
              <w:rPr>
                <w:highlight w:val="none"/>
              </w:rPr>
            </w:pPr>
          </w:p>
        </w:tc>
        <w:tc>
          <w:tcPr>
            <w:tcW w:w="1686" w:type="dxa"/>
            <w:gridSpan w:val="2"/>
            <w:vAlign w:val="center"/>
          </w:tcPr>
          <w:p w14:paraId="7FA9BF82">
            <w:pPr>
              <w:pStyle w:val="25"/>
              <w:rPr>
                <w:highlight w:val="none"/>
              </w:rPr>
            </w:pPr>
            <w:r>
              <w:rPr>
                <w:rFonts w:hint="eastAsia"/>
                <w:highlight w:val="none"/>
              </w:rPr>
              <w:t>响应方案唯一</w:t>
            </w:r>
          </w:p>
        </w:tc>
        <w:tc>
          <w:tcPr>
            <w:tcW w:w="5476" w:type="dxa"/>
            <w:vAlign w:val="center"/>
          </w:tcPr>
          <w:p w14:paraId="6976FE5F">
            <w:pPr>
              <w:pStyle w:val="25"/>
              <w:rPr>
                <w:highlight w:val="none"/>
              </w:rPr>
            </w:pPr>
            <w:r>
              <w:rPr>
                <w:rFonts w:hint="eastAsia"/>
                <w:highlight w:val="none"/>
              </w:rPr>
              <w:t>只能有一个方案响应。</w:t>
            </w:r>
          </w:p>
        </w:tc>
      </w:tr>
      <w:tr w14:paraId="1684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4718270">
            <w:pPr>
              <w:rPr>
                <w:highlight w:val="none"/>
              </w:rPr>
            </w:pPr>
          </w:p>
        </w:tc>
        <w:tc>
          <w:tcPr>
            <w:tcW w:w="1482" w:type="dxa"/>
            <w:vMerge w:val="continue"/>
          </w:tcPr>
          <w:p w14:paraId="0E32DBC6">
            <w:pPr>
              <w:rPr>
                <w:highlight w:val="none"/>
              </w:rPr>
            </w:pPr>
          </w:p>
        </w:tc>
        <w:tc>
          <w:tcPr>
            <w:tcW w:w="1686" w:type="dxa"/>
            <w:gridSpan w:val="2"/>
            <w:vAlign w:val="center"/>
          </w:tcPr>
          <w:p w14:paraId="29E028BD">
            <w:pPr>
              <w:pStyle w:val="25"/>
              <w:rPr>
                <w:highlight w:val="none"/>
              </w:rPr>
            </w:pPr>
            <w:r>
              <w:rPr>
                <w:rFonts w:hint="eastAsia"/>
                <w:highlight w:val="none"/>
              </w:rPr>
              <w:t>响应报价</w:t>
            </w:r>
          </w:p>
        </w:tc>
        <w:tc>
          <w:tcPr>
            <w:tcW w:w="5476" w:type="dxa"/>
            <w:vAlign w:val="center"/>
          </w:tcPr>
          <w:p w14:paraId="30F40A24">
            <w:pPr>
              <w:pStyle w:val="25"/>
              <w:rPr>
                <w:highlight w:val="none"/>
              </w:rPr>
            </w:pPr>
            <w:r>
              <w:rPr>
                <w:rFonts w:hint="eastAsia"/>
                <w:highlight w:val="none"/>
              </w:rPr>
              <w:t>符合第二章“响应人须知”4.8 条规定</w:t>
            </w:r>
          </w:p>
        </w:tc>
      </w:tr>
      <w:tr w14:paraId="2D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B6D4C99">
            <w:pPr>
              <w:rPr>
                <w:highlight w:val="none"/>
              </w:rPr>
            </w:pPr>
          </w:p>
        </w:tc>
        <w:tc>
          <w:tcPr>
            <w:tcW w:w="1482" w:type="dxa"/>
            <w:vMerge w:val="continue"/>
          </w:tcPr>
          <w:p w14:paraId="68E314D1">
            <w:pPr>
              <w:rPr>
                <w:highlight w:val="none"/>
              </w:rPr>
            </w:pPr>
          </w:p>
        </w:tc>
        <w:tc>
          <w:tcPr>
            <w:tcW w:w="1686" w:type="dxa"/>
            <w:gridSpan w:val="2"/>
            <w:vAlign w:val="center"/>
          </w:tcPr>
          <w:p w14:paraId="6B79BC8B">
            <w:pPr>
              <w:pStyle w:val="25"/>
              <w:rPr>
                <w:highlight w:val="none"/>
              </w:rPr>
            </w:pPr>
            <w:r>
              <w:rPr>
                <w:rFonts w:hint="eastAsia"/>
                <w:highlight w:val="none"/>
              </w:rPr>
              <w:t>响应有效期</w:t>
            </w:r>
          </w:p>
        </w:tc>
        <w:tc>
          <w:tcPr>
            <w:tcW w:w="5476" w:type="dxa"/>
          </w:tcPr>
          <w:p w14:paraId="6B08773D">
            <w:pPr>
              <w:pStyle w:val="25"/>
              <w:rPr>
                <w:highlight w:val="none"/>
              </w:rPr>
            </w:pPr>
            <w:r>
              <w:rPr>
                <w:rFonts w:hint="eastAsia"/>
                <w:highlight w:val="none"/>
              </w:rPr>
              <w:t>符合第二章“响应人须知”4.4 条规定</w:t>
            </w:r>
          </w:p>
        </w:tc>
      </w:tr>
      <w:tr w14:paraId="5396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F4242CD">
            <w:pPr>
              <w:rPr>
                <w:highlight w:val="none"/>
              </w:rPr>
            </w:pPr>
          </w:p>
        </w:tc>
        <w:tc>
          <w:tcPr>
            <w:tcW w:w="1482" w:type="dxa"/>
            <w:vMerge w:val="continue"/>
          </w:tcPr>
          <w:p w14:paraId="22288227">
            <w:pPr>
              <w:rPr>
                <w:highlight w:val="none"/>
              </w:rPr>
            </w:pPr>
          </w:p>
        </w:tc>
        <w:tc>
          <w:tcPr>
            <w:tcW w:w="1686" w:type="dxa"/>
            <w:gridSpan w:val="2"/>
            <w:vAlign w:val="center"/>
          </w:tcPr>
          <w:p w14:paraId="63A74617">
            <w:pPr>
              <w:pStyle w:val="25"/>
              <w:rPr>
                <w:highlight w:val="none"/>
              </w:rPr>
            </w:pPr>
            <w:r>
              <w:rPr>
                <w:rFonts w:hint="eastAsia"/>
                <w:highlight w:val="none"/>
              </w:rPr>
              <w:t>响应保证金</w:t>
            </w:r>
          </w:p>
        </w:tc>
        <w:tc>
          <w:tcPr>
            <w:tcW w:w="5476" w:type="dxa"/>
          </w:tcPr>
          <w:p w14:paraId="7EB4A944">
            <w:pPr>
              <w:pStyle w:val="25"/>
              <w:rPr>
                <w:highlight w:val="none"/>
              </w:rPr>
            </w:pPr>
            <w:r>
              <w:rPr>
                <w:rFonts w:hint="eastAsia"/>
                <w:highlight w:val="none"/>
              </w:rPr>
              <w:t>按时足额缴纳响应保证金，以重庆市公共资源交易中心《投标保证金交纳情况一览表》为准。</w:t>
            </w:r>
          </w:p>
        </w:tc>
      </w:tr>
      <w:tr w14:paraId="211E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0FD284F2">
            <w:pPr>
              <w:pStyle w:val="25"/>
              <w:rPr>
                <w:highlight w:val="none"/>
              </w:rPr>
            </w:pPr>
            <w:r>
              <w:rPr>
                <w:rFonts w:hint="eastAsia"/>
                <w:highlight w:val="none"/>
              </w:rPr>
              <w:t>2.2</w:t>
            </w:r>
          </w:p>
        </w:tc>
        <w:tc>
          <w:tcPr>
            <w:tcW w:w="1482" w:type="dxa"/>
            <w:vAlign w:val="center"/>
          </w:tcPr>
          <w:p w14:paraId="6ABBAE1F">
            <w:pPr>
              <w:pStyle w:val="25"/>
              <w:rPr>
                <w:highlight w:val="none"/>
              </w:rPr>
            </w:pPr>
            <w:r>
              <w:rPr>
                <w:rFonts w:hint="eastAsia"/>
                <w:highlight w:val="none"/>
              </w:rPr>
              <w:t>详细评审</w:t>
            </w:r>
          </w:p>
        </w:tc>
        <w:tc>
          <w:tcPr>
            <w:tcW w:w="1686" w:type="dxa"/>
            <w:gridSpan w:val="2"/>
            <w:vAlign w:val="center"/>
          </w:tcPr>
          <w:p w14:paraId="25BBBE0E">
            <w:pPr>
              <w:pStyle w:val="25"/>
              <w:rPr>
                <w:highlight w:val="none"/>
              </w:rPr>
            </w:pPr>
            <w:r>
              <w:rPr>
                <w:rFonts w:hint="eastAsia"/>
                <w:highlight w:val="none"/>
              </w:rPr>
              <w:t>分值构成与评分标准</w:t>
            </w:r>
          </w:p>
          <w:p w14:paraId="7D93BF8F">
            <w:pPr>
              <w:pStyle w:val="25"/>
              <w:rPr>
                <w:highlight w:val="none"/>
              </w:rPr>
            </w:pPr>
            <w:r>
              <w:rPr>
                <w:rFonts w:hint="eastAsia"/>
                <w:highlight w:val="none"/>
              </w:rPr>
              <w:t>(总分100分)</w:t>
            </w:r>
          </w:p>
        </w:tc>
        <w:tc>
          <w:tcPr>
            <w:tcW w:w="5476" w:type="dxa"/>
            <w:vAlign w:val="center"/>
          </w:tcPr>
          <w:p w14:paraId="5522D301">
            <w:pPr>
              <w:pStyle w:val="25"/>
              <w:rPr>
                <w:highlight w:val="none"/>
              </w:rPr>
            </w:pPr>
            <w:r>
              <w:rPr>
                <w:rFonts w:hint="eastAsia"/>
                <w:highlight w:val="none"/>
              </w:rPr>
              <w:t>详见《详细评审评分标准表》</w:t>
            </w:r>
          </w:p>
        </w:tc>
      </w:tr>
      <w:tr w14:paraId="1DFD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0FFF7043">
            <w:pPr>
              <w:pStyle w:val="25"/>
              <w:rPr>
                <w:highlight w:val="none"/>
              </w:rPr>
            </w:pPr>
            <w:r>
              <w:rPr>
                <w:rFonts w:hint="eastAsia"/>
                <w:highlight w:val="none"/>
              </w:rPr>
              <w:t>3</w:t>
            </w:r>
          </w:p>
        </w:tc>
        <w:tc>
          <w:tcPr>
            <w:tcW w:w="1482" w:type="dxa"/>
            <w:vAlign w:val="center"/>
          </w:tcPr>
          <w:p w14:paraId="5CC23C41">
            <w:pPr>
              <w:pStyle w:val="25"/>
              <w:rPr>
                <w:highlight w:val="none"/>
              </w:rPr>
            </w:pPr>
            <w:r>
              <w:rPr>
                <w:rFonts w:hint="eastAsia"/>
                <w:highlight w:val="none"/>
              </w:rPr>
              <w:t>评审程序</w:t>
            </w:r>
          </w:p>
        </w:tc>
        <w:tc>
          <w:tcPr>
            <w:tcW w:w="7162" w:type="dxa"/>
            <w:gridSpan w:val="3"/>
          </w:tcPr>
          <w:p w14:paraId="618BEBC7">
            <w:pPr>
              <w:pStyle w:val="25"/>
              <w:rPr>
                <w:highlight w:val="none"/>
              </w:rPr>
            </w:pPr>
            <w:r>
              <w:rPr>
                <w:rFonts w:hint="eastAsia"/>
                <w:highlight w:val="none"/>
              </w:rPr>
              <w:t>1.初步评审前，按本章第3.1.3项的规定对响应报价有算术性错误的进行算术性错误修正。</w:t>
            </w:r>
          </w:p>
          <w:p w14:paraId="386098B8">
            <w:pPr>
              <w:pStyle w:val="25"/>
              <w:rPr>
                <w:highlight w:val="none"/>
              </w:rPr>
            </w:pPr>
            <w:r>
              <w:rPr>
                <w:rFonts w:hint="eastAsia"/>
                <w:highlight w:val="none"/>
              </w:rPr>
              <w:t>2.评审委员会对响应文件进行初步评审。</w:t>
            </w:r>
          </w:p>
          <w:p w14:paraId="5500A14F">
            <w:pPr>
              <w:pStyle w:val="25"/>
              <w:rPr>
                <w:highlight w:val="none"/>
              </w:rPr>
            </w:pPr>
            <w:r>
              <w:rPr>
                <w:rFonts w:hint="eastAsia"/>
                <w:highlight w:val="none"/>
              </w:rPr>
              <w:t>3.初步评审合格的响应文件进行详细评审。主观评审部分由各专家独立评审打分，最后取平均得分，保留2位小数。</w:t>
            </w:r>
          </w:p>
          <w:p w14:paraId="433B25C1">
            <w:pPr>
              <w:pStyle w:val="25"/>
              <w:rPr>
                <w:highlight w:val="none"/>
              </w:rPr>
            </w:pPr>
            <w:r>
              <w:rPr>
                <w:rFonts w:hint="eastAsia"/>
                <w:highlight w:val="none"/>
              </w:rPr>
              <w:t>4.根据综合得分由高至低进行排序，推荐</w:t>
            </w:r>
            <w:r>
              <w:rPr>
                <w:rFonts w:hint="eastAsia"/>
                <w:highlight w:val="none"/>
                <w:lang w:val="en-US" w:eastAsia="zh-CN"/>
              </w:rPr>
              <w:t>3</w:t>
            </w:r>
            <w:r>
              <w:rPr>
                <w:rFonts w:hint="eastAsia"/>
                <w:highlight w:val="none"/>
              </w:rPr>
              <w:t>-6家合格的入围候选人。并依次为第一、二、三......六入围候选人。</w:t>
            </w:r>
          </w:p>
        </w:tc>
      </w:tr>
      <w:tr w14:paraId="7B24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27ADB441">
            <w:pPr>
              <w:pStyle w:val="25"/>
              <w:rPr>
                <w:highlight w:val="none"/>
              </w:rPr>
            </w:pPr>
            <w:r>
              <w:rPr>
                <w:rFonts w:hint="eastAsia"/>
                <w:highlight w:val="none"/>
              </w:rPr>
              <w:t>3.2.3</w:t>
            </w:r>
          </w:p>
        </w:tc>
        <w:tc>
          <w:tcPr>
            <w:tcW w:w="1511" w:type="dxa"/>
            <w:vAlign w:val="center"/>
          </w:tcPr>
          <w:p w14:paraId="1BC63B6A">
            <w:pPr>
              <w:pStyle w:val="25"/>
              <w:rPr>
                <w:highlight w:val="none"/>
              </w:rPr>
            </w:pPr>
            <w:r>
              <w:rPr>
                <w:rFonts w:hint="eastAsia"/>
                <w:highlight w:val="none"/>
              </w:rPr>
              <w:t>响应人得分</w:t>
            </w:r>
          </w:p>
        </w:tc>
        <w:tc>
          <w:tcPr>
            <w:tcW w:w="5651" w:type="dxa"/>
            <w:gridSpan w:val="2"/>
            <w:vAlign w:val="center"/>
          </w:tcPr>
          <w:p w14:paraId="5648055D">
            <w:pPr>
              <w:pStyle w:val="25"/>
              <w:rPr>
                <w:highlight w:val="none"/>
              </w:rPr>
            </w:pPr>
            <w:r>
              <w:rPr>
                <w:rFonts w:hint="eastAsia"/>
                <w:highlight w:val="none"/>
              </w:rPr>
              <w:t>响应人得分=技术部分得分+商务部分得分</w:t>
            </w:r>
          </w:p>
        </w:tc>
      </w:tr>
    </w:tbl>
    <w:p w14:paraId="281DC7CA">
      <w:pPr>
        <w:ind w:firstLine="0" w:firstLineChars="0"/>
        <w:rPr>
          <w:rFonts w:ascii="宋体" w:cs="宋体"/>
          <w:snapToGrid w:val="0"/>
          <w:szCs w:val="21"/>
          <w:highlight w:val="none"/>
        </w:rPr>
      </w:pPr>
    </w:p>
    <w:p w14:paraId="380BEBFD">
      <w:pPr>
        <w:ind w:firstLine="0" w:firstLineChars="0"/>
        <w:rPr>
          <w:rFonts w:ascii="宋体" w:cs="宋体"/>
          <w:snapToGrid w:val="0"/>
          <w:szCs w:val="21"/>
          <w:highlight w:val="none"/>
        </w:rPr>
      </w:pPr>
    </w:p>
    <w:p w14:paraId="30BC31F0">
      <w:pPr>
        <w:ind w:firstLine="0" w:firstLineChars="0"/>
        <w:rPr>
          <w:rFonts w:ascii="宋体" w:cs="宋体"/>
          <w:snapToGrid w:val="0"/>
          <w:szCs w:val="21"/>
          <w:highlight w:val="none"/>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1246EDD4">
      <w:pPr>
        <w:pStyle w:val="3"/>
        <w:rPr>
          <w:highlight w:val="none"/>
        </w:rPr>
      </w:pPr>
      <w:r>
        <w:rPr>
          <w:rFonts w:hint="eastAsia"/>
          <w:highlight w:val="none"/>
        </w:rPr>
        <w:t>详细评审评分标准表</w:t>
      </w:r>
    </w:p>
    <w:tbl>
      <w:tblPr>
        <w:tblStyle w:val="16"/>
        <w:tblW w:w="5045"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6805"/>
      </w:tblGrid>
      <w:tr w14:paraId="69CA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9" w:hRule="atLeast"/>
        </w:trPr>
        <w:tc>
          <w:tcPr>
            <w:tcW w:w="1043" w:type="pct"/>
            <w:vAlign w:val="center"/>
          </w:tcPr>
          <w:p w14:paraId="2D79AF79">
            <w:pPr>
              <w:pStyle w:val="26"/>
              <w:rPr>
                <w:highlight w:val="none"/>
              </w:rPr>
            </w:pPr>
            <w:r>
              <w:rPr>
                <w:rFonts w:hint="eastAsia"/>
                <w:highlight w:val="none"/>
              </w:rPr>
              <w:t>技术部分</w:t>
            </w:r>
          </w:p>
          <w:p w14:paraId="55DFFDC3">
            <w:pPr>
              <w:pStyle w:val="26"/>
              <w:rPr>
                <w:highlight w:val="none"/>
              </w:rPr>
            </w:pPr>
            <w:r>
              <w:rPr>
                <w:rFonts w:hint="eastAsia"/>
                <w:highlight w:val="none"/>
              </w:rPr>
              <w:t>（60分）</w:t>
            </w:r>
          </w:p>
        </w:tc>
        <w:tc>
          <w:tcPr>
            <w:tcW w:w="3957" w:type="pct"/>
            <w:vAlign w:val="center"/>
          </w:tcPr>
          <w:p w14:paraId="092AF77E">
            <w:pPr>
              <w:spacing w:line="300" w:lineRule="exact"/>
              <w:rPr>
                <w:rFonts w:ascii="宋体" w:cs="仿宋"/>
                <w:b/>
                <w:szCs w:val="21"/>
                <w:highlight w:val="none"/>
              </w:rPr>
            </w:pPr>
          </w:p>
          <w:p w14:paraId="77CAD024">
            <w:pPr>
              <w:spacing w:line="300" w:lineRule="exact"/>
              <w:rPr>
                <w:rFonts w:ascii="宋体" w:cs="仿宋"/>
                <w:b/>
                <w:szCs w:val="21"/>
                <w:highlight w:val="none"/>
              </w:rPr>
            </w:pPr>
            <w:r>
              <w:rPr>
                <w:rFonts w:hint="eastAsia" w:ascii="宋体" w:cs="仿宋"/>
                <w:b/>
                <w:szCs w:val="21"/>
                <w:highlight w:val="none"/>
              </w:rPr>
              <w:t>1.日常物资保障方案（12分）</w:t>
            </w:r>
          </w:p>
          <w:p w14:paraId="31C5F341">
            <w:pPr>
              <w:spacing w:line="300" w:lineRule="exact"/>
              <w:rPr>
                <w:rFonts w:ascii="宋体" w:cs="仿宋"/>
                <w:szCs w:val="21"/>
                <w:highlight w:val="none"/>
              </w:rPr>
            </w:pPr>
            <w:r>
              <w:rPr>
                <w:rFonts w:hint="eastAsia" w:ascii="宋体" w:cs="仿宋"/>
                <w:szCs w:val="21"/>
                <w:highlight w:val="none"/>
              </w:rPr>
              <w:t>响应人须提供日常物资保障方案，日常物资保障方案包括但不限于：①供货流程；②配送计划及方案；③配送设施设备；④配送食材管理</w:t>
            </w:r>
            <w:r>
              <w:rPr>
                <w:rFonts w:hint="eastAsia" w:ascii="宋体" w:cs="仿宋"/>
                <w:szCs w:val="21"/>
                <w:highlight w:val="none"/>
                <w:lang w:eastAsia="zh-CN"/>
              </w:rPr>
              <w:t>；</w:t>
            </w:r>
            <w:r>
              <w:rPr>
                <w:rFonts w:hint="eastAsia" w:ascii="宋体" w:cs="仿宋"/>
                <w:szCs w:val="21"/>
                <w:highlight w:val="none"/>
                <w:lang w:val="en-US" w:eastAsia="zh-CN"/>
              </w:rPr>
              <w:t>⑤</w:t>
            </w:r>
            <w:r>
              <w:rPr>
                <w:rFonts w:hint="eastAsia" w:ascii="宋体" w:cs="仿宋"/>
                <w:szCs w:val="21"/>
                <w:highlight w:val="none"/>
                <w:lang w:eastAsia="zh-CN"/>
              </w:rPr>
              <w:t>在重庆市</w:t>
            </w:r>
            <w:r>
              <w:rPr>
                <w:rFonts w:hint="eastAsia" w:ascii="宋体" w:cs="仿宋"/>
                <w:szCs w:val="21"/>
                <w:highlight w:val="none"/>
                <w:lang w:val="en-US" w:eastAsia="zh-CN"/>
              </w:rPr>
              <w:t>范</w:t>
            </w:r>
            <w:r>
              <w:rPr>
                <w:rFonts w:hint="eastAsia" w:ascii="宋体" w:cs="仿宋"/>
                <w:szCs w:val="21"/>
                <w:highlight w:val="none"/>
                <w:lang w:eastAsia="zh-CN"/>
              </w:rPr>
              <w:t>围内的</w:t>
            </w:r>
            <w:r>
              <w:rPr>
                <w:rFonts w:hint="eastAsia" w:ascii="宋体" w:cs="仿宋"/>
                <w:szCs w:val="21"/>
                <w:highlight w:val="none"/>
                <w:lang w:val="en-US" w:eastAsia="zh-CN"/>
              </w:rPr>
              <w:t>仓储库房</w:t>
            </w:r>
            <w:r>
              <w:rPr>
                <w:rFonts w:hint="eastAsia" w:ascii="宋体" w:cs="仿宋"/>
                <w:szCs w:val="21"/>
                <w:highlight w:val="none"/>
                <w:lang w:eastAsia="zh-CN"/>
              </w:rPr>
              <w:t>管理。</w:t>
            </w:r>
            <w:r>
              <w:rPr>
                <w:rFonts w:hint="eastAsia" w:ascii="宋体" w:cs="仿宋"/>
                <w:szCs w:val="21"/>
                <w:highlight w:val="none"/>
              </w:rPr>
              <w:t>。</w:t>
            </w:r>
          </w:p>
          <w:p w14:paraId="23539CE4">
            <w:pPr>
              <w:spacing w:line="300" w:lineRule="exact"/>
              <w:rPr>
                <w:rFonts w:ascii="宋体" w:cs="仿宋"/>
                <w:szCs w:val="21"/>
                <w:highlight w:val="none"/>
              </w:rPr>
            </w:pPr>
            <w:r>
              <w:rPr>
                <w:rFonts w:hint="eastAsia" w:ascii="宋体" w:cs="仿宋"/>
                <w:szCs w:val="21"/>
                <w:highlight w:val="none"/>
              </w:rPr>
              <w:t>评标委员会根据方案的时间安排、工作计划、详细的可行性横向比较综合评分：保障方案针对性强，时间安排合理的为优得12分；保障方案针对性较强，时间安排较合理的为良得8分；保障方案针对性差，时间安排不合理的为一般得4分；未提供的得0分。【提供日常物资保障方案，格式自拟】</w:t>
            </w:r>
          </w:p>
          <w:p w14:paraId="76014709">
            <w:pPr>
              <w:spacing w:line="300" w:lineRule="exact"/>
              <w:rPr>
                <w:rFonts w:ascii="宋体" w:cs="仿宋"/>
                <w:b/>
                <w:szCs w:val="21"/>
                <w:highlight w:val="none"/>
              </w:rPr>
            </w:pPr>
            <w:r>
              <w:rPr>
                <w:rFonts w:hint="eastAsia" w:ascii="宋体" w:cs="仿宋"/>
                <w:b/>
                <w:szCs w:val="21"/>
                <w:highlight w:val="none"/>
              </w:rPr>
              <w:t>2.食材安全管控方案（12分）</w:t>
            </w:r>
          </w:p>
          <w:p w14:paraId="2A71E01C">
            <w:pPr>
              <w:spacing w:line="300" w:lineRule="exact"/>
              <w:rPr>
                <w:rFonts w:ascii="宋体" w:cs="仿宋"/>
                <w:szCs w:val="21"/>
                <w:highlight w:val="none"/>
              </w:rPr>
            </w:pPr>
            <w:r>
              <w:rPr>
                <w:rFonts w:hint="eastAsia" w:ascii="宋体" w:cs="仿宋"/>
                <w:szCs w:val="21"/>
                <w:highlight w:val="none"/>
              </w:rPr>
              <w:t>响应人须提供</w:t>
            </w:r>
            <w:r>
              <w:rPr>
                <w:rFonts w:hint="eastAsia" w:ascii="宋体" w:cs="仿宋"/>
                <w:bCs/>
                <w:szCs w:val="21"/>
                <w:highlight w:val="none"/>
              </w:rPr>
              <w:t>食材安全管控方案</w:t>
            </w:r>
            <w:r>
              <w:rPr>
                <w:rFonts w:hint="eastAsia"/>
                <w:bCs/>
                <w:highlight w:val="none"/>
              </w:rPr>
              <w:t>，</w:t>
            </w:r>
            <w:r>
              <w:rPr>
                <w:rFonts w:hint="eastAsia" w:ascii="宋体" w:cs="仿宋"/>
                <w:bCs/>
                <w:szCs w:val="21"/>
                <w:highlight w:val="none"/>
              </w:rPr>
              <w:t>食材安全管控方案</w:t>
            </w:r>
            <w:r>
              <w:rPr>
                <w:rFonts w:hint="eastAsia" w:ascii="宋体" w:cs="仿宋"/>
                <w:szCs w:val="21"/>
                <w:highlight w:val="none"/>
              </w:rPr>
              <w:t>包含：食品安全认证体系、食品可追溯性、各类检测项目（如农残检测等）、冷链控制系统等。评标委员会根据方案的科学性、详细性、准确性进行横向比较综合评分：方案科学、详细、准确为优，得12分；方案说明较科学、较为详细、较为准确的为良，得8分；方案说明一般详细、准确度不高的为一般得4分；未提供的得0分。【提供</w:t>
            </w:r>
            <w:r>
              <w:rPr>
                <w:rFonts w:hint="eastAsia" w:ascii="宋体" w:cs="仿宋"/>
                <w:bCs/>
                <w:szCs w:val="21"/>
                <w:highlight w:val="none"/>
              </w:rPr>
              <w:t>食材安全管控</w:t>
            </w:r>
            <w:r>
              <w:rPr>
                <w:rFonts w:hint="eastAsia" w:ascii="宋体" w:cs="仿宋"/>
                <w:szCs w:val="21"/>
                <w:highlight w:val="none"/>
              </w:rPr>
              <w:t>方案，格式自拟】</w:t>
            </w:r>
          </w:p>
          <w:p w14:paraId="0A59C99F">
            <w:pPr>
              <w:spacing w:line="300" w:lineRule="exact"/>
              <w:rPr>
                <w:rFonts w:ascii="宋体" w:cs="仿宋"/>
                <w:b/>
                <w:szCs w:val="21"/>
                <w:highlight w:val="none"/>
              </w:rPr>
            </w:pPr>
            <w:r>
              <w:rPr>
                <w:rFonts w:hint="eastAsia" w:ascii="宋体" w:cs="仿宋"/>
                <w:b/>
                <w:szCs w:val="21"/>
                <w:highlight w:val="none"/>
              </w:rPr>
              <w:t>3.服务人员配备方案（12分）</w:t>
            </w:r>
          </w:p>
          <w:p w14:paraId="4418B732">
            <w:pPr>
              <w:spacing w:line="300" w:lineRule="exact"/>
              <w:rPr>
                <w:rFonts w:ascii="宋体" w:cs="仿宋"/>
                <w:szCs w:val="21"/>
                <w:highlight w:val="none"/>
              </w:rPr>
            </w:pPr>
            <w:r>
              <w:rPr>
                <w:rFonts w:hint="eastAsia" w:ascii="宋体" w:cs="仿宋"/>
                <w:szCs w:val="21"/>
                <w:highlight w:val="none"/>
              </w:rPr>
              <w:t>响应人须提供服务人员配备方案，方案中应有配送服务团队成员名单，健康证复印件及响应人2025年2月至5月为团队人员缴纳的社保证明，</w:t>
            </w:r>
            <w:r>
              <w:rPr>
                <w:rFonts w:hint="eastAsia"/>
                <w:highlight w:val="none"/>
                <w:lang w:val="en-US" w:eastAsia="zh-CN"/>
              </w:rPr>
              <w:t>社保缴纳单位应为响应人，</w:t>
            </w:r>
            <w:r>
              <w:rPr>
                <w:rFonts w:hint="eastAsia" w:ascii="宋体" w:cs="仿宋"/>
                <w:szCs w:val="21"/>
                <w:highlight w:val="none"/>
              </w:rPr>
              <w:t>评标委员会根据方案的合理性、科学性、完备性等方面进行横向比较综合评分：方案合理、科学、完备的为优得12分；方案较为合理、科学、完备的为良得8分；方案合理性、科学性、完备性较差的为一般得4分；未提供的得0分。【提供服务人员配备方案】</w:t>
            </w:r>
          </w:p>
          <w:p w14:paraId="3122AC14">
            <w:pPr>
              <w:spacing w:line="300" w:lineRule="exact"/>
              <w:rPr>
                <w:rFonts w:ascii="宋体" w:cs="仿宋"/>
                <w:b/>
                <w:szCs w:val="21"/>
                <w:highlight w:val="none"/>
              </w:rPr>
            </w:pPr>
            <w:r>
              <w:rPr>
                <w:rFonts w:hint="eastAsia" w:ascii="宋体" w:cs="仿宋"/>
                <w:b/>
                <w:szCs w:val="21"/>
                <w:highlight w:val="none"/>
              </w:rPr>
              <w:t>4.应急保障方案（12分）</w:t>
            </w:r>
          </w:p>
          <w:p w14:paraId="6A51B100">
            <w:pPr>
              <w:spacing w:line="300" w:lineRule="exact"/>
              <w:rPr>
                <w:rFonts w:ascii="宋体" w:cs="仿宋"/>
                <w:szCs w:val="21"/>
                <w:highlight w:val="none"/>
              </w:rPr>
            </w:pPr>
            <w:r>
              <w:rPr>
                <w:rFonts w:hint="eastAsia" w:ascii="宋体" w:cs="仿宋"/>
                <w:szCs w:val="21"/>
                <w:highlight w:val="none"/>
              </w:rPr>
              <w:t>响应人须提供应急保障方案，方案包含：为本项目提供的在自然灾害、公共卫生事件等情况下的应急保障措施。评标委员会根据方案的详细性、实用性横向比较综合评分：方案详实，贴切实际、实用性强为优，得12分；方案较详实，较贴切实际、实用性较强为良，得8分；方案一般详实，一般贴切实际、实用性一般为一般得4分；未提供的得0分。【提供应急保障方案，格式自拟】</w:t>
            </w:r>
          </w:p>
          <w:p w14:paraId="15C21189">
            <w:pPr>
              <w:spacing w:line="300" w:lineRule="exact"/>
              <w:rPr>
                <w:rFonts w:ascii="宋体" w:cs="仿宋"/>
                <w:b/>
                <w:szCs w:val="21"/>
                <w:highlight w:val="none"/>
              </w:rPr>
            </w:pPr>
            <w:r>
              <w:rPr>
                <w:rFonts w:hint="eastAsia" w:ascii="宋体" w:cs="仿宋"/>
                <w:b/>
                <w:szCs w:val="21"/>
                <w:highlight w:val="none"/>
              </w:rPr>
              <w:t>5.内部管理制度（12分）</w:t>
            </w:r>
          </w:p>
          <w:p w14:paraId="208E6CC7">
            <w:pPr>
              <w:spacing w:line="300" w:lineRule="exact"/>
              <w:rPr>
                <w:rFonts w:ascii="宋体" w:cs="仿宋"/>
                <w:szCs w:val="21"/>
                <w:highlight w:val="none"/>
              </w:rPr>
            </w:pPr>
            <w:r>
              <w:rPr>
                <w:rFonts w:hint="eastAsia" w:ascii="宋体" w:cs="仿宋"/>
                <w:szCs w:val="21"/>
                <w:highlight w:val="none"/>
              </w:rPr>
              <w:t>响应人须提供</w:t>
            </w:r>
            <w:r>
              <w:rPr>
                <w:rFonts w:hint="eastAsia" w:ascii="宋体" w:cs="仿宋"/>
                <w:bCs/>
                <w:szCs w:val="21"/>
                <w:highlight w:val="none"/>
              </w:rPr>
              <w:t>内部管理制度，</w:t>
            </w:r>
            <w:r>
              <w:rPr>
                <w:rFonts w:hint="eastAsia" w:ascii="宋体" w:cs="仿宋"/>
                <w:szCs w:val="21"/>
                <w:highlight w:val="none"/>
              </w:rPr>
              <w:t>包括但不限于食品安全管理制度、人员培训考核制度、进货查验及出货检验制度、配送车辆管理制度等，评标委员会根据制度的详细度、实用性等进行横向比较综合评分，制度详实，贴切实际、实用性强为优，得12分；制度较详实，较贴切实际、实用性较强为良，得8分；制度方案一般详实，一般贴切实际、实用性一般为一般得4分；未提供的得0分。【提供</w:t>
            </w:r>
            <w:r>
              <w:rPr>
                <w:rFonts w:hint="eastAsia" w:ascii="宋体" w:cs="仿宋"/>
                <w:bCs/>
                <w:szCs w:val="21"/>
                <w:highlight w:val="none"/>
              </w:rPr>
              <w:t>内部管理制</w:t>
            </w:r>
            <w:r>
              <w:rPr>
                <w:rFonts w:hint="eastAsia" w:ascii="宋体" w:cs="仿宋"/>
                <w:szCs w:val="21"/>
                <w:highlight w:val="none"/>
              </w:rPr>
              <w:t>度清单及对应的制度，格式自拟】</w:t>
            </w:r>
          </w:p>
        </w:tc>
      </w:tr>
      <w:tr w14:paraId="54C2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43" w:type="pct"/>
            <w:vAlign w:val="center"/>
          </w:tcPr>
          <w:p w14:paraId="2F2FEF2B">
            <w:pPr>
              <w:pStyle w:val="26"/>
              <w:rPr>
                <w:highlight w:val="none"/>
              </w:rPr>
            </w:pPr>
            <w:r>
              <w:rPr>
                <w:rFonts w:hint="eastAsia"/>
                <w:highlight w:val="none"/>
              </w:rPr>
              <w:t>商务部分（40分）</w:t>
            </w:r>
          </w:p>
        </w:tc>
        <w:tc>
          <w:tcPr>
            <w:tcW w:w="3957" w:type="pct"/>
            <w:vAlign w:val="center"/>
          </w:tcPr>
          <w:p w14:paraId="67D5A154">
            <w:pPr>
              <w:ind w:firstLineChars="0"/>
              <w:rPr>
                <w:rFonts w:ascii="宋体" w:cs="仿宋"/>
                <w:b/>
                <w:bCs w:val="0"/>
                <w:szCs w:val="21"/>
                <w:highlight w:val="none"/>
              </w:rPr>
            </w:pPr>
            <w:r>
              <w:rPr>
                <w:rFonts w:hint="eastAsia" w:ascii="宋体" w:cs="仿宋"/>
                <w:b/>
                <w:bCs w:val="0"/>
                <w:szCs w:val="21"/>
                <w:highlight w:val="none"/>
              </w:rPr>
              <w:t>1.配送能力（10分）</w:t>
            </w:r>
          </w:p>
          <w:p w14:paraId="6D79AB4B">
            <w:pPr>
              <w:rPr>
                <w:rFonts w:ascii="宋体" w:cs="仿宋"/>
                <w:b/>
                <w:bCs w:val="0"/>
                <w:szCs w:val="21"/>
                <w:highlight w:val="none"/>
              </w:rPr>
            </w:pPr>
            <w:r>
              <w:rPr>
                <w:rFonts w:hint="eastAsia" w:ascii="宋体" w:cs="仿宋"/>
                <w:szCs w:val="21"/>
                <w:highlight w:val="none"/>
              </w:rPr>
              <w:t>响应人自有专业配送车辆数量：每有1辆得2分，最多得</w:t>
            </w:r>
            <w:r>
              <w:rPr>
                <w:rFonts w:ascii="宋体" w:cs="仿宋"/>
                <w:szCs w:val="21"/>
                <w:highlight w:val="none"/>
              </w:rPr>
              <w:t>10</w:t>
            </w:r>
            <w:r>
              <w:rPr>
                <w:rFonts w:hint="eastAsia" w:ascii="宋体" w:cs="仿宋"/>
                <w:szCs w:val="21"/>
                <w:highlight w:val="none"/>
              </w:rPr>
              <w:t>分；专业配送车辆中有冷链配送车的，1辆得3分。本项最多得10分。</w:t>
            </w:r>
            <w:r>
              <w:rPr>
                <w:rFonts w:hint="eastAsia"/>
                <w:highlight w:val="none"/>
              </w:rPr>
              <w:t>（总公司参选的，分公司、</w:t>
            </w:r>
            <w:r>
              <w:rPr>
                <w:rFonts w:hint="eastAsia"/>
                <w:highlight w:val="none"/>
                <w:lang w:val="en-US" w:eastAsia="zh-CN"/>
              </w:rPr>
              <w:t>全资</w:t>
            </w:r>
            <w:r>
              <w:rPr>
                <w:rFonts w:hint="eastAsia"/>
                <w:highlight w:val="none"/>
              </w:rPr>
              <w:t>子公司可计算入内。）</w:t>
            </w:r>
            <w:r>
              <w:rPr>
                <w:rFonts w:hint="eastAsia" w:ascii="宋体" w:cs="仿宋"/>
                <w:szCs w:val="21"/>
                <w:highlight w:val="none"/>
              </w:rPr>
              <w:t>【提供车辆图片和行驶证复印件并加盖响应人公章】</w:t>
            </w:r>
          </w:p>
          <w:p w14:paraId="7512846C">
            <w:pPr>
              <w:ind w:firstLineChars="0"/>
              <w:rPr>
                <w:rFonts w:ascii="宋体" w:cs="仿宋"/>
                <w:b/>
                <w:bCs w:val="0"/>
                <w:szCs w:val="21"/>
                <w:highlight w:val="none"/>
              </w:rPr>
            </w:pPr>
            <w:r>
              <w:rPr>
                <w:rFonts w:hint="eastAsia" w:ascii="宋体" w:cs="仿宋"/>
                <w:b/>
                <w:bCs w:val="0"/>
                <w:szCs w:val="21"/>
                <w:highlight w:val="none"/>
              </w:rPr>
              <w:t>2.固定仓储（10分）</w:t>
            </w:r>
          </w:p>
          <w:p w14:paraId="1B62BFF3">
            <w:pPr>
              <w:ind w:firstLineChars="0"/>
              <w:rPr>
                <w:rFonts w:ascii="宋体" w:cs="仿宋"/>
                <w:szCs w:val="21"/>
                <w:highlight w:val="none"/>
              </w:rPr>
            </w:pPr>
            <w:r>
              <w:rPr>
                <w:rFonts w:hint="eastAsia" w:ascii="宋体" w:cs="仿宋"/>
                <w:szCs w:val="21"/>
                <w:highlight w:val="none"/>
              </w:rPr>
              <w:t>响应人自有或租赁的仓储库房面积大于10000（含）平米得10分；10000（不含）-5000（含）平米得8分；5000（不含）-2000（含）平米得5分；低于2000平米的，得2分。</w:t>
            </w:r>
            <w:r>
              <w:rPr>
                <w:rFonts w:hint="eastAsia"/>
                <w:highlight w:val="none"/>
              </w:rPr>
              <w:t>（总公司参选的，分公司、</w:t>
            </w:r>
            <w:r>
              <w:rPr>
                <w:rFonts w:hint="eastAsia"/>
                <w:highlight w:val="none"/>
                <w:lang w:val="en-US" w:eastAsia="zh-CN"/>
              </w:rPr>
              <w:t>全资</w:t>
            </w:r>
            <w:r>
              <w:rPr>
                <w:rFonts w:hint="eastAsia"/>
                <w:highlight w:val="none"/>
              </w:rPr>
              <w:t>子公司可计算入内</w:t>
            </w:r>
            <w:r>
              <w:rPr>
                <w:rFonts w:hint="eastAsia"/>
                <w:highlight w:val="none"/>
                <w:lang w:eastAsia="zh-CN"/>
              </w:rPr>
              <w:t>；</w:t>
            </w:r>
            <w:r>
              <w:rPr>
                <w:rFonts w:hint="eastAsia"/>
                <w:highlight w:val="none"/>
                <w:lang w:val="en-US" w:eastAsia="zh-CN"/>
              </w:rPr>
              <w:t>仓储库房应位于重庆市范围内</w:t>
            </w:r>
            <w:r>
              <w:rPr>
                <w:rFonts w:hint="eastAsia"/>
                <w:highlight w:val="none"/>
              </w:rPr>
              <w:t>）</w:t>
            </w:r>
            <w:r>
              <w:rPr>
                <w:rFonts w:hint="eastAsia" w:ascii="宋体" w:cs="仿宋"/>
                <w:szCs w:val="21"/>
                <w:highlight w:val="none"/>
              </w:rPr>
              <w:t>【自有仓储库房的提供产权证复印件，租赁仓储库房的提供租赁合同、产权证及最近一周期内的租赁发票和支付凭证复印件，分别配上图片和文字介绍，2028年12月31日之前在租赁有效期</w:t>
            </w:r>
            <w:r>
              <w:rPr>
                <w:rFonts w:hint="eastAsia" w:ascii="宋体" w:cs="仿宋"/>
                <w:szCs w:val="21"/>
                <w:highlight w:val="none"/>
                <w:lang w:val="en-US" w:eastAsia="zh-CN"/>
              </w:rPr>
              <w:t>内</w:t>
            </w:r>
            <w:r>
              <w:rPr>
                <w:rFonts w:hint="eastAsia" w:ascii="宋体" w:cs="仿宋"/>
                <w:szCs w:val="21"/>
                <w:highlight w:val="none"/>
              </w:rPr>
              <w:t>，并加响应人单位公章】</w:t>
            </w:r>
          </w:p>
          <w:p w14:paraId="22858E2D">
            <w:pPr>
              <w:ind w:firstLineChars="0"/>
              <w:rPr>
                <w:rFonts w:ascii="宋体" w:cs="仿宋"/>
                <w:b/>
                <w:bCs w:val="0"/>
                <w:szCs w:val="21"/>
                <w:highlight w:val="none"/>
              </w:rPr>
            </w:pPr>
            <w:r>
              <w:rPr>
                <w:rFonts w:hint="eastAsia" w:ascii="宋体" w:cs="仿宋"/>
                <w:b/>
                <w:bCs w:val="0"/>
                <w:szCs w:val="21"/>
                <w:highlight w:val="none"/>
              </w:rPr>
              <w:t>3.业绩（10分）</w:t>
            </w:r>
          </w:p>
          <w:p w14:paraId="49EDEBCA">
            <w:pPr>
              <w:spacing w:line="240" w:lineRule="auto"/>
              <w:ind w:firstLine="0" w:firstLineChars="0"/>
              <w:rPr>
                <w:rFonts w:ascii="宋体" w:cs="仿宋"/>
                <w:bCs/>
                <w:szCs w:val="21"/>
                <w:highlight w:val="none"/>
              </w:rPr>
            </w:pPr>
            <w:r>
              <w:rPr>
                <w:rFonts w:hint="eastAsia" w:ascii="宋体" w:cs="仿宋"/>
                <w:bCs/>
                <w:szCs w:val="21"/>
                <w:highlight w:val="none"/>
              </w:rPr>
              <w:t>提供自2021年1月1日至至2024年12月31日（以合同签订时间为准）的食材</w:t>
            </w:r>
            <w:r>
              <w:rPr>
                <w:rFonts w:hint="eastAsia" w:ascii="宋体" w:cs="仿宋"/>
                <w:bCs/>
                <w:szCs w:val="21"/>
                <w:highlight w:val="none"/>
                <w:lang w:val="en-US" w:eastAsia="zh-CN"/>
              </w:rPr>
              <w:t>销售或</w:t>
            </w:r>
            <w:r>
              <w:rPr>
                <w:rFonts w:hint="eastAsia" w:ascii="宋体" w:cs="仿宋"/>
                <w:bCs/>
                <w:szCs w:val="21"/>
                <w:highlight w:val="none"/>
              </w:rPr>
              <w:t>配送业绩</w:t>
            </w:r>
            <w:r>
              <w:rPr>
                <w:rFonts w:hint="eastAsia" w:ascii="宋体" w:cs="仿宋"/>
                <w:bCs/>
                <w:szCs w:val="21"/>
                <w:highlight w:val="none"/>
                <w:lang w:eastAsia="zh-CN"/>
              </w:rPr>
              <w:t>（</w:t>
            </w:r>
            <w:r>
              <w:rPr>
                <w:rFonts w:hint="eastAsia" w:ascii="宋体" w:cs="仿宋"/>
                <w:bCs/>
                <w:szCs w:val="21"/>
                <w:highlight w:val="none"/>
                <w:lang w:val="en-US" w:eastAsia="zh-CN"/>
              </w:rPr>
              <w:t>含资格条件中提供的有效业绩案例）</w:t>
            </w:r>
            <w:r>
              <w:rPr>
                <w:rFonts w:hint="eastAsia" w:ascii="宋体" w:cs="仿宋"/>
                <w:bCs/>
                <w:szCs w:val="21"/>
                <w:highlight w:val="none"/>
              </w:rPr>
              <w:t>，年</w:t>
            </w:r>
            <w:r>
              <w:rPr>
                <w:rFonts w:hint="eastAsia" w:ascii="宋体" w:cs="仿宋"/>
                <w:bCs/>
                <w:szCs w:val="21"/>
                <w:highlight w:val="none"/>
                <w:lang w:val="en-US" w:eastAsia="zh-CN"/>
              </w:rPr>
              <w:t>销售或配送</w:t>
            </w:r>
            <w:r>
              <w:rPr>
                <w:rFonts w:hint="eastAsia" w:ascii="宋体" w:cs="仿宋"/>
                <w:bCs/>
                <w:szCs w:val="21"/>
                <w:highlight w:val="none"/>
              </w:rPr>
              <w:t>金额不低于500万元，每提供一个得2分，最多得10分。</w:t>
            </w:r>
            <w:r>
              <w:rPr>
                <w:rFonts w:hint="eastAsia"/>
                <w:highlight w:val="none"/>
              </w:rPr>
              <w:t>（总公司参选的，分公司、</w:t>
            </w:r>
            <w:r>
              <w:rPr>
                <w:rFonts w:hint="eastAsia"/>
                <w:highlight w:val="none"/>
                <w:lang w:val="en-US" w:eastAsia="zh-CN"/>
              </w:rPr>
              <w:t>全资</w:t>
            </w:r>
            <w:r>
              <w:rPr>
                <w:rFonts w:hint="eastAsia"/>
                <w:highlight w:val="none"/>
              </w:rPr>
              <w:t>子公司可计算入内。）</w:t>
            </w:r>
            <w:r>
              <w:rPr>
                <w:rFonts w:hint="eastAsia" w:ascii="宋体" w:cs="仿宋"/>
                <w:bCs/>
                <w:szCs w:val="21"/>
                <w:highlight w:val="none"/>
              </w:rPr>
              <w:t>【提供：1.合同关键页（合同关键页包含甲乙双方名称、双方印章、项目名称、合同签订时间、服务范围。）；2.合同签订后任意一年内金额不低于500万元的发票明细汇总表并逐笔附对应的发票，发票开具日期须晚于合同签订日期，发票购买方须与合同买方一致，发票销售方须与合同卖方（响应人</w:t>
            </w:r>
            <w:r>
              <w:rPr>
                <w:rFonts w:hint="eastAsia"/>
                <w:highlight w:val="none"/>
                <w:lang w:val="en-US" w:eastAsia="zh-CN"/>
              </w:rPr>
              <w:t>或分公司、全资子公司</w:t>
            </w:r>
            <w:r>
              <w:rPr>
                <w:rFonts w:hint="eastAsia" w:ascii="宋体" w:cs="仿宋"/>
                <w:bCs/>
                <w:szCs w:val="21"/>
                <w:highlight w:val="none"/>
              </w:rPr>
              <w:t>）一致）】</w:t>
            </w:r>
          </w:p>
          <w:p w14:paraId="4F4F6C56">
            <w:pPr>
              <w:rPr>
                <w:rFonts w:ascii="宋体" w:cs="仿宋"/>
                <w:b/>
                <w:bCs w:val="0"/>
                <w:szCs w:val="21"/>
                <w:highlight w:val="none"/>
              </w:rPr>
            </w:pPr>
            <w:r>
              <w:rPr>
                <w:rFonts w:hint="eastAsia" w:ascii="宋体" w:cs="仿宋"/>
                <w:b/>
                <w:bCs w:val="0"/>
                <w:szCs w:val="21"/>
                <w:highlight w:val="none"/>
              </w:rPr>
              <w:t>4.保障能力（10分）</w:t>
            </w:r>
          </w:p>
          <w:p w14:paraId="12FE5A61">
            <w:pPr>
              <w:rPr>
                <w:rFonts w:ascii="宋体" w:cs="仿宋"/>
                <w:szCs w:val="21"/>
                <w:highlight w:val="none"/>
              </w:rPr>
            </w:pPr>
            <w:r>
              <w:rPr>
                <w:rFonts w:hint="eastAsia" w:ascii="宋体" w:cs="仿宋"/>
                <w:szCs w:val="21"/>
                <w:highlight w:val="none"/>
              </w:rPr>
              <w:t>为保证食品安全，响应人购买有有效期内食品安全保险或产品责任险，保险金额5000万（不含）以上得10分；保险金额3000万（不含）—5000万（含）得8分；保险金额1000万（不含）—3000万（含）得5分；保险金额1000万及以下得2分。</w:t>
            </w:r>
            <w:r>
              <w:rPr>
                <w:rFonts w:hint="eastAsia"/>
                <w:highlight w:val="none"/>
              </w:rPr>
              <w:t>（总公司参选的，分公司、</w:t>
            </w:r>
            <w:r>
              <w:rPr>
                <w:rFonts w:hint="eastAsia"/>
                <w:highlight w:val="none"/>
                <w:lang w:val="en-US" w:eastAsia="zh-CN"/>
              </w:rPr>
              <w:t>全资</w:t>
            </w:r>
            <w:r>
              <w:rPr>
                <w:rFonts w:hint="eastAsia"/>
                <w:highlight w:val="none"/>
              </w:rPr>
              <w:t>子公司可计算入内。）</w:t>
            </w:r>
            <w:r>
              <w:rPr>
                <w:rFonts w:hint="eastAsia" w:ascii="宋体" w:cs="仿宋"/>
                <w:szCs w:val="21"/>
                <w:highlight w:val="none"/>
              </w:rPr>
              <w:t>【提供保险单复印件及加盖响应人单位公章）】</w:t>
            </w:r>
          </w:p>
          <w:p w14:paraId="4333E2F0">
            <w:pPr>
              <w:ind w:firstLine="0" w:firstLineChars="0"/>
              <w:rPr>
                <w:rFonts w:hint="default" w:eastAsia="宋体"/>
                <w:highlight w:val="none"/>
                <w:lang w:val="en-US" w:eastAsia="zh-CN"/>
              </w:rPr>
            </w:pPr>
            <w:r>
              <w:rPr>
                <w:rFonts w:hint="eastAsia"/>
                <w:highlight w:val="none"/>
                <w:lang w:val="en-US" w:eastAsia="zh-CN"/>
              </w:rPr>
              <w:t>注：商务部分，若提供分公司、全资子公司业绩证明材料的，响应人须承诺与该公司存在关联关系。【提供承诺函并加盖公章】</w:t>
            </w:r>
          </w:p>
        </w:tc>
      </w:tr>
    </w:tbl>
    <w:p w14:paraId="1D931B30">
      <w:pPr>
        <w:rPr>
          <w:highlight w:val="none"/>
        </w:rPr>
      </w:pPr>
    </w:p>
    <w:p w14:paraId="0EF0CA5F">
      <w:pPr>
        <w:rPr>
          <w:highlight w:val="none"/>
        </w:rPr>
      </w:pPr>
    </w:p>
    <w:p w14:paraId="1345CCCE">
      <w:pPr>
        <w:rPr>
          <w:highlight w:val="none"/>
        </w:rPr>
        <w:sectPr>
          <w:pgSz w:w="11906" w:h="16838"/>
          <w:pgMar w:top="1440" w:right="1800" w:bottom="1440" w:left="1800" w:header="851" w:footer="992" w:gutter="0"/>
          <w:pgNumType w:fmt="decimal"/>
          <w:cols w:space="720" w:num="1"/>
          <w:docGrid w:type="lines" w:linePitch="312" w:charSpace="0"/>
        </w:sectPr>
      </w:pPr>
    </w:p>
    <w:p w14:paraId="5A318885">
      <w:pPr>
        <w:rPr>
          <w:highlight w:val="none"/>
        </w:rPr>
      </w:pPr>
    </w:p>
    <w:p w14:paraId="09947261">
      <w:pPr>
        <w:pStyle w:val="3"/>
        <w:rPr>
          <w:highlight w:val="none"/>
        </w:rPr>
      </w:pPr>
      <w:bookmarkStart w:id="120" w:name="_Toc22873"/>
      <w:r>
        <w:rPr>
          <w:rFonts w:hint="eastAsia"/>
          <w:highlight w:val="none"/>
        </w:rPr>
        <w:t>1. 评审方法</w:t>
      </w:r>
      <w:bookmarkEnd w:id="120"/>
    </w:p>
    <w:p w14:paraId="4B8E322C">
      <w:pPr>
        <w:rPr>
          <w:highlight w:val="none"/>
        </w:rPr>
      </w:pPr>
      <w:r>
        <w:rPr>
          <w:rFonts w:hint="eastAsia"/>
          <w:highlight w:val="none"/>
        </w:rPr>
        <w:t>本次评审采用综合评估法。评审委员会按照本章第2.2 条规定的评分标准进行打分，按得分由高到低顺序推荐入围候选人。综合评分相等时，由评审委员会按照单个案例金额最大的原则排序。若入围单位不足3家，本项目询比失败。</w:t>
      </w:r>
    </w:p>
    <w:p w14:paraId="069D3E2C">
      <w:pPr>
        <w:pStyle w:val="3"/>
        <w:rPr>
          <w:highlight w:val="none"/>
        </w:rPr>
      </w:pPr>
      <w:bookmarkStart w:id="121" w:name="_Toc25663"/>
      <w:r>
        <w:rPr>
          <w:rFonts w:hint="eastAsia"/>
          <w:highlight w:val="none"/>
        </w:rPr>
        <w:t>2. 评审标准</w:t>
      </w:r>
      <w:bookmarkEnd w:id="121"/>
    </w:p>
    <w:p w14:paraId="479F2A3C">
      <w:pPr>
        <w:pStyle w:val="4"/>
        <w:rPr>
          <w:highlight w:val="none"/>
        </w:rPr>
      </w:pPr>
      <w:r>
        <w:rPr>
          <w:rFonts w:hint="eastAsia"/>
          <w:highlight w:val="none"/>
        </w:rPr>
        <w:t>2.1 初步评审标准</w:t>
      </w:r>
    </w:p>
    <w:p w14:paraId="66E6082F">
      <w:pPr>
        <w:rPr>
          <w:highlight w:val="none"/>
        </w:rPr>
      </w:pPr>
      <w:r>
        <w:rPr>
          <w:rFonts w:hint="eastAsia"/>
          <w:highlight w:val="none"/>
        </w:rPr>
        <w:t>2.1.1 资格评审标准：见评审办法前附表。</w:t>
      </w:r>
    </w:p>
    <w:p w14:paraId="4747325D">
      <w:pPr>
        <w:rPr>
          <w:highlight w:val="none"/>
        </w:rPr>
      </w:pPr>
      <w:r>
        <w:rPr>
          <w:rFonts w:hint="eastAsia"/>
          <w:highlight w:val="none"/>
        </w:rPr>
        <w:t>2.1.2 形式评审标准：见评审办法前附表。</w:t>
      </w:r>
    </w:p>
    <w:p w14:paraId="167094A2">
      <w:pPr>
        <w:rPr>
          <w:highlight w:val="none"/>
        </w:rPr>
      </w:pPr>
      <w:r>
        <w:rPr>
          <w:rFonts w:hint="eastAsia"/>
          <w:highlight w:val="none"/>
        </w:rPr>
        <w:t>2.1.3 响应性评审标准：见评审办法前附表。</w:t>
      </w:r>
    </w:p>
    <w:p w14:paraId="54B56372">
      <w:pPr>
        <w:pStyle w:val="4"/>
        <w:rPr>
          <w:highlight w:val="none"/>
        </w:rPr>
      </w:pPr>
      <w:r>
        <w:rPr>
          <w:rFonts w:hint="eastAsia"/>
          <w:highlight w:val="none"/>
        </w:rPr>
        <w:t>2.2 分值构成与评分标准</w:t>
      </w:r>
    </w:p>
    <w:p w14:paraId="7A836151">
      <w:pPr>
        <w:rPr>
          <w:highlight w:val="none"/>
        </w:rPr>
      </w:pPr>
      <w:r>
        <w:rPr>
          <w:rFonts w:hint="eastAsia"/>
          <w:highlight w:val="none"/>
        </w:rPr>
        <w:t xml:space="preserve">2.2.1 分值构成：见评审办法前附表。 </w:t>
      </w:r>
    </w:p>
    <w:p w14:paraId="549D0D5A">
      <w:pPr>
        <w:rPr>
          <w:highlight w:val="none"/>
        </w:rPr>
      </w:pPr>
      <w:r>
        <w:rPr>
          <w:rFonts w:hint="eastAsia"/>
          <w:highlight w:val="none"/>
        </w:rPr>
        <w:t>2.2.2 评审基准价计算方法：见评审办法前附表。</w:t>
      </w:r>
    </w:p>
    <w:p w14:paraId="15B706F8">
      <w:pPr>
        <w:rPr>
          <w:highlight w:val="none"/>
        </w:rPr>
      </w:pPr>
      <w:r>
        <w:rPr>
          <w:rFonts w:hint="eastAsia"/>
          <w:highlight w:val="none"/>
        </w:rPr>
        <w:t>2.2.3 评分标准：（1）响应报价评分标准：见评审办法前附表；</w:t>
      </w:r>
    </w:p>
    <w:p w14:paraId="38EAB3D8">
      <w:pPr>
        <w:ind w:left="1680"/>
        <w:rPr>
          <w:highlight w:val="none"/>
        </w:rPr>
      </w:pPr>
      <w:r>
        <w:rPr>
          <w:rFonts w:hint="eastAsia"/>
          <w:highlight w:val="none"/>
        </w:rPr>
        <w:t>（2）商务部分评分标准：见评审办法前附表；</w:t>
      </w:r>
    </w:p>
    <w:p w14:paraId="52C977C7">
      <w:pPr>
        <w:ind w:left="1680"/>
        <w:rPr>
          <w:highlight w:val="none"/>
        </w:rPr>
      </w:pPr>
      <w:r>
        <w:rPr>
          <w:rFonts w:hint="eastAsia"/>
          <w:highlight w:val="none"/>
        </w:rPr>
        <w:t>（3）技术部分评分标准：见评审办法前附表。</w:t>
      </w:r>
    </w:p>
    <w:p w14:paraId="6FE4E46B">
      <w:pPr>
        <w:pStyle w:val="3"/>
        <w:rPr>
          <w:highlight w:val="none"/>
        </w:rPr>
      </w:pPr>
      <w:bookmarkStart w:id="122" w:name="_Toc32747"/>
      <w:r>
        <w:rPr>
          <w:rFonts w:hint="eastAsia"/>
          <w:highlight w:val="none"/>
        </w:rPr>
        <w:t>3. 评审程序</w:t>
      </w:r>
      <w:bookmarkEnd w:id="122"/>
    </w:p>
    <w:p w14:paraId="7DAD8392">
      <w:pPr>
        <w:pStyle w:val="4"/>
        <w:rPr>
          <w:highlight w:val="none"/>
        </w:rPr>
      </w:pPr>
      <w:r>
        <w:rPr>
          <w:rFonts w:hint="eastAsia"/>
          <w:highlight w:val="none"/>
        </w:rPr>
        <w:t>3.1 初步评审</w:t>
      </w:r>
    </w:p>
    <w:p w14:paraId="47C50231">
      <w:pPr>
        <w:rPr>
          <w:highlight w:val="none"/>
        </w:rPr>
      </w:pPr>
      <w:r>
        <w:rPr>
          <w:rFonts w:hint="eastAsia"/>
          <w:highlight w:val="none"/>
        </w:rPr>
        <w:t>3.1.1 评审委员会依据本章第2.1 条规定的标准对响应文件进行初步评审。有一项不符合评审标准的，作否决响应处理。</w:t>
      </w:r>
    </w:p>
    <w:p w14:paraId="735EC7FA">
      <w:pPr>
        <w:rPr>
          <w:highlight w:val="none"/>
        </w:rPr>
      </w:pPr>
      <w:r>
        <w:rPr>
          <w:rFonts w:hint="eastAsia"/>
          <w:highlight w:val="none"/>
        </w:rPr>
        <w:t>3.1.2 响应人有以下情形之一的，其响应作否决响应处理：</w:t>
      </w:r>
    </w:p>
    <w:p w14:paraId="2F481498">
      <w:pPr>
        <w:rPr>
          <w:highlight w:val="none"/>
        </w:rPr>
      </w:pPr>
      <w:r>
        <w:rPr>
          <w:rFonts w:hint="eastAsia"/>
          <w:highlight w:val="none"/>
        </w:rPr>
        <w:t>3.1.2.1 有第二章“响应人须知”第9.条以及第11. 条规定的任何一种情形的；</w:t>
      </w:r>
    </w:p>
    <w:p w14:paraId="0EC90A4A">
      <w:pPr>
        <w:rPr>
          <w:highlight w:val="none"/>
        </w:rPr>
      </w:pPr>
      <w:r>
        <w:rPr>
          <w:rFonts w:hint="eastAsia"/>
          <w:highlight w:val="none"/>
        </w:rPr>
        <w:t>3.1.2.2 有串通响应、弄虚作假等其他违反相关法律、法规行为的；</w:t>
      </w:r>
    </w:p>
    <w:p w14:paraId="41C0C6EF">
      <w:pPr>
        <w:rPr>
          <w:highlight w:val="none"/>
        </w:rPr>
      </w:pPr>
      <w:r>
        <w:rPr>
          <w:rFonts w:hint="eastAsia"/>
          <w:highlight w:val="none"/>
        </w:rPr>
        <w:t>3.1.2.3 不按评审委员会要求澄清、说明或补正的。</w:t>
      </w:r>
    </w:p>
    <w:p w14:paraId="0FABC16B">
      <w:pPr>
        <w:rPr>
          <w:highlight w:val="none"/>
        </w:rPr>
      </w:pPr>
      <w:r>
        <w:rPr>
          <w:rFonts w:hint="eastAsia"/>
          <w:highlight w:val="none"/>
        </w:rPr>
        <w:t>3.1.2.4 本响应文件约定的其它情形。</w:t>
      </w:r>
    </w:p>
    <w:p w14:paraId="78AB58AD">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4.9 条。</w:t>
      </w:r>
    </w:p>
    <w:p w14:paraId="2D4E7D24">
      <w:pPr>
        <w:pStyle w:val="4"/>
        <w:rPr>
          <w:highlight w:val="none"/>
        </w:rPr>
      </w:pPr>
      <w:r>
        <w:rPr>
          <w:rFonts w:hint="eastAsia"/>
          <w:highlight w:val="none"/>
        </w:rPr>
        <w:t>3.2 详细评审</w:t>
      </w:r>
    </w:p>
    <w:p w14:paraId="4C058E57">
      <w:pPr>
        <w:rPr>
          <w:highlight w:val="none"/>
        </w:rPr>
      </w:pPr>
      <w:r>
        <w:rPr>
          <w:rFonts w:hint="eastAsia"/>
          <w:highlight w:val="none"/>
        </w:rPr>
        <w:t>3.2.1 评审委员会按本章第2.2 条规定的量化因素和分值进行打分，并计算出综合评估得分。</w:t>
      </w:r>
    </w:p>
    <w:p w14:paraId="1F136C2C">
      <w:pPr>
        <w:rPr>
          <w:highlight w:val="none"/>
        </w:rPr>
      </w:pPr>
      <w:r>
        <w:rPr>
          <w:rFonts w:hint="eastAsia"/>
          <w:highlight w:val="none"/>
        </w:rPr>
        <w:t>3.2.1.1 按本章第2.2 条规定的评审因素和分值对响应报价计算出得分；</w:t>
      </w:r>
    </w:p>
    <w:p w14:paraId="1783F48F">
      <w:pPr>
        <w:rPr>
          <w:highlight w:val="none"/>
        </w:rPr>
      </w:pPr>
      <w:r>
        <w:rPr>
          <w:rFonts w:hint="eastAsia"/>
          <w:highlight w:val="none"/>
        </w:rPr>
        <w:t>3.2.1.2 按本章第2.2 条规定的评审因素和分值对商务部分计算出得分（评审委员会统一打分）；</w:t>
      </w:r>
    </w:p>
    <w:p w14:paraId="4BEBD67E">
      <w:pPr>
        <w:rPr>
          <w:highlight w:val="none"/>
        </w:rPr>
      </w:pPr>
      <w:r>
        <w:rPr>
          <w:rFonts w:hint="eastAsia"/>
          <w:highlight w:val="none"/>
        </w:rPr>
        <w:t>3.2.2 评分分值计算保留小数点后两位，小数点后第三位“四舍五入”。</w:t>
      </w:r>
    </w:p>
    <w:p w14:paraId="65DCEACF">
      <w:pPr>
        <w:rPr>
          <w:highlight w:val="none"/>
        </w:rPr>
      </w:pPr>
      <w:r>
        <w:rPr>
          <w:rFonts w:hint="eastAsia"/>
          <w:highlight w:val="none"/>
        </w:rPr>
        <w:t>3.2.3 响应人得分=商务部分得分+技术部分得分。</w:t>
      </w:r>
    </w:p>
    <w:p w14:paraId="5CEE9E62">
      <w:pPr>
        <w:pStyle w:val="4"/>
        <w:rPr>
          <w:highlight w:val="none"/>
        </w:rPr>
      </w:pPr>
      <w:r>
        <w:rPr>
          <w:rFonts w:hint="eastAsia"/>
          <w:highlight w:val="none"/>
        </w:rPr>
        <w:t>3.3 响应文件的澄清和补正</w:t>
      </w:r>
    </w:p>
    <w:p w14:paraId="76A43F40">
      <w:pPr>
        <w:rPr>
          <w:highlight w:val="none"/>
        </w:rPr>
      </w:pPr>
      <w:r>
        <w:rPr>
          <w:rFonts w:hint="eastAsia"/>
          <w:highlight w:val="none"/>
        </w:rPr>
        <w:t>3.3.1 在评审过程中，评审委员会可以书面形式要求响应人对所提交响应文件中不明确的内容进行书面澄清或说明，或者对细微偏差进行补正。评审委员会不接受响应人主动提出的澄清、说明或补正。</w:t>
      </w:r>
    </w:p>
    <w:p w14:paraId="5B656DCE">
      <w:pPr>
        <w:rPr>
          <w:highlight w:val="none"/>
        </w:rPr>
      </w:pPr>
      <w:r>
        <w:rPr>
          <w:rFonts w:hint="eastAsia"/>
          <w:highlight w:val="none"/>
        </w:rPr>
        <w:t>3.3.2 澄清、说明和补正不得改变响应文件的实质性内容（算术性错误修正的除外）。响应人的书面澄清、说明和补正属于响应文件的组成部分。</w:t>
      </w:r>
    </w:p>
    <w:p w14:paraId="528D3395">
      <w:pPr>
        <w:rPr>
          <w:highlight w:val="none"/>
        </w:rPr>
      </w:pPr>
      <w:r>
        <w:rPr>
          <w:rFonts w:hint="eastAsia"/>
          <w:highlight w:val="none"/>
        </w:rPr>
        <w:t>3.3.3评审委员会对响应人提交的澄清、说明或补正有疑问的，可以要求响应人进一步澄清、说明或补正，直至满足评审委员会的要求。</w:t>
      </w:r>
    </w:p>
    <w:p w14:paraId="196EC5CE">
      <w:pPr>
        <w:pStyle w:val="4"/>
        <w:rPr>
          <w:highlight w:val="none"/>
        </w:rPr>
      </w:pPr>
      <w:r>
        <w:rPr>
          <w:rFonts w:hint="eastAsia"/>
          <w:highlight w:val="none"/>
        </w:rPr>
        <w:t>3.4 评审结果</w:t>
      </w:r>
    </w:p>
    <w:p w14:paraId="71292627">
      <w:pPr>
        <w:rPr>
          <w:highlight w:val="none"/>
        </w:rPr>
      </w:pPr>
      <w:r>
        <w:rPr>
          <w:rFonts w:hint="eastAsia"/>
          <w:highlight w:val="none"/>
        </w:rPr>
        <w:t>3.4.1 评审委员会按照得分由高到低的顺序推荐入围候选人。</w:t>
      </w:r>
    </w:p>
    <w:p w14:paraId="722B909C">
      <w:pPr>
        <w:rPr>
          <w:highlight w:val="none"/>
        </w:rPr>
      </w:pPr>
      <w:r>
        <w:rPr>
          <w:rFonts w:hint="eastAsia"/>
          <w:highlight w:val="none"/>
        </w:rPr>
        <w:t>3.4.2 评审委员会完成评审后，应当向采购人提交书面评审报告。</w:t>
      </w:r>
    </w:p>
    <w:p w14:paraId="7879F2AF">
      <w:pPr>
        <w:pStyle w:val="4"/>
        <w:rPr>
          <w:highlight w:val="none"/>
        </w:rPr>
      </w:pPr>
      <w:r>
        <w:rPr>
          <w:rFonts w:hint="eastAsia"/>
          <w:highlight w:val="none"/>
        </w:rPr>
        <w:t>3.5 对评审委员会成员的纪律要求</w:t>
      </w:r>
    </w:p>
    <w:p w14:paraId="7436AD04">
      <w:pPr>
        <w:rPr>
          <w:highlight w:val="none"/>
        </w:rPr>
      </w:pPr>
      <w:r>
        <w:rPr>
          <w:rFonts w:hint="eastAsia"/>
          <w:highlight w:val="none"/>
        </w:rPr>
        <w:t>评审委员会成员不得收受他人的财物或者其它好处，不得向他人透露对响应文件的评审和比较、入围候选人的推荐情况以及评审有关的其他情况。在评审活动中，评审委员会成员不得擅离职守，影响评审程序正常进行，不得使用本询比文件没有规定的评审因素进行评审。</w:t>
      </w:r>
    </w:p>
    <w:p w14:paraId="26C1F2F6">
      <w:pPr>
        <w:pStyle w:val="4"/>
        <w:rPr>
          <w:highlight w:val="none"/>
        </w:rPr>
      </w:pPr>
      <w:r>
        <w:rPr>
          <w:rFonts w:hint="eastAsia"/>
          <w:highlight w:val="none"/>
        </w:rPr>
        <w:t>3.6 对与评审活动有关的工作人员的纪律要求</w:t>
      </w:r>
    </w:p>
    <w:p w14:paraId="0D860B6C">
      <w:pPr>
        <w:rPr>
          <w:highlight w:val="none"/>
        </w:rPr>
      </w:pPr>
      <w:r>
        <w:rPr>
          <w:rFonts w:hint="eastAsia"/>
          <w:highlight w:val="none"/>
        </w:rPr>
        <w:t>与评审活动有关的工作人员不得收受他人的财物或者其他好处，不得向他人透漏对响应文件的评审和比较、入围候选人的推荐情况以及与评审有关的其他情况。在评审活动中，与评审活动有关的工作人员不得擅离职守，影响评审程序正常进行。</w:t>
      </w:r>
    </w:p>
    <w:p w14:paraId="3574B2AB">
      <w:pPr>
        <w:rPr>
          <w:highlight w:val="none"/>
        </w:rPr>
      </w:pPr>
    </w:p>
    <w:p w14:paraId="7F6C7557">
      <w:pPr>
        <w:rPr>
          <w:highlight w:val="none"/>
        </w:rPr>
        <w:sectPr>
          <w:pgSz w:w="11906" w:h="16838"/>
          <w:pgMar w:top="1440" w:right="1800" w:bottom="1440" w:left="1800" w:header="851" w:footer="992" w:gutter="0"/>
          <w:pgNumType w:fmt="decimal"/>
          <w:cols w:space="720" w:num="1"/>
          <w:docGrid w:type="lines" w:linePitch="312" w:charSpace="0"/>
        </w:sectPr>
      </w:pPr>
    </w:p>
    <w:bookmarkEnd w:id="113"/>
    <w:bookmarkEnd w:id="119"/>
    <w:p w14:paraId="55E9AA09">
      <w:pPr>
        <w:pStyle w:val="2"/>
        <w:rPr>
          <w:highlight w:val="none"/>
        </w:rPr>
      </w:pPr>
      <w:bookmarkStart w:id="123" w:name="_Toc27619"/>
      <w:bookmarkStart w:id="124" w:name="_Toc26620"/>
      <w:bookmarkStart w:id="125" w:name="_Toc150953074"/>
      <w:bookmarkStart w:id="126" w:name="_Toc16424"/>
      <w:bookmarkStart w:id="127" w:name="_Toc1362"/>
      <w:bookmarkStart w:id="128" w:name="_Toc19603"/>
      <w:bookmarkStart w:id="129" w:name="_Toc29798"/>
      <w:bookmarkStart w:id="130" w:name="_Toc303066034"/>
      <w:bookmarkStart w:id="131" w:name="_Toc89675170"/>
      <w:r>
        <w:rPr>
          <w:rFonts w:hint="eastAsia"/>
          <w:highlight w:val="none"/>
        </w:rPr>
        <w:t>第五章 合同</w:t>
      </w:r>
      <w:r>
        <w:rPr>
          <w:highlight w:val="none"/>
        </w:rPr>
        <w:t>模板</w:t>
      </w:r>
      <w:bookmarkEnd w:id="123"/>
      <w:bookmarkEnd w:id="124"/>
      <w:bookmarkEnd w:id="125"/>
      <w:bookmarkEnd w:id="126"/>
      <w:bookmarkEnd w:id="127"/>
      <w:bookmarkEnd w:id="128"/>
      <w:bookmarkEnd w:id="129"/>
    </w:p>
    <w:p w14:paraId="040EB994">
      <w:pPr>
        <w:ind w:firstLine="0" w:firstLineChars="0"/>
        <w:jc w:val="center"/>
        <w:rPr>
          <w:highlight w:val="none"/>
        </w:rPr>
      </w:pPr>
      <w:r>
        <w:rPr>
          <w:rFonts w:hint="eastAsia"/>
          <w:highlight w:val="none"/>
        </w:rPr>
        <w:t>（本章节的合同条款及格式仅供参考，具体以合同签订时为准）</w:t>
      </w:r>
    </w:p>
    <w:p w14:paraId="40BCFC53">
      <w:pPr>
        <w:ind w:firstLine="315" w:firstLineChars="150"/>
        <w:rPr>
          <w:highlight w:val="none"/>
          <w:lang w:val="zh-CN"/>
        </w:rPr>
      </w:pPr>
      <w:r>
        <w:rPr>
          <w:rFonts w:hint="eastAsia"/>
          <w:highlight w:val="none"/>
          <w:lang w:val="zh-CN"/>
        </w:rPr>
        <w:t>甲方：</w:t>
      </w:r>
      <w:r>
        <w:rPr>
          <w:rFonts w:hint="eastAsia"/>
          <w:highlight w:val="none"/>
          <w:u w:val="single"/>
        </w:rPr>
        <w:t xml:space="preserve">重庆三峡银行股份有限公司         ___  </w:t>
      </w:r>
      <w:r>
        <w:rPr>
          <w:rFonts w:hint="eastAsia"/>
          <w:highlight w:val="none"/>
          <w:lang w:val="zh-CN"/>
        </w:rPr>
        <w:t>（采购人）</w:t>
      </w:r>
    </w:p>
    <w:p w14:paraId="4074BCA4">
      <w:pPr>
        <w:rPr>
          <w:highlight w:val="none"/>
          <w:lang w:val="zh-CN"/>
        </w:rPr>
      </w:pPr>
      <w:r>
        <w:rPr>
          <w:rFonts w:hint="eastAsia"/>
          <w:highlight w:val="none"/>
          <w:lang w:val="zh-CN"/>
        </w:rPr>
        <w:t>统一社会信用代码：</w:t>
      </w:r>
    </w:p>
    <w:p w14:paraId="7801CB5A">
      <w:pPr>
        <w:rPr>
          <w:highlight w:val="none"/>
          <w:lang w:val="zh-CN"/>
        </w:rPr>
      </w:pPr>
    </w:p>
    <w:p w14:paraId="5B678229">
      <w:pPr>
        <w:rPr>
          <w:highlight w:val="none"/>
          <w:lang w:val="zh-CN"/>
        </w:rPr>
      </w:pPr>
      <w:r>
        <w:rPr>
          <w:rFonts w:hint="eastAsia"/>
          <w:highlight w:val="none"/>
          <w:lang w:val="zh-CN"/>
        </w:rPr>
        <w:t>乙方：（</w:t>
      </w:r>
      <w:r>
        <w:rPr>
          <w:rFonts w:hint="eastAsia"/>
          <w:highlight w:val="none"/>
        </w:rPr>
        <w:t>响应人</w:t>
      </w:r>
      <w:r>
        <w:rPr>
          <w:rFonts w:hint="eastAsia"/>
          <w:highlight w:val="none"/>
          <w:lang w:val="zh-CN"/>
        </w:rPr>
        <w:t>）</w:t>
      </w:r>
    </w:p>
    <w:p w14:paraId="65A759BB">
      <w:pPr>
        <w:rPr>
          <w:highlight w:val="none"/>
          <w:lang w:val="zh-CN"/>
        </w:rPr>
      </w:pPr>
      <w:r>
        <w:rPr>
          <w:rFonts w:hint="eastAsia"/>
          <w:highlight w:val="none"/>
          <w:lang w:val="zh-CN"/>
        </w:rPr>
        <w:t>统一社会信用代码：</w:t>
      </w:r>
    </w:p>
    <w:p w14:paraId="2A40FAE6">
      <w:pPr>
        <w:rPr>
          <w:highlight w:val="none"/>
          <w:lang w:val="zh-CN"/>
        </w:rPr>
      </w:pPr>
    </w:p>
    <w:p w14:paraId="1834294E">
      <w:pPr>
        <w:rPr>
          <w:highlight w:val="none"/>
        </w:rPr>
      </w:pPr>
      <w:r>
        <w:rPr>
          <w:rFonts w:hint="eastAsia"/>
          <w:highlight w:val="none"/>
          <w:lang w:val="zh-CN"/>
        </w:rPr>
        <w:t>为规范甲方食堂食材采购工作，降低采购成本，确保食</w:t>
      </w:r>
      <w:r>
        <w:rPr>
          <w:rFonts w:hint="eastAsia"/>
          <w:highlight w:val="none"/>
        </w:rPr>
        <w:t>材</w:t>
      </w:r>
      <w:r>
        <w:rPr>
          <w:rFonts w:hint="eastAsia"/>
          <w:highlight w:val="none"/>
          <w:lang w:val="zh-CN"/>
        </w:rPr>
        <w:t>质量安全，引导、规范</w:t>
      </w:r>
      <w:r>
        <w:rPr>
          <w:rFonts w:hint="eastAsia"/>
          <w:highlight w:val="none"/>
        </w:rPr>
        <w:t>食材</w:t>
      </w:r>
      <w:r>
        <w:rPr>
          <w:rFonts w:hint="eastAsia"/>
          <w:highlight w:val="none"/>
          <w:lang w:val="zh-CN"/>
        </w:rPr>
        <w:t>供应企业诚信经营，甲乙双方根据《中华人民共和国民法典》《中华人民共和国食品安全法》及相关的法律法规，本着友好合作、共同协商的原则，在平等自愿、协商一致的基础上，达成如下协议：</w:t>
      </w:r>
    </w:p>
    <w:p w14:paraId="0F13B603">
      <w:pPr>
        <w:outlineLvl w:val="9"/>
        <w:rPr>
          <w:highlight w:val="none"/>
          <w:lang w:val="zh-CN"/>
        </w:rPr>
      </w:pPr>
      <w:bookmarkStart w:id="132" w:name="_Toc21444"/>
      <w:bookmarkStart w:id="133" w:name="_Toc28155"/>
      <w:r>
        <w:rPr>
          <w:rFonts w:hint="eastAsia"/>
          <w:highlight w:val="none"/>
          <w:lang w:val="zh-CN"/>
        </w:rPr>
        <w:t>一、服务内容</w:t>
      </w:r>
      <w:bookmarkEnd w:id="132"/>
      <w:bookmarkEnd w:id="133"/>
    </w:p>
    <w:p w14:paraId="6D504991">
      <w:pPr>
        <w:rPr>
          <w:highlight w:val="none"/>
          <w:lang w:val="zh-CN"/>
        </w:rPr>
      </w:pPr>
      <w:r>
        <w:rPr>
          <w:rFonts w:hint="eastAsia"/>
          <w:highlight w:val="none"/>
          <w:lang w:val="zh-CN"/>
        </w:rPr>
        <w:t>（一）配送任务：乙方负责甲方</w:t>
      </w:r>
      <w:r>
        <w:rPr>
          <w:rFonts w:hint="eastAsia"/>
          <w:highlight w:val="none"/>
        </w:rPr>
        <w:t>员工</w:t>
      </w:r>
      <w:r>
        <w:rPr>
          <w:rFonts w:hint="eastAsia"/>
          <w:highlight w:val="none"/>
          <w:lang w:val="zh-CN"/>
        </w:rPr>
        <w:t>食堂（</w:t>
      </w:r>
      <w:r>
        <w:rPr>
          <w:rFonts w:hint="eastAsia"/>
          <w:highlight w:val="none"/>
        </w:rPr>
        <w:t>以下简称“食堂”</w:t>
      </w:r>
      <w:r>
        <w:rPr>
          <w:rFonts w:hint="eastAsia"/>
          <w:highlight w:val="none"/>
          <w:lang w:val="zh-CN"/>
        </w:rPr>
        <w:t>）的食品原材料配送。</w:t>
      </w:r>
    </w:p>
    <w:p w14:paraId="28F81363">
      <w:pPr>
        <w:rPr>
          <w:highlight w:val="none"/>
          <w:lang w:val="zh-CN"/>
        </w:rPr>
      </w:pPr>
      <w:r>
        <w:rPr>
          <w:rFonts w:hint="eastAsia"/>
          <w:highlight w:val="none"/>
          <w:lang w:val="zh-CN"/>
        </w:rPr>
        <w:t>（二）配送种类：食品原材料，每类食品根据甲方使用习惯统一规定品种。乙方按甲方需求提供招标范围内的产品及相关服务（包括但不限于米、面、油、肉类、水产类、禽蛋、奶制品、水果、蔬菜、副食、调料、干杂等系列产品及配送服务等）。</w:t>
      </w:r>
    </w:p>
    <w:p w14:paraId="252B2B51">
      <w:pPr>
        <w:outlineLvl w:val="9"/>
        <w:rPr>
          <w:highlight w:val="none"/>
          <w:lang w:val="zh-CN"/>
        </w:rPr>
      </w:pPr>
      <w:bookmarkStart w:id="134" w:name="_Toc4121"/>
      <w:bookmarkStart w:id="135" w:name="_Toc4892"/>
      <w:r>
        <w:rPr>
          <w:rFonts w:hint="eastAsia"/>
          <w:highlight w:val="none"/>
          <w:lang w:val="zh-CN"/>
        </w:rPr>
        <w:t>二、服务期限</w:t>
      </w:r>
      <w:bookmarkEnd w:id="134"/>
      <w:bookmarkEnd w:id="135"/>
    </w:p>
    <w:p w14:paraId="006EFF72">
      <w:pPr>
        <w:rPr>
          <w:highlight w:val="none"/>
          <w:lang w:val="zh-CN"/>
        </w:rPr>
      </w:pPr>
      <w:r>
        <w:rPr>
          <w:rFonts w:hint="eastAsia"/>
          <w:highlight w:val="none"/>
          <w:lang w:val="zh-CN"/>
        </w:rPr>
        <w:t>（一）</w:t>
      </w:r>
      <w:r>
        <w:rPr>
          <w:rFonts w:hint="eastAsia"/>
          <w:highlight w:val="none"/>
        </w:rPr>
        <w:t>本合同项下服务期限</w:t>
      </w:r>
      <w:r>
        <w:rPr>
          <w:rFonts w:hint="eastAsia"/>
          <w:highlight w:val="none"/>
          <w:lang w:val="zh-CN"/>
        </w:rPr>
        <w:t>自</w:t>
      </w:r>
      <w:r>
        <w:rPr>
          <w:rFonts w:hint="eastAsia"/>
          <w:highlight w:val="none"/>
        </w:rPr>
        <w:t>20</w:t>
      </w:r>
      <w:r>
        <w:rPr>
          <w:rFonts w:hint="eastAsia"/>
          <w:highlight w:val="none"/>
          <w:lang w:val="zh-CN"/>
        </w:rPr>
        <w:t>____</w:t>
      </w:r>
      <w:r>
        <w:rPr>
          <w:rFonts w:hint="eastAsia"/>
          <w:highlight w:val="none"/>
        </w:rPr>
        <w:t>年</w:t>
      </w:r>
      <w:r>
        <w:rPr>
          <w:rFonts w:hint="eastAsia"/>
          <w:highlight w:val="none"/>
          <w:lang w:val="zh-CN"/>
        </w:rPr>
        <w:t>____月____日起至</w:t>
      </w:r>
      <w:r>
        <w:rPr>
          <w:rFonts w:hint="eastAsia"/>
          <w:highlight w:val="none"/>
        </w:rPr>
        <w:t>20</w:t>
      </w:r>
      <w:r>
        <w:rPr>
          <w:rFonts w:hint="eastAsia"/>
          <w:highlight w:val="none"/>
          <w:lang w:val="zh-CN"/>
        </w:rPr>
        <w:t>____年____月____日止。</w:t>
      </w:r>
    </w:p>
    <w:p w14:paraId="7B746245">
      <w:pPr>
        <w:rPr>
          <w:highlight w:val="none"/>
          <w:lang w:val="zh-CN"/>
        </w:rPr>
      </w:pPr>
      <w:r>
        <w:rPr>
          <w:rFonts w:hint="eastAsia"/>
          <w:highlight w:val="none"/>
          <w:lang w:val="zh-CN"/>
        </w:rPr>
        <w:t>（二）服务期前三个月为考察期（即20____年____月____日起，至20____年____月____日止）。考察期间，甲方按照</w:t>
      </w:r>
      <w:r>
        <w:rPr>
          <w:rFonts w:hint="eastAsia"/>
          <w:highlight w:val="none"/>
        </w:rPr>
        <w:t>招标</w:t>
      </w:r>
      <w:r>
        <w:rPr>
          <w:rFonts w:hint="eastAsia"/>
          <w:highlight w:val="none"/>
          <w:lang w:val="zh-CN"/>
        </w:rPr>
        <w:t>范围、供货要求、产品质量要求、服务评价标准等对乙方进行考核评价，若评价结果不达标、考察期内不能满足甲方要求和（或）因乙方原因（包括但不限于乙方的货品质量不达标、不积极配合核价及送货等工作等）对甲方造成影响，甲方有权无条件单方解除合同且不承担违约责任等任何责任，同时甲方还有权没收履约保证金，并由乙方赔偿甲方的全部损失</w:t>
      </w:r>
      <w:r>
        <w:rPr>
          <w:rFonts w:hint="eastAsia"/>
          <w:highlight w:val="none"/>
        </w:rPr>
        <w:t>（包括但不限于甲方向第三人赔偿的相关费用、为追索相关赔偿而产生的诉讼费、差旅费、律师费等）。</w:t>
      </w:r>
    </w:p>
    <w:p w14:paraId="0B21D9FE">
      <w:pPr>
        <w:outlineLvl w:val="9"/>
        <w:rPr>
          <w:highlight w:val="none"/>
        </w:rPr>
      </w:pPr>
      <w:bookmarkStart w:id="136" w:name="_Toc31631"/>
      <w:bookmarkStart w:id="137" w:name="_Toc26958"/>
      <w:r>
        <w:rPr>
          <w:rFonts w:hint="eastAsia"/>
          <w:highlight w:val="none"/>
          <w:lang w:val="zh-CN"/>
        </w:rPr>
        <w:t>三、订单采购与交货</w:t>
      </w:r>
      <w:bookmarkEnd w:id="136"/>
      <w:bookmarkEnd w:id="137"/>
    </w:p>
    <w:p w14:paraId="3A40210A">
      <w:pPr>
        <w:rPr>
          <w:highlight w:val="none"/>
          <w:lang w:val="zh-CN"/>
        </w:rPr>
      </w:pPr>
      <w:r>
        <w:rPr>
          <w:rFonts w:hint="eastAsia"/>
          <w:highlight w:val="none"/>
        </w:rPr>
        <w:t>（一）</w:t>
      </w:r>
      <w:r>
        <w:rPr>
          <w:rFonts w:hint="eastAsia"/>
          <w:highlight w:val="none"/>
          <w:lang w:val="zh-CN"/>
        </w:rPr>
        <w:t>甲方</w:t>
      </w:r>
      <w:r>
        <w:rPr>
          <w:rFonts w:hint="eastAsia"/>
          <w:highlight w:val="none"/>
        </w:rPr>
        <w:t>配送前一日</w:t>
      </w:r>
      <w:r>
        <w:rPr>
          <w:rFonts w:hint="eastAsia"/>
          <w:highlight w:val="none"/>
          <w:lang w:val="zh-CN"/>
        </w:rPr>
        <w:t>填报</w:t>
      </w:r>
      <w:r>
        <w:rPr>
          <w:rFonts w:hint="eastAsia"/>
          <w:highlight w:val="none"/>
        </w:rPr>
        <w:t>次日</w:t>
      </w:r>
      <w:r>
        <w:rPr>
          <w:rFonts w:hint="eastAsia"/>
          <w:highlight w:val="none"/>
          <w:lang w:val="zh-CN"/>
        </w:rPr>
        <w:t>《</w:t>
      </w:r>
      <w:r>
        <w:rPr>
          <w:rFonts w:hint="eastAsia"/>
          <w:highlight w:val="none"/>
        </w:rPr>
        <w:t>食材</w:t>
      </w:r>
      <w:r>
        <w:rPr>
          <w:rFonts w:hint="eastAsia"/>
          <w:highlight w:val="none"/>
          <w:lang w:val="zh-CN"/>
        </w:rPr>
        <w:t>采购</w:t>
      </w:r>
      <w:r>
        <w:rPr>
          <w:rFonts w:hint="eastAsia"/>
          <w:highlight w:val="none"/>
        </w:rPr>
        <w:t>清单》（详见附件3）</w:t>
      </w:r>
      <w:r>
        <w:rPr>
          <w:rFonts w:hint="eastAsia"/>
          <w:highlight w:val="none"/>
          <w:lang w:val="zh-CN"/>
        </w:rPr>
        <w:t>，</w:t>
      </w:r>
      <w:r>
        <w:rPr>
          <w:rFonts w:hint="eastAsia"/>
          <w:highlight w:val="none"/>
        </w:rPr>
        <w:t>并</w:t>
      </w:r>
      <w:r>
        <w:rPr>
          <w:rFonts w:hint="eastAsia"/>
          <w:highlight w:val="none"/>
          <w:lang w:val="zh-CN"/>
        </w:rPr>
        <w:t>下单通知乙方。《</w:t>
      </w:r>
      <w:r>
        <w:rPr>
          <w:rFonts w:hint="eastAsia"/>
          <w:highlight w:val="none"/>
        </w:rPr>
        <w:t>食材采购清单</w:t>
      </w:r>
      <w:r>
        <w:rPr>
          <w:rFonts w:hint="eastAsia"/>
          <w:highlight w:val="none"/>
          <w:lang w:val="zh-CN"/>
        </w:rPr>
        <w:t>》应包括</w:t>
      </w:r>
      <w:r>
        <w:rPr>
          <w:rFonts w:hint="eastAsia"/>
          <w:highlight w:val="none"/>
        </w:rPr>
        <w:t>食品</w:t>
      </w:r>
      <w:r>
        <w:rPr>
          <w:rFonts w:hint="eastAsia"/>
          <w:highlight w:val="none"/>
          <w:lang w:val="zh-CN"/>
        </w:rPr>
        <w:t>名称、</w:t>
      </w:r>
      <w:r>
        <w:rPr>
          <w:rFonts w:hint="eastAsia"/>
          <w:highlight w:val="none"/>
        </w:rPr>
        <w:t>品牌或品级、</w:t>
      </w:r>
      <w:r>
        <w:rPr>
          <w:rFonts w:hint="eastAsia"/>
          <w:highlight w:val="none"/>
          <w:lang w:val="zh-CN"/>
        </w:rPr>
        <w:t>种类、规格、数（</w:t>
      </w:r>
      <w:r>
        <w:rPr>
          <w:rFonts w:hint="eastAsia"/>
          <w:highlight w:val="none"/>
        </w:rPr>
        <w:t>重</w:t>
      </w:r>
      <w:r>
        <w:rPr>
          <w:rFonts w:hint="eastAsia"/>
          <w:highlight w:val="none"/>
          <w:lang w:val="zh-CN"/>
        </w:rPr>
        <w:t>）量、</w:t>
      </w:r>
      <w:r>
        <w:rPr>
          <w:rFonts w:hint="eastAsia"/>
          <w:highlight w:val="none"/>
        </w:rPr>
        <w:t>生产日期、保质期、</w:t>
      </w:r>
      <w:r>
        <w:rPr>
          <w:rFonts w:hint="eastAsia"/>
          <w:highlight w:val="none"/>
          <w:lang w:val="zh-CN"/>
        </w:rPr>
        <w:t>运送时间、送达地点、订单联系人等具体要求。</w:t>
      </w:r>
    </w:p>
    <w:p w14:paraId="0ECF193E">
      <w:pPr>
        <w:rPr>
          <w:highlight w:val="none"/>
          <w:lang w:val="zh-CN"/>
        </w:rPr>
      </w:pPr>
      <w:r>
        <w:rPr>
          <w:rFonts w:hint="eastAsia"/>
          <w:highlight w:val="none"/>
        </w:rPr>
        <w:t>（二）</w:t>
      </w:r>
      <w:r>
        <w:rPr>
          <w:rFonts w:hint="eastAsia"/>
          <w:highlight w:val="none"/>
          <w:lang w:val="zh-CN"/>
        </w:rPr>
        <w:t>乙方接到甲方订单后，应在【</w:t>
      </w:r>
      <w:r>
        <w:rPr>
          <w:rFonts w:hint="eastAsia"/>
          <w:highlight w:val="none"/>
        </w:rPr>
        <w:t>1</w:t>
      </w:r>
      <w:r>
        <w:rPr>
          <w:rFonts w:hint="eastAsia"/>
          <w:highlight w:val="none"/>
          <w:lang w:val="zh-CN"/>
        </w:rPr>
        <w:t>】小时内确认，且供货率应达到</w:t>
      </w:r>
      <w:r>
        <w:rPr>
          <w:rFonts w:hint="eastAsia"/>
          <w:highlight w:val="none"/>
        </w:rPr>
        <w:t>100%</w:t>
      </w:r>
      <w:r>
        <w:rPr>
          <w:rFonts w:hint="eastAsia"/>
          <w:highlight w:val="none"/>
          <w:lang w:val="zh-CN"/>
        </w:rPr>
        <w:t>。在规定的时间内，如果乙方不明确答复或答复为不能依要求供货，则甲方有权取消该采购订单，并有权追究乙方的违约责任。</w:t>
      </w:r>
    </w:p>
    <w:p w14:paraId="7E3FA146">
      <w:pPr>
        <w:rPr>
          <w:highlight w:val="none"/>
          <w:lang w:val="zh-CN"/>
        </w:rPr>
      </w:pPr>
      <w:r>
        <w:rPr>
          <w:rFonts w:hint="eastAsia"/>
          <w:highlight w:val="none"/>
          <w:lang w:val="zh-CN"/>
        </w:rPr>
        <w:t>（</w:t>
      </w:r>
      <w:r>
        <w:rPr>
          <w:rFonts w:hint="eastAsia"/>
          <w:highlight w:val="none"/>
        </w:rPr>
        <w:t>三</w:t>
      </w:r>
      <w:r>
        <w:rPr>
          <w:rFonts w:hint="eastAsia"/>
          <w:highlight w:val="none"/>
          <w:lang w:val="zh-CN"/>
        </w:rPr>
        <w:t>）交货地点：甲方指定的食堂。</w:t>
      </w:r>
    </w:p>
    <w:p w14:paraId="7D5959FA">
      <w:pPr>
        <w:rPr>
          <w:highlight w:val="none"/>
          <w:lang w:val="zh-CN"/>
        </w:rPr>
      </w:pPr>
      <w:r>
        <w:rPr>
          <w:rFonts w:hint="eastAsia"/>
          <w:highlight w:val="none"/>
          <w:lang w:val="zh-CN"/>
        </w:rPr>
        <w:t>（四）交货时间：</w:t>
      </w:r>
    </w:p>
    <w:p w14:paraId="7005EC2F">
      <w:pPr>
        <w:rPr>
          <w:highlight w:val="none"/>
          <w:lang w:val="zh-CN"/>
        </w:rPr>
      </w:pPr>
      <w:r>
        <w:rPr>
          <w:rFonts w:hint="eastAsia"/>
          <w:highlight w:val="none"/>
        </w:rPr>
        <w:t>1、一般采购：</w:t>
      </w:r>
      <w:r>
        <w:rPr>
          <w:rFonts w:hint="eastAsia"/>
          <w:highlight w:val="none"/>
          <w:lang w:val="zh-CN"/>
        </w:rPr>
        <w:t>乙方于每天早上7点前将订单内当日所有食材配送到甲方食堂，乙方提供《食材配送清单》（详见附件4）一式两份，《食材配送清单》须与《食材采购清单》一致，包括但不限于配送食材的名称、</w:t>
      </w:r>
      <w:r>
        <w:rPr>
          <w:rFonts w:hint="eastAsia"/>
          <w:highlight w:val="none"/>
        </w:rPr>
        <w:t>价格、</w:t>
      </w:r>
      <w:r>
        <w:rPr>
          <w:rFonts w:hint="eastAsia"/>
          <w:highlight w:val="none"/>
          <w:lang w:val="zh-CN"/>
        </w:rPr>
        <w:t>品牌或品级、种类、规格、数（重）量、生产日期、保质期、运送时间、送达地点、送货员等。</w:t>
      </w:r>
    </w:p>
    <w:p w14:paraId="28403938">
      <w:pPr>
        <w:rPr>
          <w:highlight w:val="none"/>
          <w:lang w:val="zh-CN"/>
        </w:rPr>
      </w:pPr>
      <w:r>
        <w:rPr>
          <w:rFonts w:hint="eastAsia"/>
          <w:highlight w:val="none"/>
        </w:rPr>
        <w:t>2、</w:t>
      </w:r>
      <w:r>
        <w:rPr>
          <w:rFonts w:hint="eastAsia"/>
          <w:highlight w:val="none"/>
          <w:lang w:val="zh-CN"/>
        </w:rPr>
        <w:t>应急采购：乙方应建立非常完备的应急预案体系，且具有很强的操作性，甲方可根据特殊情况，临时性提供采购需求，乙方应在收到甲方应急采购通知后分钟内予以响应且在【____】小时内完成甲方提出的应急采购任务。</w:t>
      </w:r>
    </w:p>
    <w:p w14:paraId="745A04FC">
      <w:pPr>
        <w:rPr>
          <w:highlight w:val="none"/>
          <w:lang w:val="zh-CN"/>
        </w:rPr>
      </w:pPr>
      <w:r>
        <w:rPr>
          <w:rFonts w:hint="eastAsia"/>
          <w:highlight w:val="none"/>
          <w:lang w:val="zh-CN"/>
        </w:rPr>
        <w:t>（五）乙方每天安排驾驶员、质检员、搬运工各一名负责为甲方送货。配送食材经甲方食堂负责人、厨师长、收货员与送货员共同按照</w:t>
      </w:r>
      <w:r>
        <w:rPr>
          <w:rFonts w:hint="eastAsia"/>
          <w:highlight w:val="none"/>
        </w:rPr>
        <w:t>附件1</w:t>
      </w:r>
      <w:r>
        <w:rPr>
          <w:rFonts w:hint="eastAsia"/>
          <w:highlight w:val="none"/>
          <w:lang w:val="zh-CN"/>
        </w:rPr>
        <w:t>《食堂食材配送</w:t>
      </w:r>
      <w:r>
        <w:rPr>
          <w:rFonts w:hint="eastAsia"/>
          <w:highlight w:val="none"/>
        </w:rPr>
        <w:t>验收</w:t>
      </w:r>
      <w:r>
        <w:rPr>
          <w:rFonts w:hint="eastAsia"/>
          <w:highlight w:val="none"/>
          <w:lang w:val="zh-CN"/>
        </w:rPr>
        <w:t>标准》验收合格后，由甲方收货员在《食材配送清单》（一式两份）上签名确认，并作为结算凭证之一。乙方相关人员需衣着整洁、佩戴证件、持有健康证并服从甲方的管理与调动。</w:t>
      </w:r>
    </w:p>
    <w:p w14:paraId="51E2E451">
      <w:pPr>
        <w:outlineLvl w:val="9"/>
        <w:rPr>
          <w:highlight w:val="none"/>
          <w:lang w:val="zh-CN"/>
        </w:rPr>
      </w:pPr>
      <w:bookmarkStart w:id="138" w:name="_Toc5415"/>
      <w:bookmarkStart w:id="139" w:name="_Toc1531"/>
      <w:r>
        <w:rPr>
          <w:rFonts w:hint="eastAsia"/>
          <w:highlight w:val="none"/>
          <w:lang w:val="zh-CN"/>
        </w:rPr>
        <w:t>四、检验、验收</w:t>
      </w:r>
      <w:bookmarkEnd w:id="138"/>
      <w:bookmarkEnd w:id="139"/>
    </w:p>
    <w:p w14:paraId="7FF96283">
      <w:pPr>
        <w:outlineLvl w:val="9"/>
        <w:rPr>
          <w:highlight w:val="none"/>
        </w:rPr>
      </w:pPr>
      <w:r>
        <w:rPr>
          <w:rFonts w:hint="eastAsia"/>
          <w:highlight w:val="none"/>
        </w:rPr>
        <w:t>（一）验收标准</w:t>
      </w:r>
    </w:p>
    <w:p w14:paraId="110078F1">
      <w:pPr>
        <w:rPr>
          <w:highlight w:val="none"/>
        </w:rPr>
      </w:pPr>
      <w:r>
        <w:rPr>
          <w:rFonts w:hint="eastAsia"/>
          <w:highlight w:val="none"/>
        </w:rPr>
        <w:t>货品质量验货标准以国家质量标准为依据并应符合招标文件、投标文件、合同约定和附件1《食堂食材配送验收标准》的要求，要求不一致的，以较高要求为准。</w:t>
      </w:r>
    </w:p>
    <w:p w14:paraId="7C071768">
      <w:pPr>
        <w:rPr>
          <w:highlight w:val="none"/>
          <w:lang w:val="zh-CN"/>
        </w:rPr>
      </w:pPr>
      <w:r>
        <w:rPr>
          <w:rFonts w:hint="eastAsia"/>
          <w:highlight w:val="none"/>
        </w:rPr>
        <w:t>1、重量。</w:t>
      </w:r>
      <w:r>
        <w:rPr>
          <w:rFonts w:hint="eastAsia"/>
          <w:highlight w:val="none"/>
          <w:lang w:val="zh-CN"/>
        </w:rPr>
        <w:t>所有</w:t>
      </w:r>
      <w:r>
        <w:rPr>
          <w:rFonts w:hint="eastAsia"/>
          <w:highlight w:val="none"/>
        </w:rPr>
        <w:t>食材</w:t>
      </w:r>
      <w:r>
        <w:rPr>
          <w:rFonts w:hint="eastAsia"/>
          <w:highlight w:val="none"/>
          <w:lang w:val="zh-CN"/>
        </w:rPr>
        <w:t>分类过磅，</w:t>
      </w:r>
      <w:r>
        <w:rPr>
          <w:rFonts w:hint="eastAsia"/>
          <w:highlight w:val="none"/>
        </w:rPr>
        <w:t>超出《食材采购清单》中要求的数（重）量以《食材采购清单》数（重）量为准或</w:t>
      </w:r>
      <w:r>
        <w:rPr>
          <w:rFonts w:hint="eastAsia"/>
          <w:highlight w:val="none"/>
          <w:lang w:val="zh-CN"/>
        </w:rPr>
        <w:t>由乙方带回，不纳入结算；</w:t>
      </w:r>
      <w:r>
        <w:rPr>
          <w:rFonts w:hint="eastAsia"/>
          <w:highlight w:val="none"/>
        </w:rPr>
        <w:t>不足《食材采购清单》数（重）量的，以实际数（重）量为准，但不足率应不超过10%</w:t>
      </w:r>
      <w:r>
        <w:rPr>
          <w:rFonts w:hint="eastAsia"/>
          <w:highlight w:val="none"/>
          <w:lang w:val="zh-CN"/>
        </w:rPr>
        <w:t>。</w:t>
      </w:r>
    </w:p>
    <w:p w14:paraId="479679E4">
      <w:pPr>
        <w:rPr>
          <w:highlight w:val="none"/>
        </w:rPr>
      </w:pPr>
      <w:r>
        <w:rPr>
          <w:rFonts w:hint="eastAsia"/>
          <w:highlight w:val="none"/>
        </w:rPr>
        <w:t>2、品质。</w:t>
      </w:r>
    </w:p>
    <w:p w14:paraId="12DC44CF">
      <w:pPr>
        <w:rPr>
          <w:highlight w:val="none"/>
          <w:lang w:val="zh-CN"/>
        </w:rPr>
      </w:pPr>
      <w:r>
        <w:rPr>
          <w:rFonts w:hint="eastAsia"/>
          <w:highlight w:val="none"/>
        </w:rPr>
        <w:t>（1）乙方须</w:t>
      </w:r>
      <w:r>
        <w:rPr>
          <w:rFonts w:hint="eastAsia"/>
          <w:highlight w:val="none"/>
          <w:lang w:val="zh-CN"/>
        </w:rPr>
        <w:t>严格管理</w:t>
      </w:r>
      <w:r>
        <w:rPr>
          <w:rFonts w:hint="eastAsia"/>
          <w:highlight w:val="none"/>
        </w:rPr>
        <w:t>配</w:t>
      </w:r>
      <w:r>
        <w:rPr>
          <w:rFonts w:hint="eastAsia"/>
          <w:highlight w:val="none"/>
          <w:lang w:val="zh-CN"/>
        </w:rPr>
        <w:t>送</w:t>
      </w:r>
      <w:r>
        <w:rPr>
          <w:rFonts w:hint="eastAsia"/>
          <w:highlight w:val="none"/>
        </w:rPr>
        <w:t>食材品</w:t>
      </w:r>
      <w:r>
        <w:rPr>
          <w:rFonts w:hint="eastAsia"/>
          <w:highlight w:val="none"/>
          <w:lang w:val="zh-CN"/>
        </w:rPr>
        <w:t>质，</w:t>
      </w:r>
      <w:r>
        <w:rPr>
          <w:rFonts w:hint="eastAsia"/>
          <w:highlight w:val="none"/>
        </w:rPr>
        <w:t>制定并执行</w:t>
      </w:r>
      <w:r>
        <w:rPr>
          <w:rFonts w:hint="eastAsia"/>
          <w:highlight w:val="none"/>
          <w:lang w:val="zh-CN"/>
        </w:rPr>
        <w:t>自检、委检、抽检相结合的</w:t>
      </w:r>
      <w:r>
        <w:rPr>
          <w:rFonts w:hint="eastAsia"/>
          <w:highlight w:val="none"/>
        </w:rPr>
        <w:t>食材</w:t>
      </w:r>
      <w:r>
        <w:rPr>
          <w:rFonts w:hint="eastAsia"/>
          <w:highlight w:val="none"/>
          <w:lang w:val="zh-CN"/>
        </w:rPr>
        <w:t>质量管理</w:t>
      </w:r>
      <w:r>
        <w:rPr>
          <w:rFonts w:hint="eastAsia"/>
          <w:highlight w:val="none"/>
        </w:rPr>
        <w:t>体制</w:t>
      </w:r>
      <w:r>
        <w:rPr>
          <w:rFonts w:hint="eastAsia"/>
          <w:highlight w:val="none"/>
          <w:lang w:val="zh-CN"/>
        </w:rPr>
        <w:t>，所供</w:t>
      </w:r>
      <w:r>
        <w:rPr>
          <w:rFonts w:hint="eastAsia"/>
          <w:highlight w:val="none"/>
        </w:rPr>
        <w:t>食材</w:t>
      </w:r>
      <w:r>
        <w:rPr>
          <w:rFonts w:hint="eastAsia"/>
          <w:highlight w:val="none"/>
          <w:lang w:val="zh-CN"/>
        </w:rPr>
        <w:t>须取得</w:t>
      </w:r>
      <w:r>
        <w:rPr>
          <w:rFonts w:hint="eastAsia"/>
          <w:highlight w:val="none"/>
        </w:rPr>
        <w:t>并向甲方每月提供QS</w:t>
      </w:r>
      <w:r>
        <w:rPr>
          <w:rFonts w:hint="eastAsia"/>
          <w:highlight w:val="none"/>
          <w:lang w:val="zh-CN"/>
        </w:rPr>
        <w:t>认证或有效的检测报告和食品检验合格证</w:t>
      </w:r>
      <w:r>
        <w:rPr>
          <w:rFonts w:hint="eastAsia"/>
          <w:highlight w:val="none"/>
        </w:rPr>
        <w:t>，包括但不限于</w:t>
      </w:r>
      <w:r>
        <w:rPr>
          <w:rFonts w:hint="eastAsia"/>
          <w:highlight w:val="none"/>
          <w:lang w:val="zh-CN"/>
        </w:rPr>
        <w:t>所供蔬菜</w:t>
      </w:r>
      <w:r>
        <w:rPr>
          <w:rFonts w:hint="eastAsia"/>
          <w:highlight w:val="none"/>
        </w:rPr>
        <w:t>类食材等</w:t>
      </w:r>
      <w:r>
        <w:rPr>
          <w:rFonts w:hint="eastAsia"/>
          <w:highlight w:val="none"/>
          <w:lang w:val="zh-CN"/>
        </w:rPr>
        <w:t>的农药残留检测报告、肉</w:t>
      </w:r>
      <w:r>
        <w:rPr>
          <w:rFonts w:hint="eastAsia"/>
          <w:highlight w:val="none"/>
        </w:rPr>
        <w:t>类食材等的</w:t>
      </w:r>
      <w:r>
        <w:rPr>
          <w:rFonts w:hint="eastAsia"/>
          <w:highlight w:val="none"/>
          <w:lang w:val="zh-CN"/>
        </w:rPr>
        <w:t>检疫检验合格证</w:t>
      </w:r>
      <w:r>
        <w:rPr>
          <w:rFonts w:hint="eastAsia"/>
          <w:highlight w:val="none"/>
        </w:rPr>
        <w:t>等，须一次性通过甲方的验收</w:t>
      </w:r>
      <w:r>
        <w:rPr>
          <w:rFonts w:hint="eastAsia"/>
          <w:highlight w:val="none"/>
          <w:lang w:val="zh-CN"/>
        </w:rPr>
        <w:t>。</w:t>
      </w:r>
    </w:p>
    <w:p w14:paraId="5884BCA3">
      <w:pPr>
        <w:rPr>
          <w:highlight w:val="none"/>
          <w:lang w:val="zh-CN"/>
        </w:rPr>
      </w:pPr>
      <w:r>
        <w:rPr>
          <w:rFonts w:hint="eastAsia"/>
          <w:highlight w:val="none"/>
          <w:lang w:val="zh-CN"/>
        </w:rPr>
        <w:t>（</w:t>
      </w:r>
      <w:r>
        <w:rPr>
          <w:rFonts w:hint="eastAsia"/>
          <w:highlight w:val="none"/>
        </w:rPr>
        <w:t>2）</w:t>
      </w:r>
      <w:r>
        <w:rPr>
          <w:rFonts w:hint="eastAsia"/>
          <w:highlight w:val="none"/>
          <w:lang w:val="zh-CN"/>
        </w:rPr>
        <w:t>乙方及其外购货品的供货商须具有合法有效的营业执照、食品卫生许可证、食品流通许可证、食品经营许可证等有效证照和资质，并应在本合同项下服务期内保持上述证照和资质的有效性。</w:t>
      </w:r>
    </w:p>
    <w:p w14:paraId="718CB0C2">
      <w:pPr>
        <w:rPr>
          <w:highlight w:val="none"/>
        </w:rPr>
      </w:pPr>
      <w:r>
        <w:rPr>
          <w:rFonts w:hint="eastAsia"/>
          <w:highlight w:val="none"/>
        </w:rPr>
        <w:t>（3）乙方不得提供“三无商品”、有毒、有害、过期、霉烂变质、假冒伪劣等不合格货品，其配送的货品不得出现以下任何一种情况：</w:t>
      </w:r>
    </w:p>
    <w:p w14:paraId="69693DEC">
      <w:pPr>
        <w:rPr>
          <w:highlight w:val="none"/>
        </w:rPr>
      </w:pPr>
      <w:r>
        <w:rPr>
          <w:rFonts w:hint="eastAsia"/>
          <w:highlight w:val="none"/>
        </w:rPr>
        <w:t>①腐烂变质、油脂酸败、霉变、生虫、污秽不洁、混有异物或其他感官性状异常，可能对人体健康有害的；</w:t>
      </w:r>
    </w:p>
    <w:p w14:paraId="3D199499">
      <w:pPr>
        <w:rPr>
          <w:highlight w:val="none"/>
        </w:rPr>
      </w:pPr>
      <w:r>
        <w:rPr>
          <w:rFonts w:hint="eastAsia"/>
          <w:highlight w:val="none"/>
        </w:rPr>
        <w:t>②含有毒、有害物质或微生物毒素含量超过国家限定标准的；</w:t>
      </w:r>
    </w:p>
    <w:p w14:paraId="23300117">
      <w:pPr>
        <w:rPr>
          <w:highlight w:val="none"/>
        </w:rPr>
      </w:pPr>
      <w:r>
        <w:rPr>
          <w:rFonts w:hint="eastAsia"/>
          <w:highlight w:val="none"/>
        </w:rPr>
        <w:t>③未经兽医卫生检验或者检验不合格的肉类及其制品，超过保存期的食品；</w:t>
      </w:r>
    </w:p>
    <w:p w14:paraId="421E8BF7">
      <w:pPr>
        <w:rPr>
          <w:highlight w:val="none"/>
        </w:rPr>
      </w:pPr>
      <w:r>
        <w:rPr>
          <w:rFonts w:hint="eastAsia"/>
          <w:highlight w:val="none"/>
        </w:rPr>
        <w:t>④病死、毒死或死因不明的禽、畜、兽、水产动物等及其制品；</w:t>
      </w:r>
    </w:p>
    <w:p w14:paraId="6F4338B1">
      <w:pPr>
        <w:rPr>
          <w:highlight w:val="none"/>
        </w:rPr>
      </w:pPr>
      <w:r>
        <w:rPr>
          <w:rFonts w:hint="eastAsia"/>
          <w:highlight w:val="none"/>
        </w:rPr>
        <w:t>⑤掺假、掺杂、伪造、影响营养、卫生的含有未经国务院卫生行政部门批准使用的添加剂，农药（残留）的；</w:t>
      </w:r>
    </w:p>
    <w:p w14:paraId="5A006C77">
      <w:pPr>
        <w:rPr>
          <w:highlight w:val="none"/>
        </w:rPr>
      </w:pPr>
      <w:r>
        <w:rPr>
          <w:rFonts w:hint="eastAsia"/>
          <w:highlight w:val="none"/>
        </w:rPr>
        <w:t>⑥超过或邻近保质期的；</w:t>
      </w:r>
    </w:p>
    <w:p w14:paraId="097C71F1">
      <w:pPr>
        <w:rPr>
          <w:highlight w:val="none"/>
        </w:rPr>
      </w:pPr>
      <w:r>
        <w:rPr>
          <w:rFonts w:hint="eastAsia"/>
          <w:highlight w:val="none"/>
        </w:rPr>
        <w:t>⑦合同约定或双方约定的其他情况。</w:t>
      </w:r>
    </w:p>
    <w:p w14:paraId="79462A85">
      <w:pPr>
        <w:rPr>
          <w:highlight w:val="none"/>
        </w:rPr>
      </w:pPr>
      <w:r>
        <w:rPr>
          <w:rFonts w:hint="eastAsia"/>
          <w:highlight w:val="none"/>
        </w:rPr>
        <w:t>（4）甲方对乙方每次配送的食材严格按照招标文件、投标文件、合同约定进行</w:t>
      </w:r>
      <w:r>
        <w:rPr>
          <w:rFonts w:hint="eastAsia"/>
          <w:highlight w:val="none"/>
          <w:lang w:val="zh-CN"/>
        </w:rPr>
        <w:t>验收，</w:t>
      </w:r>
      <w:r>
        <w:rPr>
          <w:rFonts w:hint="eastAsia"/>
          <w:highlight w:val="none"/>
        </w:rPr>
        <w:t>包括但不限于品牌、品级、品质、包装等。验收结果与考核结果严格挂钩。</w:t>
      </w:r>
    </w:p>
    <w:p w14:paraId="183E0500">
      <w:pPr>
        <w:rPr>
          <w:highlight w:val="none"/>
          <w:lang w:val="zh-CN"/>
        </w:rPr>
      </w:pPr>
      <w:r>
        <w:rPr>
          <w:rFonts w:hint="eastAsia"/>
          <w:highlight w:val="none"/>
        </w:rPr>
        <w:t>3、</w:t>
      </w:r>
      <w:r>
        <w:rPr>
          <w:rFonts w:hint="eastAsia"/>
          <w:highlight w:val="none"/>
          <w:lang w:val="zh-CN"/>
        </w:rPr>
        <w:t>净菜率。乙方提供的所有</w:t>
      </w:r>
      <w:r>
        <w:rPr>
          <w:rFonts w:hint="eastAsia"/>
          <w:highlight w:val="none"/>
        </w:rPr>
        <w:t>食材</w:t>
      </w:r>
      <w:r>
        <w:rPr>
          <w:rFonts w:hint="eastAsia"/>
          <w:highlight w:val="none"/>
          <w:lang w:val="zh-CN"/>
        </w:rPr>
        <w:t>必须是经过粗加工挑选的货品，可食用合格率必须达到</w:t>
      </w:r>
      <w:r>
        <w:rPr>
          <w:rFonts w:hint="eastAsia"/>
          <w:highlight w:val="none"/>
        </w:rPr>
        <w:t>97</w:t>
      </w:r>
      <w:r>
        <w:rPr>
          <w:rFonts w:hint="eastAsia"/>
          <w:highlight w:val="none"/>
          <w:lang w:val="zh-CN"/>
        </w:rPr>
        <w:t>％以上。</w:t>
      </w:r>
    </w:p>
    <w:p w14:paraId="1DF3D8E6">
      <w:pPr>
        <w:outlineLvl w:val="9"/>
        <w:rPr>
          <w:highlight w:val="none"/>
          <w:lang w:val="zh-CN"/>
        </w:rPr>
      </w:pPr>
      <w:r>
        <w:rPr>
          <w:rFonts w:hint="eastAsia"/>
          <w:highlight w:val="none"/>
          <w:lang w:val="zh-CN"/>
        </w:rPr>
        <w:t>（二）验收</w:t>
      </w:r>
    </w:p>
    <w:p w14:paraId="540CCF6F">
      <w:pPr>
        <w:rPr>
          <w:highlight w:val="none"/>
          <w:lang w:val="zh-CN"/>
        </w:rPr>
      </w:pPr>
      <w:r>
        <w:rPr>
          <w:rFonts w:hint="eastAsia"/>
          <w:highlight w:val="none"/>
          <w:lang w:val="zh-CN"/>
        </w:rPr>
        <w:t>1</w:t>
      </w:r>
      <w:r>
        <w:rPr>
          <w:rFonts w:hint="eastAsia"/>
          <w:highlight w:val="none"/>
        </w:rPr>
        <w:t>、</w:t>
      </w:r>
      <w:r>
        <w:rPr>
          <w:rFonts w:hint="eastAsia"/>
          <w:highlight w:val="none"/>
          <w:lang w:val="zh-CN"/>
        </w:rPr>
        <w:t>乙方所送货品必须符合国家检验检疫标准、国家食品卫生等有关部门的标准，并提供有关证件和检测报告。乙方保证蔬菜利用率达到9</w:t>
      </w:r>
      <w:r>
        <w:rPr>
          <w:rFonts w:hint="eastAsia"/>
          <w:highlight w:val="none"/>
        </w:rPr>
        <w:t>7</w:t>
      </w:r>
      <w:r>
        <w:rPr>
          <w:rFonts w:hint="eastAsia"/>
          <w:highlight w:val="none"/>
          <w:lang w:val="zh-CN"/>
        </w:rPr>
        <w:t>%，其他货品利用率达到100%。</w:t>
      </w:r>
    </w:p>
    <w:p w14:paraId="378607F7">
      <w:pPr>
        <w:rPr>
          <w:highlight w:val="none"/>
          <w:lang w:val="zh-CN"/>
        </w:rPr>
      </w:pPr>
      <w:r>
        <w:rPr>
          <w:rFonts w:hint="eastAsia"/>
          <w:highlight w:val="none"/>
          <w:lang w:val="zh-CN"/>
        </w:rPr>
        <w:t>2</w:t>
      </w:r>
      <w:r>
        <w:rPr>
          <w:rFonts w:hint="eastAsia"/>
          <w:highlight w:val="none"/>
        </w:rPr>
        <w:t>、</w:t>
      </w:r>
      <w:r>
        <w:rPr>
          <w:rFonts w:hint="eastAsia"/>
          <w:highlight w:val="none"/>
          <w:lang w:val="zh-CN"/>
        </w:rPr>
        <w:t>乙方应严格管理配送货品质量。蔬菜等专项类应采取自检、委检、抽检相结合的商品质量管理制度。所供货品须取得QS认证或有效的检测报告和食品检验合格证 ，必须一次性通过甲方的验收，做到无销售“三无商品”、有害有毒、过期、霉烂变质、假冒伪劣等不合格货品的行为。</w:t>
      </w:r>
    </w:p>
    <w:p w14:paraId="306BF53A">
      <w:pPr>
        <w:rPr>
          <w:highlight w:val="none"/>
          <w:lang w:val="zh-CN"/>
        </w:rPr>
      </w:pPr>
      <w:r>
        <w:rPr>
          <w:rFonts w:hint="eastAsia"/>
          <w:highlight w:val="none"/>
          <w:lang w:val="zh-CN"/>
        </w:rPr>
        <w:t>3</w:t>
      </w:r>
      <w:r>
        <w:rPr>
          <w:rFonts w:hint="eastAsia"/>
          <w:highlight w:val="none"/>
        </w:rPr>
        <w:t>、</w:t>
      </w:r>
      <w:r>
        <w:rPr>
          <w:rFonts w:hint="eastAsia"/>
          <w:highlight w:val="none"/>
          <w:lang w:val="zh-CN"/>
        </w:rPr>
        <w:t>乙方定期提供所供蔬菜的农药残留检测报告、猪肉检疫检验合格证。</w:t>
      </w:r>
    </w:p>
    <w:p w14:paraId="1B5C62CC">
      <w:pPr>
        <w:rPr>
          <w:highlight w:val="none"/>
          <w:lang w:val="zh-CN"/>
        </w:rPr>
      </w:pPr>
      <w:r>
        <w:rPr>
          <w:rFonts w:hint="eastAsia"/>
          <w:highlight w:val="none"/>
          <w:lang w:val="zh-CN"/>
        </w:rPr>
        <w:t>4</w:t>
      </w:r>
      <w:r>
        <w:rPr>
          <w:rFonts w:hint="eastAsia"/>
          <w:highlight w:val="none"/>
        </w:rPr>
        <w:t>、</w:t>
      </w:r>
      <w:r>
        <w:rPr>
          <w:rFonts w:hint="eastAsia"/>
          <w:highlight w:val="none"/>
          <w:lang w:val="zh-CN"/>
        </w:rPr>
        <w:t>乙方应严格履行进货查验义务，建立索证索票台账。甲方有权对配送货品进行索证，并对配送货品进行检测，但甲方的检测和/或验收并不减免乙方应履行的合同义务和应承担的责任。</w:t>
      </w:r>
    </w:p>
    <w:p w14:paraId="6EA7D71E">
      <w:pPr>
        <w:rPr>
          <w:highlight w:val="none"/>
        </w:rPr>
      </w:pPr>
      <w:r>
        <w:rPr>
          <w:rFonts w:hint="eastAsia"/>
          <w:highlight w:val="none"/>
          <w:lang w:val="zh-CN"/>
        </w:rPr>
        <w:t>5</w:t>
      </w:r>
      <w:r>
        <w:rPr>
          <w:rFonts w:hint="eastAsia"/>
          <w:highlight w:val="none"/>
        </w:rPr>
        <w:t>、</w:t>
      </w:r>
      <w:r>
        <w:rPr>
          <w:rFonts w:hint="eastAsia"/>
          <w:highlight w:val="none"/>
          <w:lang w:val="zh-CN"/>
        </w:rPr>
        <w:t>甲乙双方在交货地（甲方指定食堂）只对货品的数量、外在质量进行验收，经核验无误后应签发收货清单。甲方签发收货清单不代表对货品的接受，双方还应按合同约定进行后续的检验和验收。甲方代表参与检验、签署收货清单、对货品的签收及上述检验、验收的实施和（或）通过等行为，不视为对货品质量的确认，不代表甲方放弃对于潜在缺陷、质量问题所引起的相关损失的索赔权利，不影响乙方交货后甲方依照合同约定对货品提出质量异议和（或）退换货的权利，也不减轻和（或）免除乙方依照合同约定对货品所应履行的任何义务和应承担的责任。</w:t>
      </w:r>
    </w:p>
    <w:p w14:paraId="4C8427D3">
      <w:pPr>
        <w:rPr>
          <w:highlight w:val="none"/>
        </w:rPr>
      </w:pPr>
      <w:r>
        <w:rPr>
          <w:rFonts w:hint="eastAsia"/>
          <w:highlight w:val="none"/>
        </w:rPr>
        <w:t>6、乙方交付的食材存在潜在的质量问题（即外观检验无法发现的质量问题），对甲方所造成的伤害，乙方应承担相应的法律责任，并赔偿甲方因此而产生的全部损失。</w:t>
      </w:r>
    </w:p>
    <w:p w14:paraId="79253D7B">
      <w:pPr>
        <w:rPr>
          <w:highlight w:val="none"/>
        </w:rPr>
      </w:pPr>
      <w:r>
        <w:rPr>
          <w:rFonts w:hint="eastAsia"/>
          <w:highlight w:val="none"/>
        </w:rPr>
        <w:t>7、如甲方发现乙方所配送食材存在任何瑕疵，甲方有权要求乙方进行换货、退货、索赔等，乙方应无条件按甲方要求执行。所更换之货品必须为全新的并符合规定的品质、规定和性能。如更换之货品仍不能达到甲方的要求，甲方有权单方解除合同并没收履约保证金，同时由乙方负担因此而产生的所有费用和甲方遭受的一切损失。</w:t>
      </w:r>
    </w:p>
    <w:p w14:paraId="0365273B">
      <w:pPr>
        <w:outlineLvl w:val="9"/>
        <w:rPr>
          <w:highlight w:val="none"/>
          <w:lang w:val="zh-CN"/>
        </w:rPr>
      </w:pPr>
      <w:bookmarkStart w:id="140" w:name="_Toc18627"/>
      <w:bookmarkStart w:id="141" w:name="_Toc13756"/>
      <w:r>
        <w:rPr>
          <w:rFonts w:hint="eastAsia"/>
          <w:highlight w:val="none"/>
        </w:rPr>
        <w:t>五、包装及</w:t>
      </w:r>
      <w:r>
        <w:rPr>
          <w:rFonts w:hint="eastAsia"/>
          <w:highlight w:val="none"/>
          <w:lang w:val="zh-CN"/>
        </w:rPr>
        <w:t>运输</w:t>
      </w:r>
      <w:bookmarkEnd w:id="140"/>
      <w:bookmarkEnd w:id="141"/>
    </w:p>
    <w:p w14:paraId="4B21F584">
      <w:pPr>
        <w:rPr>
          <w:highlight w:val="none"/>
        </w:rPr>
      </w:pPr>
      <w:r>
        <w:rPr>
          <w:rFonts w:hint="eastAsia"/>
          <w:highlight w:val="none"/>
        </w:rPr>
        <w:t>（一） 乙方应根据货品的形状、特点和需要按国家、地方、行业相关标准以及合同和甲方要求（标准不一致的，以较高标准为准）等对货品进行妥善包装，以满足货品完好无损运至甲方指定地点和货物停放区并满足在甲方指定地点装卸、保管、贮存等的需要。包装应符合国家相关要求并采取必要的保护措施（包括但不限于防潮、防霉、防晒、防雨、防虫、防止其它损坏等）。乙方保证所采用的包装材料必须结实，全新未用过，并在包装明显位置标注提醒标识。</w:t>
      </w:r>
    </w:p>
    <w:p w14:paraId="1975B0B7">
      <w:pPr>
        <w:rPr>
          <w:highlight w:val="none"/>
        </w:rPr>
      </w:pPr>
      <w:r>
        <w:rPr>
          <w:rFonts w:hint="eastAsia"/>
          <w:highlight w:val="none"/>
        </w:rPr>
        <w:t>（二）乙方应对因其包装不当、标记不详和（或）不当、管理不善等而引起的货品的损坏和丢失负责，同时乙方应按甲方要求及时向甲方补供货品以满足甲方需要，若乙方未按甲方要求补供货品的，则乙方应按本合同第十二条的约定承担违约责任。</w:t>
      </w:r>
    </w:p>
    <w:p w14:paraId="1C0453DA">
      <w:pPr>
        <w:rPr>
          <w:highlight w:val="none"/>
        </w:rPr>
      </w:pPr>
      <w:r>
        <w:rPr>
          <w:rFonts w:hint="eastAsia"/>
          <w:highlight w:val="none"/>
        </w:rPr>
        <w:t>（三）乙方应自行选择适宜的运输工具及线路安排货品运输且乙方</w:t>
      </w:r>
      <w:r>
        <w:rPr>
          <w:rFonts w:hint="eastAsia"/>
          <w:highlight w:val="none"/>
          <w:lang w:val="zh-CN"/>
        </w:rPr>
        <w:t>所</w:t>
      </w:r>
      <w:r>
        <w:rPr>
          <w:rFonts w:hint="eastAsia"/>
          <w:highlight w:val="none"/>
        </w:rPr>
        <w:t>使</w:t>
      </w:r>
      <w:r>
        <w:rPr>
          <w:rFonts w:hint="eastAsia"/>
          <w:highlight w:val="none"/>
          <w:lang w:val="zh-CN"/>
        </w:rPr>
        <w:t>用配送</w:t>
      </w:r>
      <w:r>
        <w:rPr>
          <w:rFonts w:hint="eastAsia"/>
          <w:highlight w:val="none"/>
        </w:rPr>
        <w:t>专用</w:t>
      </w:r>
      <w:r>
        <w:rPr>
          <w:rFonts w:hint="eastAsia"/>
          <w:highlight w:val="none"/>
          <w:lang w:val="zh-CN"/>
        </w:rPr>
        <w:t>车辆</w:t>
      </w:r>
      <w:r>
        <w:rPr>
          <w:rFonts w:hint="eastAsia"/>
          <w:highlight w:val="none"/>
        </w:rPr>
        <w:t>应</w:t>
      </w:r>
      <w:r>
        <w:rPr>
          <w:rFonts w:hint="eastAsia"/>
          <w:highlight w:val="none"/>
          <w:lang w:val="zh-CN"/>
        </w:rPr>
        <w:t>符合</w:t>
      </w:r>
      <w:r>
        <w:rPr>
          <w:rFonts w:hint="eastAsia"/>
          <w:highlight w:val="none"/>
        </w:rPr>
        <w:t>国家</w:t>
      </w:r>
      <w:r>
        <w:rPr>
          <w:rFonts w:hint="eastAsia"/>
          <w:highlight w:val="none"/>
          <w:lang w:val="zh-CN"/>
        </w:rPr>
        <w:t>相关法律法规规定。</w:t>
      </w:r>
      <w:r>
        <w:rPr>
          <w:rFonts w:hint="eastAsia"/>
          <w:highlight w:val="none"/>
        </w:rPr>
        <w:t>乙方负责无偿将货品完好无损运至甲方指定地点，并负责装卸、运输、搬运至甲方指定的货品停放区并完成下车、现场清理等工作，与此相关的所有风险和费用（包含但不限于包装费、保险费、运输费、运杂费、装卸费等）均由乙方承担。</w:t>
      </w:r>
    </w:p>
    <w:p w14:paraId="68CE4CE3">
      <w:pPr>
        <w:rPr>
          <w:highlight w:val="none"/>
        </w:rPr>
      </w:pPr>
      <w:r>
        <w:rPr>
          <w:rFonts w:hint="eastAsia"/>
          <w:highlight w:val="none"/>
          <w:lang w:val="zh-CN"/>
        </w:rPr>
        <w:t>（四）乙方应安排专用车辆为甲方送货，甲方的货品不得与非甲方货品放置在一起。如由乙方自行运输则乙方有义务取得相关有效运输资质并保持资质的有效性；如由乙方委托第三方负责运输，则乙方有义务确保承运人取得相关有效运输资质并定期检查资质的有效性。</w:t>
      </w:r>
    </w:p>
    <w:p w14:paraId="0ABA1F17">
      <w:pPr>
        <w:rPr>
          <w:highlight w:val="none"/>
          <w:lang w:val="zh-CN"/>
        </w:rPr>
      </w:pPr>
      <w:r>
        <w:rPr>
          <w:rFonts w:hint="eastAsia"/>
          <w:highlight w:val="none"/>
        </w:rPr>
        <w:t>（五）</w:t>
      </w:r>
      <w:r>
        <w:rPr>
          <w:rFonts w:hint="eastAsia"/>
          <w:highlight w:val="none"/>
          <w:lang w:val="zh-CN"/>
        </w:rPr>
        <w:t>在配送运输中</w:t>
      </w:r>
      <w:r>
        <w:rPr>
          <w:rFonts w:hint="eastAsia"/>
          <w:highlight w:val="none"/>
        </w:rPr>
        <w:t>乙方</w:t>
      </w:r>
      <w:r>
        <w:rPr>
          <w:rFonts w:hint="eastAsia"/>
          <w:highlight w:val="none"/>
          <w:lang w:val="zh-CN"/>
        </w:rPr>
        <w:t>应确保安全，</w:t>
      </w:r>
      <w:r>
        <w:rPr>
          <w:rFonts w:hint="eastAsia"/>
          <w:highlight w:val="none"/>
        </w:rPr>
        <w:t>包括食材安全和车辆安全等。乙方</w:t>
      </w:r>
      <w:r>
        <w:rPr>
          <w:rFonts w:hint="eastAsia"/>
          <w:highlight w:val="none"/>
          <w:lang w:val="zh-CN"/>
        </w:rPr>
        <w:t>凭</w:t>
      </w:r>
      <w:r>
        <w:rPr>
          <w:rFonts w:hint="eastAsia"/>
          <w:highlight w:val="none"/>
        </w:rPr>
        <w:t>食材</w:t>
      </w:r>
      <w:r>
        <w:rPr>
          <w:rFonts w:hint="eastAsia"/>
          <w:highlight w:val="none"/>
          <w:lang w:val="zh-CN"/>
        </w:rPr>
        <w:t>配送专用车辆标志进入甲方食堂；在甲方区域运输应遵循甲方相关规定（包括但不限于规定</w:t>
      </w:r>
      <w:r>
        <w:rPr>
          <w:rFonts w:hint="eastAsia"/>
          <w:highlight w:val="none"/>
        </w:rPr>
        <w:t>的</w:t>
      </w:r>
      <w:r>
        <w:rPr>
          <w:rFonts w:hint="eastAsia"/>
          <w:highlight w:val="none"/>
          <w:lang w:val="zh-CN"/>
        </w:rPr>
        <w:t>时间和路线等），确保安全前提下方可运输及装卸；如在配送中发生安全事故，由此产生的一切责任、风险、损失和费用等均由乙方承担。</w:t>
      </w:r>
    </w:p>
    <w:p w14:paraId="124C8067">
      <w:pPr>
        <w:rPr>
          <w:highlight w:val="none"/>
        </w:rPr>
      </w:pPr>
      <w:r>
        <w:rPr>
          <w:rFonts w:hint="eastAsia"/>
          <w:highlight w:val="none"/>
          <w:lang w:val="zh-CN"/>
        </w:rPr>
        <w:t>（六）货品的所有风险自经甲方验收合格且交付给甲方时起由乙方转移至甲方，货品经甲方验收合格且交付给甲方之前包括但不限于运输在内的所有风险均由乙方承担。</w:t>
      </w:r>
    </w:p>
    <w:p w14:paraId="39DAEAD2">
      <w:pPr>
        <w:outlineLvl w:val="9"/>
        <w:rPr>
          <w:highlight w:val="none"/>
        </w:rPr>
      </w:pPr>
      <w:bookmarkStart w:id="142" w:name="_Toc300"/>
      <w:bookmarkStart w:id="143" w:name="_Toc22813"/>
      <w:r>
        <w:rPr>
          <w:rFonts w:hint="eastAsia"/>
          <w:highlight w:val="none"/>
        </w:rPr>
        <w:t>六、食材价格定价、核价和结算价</w:t>
      </w:r>
      <w:bookmarkEnd w:id="142"/>
      <w:bookmarkEnd w:id="143"/>
    </w:p>
    <w:p w14:paraId="366CCF85">
      <w:pPr>
        <w:rPr>
          <w:highlight w:val="none"/>
          <w:lang w:val="zh-CN"/>
        </w:rPr>
      </w:pPr>
      <w:r>
        <w:rPr>
          <w:rFonts w:hint="eastAsia"/>
          <w:highlight w:val="none"/>
          <w:lang w:val="zh-CN"/>
        </w:rPr>
        <w:t>基价核定：</w:t>
      </w:r>
    </w:p>
    <w:p w14:paraId="53C8D9F5">
      <w:pPr>
        <w:rPr>
          <w:highlight w:val="none"/>
          <w:lang w:val="zh-CN"/>
        </w:rPr>
      </w:pPr>
      <w:r>
        <w:rPr>
          <w:rFonts w:hint="eastAsia"/>
          <w:highlight w:val="none"/>
          <w:lang w:val="zh-CN"/>
        </w:rPr>
        <w:t>甲方或其所属单位每月25日至30日选定某一工作日分别组织开展次月所需货品基价核定工作（如遇节假日顺延；首月基价首月核定）。乙方根据甲方每月确定的次月所需暂定货品名目，进行单价报价，并由甲方进行价格核定。乙方所报单价不得超过甲方所在地区大型超市当日挂牌单价均价（价格来源为大型超市APP，如永辉生活、重百优选等；APP无对应价格的，由甲方根据市场行情核定基价），若乙方所报单价超过的，基价按大型超市当日挂牌单价均价/市场行情核定基价执行；不超过的按乙方所报单价执行。</w:t>
      </w:r>
    </w:p>
    <w:p w14:paraId="6E2C8110">
      <w:pPr>
        <w:outlineLvl w:val="9"/>
        <w:rPr>
          <w:highlight w:val="none"/>
          <w:lang w:val="zh-CN"/>
        </w:rPr>
      </w:pPr>
      <w:bookmarkStart w:id="144" w:name="_Toc14336"/>
      <w:bookmarkStart w:id="145" w:name="_Toc13354"/>
      <w:r>
        <w:rPr>
          <w:rFonts w:hint="eastAsia"/>
          <w:highlight w:val="none"/>
        </w:rPr>
        <w:t>七</w:t>
      </w:r>
      <w:r>
        <w:rPr>
          <w:rFonts w:hint="eastAsia"/>
          <w:highlight w:val="none"/>
          <w:lang w:val="zh-CN"/>
        </w:rPr>
        <w:t>、结算与付款</w:t>
      </w:r>
      <w:bookmarkEnd w:id="144"/>
      <w:bookmarkEnd w:id="145"/>
    </w:p>
    <w:p w14:paraId="55895819">
      <w:pPr>
        <w:rPr>
          <w:highlight w:val="none"/>
          <w:lang w:val="zh-CN"/>
        </w:rPr>
      </w:pPr>
      <w:r>
        <w:rPr>
          <w:rFonts w:hint="eastAsia"/>
          <w:highlight w:val="none"/>
          <w:lang w:val="zh-CN"/>
        </w:rPr>
        <w:t>（一）结算方式：按月结算</w:t>
      </w:r>
      <w:r>
        <w:rPr>
          <w:rFonts w:hint="eastAsia"/>
          <w:highlight w:val="none"/>
        </w:rPr>
        <w:t>1次</w:t>
      </w:r>
      <w:r>
        <w:rPr>
          <w:rFonts w:hint="eastAsia"/>
          <w:highlight w:val="none"/>
          <w:lang w:val="zh-CN"/>
        </w:rPr>
        <w:t>。</w:t>
      </w:r>
      <w:r>
        <w:rPr>
          <w:rFonts w:hint="eastAsia"/>
          <w:highlight w:val="none"/>
        </w:rPr>
        <w:t>次月5日前</w:t>
      </w:r>
      <w:r>
        <w:rPr>
          <w:rFonts w:hint="eastAsia"/>
          <w:highlight w:val="none"/>
          <w:lang w:val="zh-CN"/>
        </w:rPr>
        <w:t>（节假日顺延）以甲方确认的收货单、经甲方验收合格的实际供货量、双方签字确认的核价单、月度服务质量考评结果和中标取费比例等为依据，进行结算。</w:t>
      </w:r>
    </w:p>
    <w:p w14:paraId="5CAD5846">
      <w:pPr>
        <w:rPr>
          <w:highlight w:val="none"/>
          <w:lang w:val="zh-CN"/>
        </w:rPr>
      </w:pPr>
      <w:r>
        <w:rPr>
          <w:rFonts w:hint="eastAsia"/>
          <w:highlight w:val="none"/>
          <w:lang w:val="zh-CN"/>
        </w:rPr>
        <w:t>1、</w:t>
      </w:r>
      <w:r>
        <w:rPr>
          <w:rFonts w:hint="eastAsia"/>
          <w:highlight w:val="none"/>
        </w:rPr>
        <w:t>甲方对乙方提供食材的质量、服务效率效果及日常管理等按照附件1《食堂食材配送验收标准》、附件2《食物配送质量考核评价表（月度）》等进行月度考核，根据甲乙双方确认的月度考核结果，分为</w:t>
      </w:r>
      <w:r>
        <w:rPr>
          <w:rFonts w:hint="eastAsia"/>
          <w:highlight w:val="none"/>
          <w:lang w:val="zh-CN"/>
        </w:rPr>
        <w:t>满意（90分及以上）/较好（80-89分）/一般（70-79）/差（69分及以下）</w:t>
      </w:r>
      <w:r>
        <w:rPr>
          <w:rFonts w:hint="eastAsia"/>
          <w:highlight w:val="none"/>
        </w:rPr>
        <w:t>四个等级</w:t>
      </w:r>
      <w:r>
        <w:rPr>
          <w:rFonts w:hint="eastAsia"/>
          <w:highlight w:val="none"/>
          <w:lang w:val="zh-CN"/>
        </w:rPr>
        <w:t>。</w:t>
      </w:r>
      <w:r>
        <w:rPr>
          <w:rFonts w:hint="eastAsia"/>
          <w:highlight w:val="none"/>
        </w:rPr>
        <w:t>得分90分及以上付月度采购结算全款</w:t>
      </w:r>
      <w:r>
        <w:rPr>
          <w:rFonts w:hint="eastAsia"/>
          <w:highlight w:val="none"/>
          <w:lang w:val="zh-CN"/>
        </w:rPr>
        <w:t>；得分89-80分【扣分为X分，扣减</w:t>
      </w:r>
      <w:r>
        <w:rPr>
          <w:rFonts w:hint="eastAsia"/>
          <w:highlight w:val="none"/>
        </w:rPr>
        <w:t>月度采购结算</w:t>
      </w:r>
      <w:r>
        <w:rPr>
          <w:rFonts w:hint="eastAsia"/>
          <w:highlight w:val="none"/>
          <w:lang w:val="zh-CN"/>
        </w:rPr>
        <w:t>费1</w:t>
      </w:r>
      <w:r>
        <w:rPr>
          <w:rFonts w:hint="eastAsia"/>
          <w:highlight w:val="none"/>
        </w:rPr>
        <w:t>0</w:t>
      </w:r>
      <w:r>
        <w:rPr>
          <w:rFonts w:hint="eastAsia"/>
          <w:highlight w:val="none"/>
          <w:lang w:val="zh-CN"/>
        </w:rPr>
        <w:t>00+（X-10）*500】；得分79分及以下，扣减</w:t>
      </w:r>
      <w:r>
        <w:rPr>
          <w:rFonts w:hint="eastAsia"/>
          <w:highlight w:val="none"/>
        </w:rPr>
        <w:t>月度采购结算</w:t>
      </w:r>
      <w:r>
        <w:rPr>
          <w:rFonts w:hint="eastAsia"/>
          <w:highlight w:val="none"/>
          <w:lang w:val="zh-CN"/>
        </w:rPr>
        <w:t>费10000元/次；以上扣分X=100-得分。一年之内如有两次（含）以上食材质量问题，以及两次以上（含）考核得分79分及以下，甲方有权即刻解除合同且甲方不需要承担任何违约责任，且不予退还乙方履约保证金，且要追究乙方违约责任。</w:t>
      </w:r>
    </w:p>
    <w:p w14:paraId="2C1A6B8C">
      <w:pPr>
        <w:rPr>
          <w:highlight w:val="none"/>
          <w:lang w:val="zh-CN"/>
        </w:rPr>
      </w:pPr>
      <w:r>
        <w:rPr>
          <w:rFonts w:hint="eastAsia"/>
          <w:highlight w:val="none"/>
          <w:lang w:val="zh-CN"/>
        </w:rPr>
        <w:t>2、甲方对乙方每月按照考核结果进行</w:t>
      </w:r>
      <w:r>
        <w:rPr>
          <w:rFonts w:hint="eastAsia"/>
          <w:highlight w:val="none"/>
        </w:rPr>
        <w:t>1次</w:t>
      </w:r>
      <w:r>
        <w:rPr>
          <w:rFonts w:hint="eastAsia"/>
          <w:highlight w:val="none"/>
          <w:lang w:val="zh-CN"/>
        </w:rPr>
        <w:t>结算，具体计算公式为：月度采购结算实际支付金额=月度采购结算全款-考核扣除金额。</w:t>
      </w:r>
    </w:p>
    <w:p w14:paraId="7C503512">
      <w:pPr>
        <w:rPr>
          <w:highlight w:val="none"/>
          <w:lang w:val="zh-CN"/>
        </w:rPr>
      </w:pPr>
      <w:r>
        <w:rPr>
          <w:rFonts w:hint="eastAsia"/>
          <w:highlight w:val="none"/>
          <w:lang w:val="zh-CN"/>
        </w:rPr>
        <w:t>（二）付款方式</w:t>
      </w:r>
    </w:p>
    <w:p w14:paraId="7DDAF404">
      <w:pPr>
        <w:rPr>
          <w:highlight w:val="none"/>
          <w:lang w:val="zh-CN"/>
        </w:rPr>
      </w:pPr>
      <w:r>
        <w:rPr>
          <w:rFonts w:hint="eastAsia"/>
          <w:highlight w:val="none"/>
        </w:rPr>
        <w:t>1、</w:t>
      </w:r>
      <w:r>
        <w:rPr>
          <w:rFonts w:hint="eastAsia"/>
          <w:highlight w:val="none"/>
          <w:lang w:val="zh-CN"/>
        </w:rPr>
        <w:t>货款支付采用银行转账方式，任何情况下，甲方在支付货款前，乙方应向甲方提供与支付货款金额相等的且合法合规并满足甲方财务要求的增值税发票及合同载明的其他付款相关单据和材料，否则甲方有权拒绝支付，且不承担违约责任等任何责任。乙方不得以甲方拒绝付款为由拒绝或拖延履行合同项下任何义务。</w:t>
      </w:r>
    </w:p>
    <w:p w14:paraId="552A012C">
      <w:pPr>
        <w:rPr>
          <w:highlight w:val="none"/>
          <w:lang w:val="zh-CN"/>
        </w:rPr>
      </w:pPr>
      <w:r>
        <w:rPr>
          <w:rFonts w:hint="eastAsia"/>
          <w:highlight w:val="none"/>
        </w:rPr>
        <w:t>2、</w:t>
      </w:r>
      <w:r>
        <w:rPr>
          <w:rFonts w:hint="eastAsia"/>
          <w:highlight w:val="none"/>
          <w:lang w:val="zh-CN"/>
        </w:rPr>
        <w:t>乙方应于</w:t>
      </w:r>
      <w:r>
        <w:rPr>
          <w:rFonts w:hint="eastAsia"/>
          <w:highlight w:val="none"/>
        </w:rPr>
        <w:t>次月5日前</w:t>
      </w:r>
      <w:r>
        <w:rPr>
          <w:rFonts w:hint="eastAsia"/>
          <w:highlight w:val="none"/>
          <w:lang w:val="zh-CN"/>
        </w:rPr>
        <w:t>对月度服务质量评价结果进行签字确认，并向甲方提供与支付货款金额相等的且合法合规并满足甲方财务要求的增值税发票及合同载明的其他付款相关单据和材料；乙方无正当理由拒绝和（或）逾期对服务质量评价结果签字确认的，视为其同意该评价结果。甲方收到乙方提供的上述发票和资料并经甲方审核无误之日起【</w:t>
      </w:r>
      <w:r>
        <w:rPr>
          <w:rFonts w:hint="eastAsia"/>
          <w:highlight w:val="none"/>
        </w:rPr>
        <w:t>20</w:t>
      </w:r>
      <w:r>
        <w:rPr>
          <w:rFonts w:hint="eastAsia"/>
          <w:highlight w:val="none"/>
          <w:lang w:val="zh-CN"/>
        </w:rPr>
        <w:t>】个工作日内付清相应结算款项。</w:t>
      </w:r>
    </w:p>
    <w:p w14:paraId="46D81279">
      <w:pPr>
        <w:rPr>
          <w:highlight w:val="none"/>
        </w:rPr>
      </w:pPr>
      <w:r>
        <w:rPr>
          <w:rFonts w:hint="eastAsia"/>
          <w:highlight w:val="none"/>
          <w:lang w:val="zh-CN"/>
        </w:rPr>
        <w:t>3</w:t>
      </w:r>
      <w:r>
        <w:rPr>
          <w:rFonts w:hint="eastAsia"/>
          <w:highlight w:val="none"/>
        </w:rPr>
        <w:t>、</w:t>
      </w:r>
      <w:r>
        <w:rPr>
          <w:rFonts w:hint="eastAsia"/>
          <w:highlight w:val="none"/>
          <w:lang w:val="zh-CN"/>
        </w:rPr>
        <w:t>若乙方提供的发票不符合税务等主管部门和（或）甲方的要求，和（或）因乙方开具发票不及时给甲方造成无法及时认证、抵扣发票等情形的，甲方有权拒收和拒绝支付应付款项，且不承担任何违约责任，乙方除应依法向甲方重新开具发票、自行承担其损失及费用外，还应向甲方支付【</w:t>
      </w:r>
      <w:r>
        <w:rPr>
          <w:rFonts w:hint="eastAsia"/>
          <w:highlight w:val="none"/>
        </w:rPr>
        <w:t>5000</w:t>
      </w:r>
      <w:r>
        <w:rPr>
          <w:rFonts w:hint="eastAsia"/>
          <w:highlight w:val="none"/>
          <w:lang w:val="zh-CN"/>
        </w:rPr>
        <w:t>】元的违约金，并完全赔偿给甲方造成的全部损失，包括但不限于甲方的增值税等税收损失及被税务主管单位加收的滞纳金、罚款及相关其他损失。</w:t>
      </w:r>
    </w:p>
    <w:p w14:paraId="44FF4E52">
      <w:pPr>
        <w:outlineLvl w:val="9"/>
        <w:rPr>
          <w:highlight w:val="none"/>
        </w:rPr>
      </w:pPr>
      <w:bookmarkStart w:id="146" w:name="_Toc23924"/>
      <w:bookmarkStart w:id="147" w:name="_Toc17587"/>
      <w:r>
        <w:rPr>
          <w:rFonts w:hint="eastAsia"/>
          <w:highlight w:val="none"/>
        </w:rPr>
        <w:t>八、双方权利义务</w:t>
      </w:r>
      <w:bookmarkEnd w:id="146"/>
      <w:bookmarkEnd w:id="147"/>
    </w:p>
    <w:p w14:paraId="3D4B7167">
      <w:pPr>
        <w:outlineLvl w:val="9"/>
        <w:rPr>
          <w:highlight w:val="none"/>
        </w:rPr>
      </w:pPr>
      <w:r>
        <w:rPr>
          <w:rFonts w:hint="eastAsia"/>
          <w:highlight w:val="none"/>
        </w:rPr>
        <w:t>（一）</w:t>
      </w:r>
      <w:r>
        <w:rPr>
          <w:rFonts w:hint="eastAsia"/>
          <w:highlight w:val="none"/>
          <w:lang w:val="zh-CN"/>
        </w:rPr>
        <w:t>甲方权利义务</w:t>
      </w:r>
    </w:p>
    <w:p w14:paraId="01E7503F">
      <w:pPr>
        <w:rPr>
          <w:highlight w:val="none"/>
        </w:rPr>
      </w:pPr>
      <w:r>
        <w:rPr>
          <w:rFonts w:hint="eastAsia"/>
          <w:highlight w:val="none"/>
        </w:rPr>
        <w:t>1、</w:t>
      </w:r>
      <w:r>
        <w:rPr>
          <w:rFonts w:hint="eastAsia"/>
          <w:highlight w:val="none"/>
          <w:lang w:val="zh-CN"/>
        </w:rPr>
        <w:t>甲方按合同要求凭乙方所在单位的财务统一发票，以支票（汇票）的方式，按约定的财务结算周期内支付货款；</w:t>
      </w:r>
    </w:p>
    <w:p w14:paraId="3C455620">
      <w:pPr>
        <w:rPr>
          <w:highlight w:val="none"/>
        </w:rPr>
      </w:pPr>
      <w:r>
        <w:rPr>
          <w:rFonts w:hint="eastAsia"/>
          <w:highlight w:val="none"/>
        </w:rPr>
        <w:t>2、</w:t>
      </w:r>
      <w:r>
        <w:rPr>
          <w:rFonts w:hint="eastAsia"/>
          <w:highlight w:val="none"/>
          <w:lang w:val="zh-CN"/>
        </w:rPr>
        <w:t>甲方在乙方商品供货过程中给予积极配合；</w:t>
      </w:r>
    </w:p>
    <w:p w14:paraId="11C60536">
      <w:pPr>
        <w:rPr>
          <w:highlight w:val="none"/>
        </w:rPr>
      </w:pPr>
      <w:r>
        <w:rPr>
          <w:rFonts w:hint="eastAsia"/>
          <w:highlight w:val="none"/>
        </w:rPr>
        <w:t>3、</w:t>
      </w:r>
      <w:r>
        <w:rPr>
          <w:rFonts w:hint="eastAsia"/>
          <w:highlight w:val="none"/>
          <w:lang w:val="zh-CN"/>
        </w:rPr>
        <w:t>甲方按照需求和合同约定提前通知乙方配送量</w:t>
      </w:r>
      <w:r>
        <w:rPr>
          <w:rFonts w:hint="eastAsia"/>
          <w:highlight w:val="none"/>
        </w:rPr>
        <w:t>；</w:t>
      </w:r>
    </w:p>
    <w:p w14:paraId="6511C2E1">
      <w:pPr>
        <w:rPr>
          <w:highlight w:val="none"/>
        </w:rPr>
      </w:pPr>
      <w:r>
        <w:rPr>
          <w:rFonts w:hint="eastAsia"/>
          <w:highlight w:val="none"/>
        </w:rPr>
        <w:t>4、</w:t>
      </w:r>
      <w:r>
        <w:rPr>
          <w:rFonts w:hint="eastAsia"/>
          <w:highlight w:val="none"/>
          <w:lang w:val="zh-CN"/>
        </w:rPr>
        <w:t>甲方有权对配送货品进行索证，并对配送货品进行检测。</w:t>
      </w:r>
    </w:p>
    <w:p w14:paraId="60C86217">
      <w:pPr>
        <w:rPr>
          <w:highlight w:val="none"/>
          <w:lang w:val="zh-CN"/>
        </w:rPr>
      </w:pPr>
      <w:r>
        <w:rPr>
          <w:rFonts w:hint="eastAsia"/>
          <w:highlight w:val="none"/>
        </w:rPr>
        <w:t>5、</w:t>
      </w:r>
      <w:r>
        <w:rPr>
          <w:rFonts w:hint="eastAsia"/>
          <w:highlight w:val="none"/>
          <w:lang w:val="zh-CN"/>
        </w:rPr>
        <w:t>甲方若发现乙方配送的物资存在问题，应与乙方取得联系，由乙方负责及时处理。</w:t>
      </w:r>
    </w:p>
    <w:p w14:paraId="0A690F88">
      <w:pPr>
        <w:outlineLvl w:val="9"/>
        <w:rPr>
          <w:highlight w:val="none"/>
        </w:rPr>
      </w:pPr>
      <w:r>
        <w:rPr>
          <w:rFonts w:hint="eastAsia"/>
          <w:highlight w:val="none"/>
        </w:rPr>
        <w:t>（二）</w:t>
      </w:r>
      <w:r>
        <w:rPr>
          <w:rFonts w:hint="eastAsia"/>
          <w:highlight w:val="none"/>
          <w:lang w:val="zh-CN"/>
        </w:rPr>
        <w:t>乙方权利义务</w:t>
      </w:r>
    </w:p>
    <w:p w14:paraId="59674D50">
      <w:pPr>
        <w:rPr>
          <w:highlight w:val="none"/>
        </w:rPr>
      </w:pPr>
      <w:r>
        <w:rPr>
          <w:rFonts w:hint="eastAsia"/>
          <w:highlight w:val="none"/>
        </w:rPr>
        <w:t>1、</w:t>
      </w:r>
      <w:r>
        <w:rPr>
          <w:rFonts w:hint="eastAsia"/>
          <w:highlight w:val="none"/>
          <w:lang w:val="zh-CN"/>
        </w:rPr>
        <w:t>乙方必须向甲方提交有效证件，服务期内发生资质证件材料更改等事项应及时通知并将变更材料送达甲方单位；乙方应按规定投保食品安全责任险；乙方保证在重庆市内自有蔬菜生产基地或由合作的蔬菜基地。</w:t>
      </w:r>
    </w:p>
    <w:p w14:paraId="5FD13F36">
      <w:pPr>
        <w:rPr>
          <w:highlight w:val="none"/>
        </w:rPr>
      </w:pPr>
      <w:r>
        <w:rPr>
          <w:rFonts w:hint="eastAsia"/>
          <w:highlight w:val="none"/>
        </w:rPr>
        <w:t>2、</w:t>
      </w:r>
      <w:r>
        <w:rPr>
          <w:rFonts w:hint="eastAsia"/>
          <w:highlight w:val="none"/>
          <w:lang w:val="zh-CN"/>
        </w:rPr>
        <w:t>乙方必须根据甲方要求和合同约定按时、按量、按质供货至甲方要求送达的地方；乙方保证所提供的所有货品为合同中所规定的货品，质量符合相应的国家、重庆市和行业标准及职工食堂要求等规定（标准不一致的，以较高标准为准），并向甲方提供有效的质检合格证和检测报告等（包括但并不限于所供商品须取得</w:t>
      </w:r>
      <w:r>
        <w:rPr>
          <w:rFonts w:hint="eastAsia"/>
          <w:highlight w:val="none"/>
        </w:rPr>
        <w:t>QS</w:t>
      </w:r>
      <w:r>
        <w:rPr>
          <w:rFonts w:hint="eastAsia"/>
          <w:highlight w:val="none"/>
          <w:lang w:val="zh-CN"/>
        </w:rPr>
        <w:t>认证或有效的检测报告和食品检验合格证</w:t>
      </w:r>
      <w:r>
        <w:rPr>
          <w:rFonts w:hint="eastAsia"/>
          <w:highlight w:val="none"/>
        </w:rPr>
        <w:t>等质检证书证件）</w:t>
      </w:r>
      <w:r>
        <w:rPr>
          <w:rFonts w:hint="eastAsia"/>
          <w:highlight w:val="none"/>
          <w:lang w:val="zh-CN"/>
        </w:rPr>
        <w:t>，必须一次性通过甲方的验收。</w:t>
      </w:r>
    </w:p>
    <w:p w14:paraId="26E0D708">
      <w:pPr>
        <w:rPr>
          <w:highlight w:val="none"/>
        </w:rPr>
      </w:pPr>
      <w:r>
        <w:rPr>
          <w:rFonts w:hint="eastAsia"/>
          <w:highlight w:val="none"/>
        </w:rPr>
        <w:t>3、</w:t>
      </w:r>
      <w:r>
        <w:rPr>
          <w:rFonts w:hint="eastAsia"/>
          <w:highlight w:val="none"/>
          <w:lang w:val="zh-CN"/>
        </w:rPr>
        <w:t>乙方具有独立承担民事责任的能力；具有良好的商业信誉和健全的财务会计制度；具有履行合同所必需的相关条件；有依法缴纳税收和社会保障资金的良好记录；在经营活动中没有重大违法记录。</w:t>
      </w:r>
    </w:p>
    <w:p w14:paraId="28D1A1C3">
      <w:pPr>
        <w:rPr>
          <w:highlight w:val="none"/>
        </w:rPr>
      </w:pPr>
      <w:r>
        <w:rPr>
          <w:rFonts w:hint="eastAsia"/>
          <w:highlight w:val="none"/>
        </w:rPr>
        <w:t>4、</w:t>
      </w:r>
      <w:r>
        <w:rPr>
          <w:rFonts w:hint="eastAsia"/>
          <w:highlight w:val="none"/>
          <w:lang w:val="zh-CN"/>
        </w:rPr>
        <w:t>乙方应建立供货服务回访制度，定期征询甲方单位对食品供货的意见和建议。</w:t>
      </w:r>
    </w:p>
    <w:p w14:paraId="2E1F2B7F">
      <w:pPr>
        <w:rPr>
          <w:highlight w:val="none"/>
        </w:rPr>
      </w:pPr>
      <w:r>
        <w:rPr>
          <w:rFonts w:hint="eastAsia"/>
          <w:highlight w:val="none"/>
        </w:rPr>
        <w:t>5、</w:t>
      </w:r>
      <w:r>
        <w:rPr>
          <w:rFonts w:hint="eastAsia"/>
          <w:highlight w:val="none"/>
          <w:lang w:val="zh-CN"/>
        </w:rPr>
        <w:t>乙方在商品配送的过程中遇到不可抗力因素时，必须在第一时间利用电话等方式通知甲方，并采取相应补救措施满足甲方所提出的合理要求。</w:t>
      </w:r>
    </w:p>
    <w:p w14:paraId="56DA826A">
      <w:pPr>
        <w:rPr>
          <w:highlight w:val="none"/>
          <w:lang w:val="zh-CN"/>
        </w:rPr>
      </w:pPr>
      <w:r>
        <w:rPr>
          <w:rFonts w:hint="eastAsia"/>
          <w:highlight w:val="none"/>
        </w:rPr>
        <w:t>6、</w:t>
      </w:r>
      <w:r>
        <w:rPr>
          <w:rFonts w:hint="eastAsia"/>
          <w:highlight w:val="none"/>
          <w:lang w:val="zh-CN"/>
        </w:rPr>
        <w:t>乙方提供给甲方的产品，食品质量安全必须符合国家食品卫生等有关部门的标准，并提供有关证件和检测报告。</w:t>
      </w:r>
    </w:p>
    <w:p w14:paraId="688D267E">
      <w:pPr>
        <w:rPr>
          <w:highlight w:val="none"/>
          <w:lang w:val="zh-CN"/>
        </w:rPr>
      </w:pPr>
      <w:r>
        <w:rPr>
          <w:rFonts w:hint="eastAsia"/>
          <w:highlight w:val="none"/>
        </w:rPr>
        <w:t>7、</w:t>
      </w:r>
      <w:r>
        <w:rPr>
          <w:rFonts w:hint="eastAsia"/>
          <w:highlight w:val="none"/>
          <w:lang w:val="zh-CN"/>
        </w:rPr>
        <w:t>甲方在使用乙方商品的过程中，若发生食品质量安全、卫生、服务等方面的问题，乙方必须在第一时间内赶赴现场与甲方有关人员分析原因，积极处理，</w:t>
      </w:r>
      <w:r>
        <w:rPr>
          <w:rFonts w:hint="eastAsia"/>
          <w:highlight w:val="none"/>
        </w:rPr>
        <w:t>并承担责任</w:t>
      </w:r>
      <w:r>
        <w:rPr>
          <w:rFonts w:hint="eastAsia"/>
          <w:highlight w:val="none"/>
          <w:lang w:val="zh-CN"/>
        </w:rPr>
        <w:t>。</w:t>
      </w:r>
    </w:p>
    <w:p w14:paraId="0A21CB00">
      <w:pPr>
        <w:rPr>
          <w:highlight w:val="none"/>
          <w:lang w:val="zh-CN"/>
        </w:rPr>
      </w:pPr>
      <w:r>
        <w:rPr>
          <w:rFonts w:hint="eastAsia"/>
          <w:highlight w:val="none"/>
        </w:rPr>
        <w:t>8、</w:t>
      </w:r>
      <w:r>
        <w:rPr>
          <w:rFonts w:hint="eastAsia"/>
          <w:highlight w:val="none"/>
          <w:lang w:val="zh-CN"/>
        </w:rPr>
        <w:t>乙方履行进货查验义务，建立索证索票台账。</w:t>
      </w:r>
    </w:p>
    <w:p w14:paraId="655A3973">
      <w:pPr>
        <w:rPr>
          <w:highlight w:val="none"/>
          <w:lang w:val="zh-CN"/>
        </w:rPr>
      </w:pPr>
      <w:r>
        <w:rPr>
          <w:rFonts w:hint="eastAsia"/>
          <w:highlight w:val="none"/>
        </w:rPr>
        <w:t>9、</w:t>
      </w:r>
      <w:r>
        <w:rPr>
          <w:rFonts w:hint="eastAsia"/>
          <w:highlight w:val="none"/>
          <w:lang w:val="zh-CN"/>
        </w:rPr>
        <w:t>乙方应向甲方出具有效的工商执照、税务登记证、卫生许可证、食品卫生许可证、食品流通许可证、食品经营许可证等相关证照，同时将加盖公章的各证照复印件作为本协议附件。乙方保证其具备提供本协议约定货品及服务的合法资格，并负责办理涉及的全部审批、备案等相关合法合规营运手续；乙方承诺其向甲方提供的资质证明是真实的、有效的，甲方仅就乙方提供的材料进行形式审查，若乙方不具备相关资质、未办理相关合法合规手续和（或）提供虚假材料的，乙方应向甲方支付【</w:t>
      </w:r>
      <w:r>
        <w:rPr>
          <w:rFonts w:hint="eastAsia"/>
          <w:highlight w:val="none"/>
        </w:rPr>
        <w:t>5000</w:t>
      </w:r>
      <w:r>
        <w:rPr>
          <w:rFonts w:hint="eastAsia"/>
          <w:highlight w:val="none"/>
          <w:lang w:val="zh-CN"/>
        </w:rPr>
        <w:t xml:space="preserve">】元违约金；若因此遭致政府及相关主管部门处罚和（或）给甲方或其他第三方造成损害的，由乙方承担由此产生的全部风险、费用、损失和责任等。合同有效期内，乙方应确保上述经营资格的持续有效性，否则甲方有权单方解除合同且不承担任何违约责任，同时甲方还有权没收履约保证金，乙方除应按约承担违约责任外，还应完全赔偿给甲方和（或）第三方造成的损失。 </w:t>
      </w:r>
    </w:p>
    <w:p w14:paraId="2B68C85C">
      <w:pPr>
        <w:rPr>
          <w:highlight w:val="none"/>
          <w:lang w:val="zh-CN"/>
        </w:rPr>
      </w:pPr>
      <w:r>
        <w:rPr>
          <w:rFonts w:hint="eastAsia"/>
          <w:highlight w:val="none"/>
        </w:rPr>
        <w:t>10、</w:t>
      </w:r>
      <w:r>
        <w:rPr>
          <w:rFonts w:hint="eastAsia"/>
          <w:highlight w:val="none"/>
          <w:lang w:val="zh-CN"/>
        </w:rPr>
        <w:t>乙方承诺所提供之货品和服务符合国家环境保护的有关规定，不能对环境造成不良影响，并承担因违反上述承诺而造成的经济损失。乙方承诺所提供之货品，不能对甲方正常使用人员的人身健康造成危害，并承担因违反上述承诺而造成的法律责任和经济损失。</w:t>
      </w:r>
    </w:p>
    <w:p w14:paraId="650111B6">
      <w:pPr>
        <w:rPr>
          <w:highlight w:val="none"/>
          <w:lang w:val="zh-CN"/>
        </w:rPr>
      </w:pPr>
      <w:r>
        <w:rPr>
          <w:rFonts w:hint="eastAsia"/>
          <w:highlight w:val="none"/>
        </w:rPr>
        <w:t>11、</w:t>
      </w:r>
      <w:r>
        <w:rPr>
          <w:rFonts w:hint="eastAsia"/>
          <w:highlight w:val="none"/>
          <w:lang w:val="zh-CN"/>
        </w:rPr>
        <w:t>乙方人员应遵守甲方的各项规章制度和安全、环保、职业健康操作规程，并服从甲方的管理。乙方对其人员的工作、生活、安全等方面承担全部责任，包括但不限于乙方人员发生人员致伤、残、亡的；在履行合同中遭受事故伤害、因个人身体原因突发疾（急）病伤亡的和（或）患职业病的；发生任何安全事故、患新型冠状病毒感染肺炎等均由乙方自行承担全部责任，与甲方无关。若因乙方管理不善、防控措施不到位、安全措施不到位、服务质量不符合要求等乙方原因造成安全事故、造成甲方损失和（或）第三方损失的，乙方除应承担违约责任外，还应赔偿给甲方和（或）第三方造成的全部损失。</w:t>
      </w:r>
    </w:p>
    <w:p w14:paraId="0CC71315">
      <w:pPr>
        <w:rPr>
          <w:highlight w:val="none"/>
          <w:lang w:val="zh-CN"/>
        </w:rPr>
      </w:pPr>
      <w:r>
        <w:rPr>
          <w:rFonts w:hint="eastAsia"/>
          <w:highlight w:val="none"/>
        </w:rPr>
        <w:t>12、</w:t>
      </w:r>
      <w:r>
        <w:rPr>
          <w:rFonts w:hint="eastAsia"/>
          <w:highlight w:val="none"/>
          <w:lang w:val="zh-CN"/>
        </w:rPr>
        <w:t>乙方保证并承诺其具有履行合同义务所需的相关资质，并严格执行相关规范，因货品配送过程中发生的安全事故由乙方承担责任并赔偿损失。乙方负有保证乙方工作人员无从事本项目相关工作的身体禁忌的责任。乙方应对以上相关工作人员在执行本项目过程中可能遇到的安全问题采取保护性措施、配备劳动防护用品，进行有效的安全教育，防止事故发生。乙方保证所派出提供服务的员工的工作时间、健康状态、劳动保护和防护等符合《中华人民共和国劳动法》《中华人民共和国劳动合同法》等相关法律法规的规定。</w:t>
      </w:r>
    </w:p>
    <w:p w14:paraId="19D9EE27">
      <w:pPr>
        <w:outlineLvl w:val="9"/>
        <w:rPr>
          <w:highlight w:val="none"/>
        </w:rPr>
      </w:pPr>
      <w:bookmarkStart w:id="148" w:name="_Toc3883"/>
      <w:bookmarkStart w:id="149" w:name="_Toc7168"/>
      <w:r>
        <w:rPr>
          <w:rFonts w:hint="eastAsia"/>
          <w:highlight w:val="none"/>
        </w:rPr>
        <w:t>九、履约保证金</w:t>
      </w:r>
      <w:bookmarkEnd w:id="148"/>
      <w:bookmarkEnd w:id="149"/>
    </w:p>
    <w:p w14:paraId="68F2C350">
      <w:pPr>
        <w:rPr>
          <w:highlight w:val="none"/>
        </w:rPr>
      </w:pPr>
      <w:r>
        <w:rPr>
          <w:rFonts w:hint="eastAsia"/>
          <w:highlight w:val="none"/>
        </w:rPr>
        <w:t>（1）履约保证金的形式：银行转账、汇票、支票或不可撤销的见索即付银行保函；</w:t>
      </w:r>
    </w:p>
    <w:p w14:paraId="4AB7E948">
      <w:pPr>
        <w:rPr>
          <w:highlight w:val="none"/>
        </w:rPr>
      </w:pPr>
      <w:r>
        <w:rPr>
          <w:rFonts w:hint="eastAsia"/>
          <w:highlight w:val="none"/>
        </w:rPr>
        <w:t>（2）履约保证金金额：人民币【</w:t>
      </w:r>
      <w:r>
        <w:rPr>
          <w:rFonts w:hint="eastAsia"/>
          <w:highlight w:val="none"/>
          <w:lang w:val="zh-CN"/>
        </w:rPr>
        <w:t>________</w:t>
      </w:r>
      <w:r>
        <w:rPr>
          <w:rFonts w:hint="eastAsia"/>
          <w:highlight w:val="none"/>
        </w:rPr>
        <w:t>】万元（大写：</w:t>
      </w:r>
      <w:r>
        <w:rPr>
          <w:rFonts w:hint="eastAsia"/>
          <w:highlight w:val="none"/>
          <w:lang w:val="zh-CN"/>
        </w:rPr>
        <w:t>________</w:t>
      </w:r>
      <w:r>
        <w:rPr>
          <w:rFonts w:hint="eastAsia"/>
          <w:highlight w:val="none"/>
        </w:rPr>
        <w:t>整）。</w:t>
      </w:r>
    </w:p>
    <w:p w14:paraId="2F2B30B9">
      <w:pPr>
        <w:rPr>
          <w:highlight w:val="none"/>
        </w:rPr>
      </w:pPr>
      <w:r>
        <w:rPr>
          <w:rFonts w:hint="eastAsia"/>
          <w:highlight w:val="none"/>
        </w:rPr>
        <w:t>（3）交纳时间：收到中标通知书后的15天内且在签订合同前，一次性足额汇入甲方指定账户；若乙方未按招标文件、合同约定向甲方提供履约担保和（或）其提供的履约担保有瑕疵、不符合要求的，乙方应向甲方支付预估采购金额10%的违约金，同时甲方有权取消乙方中标资格和（或）单方解除合同，且投标保证金不予退还，并由乙方完全赔偿给甲方造成的全部损失。</w:t>
      </w:r>
    </w:p>
    <w:p w14:paraId="0F6A6945">
      <w:pPr>
        <w:rPr>
          <w:highlight w:val="none"/>
        </w:rPr>
      </w:pPr>
      <w:r>
        <w:rPr>
          <w:rFonts w:hint="eastAsia"/>
          <w:highlight w:val="none"/>
        </w:rPr>
        <w:t>（4）若乙方不履行合同约定的义务和（或）其履行不符合合同的约定，则甲有权直接扣划、没收履约保证金。若因乙方违约，甲方扣划、没收履约保证金的，乙方应于扣划、没收之日起【5】个工作日内补齐履约保证金至【</w:t>
      </w:r>
      <w:r>
        <w:rPr>
          <w:rFonts w:hint="eastAsia"/>
          <w:highlight w:val="none"/>
          <w:lang w:val="zh-CN"/>
        </w:rPr>
        <w:t>____</w:t>
      </w:r>
      <w:r>
        <w:rPr>
          <w:rFonts w:hint="eastAsia"/>
          <w:highlight w:val="none"/>
        </w:rPr>
        <w:t>】万元，否则甲方有权在所有应付款项内直接扣除相应费用作为履约保证金。</w:t>
      </w:r>
    </w:p>
    <w:p w14:paraId="05D50D0F">
      <w:pPr>
        <w:rPr>
          <w:highlight w:val="none"/>
        </w:rPr>
      </w:pPr>
      <w:r>
        <w:rPr>
          <w:rFonts w:hint="eastAsia"/>
          <w:highlight w:val="none"/>
        </w:rPr>
        <w:t>（5）本合同项下服务期内货物全部供货完成经甲方验收合格、乙方已妥善完整履行本合同项下全部义务、无任何未结清违约金、赔偿金等费用，甲方在服务期满，结算完成且双方无异议后30日内无息退还剩余履约保证金。</w:t>
      </w:r>
    </w:p>
    <w:p w14:paraId="173C57EF">
      <w:pPr>
        <w:rPr>
          <w:highlight w:val="none"/>
        </w:rPr>
      </w:pPr>
      <w:r>
        <w:rPr>
          <w:rFonts w:hint="eastAsia"/>
          <w:highlight w:val="none"/>
        </w:rPr>
        <w:t>（6）当乙方不履行合同约定的义务和（或）其履行不符合合同的约定，合同约定的履约保证金条款与合同约定的违约责任条款同时适用。</w:t>
      </w:r>
    </w:p>
    <w:p w14:paraId="177B44BB">
      <w:pPr>
        <w:outlineLvl w:val="9"/>
        <w:rPr>
          <w:highlight w:val="none"/>
        </w:rPr>
      </w:pPr>
      <w:bookmarkStart w:id="150" w:name="_Toc6784"/>
      <w:bookmarkStart w:id="151" w:name="_Toc11023"/>
      <w:r>
        <w:rPr>
          <w:rFonts w:hint="eastAsia"/>
          <w:highlight w:val="none"/>
        </w:rPr>
        <w:t>十、违约责任</w:t>
      </w:r>
      <w:bookmarkEnd w:id="150"/>
      <w:bookmarkEnd w:id="151"/>
    </w:p>
    <w:p w14:paraId="160B8B49">
      <w:pPr>
        <w:rPr>
          <w:highlight w:val="none"/>
        </w:rPr>
      </w:pPr>
      <w:r>
        <w:rPr>
          <w:rFonts w:hint="eastAsia"/>
          <w:highlight w:val="none"/>
        </w:rPr>
        <w:t>（一）乙方考察期内，若未达到中标时各项承诺及本合同约定要求的，甲方有权单方解除/终止本合同，并没收履约保证金。同时乙方应赔偿给甲方造成的所有损失。</w:t>
      </w:r>
    </w:p>
    <w:p w14:paraId="4003ABB5">
      <w:pPr>
        <w:rPr>
          <w:highlight w:val="none"/>
          <w:lang w:val="zh-CN"/>
        </w:rPr>
      </w:pPr>
      <w:r>
        <w:rPr>
          <w:rFonts w:hint="eastAsia"/>
          <w:highlight w:val="none"/>
          <w:lang w:val="zh-CN"/>
        </w:rPr>
        <w:t>（二）乙方</w:t>
      </w:r>
      <w:r>
        <w:rPr>
          <w:rFonts w:hint="eastAsia"/>
          <w:highlight w:val="none"/>
        </w:rPr>
        <w:t>若</w:t>
      </w:r>
      <w:r>
        <w:rPr>
          <w:rFonts w:hint="eastAsia"/>
          <w:highlight w:val="none"/>
          <w:lang w:val="zh-CN"/>
        </w:rPr>
        <w:t>有发生食品安全问题、在甲方区域运输重大安全问题</w:t>
      </w:r>
      <w:r>
        <w:rPr>
          <w:rFonts w:hint="eastAsia"/>
          <w:highlight w:val="none"/>
        </w:rPr>
        <w:t>以</w:t>
      </w:r>
      <w:r>
        <w:rPr>
          <w:rFonts w:hint="eastAsia"/>
          <w:highlight w:val="none"/>
          <w:lang w:val="zh-CN"/>
        </w:rPr>
        <w:t>及违反有关廉政规定</w:t>
      </w:r>
      <w:r>
        <w:rPr>
          <w:rFonts w:hint="eastAsia"/>
          <w:highlight w:val="none"/>
        </w:rPr>
        <w:t>等</w:t>
      </w:r>
      <w:r>
        <w:rPr>
          <w:rFonts w:hint="eastAsia"/>
          <w:highlight w:val="none"/>
          <w:lang w:val="zh-CN"/>
        </w:rPr>
        <w:t>的，甲方有权单方解除合同</w:t>
      </w:r>
      <w:r>
        <w:rPr>
          <w:rFonts w:hint="eastAsia"/>
          <w:highlight w:val="none"/>
        </w:rPr>
        <w:t>并</w:t>
      </w:r>
      <w:r>
        <w:rPr>
          <w:rFonts w:hint="eastAsia"/>
          <w:highlight w:val="none"/>
          <w:lang w:val="zh-CN"/>
        </w:rPr>
        <w:t>没收履约保证金，取消乙方及法定代表人今后投标资格，由此产生的所有损失、费用、风险、责任等均有乙方承担。</w:t>
      </w:r>
    </w:p>
    <w:p w14:paraId="6A2970FA">
      <w:pPr>
        <w:rPr>
          <w:highlight w:val="none"/>
        </w:rPr>
      </w:pPr>
      <w:r>
        <w:rPr>
          <w:rFonts w:hint="eastAsia"/>
          <w:highlight w:val="none"/>
        </w:rPr>
        <w:t>（三）乙方在服务期内如出现两次（含）以上食材质量问题，以及两次以上（含）考核得分79分及以下，甲方有权解除合同并没收全部履约保证金。</w:t>
      </w:r>
    </w:p>
    <w:p w14:paraId="7EE26391">
      <w:pPr>
        <w:rPr>
          <w:highlight w:val="none"/>
        </w:rPr>
      </w:pPr>
      <w:r>
        <w:rPr>
          <w:rFonts w:hint="eastAsia"/>
          <w:highlight w:val="none"/>
        </w:rPr>
        <w:t>（四）如乙方提供的货品被甲方及甲方服务对象投诉属实，由乙方承担一切责任，并赔偿甲方损失。如乙方被政府有关部门或媒体曝光违法经营，甲方有权解除本合同，没收全额履约保证金，并由乙方向甲方支付违约金【5000】元，违约金不足以赔偿甲方的实际损失的，应按甲方实际损失赔偿，甲方同时保留追究乙方责任的权利。</w:t>
      </w:r>
    </w:p>
    <w:p w14:paraId="4DA2E848">
      <w:pPr>
        <w:rPr>
          <w:highlight w:val="none"/>
        </w:rPr>
      </w:pPr>
      <w:r>
        <w:rPr>
          <w:rFonts w:hint="eastAsia"/>
          <w:highlight w:val="none"/>
        </w:rPr>
        <w:t>（五）如因乙方所送的货品造成食物中毒等事故和（或）人员健康受损事件，甲方有权立即单方解除/终止合同且不承担违约责任等任何责任，同时履约保证金不予退还。乙方应承担全部责任，并妥善处理中毒等事故。若乙方在甲方规定的时间内未妥善完成事故、纠纷等的处理，甲方有权对事故进行评估，所产生的包括但不限于评估费、事故处理费、纠纷处理费和甲方全部损失等所有费用由乙方承担且甲方有权从乙方所有未结款项等所有款项中直接扣除，同时甲方有权拒付货款、解除合同并没收履约保证金。</w:t>
      </w:r>
    </w:p>
    <w:p w14:paraId="4A4C942B">
      <w:pPr>
        <w:rPr>
          <w:highlight w:val="none"/>
          <w:lang w:val="zh-CN"/>
        </w:rPr>
      </w:pPr>
      <w:r>
        <w:rPr>
          <w:rFonts w:hint="eastAsia"/>
          <w:highlight w:val="none"/>
          <w:lang w:val="zh-CN"/>
        </w:rPr>
        <w:t>（六）乙方未按甲方要求和合同约定按时按质按量供货并提供服务的，每延误一天乙方应向甲方支付【</w:t>
      </w:r>
      <w:r>
        <w:rPr>
          <w:rFonts w:hint="eastAsia"/>
          <w:highlight w:val="none"/>
        </w:rPr>
        <w:t>5000</w:t>
      </w:r>
      <w:r>
        <w:rPr>
          <w:rFonts w:hint="eastAsia"/>
          <w:highlight w:val="none"/>
          <w:lang w:val="zh-CN"/>
        </w:rPr>
        <w:t>】元的违约金，若逾期累计超过（含）【3】天或逾期超过3次（含三次），乙方除应按约向甲方支付违约金外，甲方还有权单方解除合同并没收履约保证金，选择其他供货单位并追究乙方相关法律责任。违约金不足以弥补甲方损失的，乙方还应完全赔偿甲方的所有损失。</w:t>
      </w:r>
    </w:p>
    <w:p w14:paraId="232A42F4">
      <w:pPr>
        <w:rPr>
          <w:highlight w:val="none"/>
          <w:lang w:val="zh-CN"/>
        </w:rPr>
      </w:pPr>
      <w:r>
        <w:rPr>
          <w:rFonts w:hint="eastAsia"/>
          <w:highlight w:val="none"/>
          <w:lang w:val="zh-CN"/>
        </w:rPr>
        <w:t>（七）乙方未经甲方事先书面同意擅自单方解除合同的，乙方除应退还甲方已支付的所有款项外，还应向甲方一次性支付【</w:t>
      </w:r>
      <w:r>
        <w:rPr>
          <w:rFonts w:hint="eastAsia"/>
          <w:highlight w:val="none"/>
        </w:rPr>
        <w:t>10000</w:t>
      </w:r>
      <w:r>
        <w:rPr>
          <w:rFonts w:hint="eastAsia"/>
          <w:highlight w:val="none"/>
          <w:lang w:val="zh-CN"/>
        </w:rPr>
        <w:t>】元的违约金，且履约保证金不予退还。违约金不足以弥补甲方损失的，乙方还应赔偿甲方损失。</w:t>
      </w:r>
    </w:p>
    <w:p w14:paraId="7E8C183C">
      <w:pPr>
        <w:rPr>
          <w:highlight w:val="none"/>
          <w:lang w:val="zh-CN"/>
        </w:rPr>
      </w:pPr>
      <w:r>
        <w:rPr>
          <w:rFonts w:hint="eastAsia"/>
          <w:highlight w:val="none"/>
          <w:lang w:val="zh-CN"/>
        </w:rPr>
        <w:t>（八）本合同严禁乙方部分转让或全部转让其应履行的合同义务。若乙方分包、转包，将合同约定内容部分转让或全部转让的，乙方应向甲方支付【</w:t>
      </w:r>
      <w:r>
        <w:rPr>
          <w:rFonts w:hint="eastAsia"/>
          <w:highlight w:val="none"/>
        </w:rPr>
        <w:t>10000</w:t>
      </w:r>
      <w:r>
        <w:rPr>
          <w:rFonts w:hint="eastAsia"/>
          <w:highlight w:val="none"/>
          <w:lang w:val="zh-CN"/>
        </w:rPr>
        <w:t>】元的违约金，且甲方有权单方解除合同并没收履约保证金；若给甲方造成损失的，乙方与受让合同权利义务的第三方承担完全赔偿甲方损失的连带责任。</w:t>
      </w:r>
    </w:p>
    <w:p w14:paraId="1263FED4">
      <w:pPr>
        <w:rPr>
          <w:highlight w:val="none"/>
          <w:lang w:val="zh-CN"/>
        </w:rPr>
      </w:pPr>
      <w:r>
        <w:rPr>
          <w:rFonts w:hint="eastAsia"/>
          <w:highlight w:val="none"/>
          <w:lang w:val="zh-CN"/>
        </w:rPr>
        <w:t>（九）乙方违反本合同所规定的义务（包括但不限于违反其于本合同及合同文件中所作的陈述、保证和承诺等），均构成违约，除本合同另有规定外，乙方应对每一个违约事项向甲方支付【</w:t>
      </w:r>
      <w:r>
        <w:rPr>
          <w:rFonts w:hint="eastAsia"/>
          <w:highlight w:val="none"/>
        </w:rPr>
        <w:t>5000</w:t>
      </w:r>
      <w:r>
        <w:rPr>
          <w:rFonts w:hint="eastAsia"/>
          <w:highlight w:val="none"/>
          <w:lang w:val="zh-CN"/>
        </w:rPr>
        <w:t>】元的违约金，且甲方有权单方解除合同并没收履约保证金，违约金不足以弥补甲方损失的，乙方还应赔偿甲方损失。</w:t>
      </w:r>
    </w:p>
    <w:p w14:paraId="421F6FBE">
      <w:pPr>
        <w:rPr>
          <w:highlight w:val="none"/>
          <w:lang w:val="zh-CN"/>
        </w:rPr>
      </w:pPr>
      <w:r>
        <w:rPr>
          <w:rFonts w:hint="eastAsia"/>
          <w:highlight w:val="none"/>
          <w:lang w:val="zh-CN"/>
        </w:rPr>
        <w:t>（十）乙方未按本项目投标标文件响应配备项目负责人和送货员的，未按投标文件配送方案和应急预案响应的，每发现一次，乙方应向甲方支付违约金1000元，累计发现三次及以上时，甲方有权解除合同。</w:t>
      </w:r>
    </w:p>
    <w:p w14:paraId="38F64EAC">
      <w:pPr>
        <w:rPr>
          <w:highlight w:val="none"/>
          <w:lang w:val="zh-CN"/>
        </w:rPr>
      </w:pPr>
      <w:r>
        <w:rPr>
          <w:rFonts w:hint="eastAsia"/>
          <w:highlight w:val="none"/>
          <w:lang w:val="zh-CN"/>
        </w:rPr>
        <w:t>（十一）本合同项下的违约金均累计计算。如乙方根据本合同规定有责任向甲方支付违约金、赔偿金、未补足的履约保证金和（或）其他款项时，甲方有权从履约保证金及所有应付款中直接扣除，超出履约保证金和所有应付款的部分，由乙方继续承担。</w:t>
      </w:r>
    </w:p>
    <w:p w14:paraId="54D6F55C">
      <w:pPr>
        <w:rPr>
          <w:highlight w:val="none"/>
          <w:lang w:val="zh-CN"/>
        </w:rPr>
      </w:pPr>
      <w:r>
        <w:rPr>
          <w:rFonts w:hint="eastAsia"/>
          <w:highlight w:val="none"/>
          <w:lang w:val="zh-CN"/>
        </w:rPr>
        <w:t xml:space="preserve">（十二）如本合同项下约定的乙方需向甲方支付的违约金、赔偿金不足以弥补甲方直接损失和（或）间接损失的，乙方应按照甲方的实际损失进行赔偿，甲方的损失包括但不限于甲方向第三方购买货物的价差损失、向第三方支付的赔偿或补偿、以及甲方为维护权益而支付的交通食宿费、鉴定评估费、调查费、诉讼费、律师费、保全担保费、公告费等。 </w:t>
      </w:r>
    </w:p>
    <w:p w14:paraId="008E2321">
      <w:pPr>
        <w:outlineLvl w:val="9"/>
        <w:rPr>
          <w:highlight w:val="none"/>
          <w:lang w:val="zh-CN"/>
        </w:rPr>
      </w:pPr>
      <w:bookmarkStart w:id="152" w:name="_Toc28652"/>
      <w:bookmarkStart w:id="153" w:name="_Toc17154"/>
      <w:r>
        <w:rPr>
          <w:rFonts w:hint="eastAsia"/>
          <w:highlight w:val="none"/>
          <w:lang w:val="zh-CN"/>
        </w:rPr>
        <w:t>十一、协议的变更和解除</w:t>
      </w:r>
      <w:bookmarkEnd w:id="152"/>
      <w:bookmarkEnd w:id="153"/>
    </w:p>
    <w:p w14:paraId="43FFA640">
      <w:pPr>
        <w:rPr>
          <w:highlight w:val="none"/>
          <w:lang w:val="zh-CN"/>
        </w:rPr>
      </w:pPr>
      <w:r>
        <w:rPr>
          <w:rFonts w:hint="eastAsia"/>
          <w:highlight w:val="none"/>
          <w:lang w:val="zh-CN"/>
        </w:rPr>
        <w:t>（一）遇不可抗力因素及甲方发生经营变化，甲方有权单方解除合同，不承担违约责任等任何责任。</w:t>
      </w:r>
    </w:p>
    <w:p w14:paraId="5394380A">
      <w:pPr>
        <w:rPr>
          <w:highlight w:val="none"/>
          <w:lang w:val="zh-CN"/>
        </w:rPr>
      </w:pPr>
      <w:r>
        <w:rPr>
          <w:rFonts w:hint="eastAsia"/>
          <w:highlight w:val="none"/>
          <w:lang w:val="zh-CN"/>
        </w:rPr>
        <w:t>（二）除遇不可抗力的因素，在下述任何一种情况下，甲方有权解除合同并没收履约保证金且合同自甲方发出的解除合同通知到达乙方时解除，由此产生的一切风险、损失、责任等均由乙方承担：</w:t>
      </w:r>
    </w:p>
    <w:p w14:paraId="0045C333">
      <w:pPr>
        <w:rPr>
          <w:highlight w:val="none"/>
          <w:lang w:val="zh-CN"/>
        </w:rPr>
      </w:pPr>
      <w:r>
        <w:rPr>
          <w:rFonts w:hint="eastAsia"/>
          <w:highlight w:val="none"/>
          <w:lang w:val="zh-CN"/>
        </w:rPr>
        <w:t>①乙方失去或被吊销其生产甲方拟采购商品的证照或许可。</w:t>
      </w:r>
    </w:p>
    <w:p w14:paraId="385F70D7">
      <w:pPr>
        <w:rPr>
          <w:highlight w:val="none"/>
          <w:lang w:val="zh-CN"/>
        </w:rPr>
      </w:pPr>
      <w:r>
        <w:rPr>
          <w:rFonts w:hint="eastAsia"/>
          <w:highlight w:val="none"/>
          <w:lang w:val="zh-CN"/>
        </w:rPr>
        <w:t>②除合同另有约定外，乙方有违约行为且未在收到甲方通知2日内予以纠正。</w:t>
      </w:r>
    </w:p>
    <w:p w14:paraId="2771038D">
      <w:pPr>
        <w:rPr>
          <w:highlight w:val="none"/>
          <w:lang w:val="zh-CN"/>
        </w:rPr>
      </w:pPr>
      <w:r>
        <w:rPr>
          <w:rFonts w:hint="eastAsia"/>
          <w:highlight w:val="none"/>
          <w:lang w:val="zh-CN"/>
        </w:rPr>
        <w:t>③乙方出现重大事件，对其产品销售产生影响。</w:t>
      </w:r>
    </w:p>
    <w:p w14:paraId="5B0E1E40">
      <w:pPr>
        <w:rPr>
          <w:highlight w:val="none"/>
          <w:lang w:val="zh-CN"/>
        </w:rPr>
      </w:pPr>
      <w:r>
        <w:rPr>
          <w:rFonts w:hint="eastAsia"/>
          <w:highlight w:val="none"/>
          <w:lang w:val="zh-CN"/>
        </w:rPr>
        <w:t>④由于乙方原因造成的断货、产品质量问题和服务质量不能达到甲方要求等因素。</w:t>
      </w:r>
    </w:p>
    <w:p w14:paraId="69492B73">
      <w:pPr>
        <w:rPr>
          <w:highlight w:val="none"/>
          <w:lang w:val="zh-CN"/>
        </w:rPr>
      </w:pPr>
      <w:r>
        <w:rPr>
          <w:rFonts w:hint="eastAsia"/>
          <w:highlight w:val="none"/>
          <w:lang w:val="zh-CN"/>
        </w:rPr>
        <w:t>⑤乙方无法继续履行或明确表示不履行或实质上已停止履行合同。</w:t>
      </w:r>
    </w:p>
    <w:p w14:paraId="06CECC37">
      <w:pPr>
        <w:rPr>
          <w:highlight w:val="none"/>
          <w:lang w:val="zh-CN"/>
        </w:rPr>
      </w:pPr>
      <w:r>
        <w:rPr>
          <w:rFonts w:hint="eastAsia"/>
          <w:highlight w:val="none"/>
          <w:lang w:val="zh-CN"/>
        </w:rPr>
        <w:t>⑥乙方出现破产、清算、资不抵债、成为失信被执行人等可能丧失履约能力的情形，甲方可在任何时候以书面通知乙方解除/终止合同。该解除/终止合同将不损害或影响甲方已经采取或将要采取的补救措施的权利。</w:t>
      </w:r>
    </w:p>
    <w:p w14:paraId="4C961311">
      <w:pPr>
        <w:rPr>
          <w:highlight w:val="none"/>
          <w:lang w:val="zh-CN"/>
        </w:rPr>
      </w:pPr>
      <w:r>
        <w:rPr>
          <w:rFonts w:hint="eastAsia"/>
          <w:highlight w:val="none"/>
          <w:lang w:val="zh-CN"/>
        </w:rPr>
        <w:t>⑦乙方在本合同的竞争和实施过程中有腐败和欺诈行为。</w:t>
      </w:r>
    </w:p>
    <w:p w14:paraId="60A886D1">
      <w:pPr>
        <w:rPr>
          <w:highlight w:val="none"/>
          <w:lang w:val="zh-CN"/>
        </w:rPr>
      </w:pPr>
      <w:r>
        <w:rPr>
          <w:rFonts w:hint="eastAsia"/>
          <w:highlight w:val="none"/>
          <w:lang w:val="zh-CN"/>
        </w:rPr>
        <w:t>⑧合同约定和（或）双方约定的其他情形。</w:t>
      </w:r>
    </w:p>
    <w:p w14:paraId="49D38BD9">
      <w:pPr>
        <w:outlineLvl w:val="9"/>
        <w:rPr>
          <w:highlight w:val="none"/>
        </w:rPr>
      </w:pPr>
      <w:bookmarkStart w:id="154" w:name="_Toc30825"/>
      <w:bookmarkStart w:id="155" w:name="_Toc9769"/>
      <w:r>
        <w:rPr>
          <w:rFonts w:hint="eastAsia"/>
          <w:highlight w:val="none"/>
        </w:rPr>
        <w:t>十二、其它</w:t>
      </w:r>
      <w:bookmarkEnd w:id="154"/>
      <w:bookmarkEnd w:id="155"/>
    </w:p>
    <w:p w14:paraId="3B849FCD">
      <w:pPr>
        <w:rPr>
          <w:highlight w:val="none"/>
          <w:lang w:val="zh-CN"/>
        </w:rPr>
      </w:pPr>
      <w:r>
        <w:rPr>
          <w:rFonts w:hint="eastAsia"/>
          <w:highlight w:val="none"/>
        </w:rPr>
        <w:t>（一）</w:t>
      </w:r>
      <w:r>
        <w:rPr>
          <w:rFonts w:hint="eastAsia"/>
          <w:highlight w:val="none"/>
          <w:lang w:val="zh-CN"/>
        </w:rPr>
        <w:t>与本合同有关的或因执行本协议所产生之争议，应由双方友好协商解决，不能解决时，任何一方均可向甲方所在地有管辖权的人民法院提起诉讼。如因乙方的违约行为导致双方发生争议，甲方通过诉讼（仲裁）、调解、非诉等方式向乙方主张权利所发生的一切费用，包括但不限于律师费、诉讼（仲裁）费、保全费、鉴定费、拍卖费、执行费等均由</w:t>
      </w:r>
      <w:r>
        <w:rPr>
          <w:rFonts w:hint="eastAsia"/>
          <w:highlight w:val="none"/>
        </w:rPr>
        <w:t>乙</w:t>
      </w:r>
      <w:r>
        <w:rPr>
          <w:rFonts w:hint="eastAsia"/>
          <w:highlight w:val="none"/>
          <w:lang w:val="zh-CN"/>
        </w:rPr>
        <w:t>方承担。在诉讼期间，除正在进行诉讼（仲裁）的部分外，本合同其它部分应继续执行。</w:t>
      </w:r>
    </w:p>
    <w:p w14:paraId="34C0A15D">
      <w:pPr>
        <w:rPr>
          <w:highlight w:val="none"/>
          <w:lang w:val="zh-CN"/>
        </w:rPr>
      </w:pPr>
      <w:r>
        <w:rPr>
          <w:rFonts w:hint="eastAsia"/>
          <w:highlight w:val="none"/>
          <w:lang w:val="zh-CN"/>
        </w:rPr>
        <w:t>本协议执行期内，各方均不得随意变更或解除协议。合同未尽事宜，须经各方共同协商做出补充规定。</w:t>
      </w:r>
    </w:p>
    <w:p w14:paraId="4404E9E5">
      <w:pPr>
        <w:rPr>
          <w:highlight w:val="none"/>
        </w:rPr>
      </w:pPr>
      <w:r>
        <w:rPr>
          <w:rFonts w:hint="eastAsia"/>
          <w:highlight w:val="none"/>
        </w:rPr>
        <w:t>（三）甲方不行使或延迟行使本合同项下的任何权利不应构成对其的放弃，且任何单方的或部分行使该等权利亦不应排除其对该等权利的任何其他或进一步的行使，或排除任何对其他权利的行使。</w:t>
      </w:r>
    </w:p>
    <w:p w14:paraId="3A38946E">
      <w:pPr>
        <w:rPr>
          <w:highlight w:val="none"/>
        </w:rPr>
      </w:pPr>
      <w:r>
        <w:rPr>
          <w:rFonts w:hint="eastAsia"/>
          <w:highlight w:val="none"/>
        </w:rPr>
        <w:t>（四）乙方确认在同意订立本合同前，已仔细阅读本合同所有条款，对本合同所有条款及内容已经阅悉，均无异议，并对双方的权利义务达成了充分的理解，对特别提示的，免除或者减轻甲方责任等与乙方有重大利害关系的条款有充分了解和预期。</w:t>
      </w:r>
    </w:p>
    <w:p w14:paraId="4AE8B6F8">
      <w:pPr>
        <w:rPr>
          <w:highlight w:val="none"/>
        </w:rPr>
      </w:pPr>
      <w:r>
        <w:rPr>
          <w:rFonts w:hint="eastAsia"/>
          <w:highlight w:val="none"/>
        </w:rPr>
        <w:t>（五）甲方已应乙方要求对本合同各条款，尤其是免除或者减轻甲方责任等与乙方有重大利害关系的条款，进行了充分展示和详细说明。签订本合同系乙方真实意思表示。</w:t>
      </w:r>
    </w:p>
    <w:p w14:paraId="71CE7596">
      <w:pPr>
        <w:rPr>
          <w:highlight w:val="none"/>
        </w:rPr>
      </w:pPr>
      <w:r>
        <w:rPr>
          <w:rFonts w:hint="eastAsia"/>
          <w:highlight w:val="none"/>
        </w:rPr>
        <w:t>（六）乙方不是甲方唯一的供货商，甲方有权根据自己需要向其他供货商采购货品，乙方不得提出异议。乙方应针对本项目设置相应的售后服务机构及人员，并对配送等服务过程中出现的任何问题进行及时处理。</w:t>
      </w:r>
    </w:p>
    <w:p w14:paraId="4B88C522">
      <w:pPr>
        <w:rPr>
          <w:highlight w:val="none"/>
        </w:rPr>
      </w:pPr>
      <w:r>
        <w:rPr>
          <w:rFonts w:hint="eastAsia"/>
          <w:highlight w:val="none"/>
        </w:rPr>
        <w:t>（七）保证供给甲方的货品的卫生与安全是乙方的义务和责任，乙方应尽其可能履行义务和责任。因乙方能尽到而未尽到责任的，乙方应承担违约责任，赔偿甲方损失。乙方如未能履行其协议规定的义务而造成甲方损失。乙方无条件同意甲方从履约保证金中取得相等损失的补偿。</w:t>
      </w:r>
    </w:p>
    <w:p w14:paraId="134EAB90">
      <w:pPr>
        <w:rPr>
          <w:highlight w:val="none"/>
        </w:rPr>
      </w:pPr>
      <w:r>
        <w:rPr>
          <w:rFonts w:hint="eastAsia"/>
          <w:highlight w:val="none"/>
        </w:rPr>
        <w:t>（八）乙方同意接受甲方对其监督、管理的各项规定。乙方必须无条件对其所了解的甲方商业信息保密，并承担其泄露对甲方造成的一切损失。本保密条款不因合同的解除/终止而无效。</w:t>
      </w:r>
    </w:p>
    <w:p w14:paraId="701C439C">
      <w:pPr>
        <w:rPr>
          <w:highlight w:val="none"/>
        </w:rPr>
      </w:pPr>
      <w:r>
        <w:rPr>
          <w:rFonts w:hint="eastAsia"/>
          <w:highlight w:val="none"/>
        </w:rPr>
        <w:t>（九）任何一方给付对方的协议、法律、诉讼文书以及相关文件，在送达本合同协议约定的该方联系人、联系地址时生效。如任何一方联系地址、联系人有误或变更未通知而导致另一方无法通知的，由此造成的损失由过错方负责。</w:t>
      </w:r>
    </w:p>
    <w:p w14:paraId="01849614">
      <w:pPr>
        <w:rPr>
          <w:highlight w:val="none"/>
        </w:rPr>
      </w:pPr>
      <w:r>
        <w:rPr>
          <w:rFonts w:hint="eastAsia"/>
          <w:highlight w:val="none"/>
        </w:rPr>
        <w:t>（十）本合同自甲乙双方法定代表人（单位负责人）或其委托代理人签字并加盖单位公章且甲方收到乙方提交的全额履约保证金之日起生效，至服务期满且双方完整履行完所有合同义务之日自然终止。本协议一式肆份，甲乙双方各执贰份，具同等法律效力。</w:t>
      </w:r>
    </w:p>
    <w:p w14:paraId="51D38D93">
      <w:pPr>
        <w:rPr>
          <w:highlight w:val="none"/>
          <w:lang w:val="zh-CN"/>
        </w:rPr>
      </w:pPr>
    </w:p>
    <w:p w14:paraId="18E7A6CE">
      <w:pPr>
        <w:rPr>
          <w:highlight w:val="none"/>
          <w:lang w:val="zh-CN"/>
        </w:rPr>
      </w:pPr>
    </w:p>
    <w:p w14:paraId="640CF118">
      <w:pPr>
        <w:rPr>
          <w:highlight w:val="none"/>
          <w:lang w:val="zh-CN"/>
        </w:rPr>
      </w:pPr>
    </w:p>
    <w:p w14:paraId="65BEF1A1">
      <w:pPr>
        <w:rPr>
          <w:highlight w:val="none"/>
          <w:lang w:val="zh-CN"/>
        </w:rPr>
      </w:pPr>
    </w:p>
    <w:p w14:paraId="01A08403">
      <w:pPr>
        <w:rPr>
          <w:highlight w:val="none"/>
          <w:lang w:val="zh-CN"/>
        </w:rPr>
      </w:pPr>
    </w:p>
    <w:p w14:paraId="619C51A8">
      <w:pPr>
        <w:rPr>
          <w:highlight w:val="none"/>
          <w:lang w:val="zh-CN"/>
        </w:rPr>
      </w:pPr>
    </w:p>
    <w:p w14:paraId="6F6612ED">
      <w:pPr>
        <w:rPr>
          <w:highlight w:val="none"/>
          <w:lang w:val="zh-CN"/>
        </w:rPr>
      </w:pPr>
    </w:p>
    <w:p w14:paraId="7B16F032">
      <w:pPr>
        <w:rPr>
          <w:highlight w:val="none"/>
        </w:rPr>
      </w:pPr>
      <w:r>
        <w:rPr>
          <w:rFonts w:hint="eastAsia"/>
          <w:highlight w:val="none"/>
          <w:lang w:val="zh-CN"/>
        </w:rPr>
        <w:t>甲方</w:t>
      </w:r>
      <w:r>
        <w:rPr>
          <w:rFonts w:hint="eastAsia"/>
          <w:highlight w:val="none"/>
        </w:rPr>
        <w:t xml:space="preserve">：                       </w:t>
      </w:r>
      <w:r>
        <w:rPr>
          <w:rFonts w:hint="eastAsia"/>
          <w:highlight w:val="none"/>
          <w:lang w:val="zh-CN"/>
        </w:rPr>
        <w:t>乙方</w:t>
      </w:r>
      <w:r>
        <w:rPr>
          <w:rFonts w:hint="eastAsia"/>
          <w:highlight w:val="none"/>
        </w:rPr>
        <w:t xml:space="preserve">： </w:t>
      </w:r>
    </w:p>
    <w:p w14:paraId="3AE855BD">
      <w:pPr>
        <w:rPr>
          <w:highlight w:val="none"/>
        </w:rPr>
      </w:pPr>
      <w:r>
        <w:rPr>
          <w:rFonts w:hint="eastAsia"/>
          <w:highlight w:val="none"/>
          <w:lang w:val="zh-CN"/>
        </w:rPr>
        <w:t>地址</w:t>
      </w:r>
      <w:r>
        <w:rPr>
          <w:rFonts w:hint="eastAsia"/>
          <w:highlight w:val="none"/>
        </w:rPr>
        <w:t xml:space="preserve">：                       </w:t>
      </w:r>
      <w:r>
        <w:rPr>
          <w:rFonts w:hint="eastAsia"/>
          <w:highlight w:val="none"/>
          <w:lang w:val="zh-CN"/>
        </w:rPr>
        <w:t>地址</w:t>
      </w:r>
      <w:r>
        <w:rPr>
          <w:rFonts w:hint="eastAsia"/>
          <w:highlight w:val="none"/>
        </w:rPr>
        <w:t xml:space="preserve">： </w:t>
      </w:r>
    </w:p>
    <w:p w14:paraId="224E3575">
      <w:pPr>
        <w:rPr>
          <w:highlight w:val="none"/>
        </w:rPr>
      </w:pPr>
      <w:r>
        <w:rPr>
          <w:rFonts w:hint="eastAsia"/>
          <w:highlight w:val="none"/>
          <w:lang w:val="zh-CN"/>
        </w:rPr>
        <w:t>法定代表</w:t>
      </w:r>
      <w:r>
        <w:rPr>
          <w:rFonts w:hint="eastAsia"/>
          <w:highlight w:val="none"/>
        </w:rPr>
        <w:t>（</w:t>
      </w:r>
      <w:r>
        <w:rPr>
          <w:rFonts w:hint="eastAsia"/>
          <w:highlight w:val="none"/>
          <w:lang w:val="zh-CN"/>
        </w:rPr>
        <w:t>委托人</w:t>
      </w:r>
      <w:r>
        <w:rPr>
          <w:rFonts w:hint="eastAsia"/>
          <w:highlight w:val="none"/>
        </w:rPr>
        <w:t xml:space="preserve">）：         </w:t>
      </w:r>
      <w:r>
        <w:rPr>
          <w:rFonts w:hint="eastAsia"/>
          <w:highlight w:val="none"/>
          <w:lang w:val="zh-CN"/>
        </w:rPr>
        <w:t>法定代表</w:t>
      </w:r>
      <w:r>
        <w:rPr>
          <w:rFonts w:hint="eastAsia"/>
          <w:highlight w:val="none"/>
        </w:rPr>
        <w:t>（</w:t>
      </w:r>
      <w:r>
        <w:rPr>
          <w:rFonts w:hint="eastAsia"/>
          <w:highlight w:val="none"/>
          <w:lang w:val="zh-CN"/>
        </w:rPr>
        <w:t>委托人</w:t>
      </w:r>
      <w:r>
        <w:rPr>
          <w:rFonts w:hint="eastAsia"/>
          <w:highlight w:val="none"/>
        </w:rPr>
        <w:t>）：</w:t>
      </w:r>
    </w:p>
    <w:p w14:paraId="39477527">
      <w:pPr>
        <w:rPr>
          <w:highlight w:val="none"/>
          <w:lang w:val="zh-CN"/>
        </w:rPr>
      </w:pPr>
      <w:r>
        <w:rPr>
          <w:rFonts w:hint="eastAsia"/>
          <w:highlight w:val="none"/>
          <w:lang w:val="zh-CN"/>
        </w:rPr>
        <w:t xml:space="preserve">开户银行：                   开户银行：    </w:t>
      </w:r>
    </w:p>
    <w:p w14:paraId="3712412A">
      <w:pPr>
        <w:rPr>
          <w:highlight w:val="none"/>
          <w:lang w:val="zh-CN"/>
        </w:rPr>
      </w:pPr>
      <w:r>
        <w:rPr>
          <w:rFonts w:hint="eastAsia"/>
          <w:highlight w:val="none"/>
          <w:lang w:val="zh-CN"/>
        </w:rPr>
        <w:t>账号：                       账号：</w:t>
      </w:r>
    </w:p>
    <w:p w14:paraId="74E2452C">
      <w:pPr>
        <w:rPr>
          <w:rFonts w:hint="eastAsia"/>
          <w:highlight w:val="none"/>
          <w:lang w:val="zh-CN"/>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highlight w:val="none"/>
          <w:lang w:val="zh-CN"/>
        </w:rPr>
        <w:t>日期：    年    月    日     日期：    年    月    日</w:t>
      </w:r>
    </w:p>
    <w:p w14:paraId="7E69BF41">
      <w:pPr>
        <w:rPr>
          <w:rFonts w:hint="eastAsia"/>
          <w:highlight w:val="none"/>
          <w:lang w:val="zh-CN"/>
        </w:rPr>
      </w:pPr>
    </w:p>
    <w:p w14:paraId="19470E36">
      <w:pPr>
        <w:pStyle w:val="2"/>
        <w:rPr>
          <w:highlight w:val="none"/>
        </w:rPr>
      </w:pPr>
      <w:bookmarkStart w:id="156" w:name="_Toc22829"/>
      <w:bookmarkStart w:id="157" w:name="_Toc29215"/>
      <w:bookmarkStart w:id="158" w:name="_Toc4646"/>
      <w:bookmarkStart w:id="159" w:name="_Toc26485"/>
      <w:bookmarkStart w:id="160" w:name="_Toc19504"/>
      <w:bookmarkStart w:id="161" w:name="_Toc17604"/>
      <w:r>
        <w:rPr>
          <w:rFonts w:hint="eastAsia"/>
          <w:highlight w:val="none"/>
        </w:rPr>
        <w:t xml:space="preserve">第六章 </w:t>
      </w:r>
      <w:bookmarkEnd w:id="130"/>
      <w:bookmarkEnd w:id="131"/>
      <w:bookmarkStart w:id="162" w:name="_Toc303066035"/>
      <w:r>
        <w:rPr>
          <w:rFonts w:hint="eastAsia"/>
          <w:highlight w:val="none"/>
        </w:rPr>
        <w:t>响应文件格式</w:t>
      </w:r>
      <w:bookmarkEnd w:id="156"/>
      <w:bookmarkEnd w:id="157"/>
      <w:bookmarkEnd w:id="158"/>
      <w:bookmarkEnd w:id="159"/>
      <w:bookmarkEnd w:id="160"/>
      <w:bookmarkEnd w:id="161"/>
    </w:p>
    <w:bookmarkEnd w:id="162"/>
    <w:p w14:paraId="7524A757">
      <w:pPr>
        <w:tabs>
          <w:tab w:val="left" w:pos="6516"/>
        </w:tabs>
        <w:adjustRightInd w:val="0"/>
        <w:snapToGrid w:val="0"/>
        <w:ind w:firstLine="0" w:firstLineChars="0"/>
        <w:jc w:val="center"/>
        <w:rPr>
          <w:rFonts w:ascii="宋体"/>
          <w:b/>
          <w:kern w:val="0"/>
          <w:highlight w:val="none"/>
          <w:u w:val="single"/>
        </w:rPr>
      </w:pPr>
    </w:p>
    <w:p w14:paraId="3AE184A4">
      <w:pPr>
        <w:tabs>
          <w:tab w:val="left" w:pos="6516"/>
        </w:tabs>
        <w:adjustRightInd w:val="0"/>
        <w:snapToGrid w:val="0"/>
        <w:ind w:firstLine="0" w:firstLineChars="0"/>
        <w:jc w:val="center"/>
        <w:rPr>
          <w:rFonts w:ascii="宋体"/>
          <w:b/>
          <w:kern w:val="0"/>
          <w:highlight w:val="none"/>
          <w:u w:val="single"/>
        </w:rPr>
      </w:pPr>
    </w:p>
    <w:p w14:paraId="2E345018">
      <w:pPr>
        <w:tabs>
          <w:tab w:val="left" w:pos="6516"/>
        </w:tabs>
        <w:adjustRightInd w:val="0"/>
        <w:snapToGrid w:val="0"/>
        <w:ind w:firstLine="0" w:firstLineChars="0"/>
        <w:jc w:val="center"/>
        <w:rPr>
          <w:rFonts w:ascii="宋体"/>
          <w:b/>
          <w:kern w:val="0"/>
          <w:highlight w:val="none"/>
          <w:u w:val="single"/>
        </w:rPr>
      </w:pPr>
    </w:p>
    <w:p w14:paraId="4B21F611">
      <w:pPr>
        <w:pStyle w:val="30"/>
        <w:rPr>
          <w:highlight w:val="none"/>
        </w:rPr>
      </w:pPr>
      <w:r>
        <w:rPr>
          <w:highlight w:val="none"/>
        </w:rPr>
        <w:t>重庆三峡银行</w:t>
      </w:r>
    </w:p>
    <w:p w14:paraId="7454C0DF">
      <w:pPr>
        <w:pStyle w:val="30"/>
        <w:rPr>
          <w:highlight w:val="none"/>
        </w:rPr>
      </w:pPr>
      <w:r>
        <w:rPr>
          <w:highlight w:val="none"/>
        </w:rPr>
        <w:t>总行员工食堂食材供应入围项目</w:t>
      </w:r>
    </w:p>
    <w:p w14:paraId="1A9CCA99">
      <w:pPr>
        <w:rPr>
          <w:highlight w:val="none"/>
        </w:rPr>
      </w:pPr>
    </w:p>
    <w:p w14:paraId="356360CB">
      <w:pPr>
        <w:rPr>
          <w:highlight w:val="none"/>
        </w:rPr>
      </w:pPr>
    </w:p>
    <w:p w14:paraId="38D17CC5">
      <w:pPr>
        <w:rPr>
          <w:highlight w:val="none"/>
        </w:rPr>
      </w:pPr>
    </w:p>
    <w:p w14:paraId="6BDF4A58">
      <w:pPr>
        <w:rPr>
          <w:highlight w:val="none"/>
        </w:rPr>
      </w:pPr>
    </w:p>
    <w:p w14:paraId="3EC79358">
      <w:pPr>
        <w:rPr>
          <w:highlight w:val="none"/>
        </w:rPr>
      </w:pPr>
    </w:p>
    <w:p w14:paraId="2DEB1191">
      <w:pPr>
        <w:rPr>
          <w:highlight w:val="none"/>
        </w:rPr>
      </w:pPr>
    </w:p>
    <w:p w14:paraId="63124455">
      <w:pPr>
        <w:pStyle w:val="31"/>
        <w:rPr>
          <w:highlight w:val="none"/>
        </w:rPr>
      </w:pPr>
      <w:r>
        <w:rPr>
          <w:highlight w:val="none"/>
        </w:rPr>
        <w:t>响  应  文  件</w:t>
      </w:r>
    </w:p>
    <w:p w14:paraId="522D85D5">
      <w:pPr>
        <w:rPr>
          <w:highlight w:val="none"/>
        </w:rPr>
      </w:pPr>
    </w:p>
    <w:p w14:paraId="7A348115">
      <w:pPr>
        <w:rPr>
          <w:highlight w:val="none"/>
        </w:rPr>
      </w:pPr>
    </w:p>
    <w:p w14:paraId="5C562B59">
      <w:pPr>
        <w:rPr>
          <w:highlight w:val="none"/>
        </w:rPr>
      </w:pPr>
    </w:p>
    <w:p w14:paraId="20B6EBD9">
      <w:pPr>
        <w:rPr>
          <w:highlight w:val="none"/>
        </w:rPr>
      </w:pPr>
    </w:p>
    <w:p w14:paraId="28347AB7">
      <w:pPr>
        <w:rPr>
          <w:highlight w:val="none"/>
        </w:rPr>
      </w:pPr>
    </w:p>
    <w:p w14:paraId="50BE2AAF">
      <w:pPr>
        <w:rPr>
          <w:highlight w:val="none"/>
        </w:rPr>
      </w:pPr>
    </w:p>
    <w:p w14:paraId="36C30E9D">
      <w:pPr>
        <w:ind w:firstLine="0" w:firstLineChars="0"/>
        <w:jc w:val="center"/>
        <w:rPr>
          <w:highlight w:val="none"/>
        </w:rPr>
      </w:pPr>
      <w:r>
        <w:rPr>
          <w:rFonts w:hint="eastAsia"/>
          <w:highlight w:val="none"/>
        </w:rPr>
        <w:t>响应人：</w:t>
      </w:r>
      <w:r>
        <w:rPr>
          <w:rFonts w:hint="eastAsia"/>
          <w:highlight w:val="none"/>
          <w:u w:val="single"/>
        </w:rPr>
        <w:t>（盖单位公章）</w:t>
      </w:r>
    </w:p>
    <w:p w14:paraId="1F207115">
      <w:pPr>
        <w:ind w:firstLine="0" w:firstLineChars="0"/>
        <w:jc w:val="center"/>
        <w:rPr>
          <w:highlight w:val="none"/>
        </w:rPr>
      </w:pPr>
      <w:r>
        <w:rPr>
          <w:rFonts w:hint="eastAsia"/>
          <w:highlight w:val="none"/>
        </w:rPr>
        <w:t>年月日</w:t>
      </w:r>
    </w:p>
    <w:p w14:paraId="1C1AED12">
      <w:pPr>
        <w:rPr>
          <w:highlight w:val="none"/>
        </w:rPr>
      </w:pPr>
    </w:p>
    <w:p w14:paraId="45C692E6">
      <w:pPr>
        <w:rPr>
          <w:highlight w:val="none"/>
        </w:rPr>
      </w:pPr>
    </w:p>
    <w:p w14:paraId="5CDDAA9D">
      <w:pPr>
        <w:rPr>
          <w:highlight w:val="none"/>
        </w:rPr>
      </w:pPr>
    </w:p>
    <w:p w14:paraId="5F661061">
      <w:pPr>
        <w:rPr>
          <w:highlight w:val="none"/>
        </w:rPr>
        <w:sectPr>
          <w:pgSz w:w="11906" w:h="16838"/>
          <w:pgMar w:top="1440" w:right="1800" w:bottom="1440" w:left="1800" w:header="851" w:footer="992" w:gutter="0"/>
          <w:pgNumType w:fmt="decimal"/>
          <w:cols w:space="720" w:num="1"/>
          <w:docGrid w:type="lines" w:linePitch="312" w:charSpace="0"/>
        </w:sectPr>
      </w:pPr>
    </w:p>
    <w:p w14:paraId="049BACDA">
      <w:pPr>
        <w:pStyle w:val="27"/>
        <w:jc w:val="center"/>
        <w:rPr>
          <w:highlight w:val="none"/>
        </w:rPr>
      </w:pPr>
      <w:bookmarkStart w:id="163" w:name="_Toc1513"/>
      <w:bookmarkStart w:id="164" w:name="_Toc19370"/>
      <w:bookmarkStart w:id="165" w:name="_Toc16893"/>
      <w:bookmarkStart w:id="166" w:name="_Toc15804"/>
      <w:r>
        <w:rPr>
          <w:rFonts w:hint="eastAsia"/>
          <w:highlight w:val="none"/>
        </w:rPr>
        <w:t>目  录</w:t>
      </w:r>
      <w:bookmarkEnd w:id="163"/>
      <w:bookmarkEnd w:id="164"/>
      <w:bookmarkEnd w:id="165"/>
      <w:bookmarkEnd w:id="166"/>
    </w:p>
    <w:p w14:paraId="2A90DBBD">
      <w:pPr>
        <w:widowControl/>
        <w:autoSpaceDE/>
        <w:autoSpaceDN/>
        <w:spacing w:line="240" w:lineRule="auto"/>
        <w:ind w:firstLine="0" w:firstLineChars="0"/>
        <w:jc w:val="left"/>
        <w:rPr>
          <w:highlight w:val="none"/>
        </w:rPr>
      </w:pPr>
      <w:r>
        <w:rPr>
          <w:rFonts w:hint="eastAsia"/>
          <w:highlight w:val="none"/>
        </w:rPr>
        <w:t>一、响应函</w:t>
      </w:r>
    </w:p>
    <w:p w14:paraId="3F49AEDD">
      <w:pPr>
        <w:widowControl/>
        <w:autoSpaceDE/>
        <w:autoSpaceDN/>
        <w:spacing w:line="240" w:lineRule="auto"/>
        <w:ind w:firstLine="0" w:firstLineChars="0"/>
        <w:jc w:val="left"/>
        <w:rPr>
          <w:highlight w:val="none"/>
        </w:rPr>
      </w:pPr>
      <w:r>
        <w:rPr>
          <w:rFonts w:hint="eastAsia"/>
          <w:highlight w:val="none"/>
        </w:rPr>
        <w:t>二、资格性文件</w:t>
      </w:r>
    </w:p>
    <w:p w14:paraId="6E2CCBDB">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704F42AF">
      <w:pPr>
        <w:widowControl/>
        <w:autoSpaceDE/>
        <w:autoSpaceDN/>
        <w:spacing w:line="240" w:lineRule="auto"/>
        <w:ind w:firstLine="420" w:firstLineChars="0"/>
        <w:jc w:val="left"/>
        <w:rPr>
          <w:highlight w:val="none"/>
        </w:rPr>
      </w:pPr>
      <w:r>
        <w:rPr>
          <w:rFonts w:hint="eastAsia"/>
          <w:highlight w:val="none"/>
        </w:rPr>
        <w:t>（二）法定代表人/分支机构负责人身份证明及授权委托书</w:t>
      </w:r>
    </w:p>
    <w:p w14:paraId="2D854495">
      <w:pPr>
        <w:widowControl/>
        <w:autoSpaceDE/>
        <w:autoSpaceDN/>
        <w:spacing w:line="240" w:lineRule="auto"/>
        <w:ind w:firstLine="420" w:firstLineChars="0"/>
        <w:jc w:val="left"/>
        <w:rPr>
          <w:highlight w:val="none"/>
        </w:rPr>
      </w:pPr>
      <w:r>
        <w:rPr>
          <w:rFonts w:hint="eastAsia"/>
          <w:highlight w:val="none"/>
        </w:rPr>
        <w:t>（三）书面声明</w:t>
      </w:r>
    </w:p>
    <w:p w14:paraId="4003A0FC">
      <w:pPr>
        <w:widowControl/>
        <w:autoSpaceDE/>
        <w:autoSpaceDN/>
        <w:spacing w:line="240" w:lineRule="auto"/>
        <w:ind w:firstLine="420" w:firstLineChars="0"/>
        <w:jc w:val="left"/>
        <w:rPr>
          <w:highlight w:val="none"/>
        </w:rPr>
      </w:pPr>
      <w:r>
        <w:rPr>
          <w:rFonts w:hint="eastAsia"/>
          <w:highlight w:val="none"/>
        </w:rPr>
        <w:t>（四）中国执行信息公开网截图</w:t>
      </w:r>
    </w:p>
    <w:p w14:paraId="02C1AEAD">
      <w:pPr>
        <w:widowControl/>
        <w:autoSpaceDE/>
        <w:autoSpaceDN/>
        <w:spacing w:line="240" w:lineRule="auto"/>
        <w:ind w:firstLine="420" w:firstLineChars="0"/>
        <w:jc w:val="left"/>
        <w:rPr>
          <w:highlight w:val="none"/>
        </w:rPr>
      </w:pPr>
      <w:r>
        <w:rPr>
          <w:rFonts w:hint="eastAsia"/>
          <w:highlight w:val="none"/>
        </w:rPr>
        <w:t>（五）项目案例和业绩证明文件复印件</w:t>
      </w:r>
    </w:p>
    <w:p w14:paraId="601321A4">
      <w:pPr>
        <w:widowControl/>
        <w:autoSpaceDE/>
        <w:autoSpaceDN/>
        <w:spacing w:line="240" w:lineRule="auto"/>
        <w:ind w:firstLine="420" w:firstLineChars="0"/>
        <w:jc w:val="left"/>
        <w:rPr>
          <w:highlight w:val="none"/>
        </w:rPr>
      </w:pPr>
      <w:r>
        <w:rPr>
          <w:rFonts w:hint="eastAsia"/>
          <w:highlight w:val="none"/>
        </w:rPr>
        <w:t>（六）员工近半年社保缴纳证明材料</w:t>
      </w:r>
    </w:p>
    <w:p w14:paraId="248E3228">
      <w:pPr>
        <w:rPr>
          <w:highlight w:val="none"/>
          <w:lang w:val="zh-CN"/>
        </w:rPr>
      </w:pPr>
      <w:r>
        <w:rPr>
          <w:rFonts w:hint="eastAsia"/>
          <w:highlight w:val="none"/>
          <w:lang w:val="en-US" w:eastAsia="zh-CN"/>
        </w:rPr>
        <w:t>（七）总公司与分公司、全资子公司关联关系承诺（如有）</w:t>
      </w:r>
    </w:p>
    <w:p w14:paraId="098BCEBE">
      <w:pPr>
        <w:widowControl/>
        <w:numPr>
          <w:ilvl w:val="0"/>
          <w:numId w:val="0"/>
        </w:numPr>
        <w:tabs>
          <w:tab w:val="left" w:pos="0"/>
        </w:tabs>
        <w:autoSpaceDE/>
        <w:autoSpaceDN/>
        <w:spacing w:line="240" w:lineRule="auto"/>
        <w:ind w:left="420" w:leftChars="0"/>
        <w:jc w:val="left"/>
        <w:rPr>
          <w:highlight w:val="none"/>
        </w:rPr>
      </w:pPr>
      <w:r>
        <w:rPr>
          <w:rFonts w:hint="eastAsia"/>
          <w:highlight w:val="none"/>
          <w:lang w:eastAsia="zh-CN"/>
        </w:rPr>
        <w:t>（</w:t>
      </w:r>
      <w:r>
        <w:rPr>
          <w:rFonts w:hint="eastAsia"/>
          <w:highlight w:val="none"/>
          <w:lang w:val="en-US" w:eastAsia="zh-CN"/>
        </w:rPr>
        <w:t>八</w:t>
      </w:r>
      <w:r>
        <w:rPr>
          <w:rFonts w:hint="eastAsia"/>
          <w:highlight w:val="none"/>
          <w:lang w:eastAsia="zh-CN"/>
        </w:rPr>
        <w:t>）</w:t>
      </w:r>
      <w:r>
        <w:rPr>
          <w:rFonts w:hint="eastAsia"/>
          <w:highlight w:val="none"/>
        </w:rPr>
        <w:t>其他（如有）</w:t>
      </w:r>
    </w:p>
    <w:p w14:paraId="43CDD21D">
      <w:pPr>
        <w:widowControl/>
        <w:autoSpaceDE/>
        <w:autoSpaceDN/>
        <w:spacing w:line="240" w:lineRule="auto"/>
        <w:ind w:firstLine="0" w:firstLineChars="0"/>
        <w:jc w:val="left"/>
        <w:rPr>
          <w:highlight w:val="none"/>
        </w:rPr>
      </w:pPr>
      <w:r>
        <w:rPr>
          <w:rFonts w:hint="eastAsia"/>
          <w:highlight w:val="none"/>
        </w:rPr>
        <w:t>三、响应性文件</w:t>
      </w:r>
    </w:p>
    <w:p w14:paraId="0D67E279">
      <w:pPr>
        <w:widowControl/>
        <w:autoSpaceDE/>
        <w:autoSpaceDN/>
        <w:spacing w:line="240" w:lineRule="auto"/>
        <w:ind w:firstLine="420" w:firstLineChars="0"/>
        <w:jc w:val="left"/>
        <w:rPr>
          <w:highlight w:val="none"/>
        </w:rPr>
      </w:pPr>
      <w:r>
        <w:rPr>
          <w:rFonts w:hint="eastAsia"/>
          <w:highlight w:val="none"/>
        </w:rPr>
        <w:t>（一）响应承诺函</w:t>
      </w:r>
    </w:p>
    <w:p w14:paraId="6C4BACDA">
      <w:pPr>
        <w:widowControl/>
        <w:autoSpaceDE/>
        <w:autoSpaceDN/>
        <w:spacing w:line="240" w:lineRule="auto"/>
        <w:ind w:firstLine="420" w:firstLineChars="0"/>
        <w:jc w:val="left"/>
        <w:rPr>
          <w:highlight w:val="none"/>
        </w:rPr>
      </w:pPr>
      <w:r>
        <w:rPr>
          <w:rFonts w:hint="eastAsia"/>
          <w:highlight w:val="none"/>
        </w:rPr>
        <w:t>（二）其他（如有）</w:t>
      </w:r>
    </w:p>
    <w:p w14:paraId="3736C0F8">
      <w:pPr>
        <w:widowControl/>
        <w:autoSpaceDE/>
        <w:autoSpaceDN/>
        <w:spacing w:line="240" w:lineRule="auto"/>
        <w:ind w:firstLine="0" w:firstLineChars="0"/>
        <w:jc w:val="left"/>
        <w:rPr>
          <w:highlight w:val="none"/>
        </w:rPr>
      </w:pPr>
      <w:r>
        <w:rPr>
          <w:rFonts w:hint="eastAsia"/>
          <w:highlight w:val="none"/>
        </w:rPr>
        <w:t>四、商务技术文件（如有）</w:t>
      </w:r>
    </w:p>
    <w:p w14:paraId="4AF0D0A3">
      <w:pPr>
        <w:widowControl/>
        <w:autoSpaceDE/>
        <w:autoSpaceDN/>
        <w:spacing w:line="240" w:lineRule="auto"/>
        <w:ind w:firstLine="0" w:firstLineChars="0"/>
        <w:jc w:val="left"/>
        <w:rPr>
          <w:highlight w:val="none"/>
        </w:rPr>
      </w:pPr>
      <w:r>
        <w:rPr>
          <w:rFonts w:hint="eastAsia"/>
          <w:highlight w:val="none"/>
        </w:rPr>
        <w:t>五、其他（如有）</w:t>
      </w:r>
    </w:p>
    <w:p w14:paraId="5B37F15A">
      <w:pPr>
        <w:widowControl/>
        <w:autoSpaceDE/>
        <w:autoSpaceDN/>
        <w:spacing w:line="240" w:lineRule="auto"/>
        <w:ind w:firstLine="0" w:firstLineChars="0"/>
        <w:jc w:val="left"/>
        <w:rPr>
          <w:highlight w:val="none"/>
        </w:rPr>
      </w:pPr>
      <w:r>
        <w:rPr>
          <w:rFonts w:hint="eastAsia"/>
          <w:highlight w:val="none"/>
        </w:rPr>
        <w:br w:type="page"/>
      </w:r>
    </w:p>
    <w:p w14:paraId="0FDA51D3">
      <w:pPr>
        <w:widowControl/>
        <w:autoSpaceDE/>
        <w:autoSpaceDN/>
        <w:spacing w:line="240" w:lineRule="auto"/>
        <w:ind w:firstLine="0" w:firstLineChars="0"/>
        <w:jc w:val="left"/>
        <w:rPr>
          <w:highlight w:val="none"/>
        </w:rPr>
      </w:pPr>
    </w:p>
    <w:p w14:paraId="50002893">
      <w:pPr>
        <w:pStyle w:val="21"/>
        <w:outlineLvl w:val="0"/>
        <w:rPr>
          <w:highlight w:val="none"/>
        </w:rPr>
      </w:pPr>
      <w:bookmarkStart w:id="167" w:name="_Toc14142"/>
      <w:bookmarkStart w:id="168" w:name="_Toc28083"/>
      <w:bookmarkStart w:id="169" w:name="_Toc17243"/>
      <w:r>
        <w:rPr>
          <w:highlight w:val="none"/>
        </w:rPr>
        <w:t>一、响应函</w:t>
      </w:r>
      <w:bookmarkEnd w:id="167"/>
      <w:bookmarkEnd w:id="168"/>
      <w:bookmarkEnd w:id="169"/>
    </w:p>
    <w:p w14:paraId="337080C7">
      <w:pPr>
        <w:rPr>
          <w:highlight w:val="none"/>
        </w:rPr>
      </w:pPr>
    </w:p>
    <w:p w14:paraId="48A781E7">
      <w:pPr>
        <w:ind w:firstLine="0" w:firstLineChars="0"/>
        <w:rPr>
          <w:highlight w:val="none"/>
        </w:rPr>
      </w:pPr>
      <w:r>
        <w:rPr>
          <w:rFonts w:hint="eastAsia"/>
          <w:highlight w:val="none"/>
        </w:rPr>
        <w:t>重庆三峡银行股份有限公司：</w:t>
      </w:r>
    </w:p>
    <w:p w14:paraId="5812248F">
      <w:pPr>
        <w:rPr>
          <w:highlight w:val="none"/>
        </w:rPr>
      </w:pPr>
      <w:r>
        <w:rPr>
          <w:rFonts w:hint="eastAsia"/>
          <w:highlight w:val="none"/>
        </w:rPr>
        <w:t>我方收到（项目名称）询比文件，经详细研究，决定参加该询比项目并响应。</w:t>
      </w:r>
    </w:p>
    <w:p w14:paraId="7B0DFA33">
      <w:pPr>
        <w:rPr>
          <w:highlight w:val="none"/>
        </w:rPr>
      </w:pPr>
      <w:r>
        <w:rPr>
          <w:rFonts w:hint="eastAsia"/>
          <w:highlight w:val="none"/>
        </w:rPr>
        <w:t>1、愿意按照询比文件中的一切要求，以响应文件中的内容和报价承担和完成本项目。</w:t>
      </w:r>
    </w:p>
    <w:p w14:paraId="706C815A">
      <w:pPr>
        <w:rPr>
          <w:highlight w:val="none"/>
        </w:rPr>
      </w:pPr>
      <w:r>
        <w:rPr>
          <w:rFonts w:hint="eastAsia"/>
          <w:highlight w:val="none"/>
        </w:rPr>
        <w:t>2、我方现提交的响应文件为：响应文件正本一份，副本一份，电子文件一份。</w:t>
      </w:r>
    </w:p>
    <w:p w14:paraId="37826464">
      <w:pPr>
        <w:rPr>
          <w:highlight w:val="none"/>
        </w:rPr>
      </w:pPr>
      <w:r>
        <w:rPr>
          <w:rFonts w:hint="eastAsia"/>
          <w:highlight w:val="none"/>
        </w:rPr>
        <w:t>3、如果我方响应文件被接受，我方将履行询比文件中规定的各项要求，按相关法律法规和合同约定条款承担我方的责任。</w:t>
      </w:r>
    </w:p>
    <w:p w14:paraId="51306DCC">
      <w:pPr>
        <w:rPr>
          <w:highlight w:val="none"/>
        </w:rPr>
      </w:pPr>
      <w:r>
        <w:rPr>
          <w:rFonts w:hint="eastAsia"/>
          <w:highlight w:val="none"/>
        </w:rPr>
        <w:t>4、我方愿意提供询比文件中要求的所有资料，并对其真实性负责。</w:t>
      </w:r>
    </w:p>
    <w:p w14:paraId="680FE1D2">
      <w:pPr>
        <w:rPr>
          <w:highlight w:val="none"/>
        </w:rPr>
      </w:pPr>
      <w:r>
        <w:rPr>
          <w:rFonts w:hint="eastAsia"/>
          <w:highlight w:val="none"/>
        </w:rPr>
        <w:t>5、我方理解最低价格不是成交的唯一条件。</w:t>
      </w:r>
    </w:p>
    <w:p w14:paraId="72C41EBA">
      <w:pPr>
        <w:rPr>
          <w:highlight w:val="none"/>
        </w:rPr>
      </w:pPr>
      <w:r>
        <w:rPr>
          <w:rFonts w:hint="eastAsia"/>
          <w:highlight w:val="none"/>
        </w:rPr>
        <w:t>6、响应有效期为响应截止日期后90天内。</w:t>
      </w:r>
    </w:p>
    <w:p w14:paraId="769ED291">
      <w:pPr>
        <w:rPr>
          <w:highlight w:val="none"/>
        </w:rPr>
      </w:pPr>
      <w:r>
        <w:rPr>
          <w:rFonts w:hint="eastAsia"/>
          <w:highlight w:val="none"/>
        </w:rPr>
        <w:t>7、若我方成交，我方开具税率为%的增值税专用发票；</w:t>
      </w:r>
    </w:p>
    <w:p w14:paraId="072E7A47">
      <w:pPr>
        <w:rPr>
          <w:highlight w:val="none"/>
        </w:rPr>
      </w:pPr>
      <w:r>
        <w:rPr>
          <w:rFonts w:hint="eastAsia"/>
          <w:highlight w:val="none"/>
        </w:rPr>
        <w:t>8、我方承诺未被有关行政部门暂停投标资格或被有关行政部门暂停投标资格期限已满，也无行贿犯罪记录。</w:t>
      </w:r>
    </w:p>
    <w:p w14:paraId="183A51A9">
      <w:pPr>
        <w:rPr>
          <w:highlight w:val="none"/>
        </w:rPr>
      </w:pPr>
      <w:r>
        <w:rPr>
          <w:rFonts w:hint="eastAsia"/>
          <w:highlight w:val="none"/>
        </w:rPr>
        <w:t>响应人（公章）：</w:t>
      </w:r>
    </w:p>
    <w:p w14:paraId="1161FC7A">
      <w:pPr>
        <w:rPr>
          <w:highlight w:val="none"/>
        </w:rPr>
      </w:pPr>
      <w:r>
        <w:rPr>
          <w:rFonts w:hint="eastAsia"/>
          <w:highlight w:val="none"/>
        </w:rPr>
        <w:t xml:space="preserve">响应人联系人：  </w:t>
      </w:r>
    </w:p>
    <w:p w14:paraId="79FE6EED">
      <w:pPr>
        <w:rPr>
          <w:highlight w:val="none"/>
        </w:rPr>
      </w:pPr>
      <w:r>
        <w:rPr>
          <w:rFonts w:hint="eastAsia"/>
          <w:highlight w:val="none"/>
        </w:rPr>
        <w:t xml:space="preserve">响应人联系人联系电话：     </w:t>
      </w:r>
    </w:p>
    <w:p w14:paraId="402BD7AF">
      <w:pPr>
        <w:jc w:val="right"/>
        <w:rPr>
          <w:highlight w:val="none"/>
        </w:rPr>
      </w:pPr>
      <w:r>
        <w:rPr>
          <w:rFonts w:hint="eastAsia"/>
          <w:highlight w:val="none"/>
        </w:rPr>
        <w:t>年     月     日</w:t>
      </w:r>
    </w:p>
    <w:p w14:paraId="70508E9C">
      <w:pPr>
        <w:rPr>
          <w:highlight w:val="none"/>
        </w:rPr>
      </w:pPr>
    </w:p>
    <w:p w14:paraId="4B08F016">
      <w:pPr>
        <w:widowControl/>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76B3212E">
      <w:pPr>
        <w:widowControl/>
        <w:jc w:val="left"/>
        <w:rPr>
          <w:rFonts w:ascii="宋体"/>
          <w:snapToGrid w:val="0"/>
          <w:kern w:val="0"/>
          <w:sz w:val="24"/>
          <w:szCs w:val="24"/>
          <w:highlight w:val="none"/>
        </w:rPr>
      </w:pPr>
    </w:p>
    <w:p w14:paraId="43DF350C">
      <w:pPr>
        <w:rPr>
          <w:rStyle w:val="19"/>
          <w:b/>
          <w:highlight w:val="none"/>
        </w:rPr>
      </w:pPr>
    </w:p>
    <w:p w14:paraId="1C000223">
      <w:pPr>
        <w:pStyle w:val="21"/>
        <w:outlineLvl w:val="0"/>
        <w:rPr>
          <w:highlight w:val="none"/>
        </w:rPr>
      </w:pPr>
      <w:bookmarkStart w:id="170" w:name="_Toc5469"/>
      <w:bookmarkStart w:id="171" w:name="_Toc1740"/>
      <w:bookmarkStart w:id="172" w:name="_Toc23944"/>
      <w:r>
        <w:rPr>
          <w:highlight w:val="none"/>
        </w:rPr>
        <w:t>二、资格性文件</w:t>
      </w:r>
      <w:bookmarkEnd w:id="170"/>
      <w:bookmarkEnd w:id="171"/>
      <w:bookmarkEnd w:id="172"/>
    </w:p>
    <w:p w14:paraId="22599F4E">
      <w:pPr>
        <w:pStyle w:val="22"/>
        <w:rPr>
          <w:highlight w:val="none"/>
        </w:rPr>
      </w:pPr>
      <w:r>
        <w:rPr>
          <w:highlight w:val="none"/>
        </w:rPr>
        <w:t>（一）</w:t>
      </w:r>
      <w:r>
        <w:rPr>
          <w:rFonts w:hint="eastAsia"/>
          <w:highlight w:val="none"/>
        </w:rPr>
        <w:t>响应人</w:t>
      </w:r>
      <w:r>
        <w:rPr>
          <w:highlight w:val="none"/>
        </w:rPr>
        <w:t>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30A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72BDA1A">
            <w:pPr>
              <w:pStyle w:val="25"/>
              <w:jc w:val="center"/>
              <w:rPr>
                <w:highlight w:val="none"/>
              </w:rPr>
            </w:pPr>
            <w:r>
              <w:rPr>
                <w:rFonts w:hint="eastAsia"/>
                <w:highlight w:val="none"/>
              </w:rPr>
              <w:t>响应人名称</w:t>
            </w:r>
          </w:p>
        </w:tc>
        <w:tc>
          <w:tcPr>
            <w:tcW w:w="7114" w:type="dxa"/>
            <w:gridSpan w:val="8"/>
          </w:tcPr>
          <w:p w14:paraId="7C54CCDE">
            <w:pPr>
              <w:pStyle w:val="25"/>
              <w:jc w:val="center"/>
              <w:rPr>
                <w:highlight w:val="none"/>
              </w:rPr>
            </w:pPr>
          </w:p>
        </w:tc>
      </w:tr>
      <w:tr w14:paraId="09D5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EDDEB0D">
            <w:pPr>
              <w:pStyle w:val="25"/>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1EC00154">
            <w:pPr>
              <w:pStyle w:val="25"/>
              <w:jc w:val="center"/>
              <w:rPr>
                <w:highlight w:val="none"/>
              </w:rPr>
            </w:pPr>
          </w:p>
        </w:tc>
        <w:tc>
          <w:tcPr>
            <w:tcW w:w="1325" w:type="dxa"/>
            <w:tcBorders>
              <w:top w:val="single" w:color="auto" w:sz="4" w:space="0"/>
              <w:left w:val="single" w:color="auto" w:sz="4" w:space="0"/>
              <w:right w:val="single" w:color="auto" w:sz="4" w:space="0"/>
            </w:tcBorders>
            <w:vAlign w:val="center"/>
          </w:tcPr>
          <w:p w14:paraId="6602BC40">
            <w:pPr>
              <w:pStyle w:val="25"/>
              <w:jc w:val="center"/>
              <w:rPr>
                <w:highlight w:val="none"/>
              </w:rPr>
            </w:pPr>
            <w:r>
              <w:rPr>
                <w:rFonts w:hint="eastAsia"/>
                <w:highlight w:val="none"/>
              </w:rPr>
              <w:t>邮政编码</w:t>
            </w:r>
          </w:p>
        </w:tc>
        <w:tc>
          <w:tcPr>
            <w:tcW w:w="1657" w:type="dxa"/>
            <w:gridSpan w:val="3"/>
          </w:tcPr>
          <w:p w14:paraId="38FC23F8">
            <w:pPr>
              <w:pStyle w:val="25"/>
              <w:jc w:val="center"/>
              <w:rPr>
                <w:highlight w:val="none"/>
              </w:rPr>
            </w:pPr>
          </w:p>
        </w:tc>
      </w:tr>
      <w:tr w14:paraId="23E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FDC5DF1">
            <w:pPr>
              <w:pStyle w:val="25"/>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2EF56DA8">
            <w:pPr>
              <w:pStyle w:val="25"/>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291280DE">
            <w:pPr>
              <w:pStyle w:val="25"/>
              <w:jc w:val="center"/>
              <w:rPr>
                <w:highlight w:val="none"/>
              </w:rPr>
            </w:pPr>
          </w:p>
        </w:tc>
        <w:tc>
          <w:tcPr>
            <w:tcW w:w="1325" w:type="dxa"/>
            <w:tcBorders>
              <w:top w:val="single" w:color="auto" w:sz="4" w:space="0"/>
              <w:left w:val="single" w:color="auto" w:sz="4" w:space="0"/>
              <w:right w:val="single" w:color="auto" w:sz="4" w:space="0"/>
            </w:tcBorders>
            <w:vAlign w:val="center"/>
          </w:tcPr>
          <w:p w14:paraId="260B7AC1">
            <w:pPr>
              <w:pStyle w:val="25"/>
              <w:jc w:val="center"/>
              <w:rPr>
                <w:highlight w:val="none"/>
              </w:rPr>
            </w:pPr>
            <w:r>
              <w:rPr>
                <w:rFonts w:hint="eastAsia"/>
                <w:highlight w:val="none"/>
              </w:rPr>
              <w:t>电话</w:t>
            </w:r>
          </w:p>
        </w:tc>
        <w:tc>
          <w:tcPr>
            <w:tcW w:w="1657" w:type="dxa"/>
            <w:gridSpan w:val="3"/>
          </w:tcPr>
          <w:p w14:paraId="5AF611C1">
            <w:pPr>
              <w:pStyle w:val="25"/>
              <w:jc w:val="center"/>
              <w:rPr>
                <w:highlight w:val="none"/>
              </w:rPr>
            </w:pPr>
          </w:p>
        </w:tc>
      </w:tr>
      <w:tr w14:paraId="4DF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CFA075E">
            <w:pPr>
              <w:rPr>
                <w:highlight w:val="none"/>
              </w:rPr>
            </w:pPr>
          </w:p>
        </w:tc>
        <w:tc>
          <w:tcPr>
            <w:tcW w:w="1077" w:type="dxa"/>
            <w:tcBorders>
              <w:top w:val="single" w:color="auto" w:sz="4" w:space="0"/>
              <w:left w:val="single" w:color="auto" w:sz="4" w:space="0"/>
              <w:right w:val="single" w:color="auto" w:sz="4" w:space="0"/>
            </w:tcBorders>
            <w:vAlign w:val="center"/>
          </w:tcPr>
          <w:p w14:paraId="7A7CE1AF">
            <w:pPr>
              <w:pStyle w:val="25"/>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4DDA0E0A">
            <w:pPr>
              <w:pStyle w:val="25"/>
              <w:jc w:val="center"/>
              <w:rPr>
                <w:highlight w:val="none"/>
              </w:rPr>
            </w:pPr>
          </w:p>
        </w:tc>
        <w:tc>
          <w:tcPr>
            <w:tcW w:w="1325" w:type="dxa"/>
            <w:tcBorders>
              <w:top w:val="single" w:color="auto" w:sz="4" w:space="0"/>
              <w:left w:val="single" w:color="auto" w:sz="4" w:space="0"/>
              <w:right w:val="single" w:color="auto" w:sz="4" w:space="0"/>
            </w:tcBorders>
            <w:vAlign w:val="center"/>
          </w:tcPr>
          <w:p w14:paraId="76555B03">
            <w:pPr>
              <w:pStyle w:val="25"/>
              <w:jc w:val="center"/>
              <w:rPr>
                <w:highlight w:val="none"/>
              </w:rPr>
            </w:pPr>
            <w:r>
              <w:rPr>
                <w:rFonts w:hint="eastAsia"/>
                <w:highlight w:val="none"/>
              </w:rPr>
              <w:t>网址</w:t>
            </w:r>
          </w:p>
        </w:tc>
        <w:tc>
          <w:tcPr>
            <w:tcW w:w="1657" w:type="dxa"/>
            <w:gridSpan w:val="3"/>
          </w:tcPr>
          <w:p w14:paraId="334AE5AA">
            <w:pPr>
              <w:pStyle w:val="25"/>
              <w:jc w:val="center"/>
              <w:rPr>
                <w:highlight w:val="none"/>
              </w:rPr>
            </w:pPr>
          </w:p>
        </w:tc>
      </w:tr>
      <w:tr w14:paraId="4C2B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68799370">
            <w:pPr>
              <w:pStyle w:val="25"/>
              <w:jc w:val="center"/>
              <w:rPr>
                <w:highlight w:val="none"/>
              </w:rPr>
            </w:pPr>
            <w:r>
              <w:rPr>
                <w:rFonts w:hint="eastAsia"/>
                <w:highlight w:val="none"/>
              </w:rPr>
              <w:t>组织结构</w:t>
            </w:r>
          </w:p>
        </w:tc>
        <w:tc>
          <w:tcPr>
            <w:tcW w:w="7114" w:type="dxa"/>
            <w:gridSpan w:val="8"/>
            <w:vAlign w:val="center"/>
          </w:tcPr>
          <w:p w14:paraId="3FBFDF66">
            <w:pPr>
              <w:pStyle w:val="25"/>
              <w:jc w:val="center"/>
              <w:rPr>
                <w:highlight w:val="none"/>
              </w:rPr>
            </w:pPr>
          </w:p>
        </w:tc>
      </w:tr>
      <w:tr w14:paraId="637F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6AF2EEB">
            <w:pPr>
              <w:pStyle w:val="25"/>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4E1144F8">
            <w:pPr>
              <w:pStyle w:val="25"/>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522B14AA">
            <w:pPr>
              <w:pStyle w:val="25"/>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23643F7C">
            <w:pPr>
              <w:pStyle w:val="25"/>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8204D27">
            <w:pPr>
              <w:pStyle w:val="25"/>
              <w:jc w:val="center"/>
              <w:rPr>
                <w:highlight w:val="none"/>
              </w:rPr>
            </w:pPr>
          </w:p>
        </w:tc>
        <w:tc>
          <w:tcPr>
            <w:tcW w:w="723" w:type="dxa"/>
            <w:tcBorders>
              <w:top w:val="single" w:color="auto" w:sz="4" w:space="0"/>
              <w:left w:val="single" w:color="auto" w:sz="4" w:space="0"/>
              <w:right w:val="single" w:color="auto" w:sz="4" w:space="0"/>
            </w:tcBorders>
            <w:vAlign w:val="center"/>
          </w:tcPr>
          <w:p w14:paraId="38F9881E">
            <w:pPr>
              <w:pStyle w:val="25"/>
              <w:jc w:val="center"/>
              <w:rPr>
                <w:highlight w:val="none"/>
              </w:rPr>
            </w:pPr>
            <w:r>
              <w:rPr>
                <w:rFonts w:hint="eastAsia"/>
                <w:highlight w:val="none"/>
              </w:rPr>
              <w:t>电话</w:t>
            </w:r>
          </w:p>
        </w:tc>
        <w:tc>
          <w:tcPr>
            <w:tcW w:w="758" w:type="dxa"/>
          </w:tcPr>
          <w:p w14:paraId="39DC7F29">
            <w:pPr>
              <w:pStyle w:val="25"/>
              <w:jc w:val="center"/>
              <w:rPr>
                <w:highlight w:val="none"/>
              </w:rPr>
            </w:pPr>
          </w:p>
        </w:tc>
      </w:tr>
      <w:tr w14:paraId="497D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A99FBEB">
            <w:pPr>
              <w:pStyle w:val="25"/>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419462A2">
            <w:pPr>
              <w:pStyle w:val="25"/>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4AAB423C">
            <w:pPr>
              <w:pStyle w:val="25"/>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1AA6153C">
            <w:pPr>
              <w:pStyle w:val="25"/>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4AA0CADD">
            <w:pPr>
              <w:pStyle w:val="25"/>
              <w:jc w:val="center"/>
              <w:rPr>
                <w:highlight w:val="none"/>
              </w:rPr>
            </w:pPr>
          </w:p>
        </w:tc>
        <w:tc>
          <w:tcPr>
            <w:tcW w:w="723" w:type="dxa"/>
            <w:tcBorders>
              <w:top w:val="single" w:color="auto" w:sz="4" w:space="0"/>
              <w:left w:val="single" w:color="auto" w:sz="4" w:space="0"/>
              <w:right w:val="single" w:color="auto" w:sz="4" w:space="0"/>
            </w:tcBorders>
            <w:vAlign w:val="center"/>
          </w:tcPr>
          <w:p w14:paraId="51F3B357">
            <w:pPr>
              <w:pStyle w:val="25"/>
              <w:jc w:val="center"/>
              <w:rPr>
                <w:highlight w:val="none"/>
              </w:rPr>
            </w:pPr>
            <w:r>
              <w:rPr>
                <w:rFonts w:hint="eastAsia"/>
                <w:highlight w:val="none"/>
              </w:rPr>
              <w:t>电话</w:t>
            </w:r>
          </w:p>
        </w:tc>
        <w:tc>
          <w:tcPr>
            <w:tcW w:w="758" w:type="dxa"/>
          </w:tcPr>
          <w:p w14:paraId="0FE709DA">
            <w:pPr>
              <w:pStyle w:val="25"/>
              <w:jc w:val="center"/>
              <w:rPr>
                <w:highlight w:val="none"/>
              </w:rPr>
            </w:pPr>
          </w:p>
        </w:tc>
      </w:tr>
      <w:tr w14:paraId="3500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1E821FA">
            <w:pPr>
              <w:pStyle w:val="25"/>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0F62E75E">
            <w:pPr>
              <w:pStyle w:val="25"/>
              <w:jc w:val="center"/>
              <w:rPr>
                <w:highlight w:val="none"/>
              </w:rPr>
            </w:pPr>
          </w:p>
        </w:tc>
        <w:tc>
          <w:tcPr>
            <w:tcW w:w="4234" w:type="dxa"/>
            <w:gridSpan w:val="6"/>
          </w:tcPr>
          <w:p w14:paraId="005395BF">
            <w:pPr>
              <w:pStyle w:val="25"/>
              <w:jc w:val="center"/>
              <w:rPr>
                <w:highlight w:val="none"/>
              </w:rPr>
            </w:pPr>
            <w:r>
              <w:rPr>
                <w:rFonts w:hint="eastAsia"/>
                <w:highlight w:val="none"/>
              </w:rPr>
              <w:t>员工总人数：</w:t>
            </w:r>
          </w:p>
        </w:tc>
      </w:tr>
      <w:tr w14:paraId="1E3E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CF03794">
            <w:pPr>
              <w:pStyle w:val="25"/>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515068B5">
            <w:pPr>
              <w:pStyle w:val="25"/>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657461C3">
            <w:pPr>
              <w:pStyle w:val="25"/>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5977AB4F">
            <w:pPr>
              <w:pStyle w:val="25"/>
              <w:jc w:val="center"/>
              <w:rPr>
                <w:highlight w:val="none"/>
              </w:rPr>
            </w:pPr>
            <w:r>
              <w:rPr>
                <w:rFonts w:hint="eastAsia"/>
                <w:highlight w:val="none"/>
              </w:rPr>
              <w:t>项目经理</w:t>
            </w:r>
          </w:p>
        </w:tc>
        <w:tc>
          <w:tcPr>
            <w:tcW w:w="1481" w:type="dxa"/>
            <w:gridSpan w:val="2"/>
          </w:tcPr>
          <w:p w14:paraId="0AF8F098">
            <w:pPr>
              <w:pStyle w:val="25"/>
              <w:jc w:val="center"/>
              <w:rPr>
                <w:highlight w:val="none"/>
              </w:rPr>
            </w:pPr>
          </w:p>
        </w:tc>
      </w:tr>
      <w:tr w14:paraId="0566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14:paraId="223D0F60">
            <w:pPr>
              <w:pStyle w:val="25"/>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39D3913B">
            <w:pPr>
              <w:pStyle w:val="25"/>
              <w:jc w:val="center"/>
              <w:rPr>
                <w:highlight w:val="none"/>
              </w:rPr>
            </w:pPr>
          </w:p>
        </w:tc>
        <w:tc>
          <w:tcPr>
            <w:tcW w:w="714" w:type="dxa"/>
            <w:vMerge w:val="continue"/>
            <w:tcBorders>
              <w:top w:val="single" w:color="auto" w:sz="4" w:space="0"/>
              <w:left w:val="single" w:color="auto" w:sz="4" w:space="0"/>
              <w:right w:val="single" w:color="auto" w:sz="4" w:space="0"/>
            </w:tcBorders>
          </w:tcPr>
          <w:p w14:paraId="49FB3A6F">
            <w:pPr>
              <w:rPr>
                <w:highlight w:val="none"/>
              </w:rPr>
            </w:pPr>
          </w:p>
        </w:tc>
        <w:tc>
          <w:tcPr>
            <w:tcW w:w="2039" w:type="dxa"/>
            <w:gridSpan w:val="3"/>
            <w:tcBorders>
              <w:top w:val="single" w:color="auto" w:sz="4" w:space="0"/>
              <w:left w:val="single" w:color="auto" w:sz="4" w:space="0"/>
              <w:right w:val="single" w:color="auto" w:sz="4" w:space="0"/>
            </w:tcBorders>
            <w:vAlign w:val="center"/>
          </w:tcPr>
          <w:p w14:paraId="3397612D">
            <w:pPr>
              <w:pStyle w:val="25"/>
              <w:jc w:val="center"/>
              <w:rPr>
                <w:highlight w:val="none"/>
              </w:rPr>
            </w:pPr>
            <w:r>
              <w:rPr>
                <w:rFonts w:hint="eastAsia"/>
                <w:highlight w:val="none"/>
              </w:rPr>
              <w:t>高级职称人员</w:t>
            </w:r>
          </w:p>
        </w:tc>
        <w:tc>
          <w:tcPr>
            <w:tcW w:w="1481" w:type="dxa"/>
            <w:gridSpan w:val="2"/>
          </w:tcPr>
          <w:p w14:paraId="41AEAE27">
            <w:pPr>
              <w:pStyle w:val="25"/>
              <w:jc w:val="center"/>
              <w:rPr>
                <w:highlight w:val="none"/>
              </w:rPr>
            </w:pPr>
          </w:p>
        </w:tc>
      </w:tr>
      <w:tr w14:paraId="1EA5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370B9897">
            <w:pPr>
              <w:pStyle w:val="25"/>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30A9FA9B">
            <w:pPr>
              <w:pStyle w:val="25"/>
              <w:jc w:val="center"/>
              <w:rPr>
                <w:highlight w:val="none"/>
              </w:rPr>
            </w:pPr>
          </w:p>
        </w:tc>
        <w:tc>
          <w:tcPr>
            <w:tcW w:w="714" w:type="dxa"/>
            <w:vMerge w:val="continue"/>
            <w:tcBorders>
              <w:top w:val="single" w:color="auto" w:sz="4" w:space="0"/>
              <w:left w:val="single" w:color="auto" w:sz="4" w:space="0"/>
              <w:right w:val="single" w:color="auto" w:sz="4" w:space="0"/>
            </w:tcBorders>
          </w:tcPr>
          <w:p w14:paraId="0B52D133">
            <w:pPr>
              <w:rPr>
                <w:highlight w:val="none"/>
              </w:rPr>
            </w:pPr>
          </w:p>
        </w:tc>
        <w:tc>
          <w:tcPr>
            <w:tcW w:w="2039" w:type="dxa"/>
            <w:gridSpan w:val="3"/>
            <w:tcBorders>
              <w:top w:val="single" w:color="auto" w:sz="4" w:space="0"/>
              <w:left w:val="single" w:color="auto" w:sz="4" w:space="0"/>
              <w:right w:val="single" w:color="auto" w:sz="4" w:space="0"/>
            </w:tcBorders>
            <w:vAlign w:val="center"/>
          </w:tcPr>
          <w:p w14:paraId="730D2C16">
            <w:pPr>
              <w:pStyle w:val="25"/>
              <w:jc w:val="center"/>
              <w:rPr>
                <w:highlight w:val="none"/>
              </w:rPr>
            </w:pPr>
            <w:r>
              <w:rPr>
                <w:rFonts w:hint="eastAsia"/>
                <w:highlight w:val="none"/>
              </w:rPr>
              <w:t>中级职称人员</w:t>
            </w:r>
          </w:p>
        </w:tc>
        <w:tc>
          <w:tcPr>
            <w:tcW w:w="1481" w:type="dxa"/>
            <w:gridSpan w:val="2"/>
          </w:tcPr>
          <w:p w14:paraId="648AF27A">
            <w:pPr>
              <w:pStyle w:val="25"/>
              <w:jc w:val="center"/>
              <w:rPr>
                <w:highlight w:val="none"/>
              </w:rPr>
            </w:pPr>
          </w:p>
        </w:tc>
      </w:tr>
      <w:tr w14:paraId="6A2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C934EA7">
            <w:pPr>
              <w:pStyle w:val="25"/>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18B2BBFC">
            <w:pPr>
              <w:pStyle w:val="25"/>
              <w:jc w:val="center"/>
              <w:rPr>
                <w:highlight w:val="none"/>
              </w:rPr>
            </w:pPr>
          </w:p>
        </w:tc>
        <w:tc>
          <w:tcPr>
            <w:tcW w:w="714" w:type="dxa"/>
            <w:vMerge w:val="continue"/>
            <w:tcBorders>
              <w:top w:val="single" w:color="auto" w:sz="4" w:space="0"/>
              <w:left w:val="single" w:color="auto" w:sz="4" w:space="0"/>
              <w:right w:val="single" w:color="auto" w:sz="4" w:space="0"/>
            </w:tcBorders>
          </w:tcPr>
          <w:p w14:paraId="0A32A0E5">
            <w:pPr>
              <w:rPr>
                <w:highlight w:val="none"/>
              </w:rPr>
            </w:pPr>
          </w:p>
        </w:tc>
        <w:tc>
          <w:tcPr>
            <w:tcW w:w="2039" w:type="dxa"/>
            <w:gridSpan w:val="3"/>
            <w:tcBorders>
              <w:top w:val="single" w:color="auto" w:sz="4" w:space="0"/>
              <w:left w:val="single" w:color="auto" w:sz="4" w:space="0"/>
              <w:right w:val="single" w:color="auto" w:sz="4" w:space="0"/>
            </w:tcBorders>
            <w:vAlign w:val="center"/>
          </w:tcPr>
          <w:p w14:paraId="69AAD9F2">
            <w:pPr>
              <w:pStyle w:val="25"/>
              <w:jc w:val="center"/>
              <w:rPr>
                <w:highlight w:val="none"/>
              </w:rPr>
            </w:pPr>
            <w:r>
              <w:rPr>
                <w:rFonts w:hint="eastAsia"/>
                <w:highlight w:val="none"/>
              </w:rPr>
              <w:t>初级职称人员</w:t>
            </w:r>
          </w:p>
        </w:tc>
        <w:tc>
          <w:tcPr>
            <w:tcW w:w="1481" w:type="dxa"/>
            <w:gridSpan w:val="2"/>
          </w:tcPr>
          <w:p w14:paraId="4EC8AC83">
            <w:pPr>
              <w:pStyle w:val="25"/>
              <w:jc w:val="center"/>
              <w:rPr>
                <w:highlight w:val="none"/>
              </w:rPr>
            </w:pPr>
          </w:p>
        </w:tc>
      </w:tr>
      <w:tr w14:paraId="366E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84FF885">
            <w:pPr>
              <w:pStyle w:val="25"/>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1687F8BB">
            <w:pPr>
              <w:pStyle w:val="25"/>
              <w:jc w:val="center"/>
              <w:rPr>
                <w:highlight w:val="none"/>
              </w:rPr>
            </w:pPr>
          </w:p>
        </w:tc>
        <w:tc>
          <w:tcPr>
            <w:tcW w:w="714" w:type="dxa"/>
            <w:vMerge w:val="continue"/>
            <w:tcBorders>
              <w:top w:val="single" w:color="auto" w:sz="4" w:space="0"/>
              <w:left w:val="single" w:color="auto" w:sz="4" w:space="0"/>
              <w:right w:val="single" w:color="auto" w:sz="4" w:space="0"/>
            </w:tcBorders>
          </w:tcPr>
          <w:p w14:paraId="379B61CC">
            <w:pPr>
              <w:rPr>
                <w:highlight w:val="none"/>
              </w:rPr>
            </w:pPr>
          </w:p>
        </w:tc>
        <w:tc>
          <w:tcPr>
            <w:tcW w:w="2039" w:type="dxa"/>
            <w:gridSpan w:val="3"/>
            <w:tcBorders>
              <w:top w:val="single" w:color="auto" w:sz="4" w:space="0"/>
              <w:left w:val="single" w:color="auto" w:sz="4" w:space="0"/>
              <w:right w:val="single" w:color="auto" w:sz="4" w:space="0"/>
            </w:tcBorders>
            <w:vAlign w:val="center"/>
          </w:tcPr>
          <w:p w14:paraId="1553E929">
            <w:pPr>
              <w:pStyle w:val="25"/>
              <w:jc w:val="center"/>
              <w:rPr>
                <w:highlight w:val="none"/>
              </w:rPr>
            </w:pPr>
            <w:r>
              <w:rPr>
                <w:rFonts w:hint="eastAsia"/>
                <w:highlight w:val="none"/>
              </w:rPr>
              <w:t>技工</w:t>
            </w:r>
          </w:p>
        </w:tc>
        <w:tc>
          <w:tcPr>
            <w:tcW w:w="1481" w:type="dxa"/>
            <w:gridSpan w:val="2"/>
          </w:tcPr>
          <w:p w14:paraId="5ED8965F">
            <w:pPr>
              <w:pStyle w:val="25"/>
              <w:jc w:val="center"/>
              <w:rPr>
                <w:highlight w:val="none"/>
              </w:rPr>
            </w:pPr>
          </w:p>
        </w:tc>
      </w:tr>
      <w:tr w14:paraId="239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EBFF4AD">
            <w:pPr>
              <w:pStyle w:val="25"/>
              <w:jc w:val="center"/>
              <w:rPr>
                <w:highlight w:val="none"/>
              </w:rPr>
            </w:pPr>
            <w:r>
              <w:rPr>
                <w:rFonts w:hint="eastAsia"/>
                <w:highlight w:val="none"/>
              </w:rPr>
              <w:t>经营范围</w:t>
            </w:r>
          </w:p>
        </w:tc>
        <w:tc>
          <w:tcPr>
            <w:tcW w:w="7114" w:type="dxa"/>
            <w:gridSpan w:val="8"/>
          </w:tcPr>
          <w:p w14:paraId="1CEBE4C4">
            <w:pPr>
              <w:pStyle w:val="25"/>
              <w:jc w:val="center"/>
              <w:rPr>
                <w:highlight w:val="none"/>
              </w:rPr>
            </w:pPr>
          </w:p>
        </w:tc>
      </w:tr>
      <w:tr w14:paraId="23C1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0107CC74">
            <w:pPr>
              <w:pStyle w:val="25"/>
              <w:jc w:val="center"/>
              <w:rPr>
                <w:highlight w:val="none"/>
              </w:rPr>
            </w:pPr>
            <w:r>
              <w:rPr>
                <w:rFonts w:hint="eastAsia"/>
                <w:highlight w:val="none"/>
              </w:rPr>
              <w:t>备注</w:t>
            </w:r>
          </w:p>
        </w:tc>
        <w:tc>
          <w:tcPr>
            <w:tcW w:w="7114" w:type="dxa"/>
            <w:gridSpan w:val="8"/>
          </w:tcPr>
          <w:p w14:paraId="672B31A0">
            <w:pPr>
              <w:pStyle w:val="25"/>
              <w:jc w:val="center"/>
              <w:rPr>
                <w:highlight w:val="none"/>
              </w:rPr>
            </w:pPr>
          </w:p>
        </w:tc>
      </w:tr>
    </w:tbl>
    <w:p w14:paraId="50B13BA9">
      <w:pPr>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注：附营业执照（副本）、资质证明复印件等。</w:t>
      </w:r>
    </w:p>
    <w:p w14:paraId="34F766A7">
      <w:pPr>
        <w:pStyle w:val="22"/>
        <w:rPr>
          <w:highlight w:val="none"/>
        </w:rPr>
      </w:pPr>
      <w:r>
        <w:rPr>
          <w:highlight w:val="none"/>
        </w:rPr>
        <w:t>（二）法定代表人</w:t>
      </w:r>
      <w:r>
        <w:rPr>
          <w:rFonts w:hint="eastAsia"/>
          <w:snapToGrid w:val="0"/>
          <w:kern w:val="0"/>
          <w:highlight w:val="none"/>
        </w:rPr>
        <w:t>/</w:t>
      </w:r>
      <w:r>
        <w:rPr>
          <w:rFonts w:hint="eastAsia"/>
          <w:highlight w:val="none"/>
        </w:rPr>
        <w:t>分支机构负责人</w:t>
      </w:r>
      <w:r>
        <w:rPr>
          <w:highlight w:val="none"/>
        </w:rPr>
        <w:t>身份证明及授权委托书</w:t>
      </w:r>
    </w:p>
    <w:p w14:paraId="110A7A14">
      <w:pPr>
        <w:pStyle w:val="23"/>
        <w:rPr>
          <w:rFonts w:ascii="Times New Roman" w:hAnsi="Times New Roman"/>
          <w:highlight w:val="none"/>
        </w:rPr>
      </w:pPr>
      <w:r>
        <w:rPr>
          <w:rFonts w:ascii="Times New Roman" w:hAnsi="Times New Roman"/>
          <w:highlight w:val="none"/>
        </w:rPr>
        <w:t>法定代表人/分支机构负责人身份证明书</w:t>
      </w:r>
    </w:p>
    <w:p w14:paraId="59692086">
      <w:pPr>
        <w:tabs>
          <w:tab w:val="left" w:pos="6300"/>
        </w:tabs>
        <w:snapToGrid w:val="0"/>
        <w:rPr>
          <w:snapToGrid w:val="0"/>
          <w:kern w:val="0"/>
          <w:highlight w:val="none"/>
        </w:rPr>
      </w:pPr>
    </w:p>
    <w:p w14:paraId="055B1698">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06211EE1">
      <w:pPr>
        <w:tabs>
          <w:tab w:val="left" w:pos="6300"/>
        </w:tabs>
        <w:snapToGrid w:val="0"/>
        <w:rPr>
          <w:snapToGrid w:val="0"/>
          <w:kern w:val="0"/>
          <w:highlight w:val="none"/>
        </w:rPr>
      </w:pPr>
    </w:p>
    <w:p w14:paraId="0C88508C">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741368A4">
      <w:pPr>
        <w:tabs>
          <w:tab w:val="left" w:pos="6300"/>
        </w:tabs>
        <w:snapToGrid w:val="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w:t>
      </w:r>
      <w:r>
        <w:rPr>
          <w:rFonts w:hint="eastAsia"/>
          <w:highlight w:val="none"/>
        </w:rPr>
        <w:t>/分支机构负责人</w:t>
      </w:r>
      <w:r>
        <w:rPr>
          <w:rFonts w:hint="eastAsia"/>
          <w:snapToGrid w:val="0"/>
          <w:kern w:val="0"/>
          <w:highlight w:val="none"/>
        </w:rPr>
        <w:t>姓名）在（响应人名称）任（职务名称）职务，是（响应人名称）的法定代表人/</w:t>
      </w:r>
      <w:r>
        <w:rPr>
          <w:rFonts w:hint="eastAsia"/>
          <w:highlight w:val="none"/>
        </w:rPr>
        <w:t>分支机构负责人</w:t>
      </w:r>
      <w:r>
        <w:rPr>
          <w:rFonts w:hint="eastAsia"/>
          <w:snapToGrid w:val="0"/>
          <w:kern w:val="0"/>
          <w:highlight w:val="none"/>
        </w:rPr>
        <w:t>。</w:t>
      </w:r>
    </w:p>
    <w:p w14:paraId="3B9EC351">
      <w:pPr>
        <w:tabs>
          <w:tab w:val="left" w:pos="6300"/>
        </w:tabs>
        <w:snapToGrid w:val="0"/>
        <w:rPr>
          <w:snapToGrid w:val="0"/>
          <w:kern w:val="0"/>
          <w:highlight w:val="none"/>
        </w:rPr>
      </w:pPr>
    </w:p>
    <w:p w14:paraId="26BAF5B9">
      <w:pPr>
        <w:tabs>
          <w:tab w:val="left" w:pos="6300"/>
        </w:tabs>
        <w:snapToGrid w:val="0"/>
        <w:rPr>
          <w:snapToGrid w:val="0"/>
          <w:kern w:val="0"/>
          <w:highlight w:val="none"/>
        </w:rPr>
      </w:pPr>
      <w:r>
        <w:rPr>
          <w:rFonts w:hint="eastAsia"/>
          <w:snapToGrid w:val="0"/>
          <w:kern w:val="0"/>
          <w:highlight w:val="none"/>
        </w:rPr>
        <w:t>特此证明。</w:t>
      </w:r>
    </w:p>
    <w:p w14:paraId="75BFCCF7">
      <w:pPr>
        <w:tabs>
          <w:tab w:val="left" w:pos="6300"/>
        </w:tabs>
        <w:snapToGrid w:val="0"/>
        <w:rPr>
          <w:snapToGrid w:val="0"/>
          <w:kern w:val="0"/>
          <w:highlight w:val="none"/>
        </w:rPr>
      </w:pPr>
    </w:p>
    <w:p w14:paraId="62191D2A">
      <w:pPr>
        <w:tabs>
          <w:tab w:val="left" w:pos="6300"/>
        </w:tabs>
        <w:snapToGrid w:val="0"/>
        <w:rPr>
          <w:snapToGrid w:val="0"/>
          <w:kern w:val="0"/>
          <w:highlight w:val="none"/>
        </w:rPr>
      </w:pPr>
    </w:p>
    <w:p w14:paraId="1C2EC64F">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5CD19B91">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0263CC1B">
      <w:pPr>
        <w:tabs>
          <w:tab w:val="left" w:pos="6300"/>
        </w:tabs>
        <w:snapToGrid w:val="0"/>
        <w:rPr>
          <w:snapToGrid w:val="0"/>
          <w:kern w:val="0"/>
          <w:highlight w:val="none"/>
        </w:rPr>
      </w:pPr>
    </w:p>
    <w:p w14:paraId="5C2E8ECA">
      <w:pPr>
        <w:tabs>
          <w:tab w:val="left" w:pos="6300"/>
        </w:tabs>
        <w:snapToGrid w:val="0"/>
        <w:rPr>
          <w:snapToGrid w:val="0"/>
          <w:kern w:val="0"/>
          <w:highlight w:val="none"/>
        </w:rPr>
      </w:pPr>
      <w:r>
        <w:rPr>
          <w:rFonts w:hint="eastAsia"/>
          <w:snapToGrid w:val="0"/>
          <w:kern w:val="0"/>
          <w:highlight w:val="none"/>
        </w:rPr>
        <w:t xml:space="preserve">                                             年   月   日</w:t>
      </w:r>
    </w:p>
    <w:p w14:paraId="2F9BAB8C">
      <w:pPr>
        <w:tabs>
          <w:tab w:val="left" w:pos="6300"/>
        </w:tabs>
        <w:snapToGrid w:val="0"/>
        <w:rPr>
          <w:snapToGrid w:val="0"/>
          <w:kern w:val="0"/>
          <w:highlight w:val="none"/>
        </w:rPr>
      </w:pPr>
    </w:p>
    <w:p w14:paraId="03311F5B">
      <w:pPr>
        <w:tabs>
          <w:tab w:val="left" w:pos="6300"/>
        </w:tabs>
        <w:snapToGrid w:val="0"/>
        <w:rPr>
          <w:snapToGrid w:val="0"/>
          <w:kern w:val="0"/>
          <w:highlight w:val="none"/>
        </w:rPr>
      </w:pPr>
      <w:r>
        <w:rPr>
          <w:rFonts w:hint="eastAsia"/>
          <w:snapToGrid w:val="0"/>
          <w:kern w:val="0"/>
          <w:highlight w:val="none"/>
        </w:rPr>
        <w:t>（附：法定代表人</w:t>
      </w:r>
      <w:r>
        <w:rPr>
          <w:rFonts w:hint="eastAsia"/>
          <w:highlight w:val="none"/>
        </w:rPr>
        <w:t>/分支机构负责人</w:t>
      </w:r>
      <w:r>
        <w:rPr>
          <w:rFonts w:hint="eastAsia"/>
          <w:snapToGrid w:val="0"/>
          <w:kern w:val="0"/>
          <w:highlight w:val="none"/>
        </w:rPr>
        <w:t>身份证正反面复印件）</w:t>
      </w:r>
    </w:p>
    <w:p w14:paraId="5AEB233F">
      <w:pPr>
        <w:tabs>
          <w:tab w:val="left" w:pos="6300"/>
        </w:tabs>
        <w:snapToGrid w:val="0"/>
        <w:rPr>
          <w:snapToGrid w:val="0"/>
          <w:kern w:val="0"/>
          <w:highlight w:val="none"/>
        </w:rPr>
      </w:pPr>
    </w:p>
    <w:p w14:paraId="274C7E44">
      <w:pPr>
        <w:tabs>
          <w:tab w:val="left" w:pos="6300"/>
        </w:tabs>
        <w:snapToGrid w:val="0"/>
        <w:rPr>
          <w:snapToGrid w:val="0"/>
          <w:kern w:val="0"/>
          <w:highlight w:val="none"/>
        </w:rPr>
      </w:pPr>
    </w:p>
    <w:p w14:paraId="159FCEC7">
      <w:pPr>
        <w:tabs>
          <w:tab w:val="left" w:pos="6300"/>
        </w:tabs>
        <w:snapToGrid w:val="0"/>
        <w:rPr>
          <w:snapToGrid w:val="0"/>
          <w:kern w:val="0"/>
          <w:highlight w:val="none"/>
        </w:rPr>
      </w:pPr>
    </w:p>
    <w:p w14:paraId="47D5D199">
      <w:pPr>
        <w:jc w:val="center"/>
        <w:rPr>
          <w:rStyle w:val="24"/>
          <w:rFonts w:ascii="Times New Roman" w:hAnsi="Times New Roman"/>
          <w:highlight w:val="none"/>
        </w:rPr>
      </w:pPr>
      <w:r>
        <w:rPr>
          <w:rFonts w:hint="eastAsia"/>
          <w:snapToGrid w:val="0"/>
          <w:kern w:val="0"/>
          <w:highlight w:val="none"/>
        </w:rPr>
        <w:br w:type="column"/>
      </w:r>
      <w:r>
        <w:rPr>
          <w:rStyle w:val="24"/>
          <w:rFonts w:ascii="Times New Roman" w:hAnsi="Times New Roman"/>
          <w:highlight w:val="none"/>
        </w:rPr>
        <w:t>授权委托书</w:t>
      </w:r>
      <w:r>
        <w:rPr>
          <w:rStyle w:val="24"/>
          <w:highlight w:val="none"/>
        </w:rPr>
        <w:t>（如有）</w:t>
      </w:r>
    </w:p>
    <w:p w14:paraId="67E3BB81">
      <w:pPr>
        <w:tabs>
          <w:tab w:val="left" w:pos="6300"/>
        </w:tabs>
        <w:snapToGrid w:val="0"/>
        <w:ind w:firstLine="0" w:firstLineChars="0"/>
        <w:jc w:val="center"/>
        <w:rPr>
          <w:snapToGrid w:val="0"/>
          <w:kern w:val="0"/>
          <w:highlight w:val="none"/>
        </w:rPr>
      </w:pPr>
      <w:r>
        <w:rPr>
          <w:rFonts w:hint="eastAsia"/>
          <w:highlight w:val="none"/>
        </w:rPr>
        <w:t>（适用于有委托代理人的情况时采用）</w:t>
      </w:r>
    </w:p>
    <w:p w14:paraId="4709FDA2">
      <w:pPr>
        <w:tabs>
          <w:tab w:val="left" w:pos="6300"/>
        </w:tabs>
        <w:snapToGrid w:val="0"/>
        <w:rPr>
          <w:snapToGrid w:val="0"/>
          <w:kern w:val="0"/>
          <w:highlight w:val="none"/>
        </w:rPr>
      </w:pPr>
    </w:p>
    <w:p w14:paraId="763A353F">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42DC16B6">
      <w:pPr>
        <w:tabs>
          <w:tab w:val="left" w:pos="6300"/>
        </w:tabs>
        <w:snapToGrid w:val="0"/>
        <w:rPr>
          <w:snapToGrid w:val="0"/>
          <w:kern w:val="0"/>
          <w:highlight w:val="none"/>
        </w:rPr>
      </w:pPr>
    </w:p>
    <w:p w14:paraId="480DB350">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78F6F0CB">
      <w:pPr>
        <w:tabs>
          <w:tab w:val="left" w:pos="6300"/>
        </w:tabs>
        <w:snapToGrid w:val="0"/>
        <w:rPr>
          <w:snapToGrid w:val="0"/>
          <w:kern w:val="0"/>
          <w:highlight w:val="none"/>
        </w:rPr>
      </w:pP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w:t>
      </w:r>
      <w:r>
        <w:rPr>
          <w:rFonts w:hint="eastAsia"/>
          <w:highlight w:val="none"/>
        </w:rPr>
        <w:t>/分支机构负责人</w:t>
      </w:r>
      <w:r>
        <w:rPr>
          <w:rFonts w:hint="eastAsia"/>
          <w:snapToGrid w:val="0"/>
          <w:kern w:val="0"/>
          <w:highlight w:val="none"/>
        </w:rPr>
        <w:t>名称）是（</w:t>
      </w:r>
      <w:r>
        <w:rPr>
          <w:rFonts w:hint="eastAsia" w:cs="Cambria"/>
          <w:snapToGrid w:val="0"/>
          <w:kern w:val="0"/>
          <w:szCs w:val="24"/>
          <w:highlight w:val="none"/>
        </w:rPr>
        <w:t>响应</w:t>
      </w:r>
      <w:r>
        <w:rPr>
          <w:rFonts w:hint="eastAsia"/>
          <w:snapToGrid w:val="0"/>
          <w:kern w:val="0"/>
          <w:highlight w:val="none"/>
        </w:rPr>
        <w:t>人名称）的法定代表人</w:t>
      </w:r>
      <w:r>
        <w:rPr>
          <w:rFonts w:hint="eastAsia"/>
          <w:highlight w:val="none"/>
        </w:rPr>
        <w:t>（分支机构负责人）</w:t>
      </w:r>
      <w:r>
        <w:rPr>
          <w:rFonts w:hint="eastAsia"/>
          <w:snapToGrid w:val="0"/>
          <w:kern w:val="0"/>
          <w:highlight w:val="none"/>
        </w:rPr>
        <w:t>，特授权（委托代理人姓名及身份证代码）代表我单位全权办理上述项目的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64EE1E94">
      <w:pPr>
        <w:tabs>
          <w:tab w:val="left" w:pos="6300"/>
        </w:tabs>
        <w:snapToGrid w:val="0"/>
        <w:rPr>
          <w:snapToGrid w:val="0"/>
          <w:kern w:val="0"/>
          <w:highlight w:val="none"/>
        </w:rPr>
      </w:pPr>
      <w:r>
        <w:rPr>
          <w:rFonts w:hint="eastAsia"/>
          <w:snapToGrid w:val="0"/>
          <w:kern w:val="0"/>
          <w:highlight w:val="none"/>
        </w:rPr>
        <w:t>我单位对委托代理人的签字负全部责任。</w:t>
      </w:r>
    </w:p>
    <w:p w14:paraId="551BB4D7">
      <w:pPr>
        <w:tabs>
          <w:tab w:val="left" w:pos="6300"/>
        </w:tabs>
        <w:snapToGrid w:val="0"/>
        <w:rPr>
          <w:snapToGrid w:val="0"/>
          <w:kern w:val="0"/>
          <w:highlight w:val="none"/>
        </w:rPr>
      </w:pPr>
      <w:r>
        <w:rPr>
          <w:rFonts w:hint="eastAsia"/>
          <w:snapToGrid w:val="0"/>
          <w:kern w:val="0"/>
          <w:highlight w:val="none"/>
        </w:rPr>
        <w:t>在撤销授权的书面通知以前，本授权书一直有效。委托代理人在授权书有效期内签署的所有文件不因授权的撤销而失效。</w:t>
      </w:r>
    </w:p>
    <w:p w14:paraId="0C5103EA">
      <w:pPr>
        <w:tabs>
          <w:tab w:val="left" w:pos="6300"/>
        </w:tabs>
        <w:snapToGrid w:val="0"/>
        <w:rPr>
          <w:snapToGrid w:val="0"/>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493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043AFDB8">
            <w:pPr>
              <w:tabs>
                <w:tab w:val="left" w:pos="6300"/>
              </w:tabs>
              <w:snapToGrid w:val="0"/>
              <w:ind w:firstLine="0" w:firstLineChars="0"/>
              <w:rPr>
                <w:snapToGrid w:val="0"/>
                <w:kern w:val="0"/>
                <w:highlight w:val="none"/>
              </w:rPr>
            </w:pPr>
            <w:r>
              <w:rPr>
                <w:rFonts w:hint="eastAsia"/>
                <w:snapToGrid w:val="0"/>
                <w:kern w:val="0"/>
                <w:highlight w:val="none"/>
              </w:rPr>
              <w:t>委托代理人</w:t>
            </w:r>
          </w:p>
        </w:tc>
        <w:tc>
          <w:tcPr>
            <w:tcW w:w="4261" w:type="dxa"/>
            <w:tcBorders>
              <w:top w:val="nil"/>
              <w:left w:val="nil"/>
              <w:bottom w:val="nil"/>
              <w:right w:val="nil"/>
            </w:tcBorders>
          </w:tcPr>
          <w:p w14:paraId="5574F3BE">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w:t>
            </w:r>
            <w:r>
              <w:rPr>
                <w:rFonts w:hint="eastAsia"/>
                <w:highlight w:val="none"/>
              </w:rPr>
              <w:t>/分支机构负责人</w:t>
            </w:r>
            <w:r>
              <w:rPr>
                <w:rFonts w:hint="eastAsia"/>
                <w:snapToGrid w:val="0"/>
                <w:kern w:val="0"/>
                <w:highlight w:val="none"/>
              </w:rPr>
              <w:t>名称：</w:t>
            </w:r>
          </w:p>
        </w:tc>
      </w:tr>
      <w:tr w14:paraId="74C9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4C83755">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53D3F0FB">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43F0AB3B">
      <w:pPr>
        <w:tabs>
          <w:tab w:val="left" w:pos="6300"/>
        </w:tabs>
        <w:snapToGrid w:val="0"/>
        <w:rPr>
          <w:snapToGrid w:val="0"/>
          <w:kern w:val="0"/>
          <w:highlight w:val="none"/>
        </w:rPr>
      </w:pPr>
    </w:p>
    <w:p w14:paraId="182E1B9B">
      <w:pPr>
        <w:tabs>
          <w:tab w:val="left" w:pos="6300"/>
        </w:tabs>
        <w:snapToGrid w:val="0"/>
        <w:rPr>
          <w:snapToGrid w:val="0"/>
          <w:kern w:val="0"/>
          <w:szCs w:val="28"/>
          <w:highlight w:val="none"/>
        </w:rPr>
      </w:pPr>
    </w:p>
    <w:p w14:paraId="47DC613B">
      <w:pPr>
        <w:tabs>
          <w:tab w:val="left" w:pos="6300"/>
        </w:tabs>
        <w:snapToGrid w:val="0"/>
        <w:rPr>
          <w:snapToGrid w:val="0"/>
          <w:kern w:val="0"/>
          <w:highlight w:val="none"/>
        </w:rPr>
      </w:pPr>
    </w:p>
    <w:p w14:paraId="39498066">
      <w:pPr>
        <w:tabs>
          <w:tab w:val="left" w:pos="6300"/>
        </w:tabs>
        <w:snapToGrid w:val="0"/>
        <w:rPr>
          <w:snapToGrid w:val="0"/>
          <w:kern w:val="0"/>
          <w:highlight w:val="none"/>
        </w:rPr>
      </w:pPr>
      <w:r>
        <w:rPr>
          <w:rFonts w:hint="eastAsia"/>
          <w:snapToGrid w:val="0"/>
          <w:kern w:val="0"/>
          <w:highlight w:val="none"/>
        </w:rPr>
        <w:t>（附：委托代理人身份证正反面复印件）</w:t>
      </w:r>
    </w:p>
    <w:p w14:paraId="06D07F44">
      <w:pPr>
        <w:tabs>
          <w:tab w:val="left" w:pos="6300"/>
        </w:tabs>
        <w:snapToGrid w:val="0"/>
        <w:rPr>
          <w:snapToGrid w:val="0"/>
          <w:kern w:val="0"/>
          <w:highlight w:val="none"/>
        </w:rPr>
      </w:pPr>
    </w:p>
    <w:p w14:paraId="6F46C46A">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3AF6494B">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0AF73466">
      <w:pPr>
        <w:tabs>
          <w:tab w:val="left" w:pos="6300"/>
        </w:tabs>
        <w:snapToGrid w:val="0"/>
        <w:ind w:right="-36"/>
        <w:jc w:val="right"/>
        <w:rPr>
          <w:snapToGrid w:val="0"/>
          <w:kern w:val="0"/>
          <w:highlight w:val="none"/>
        </w:rPr>
      </w:pPr>
      <w:r>
        <w:rPr>
          <w:rFonts w:hint="eastAsia"/>
          <w:snapToGrid w:val="0"/>
          <w:kern w:val="0"/>
          <w:highlight w:val="none"/>
        </w:rPr>
        <w:t>年   月   日</w:t>
      </w:r>
    </w:p>
    <w:p w14:paraId="395663F7">
      <w:pPr>
        <w:tabs>
          <w:tab w:val="left" w:pos="6300"/>
        </w:tabs>
        <w:snapToGrid w:val="0"/>
        <w:rPr>
          <w:snapToGrid w:val="0"/>
          <w:kern w:val="0"/>
          <w:highlight w:val="none"/>
        </w:rPr>
      </w:pPr>
    </w:p>
    <w:p w14:paraId="48DD608F">
      <w:pPr>
        <w:tabs>
          <w:tab w:val="left" w:pos="6300"/>
        </w:tabs>
        <w:snapToGrid w:val="0"/>
        <w:rPr>
          <w:snapToGrid w:val="0"/>
          <w:kern w:val="0"/>
          <w:highlight w:val="none"/>
        </w:rPr>
      </w:pPr>
      <w:r>
        <w:rPr>
          <w:rFonts w:hint="eastAsia"/>
          <w:snapToGrid w:val="0"/>
          <w:kern w:val="0"/>
          <w:highlight w:val="none"/>
        </w:rPr>
        <w:t>注：若为法定代表人（分支机构负责人）办理并签署响应文件的，不提供此文件。</w:t>
      </w:r>
    </w:p>
    <w:p w14:paraId="403F01DB">
      <w:pPr>
        <w:rPr>
          <w:highlight w:val="none"/>
        </w:rPr>
      </w:pPr>
    </w:p>
    <w:p w14:paraId="34AD7732">
      <w:pPr>
        <w:rPr>
          <w:highlight w:val="none"/>
        </w:rPr>
        <w:sectPr>
          <w:pgSz w:w="11906" w:h="16838"/>
          <w:pgMar w:top="1440" w:right="1800" w:bottom="1440" w:left="1800" w:header="851" w:footer="992" w:gutter="0"/>
          <w:pgNumType w:fmt="decimal"/>
          <w:cols w:space="720" w:num="1"/>
          <w:docGrid w:type="lines" w:linePitch="312" w:charSpace="0"/>
        </w:sectPr>
      </w:pPr>
    </w:p>
    <w:p w14:paraId="1EA32E28">
      <w:pPr>
        <w:pStyle w:val="22"/>
        <w:rPr>
          <w:highlight w:val="none"/>
        </w:rPr>
      </w:pPr>
      <w:r>
        <w:rPr>
          <w:rFonts w:hint="eastAsia"/>
          <w:highlight w:val="none"/>
        </w:rPr>
        <w:t>（三）书面声明</w:t>
      </w:r>
    </w:p>
    <w:p w14:paraId="7EE8425A">
      <w:pPr>
        <w:tabs>
          <w:tab w:val="left" w:pos="6300"/>
        </w:tabs>
        <w:snapToGrid w:val="0"/>
        <w:rPr>
          <w:rFonts w:ascii="宋体"/>
          <w:sz w:val="24"/>
          <w:highlight w:val="none"/>
        </w:rPr>
      </w:pPr>
    </w:p>
    <w:p w14:paraId="0E53DC5C">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4A0DB2DC">
      <w:pPr>
        <w:tabs>
          <w:tab w:val="left" w:pos="6300"/>
        </w:tabs>
        <w:snapToGrid w:val="0"/>
        <w:rPr>
          <w:rFonts w:ascii="宋体"/>
          <w:sz w:val="24"/>
          <w:highlight w:val="none"/>
        </w:rPr>
      </w:pPr>
    </w:p>
    <w:p w14:paraId="1ABEAE8B">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7319BCCF">
      <w:pPr>
        <w:tabs>
          <w:tab w:val="left" w:pos="6300"/>
        </w:tabs>
        <w:snapToGrid w:val="0"/>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72F75816">
      <w:pPr>
        <w:tabs>
          <w:tab w:val="left" w:pos="6300"/>
        </w:tabs>
        <w:snapToGrid w:val="0"/>
        <w:rPr>
          <w:rFonts w:ascii="宋体"/>
          <w:sz w:val="24"/>
          <w:highlight w:val="none"/>
        </w:rPr>
      </w:pPr>
      <w:r>
        <w:rPr>
          <w:rFonts w:hint="eastAsia" w:ascii="宋体"/>
          <w:sz w:val="24"/>
          <w:highlight w:val="none"/>
        </w:rPr>
        <w:t>特此声明。</w:t>
      </w:r>
    </w:p>
    <w:p w14:paraId="6B4C840D">
      <w:pPr>
        <w:tabs>
          <w:tab w:val="left" w:pos="6300"/>
        </w:tabs>
        <w:snapToGrid w:val="0"/>
        <w:rPr>
          <w:rFonts w:ascii="宋体"/>
          <w:sz w:val="24"/>
          <w:highlight w:val="none"/>
        </w:rPr>
      </w:pPr>
    </w:p>
    <w:p w14:paraId="0A1DA528">
      <w:pPr>
        <w:tabs>
          <w:tab w:val="left" w:pos="6300"/>
        </w:tabs>
        <w:snapToGrid w:val="0"/>
        <w:rPr>
          <w:rFonts w:ascii="宋体"/>
          <w:sz w:val="24"/>
          <w:highlight w:val="none"/>
        </w:rPr>
      </w:pPr>
    </w:p>
    <w:p w14:paraId="7332FA21">
      <w:pPr>
        <w:tabs>
          <w:tab w:val="left" w:pos="6300"/>
        </w:tabs>
        <w:snapToGrid w:val="0"/>
        <w:rPr>
          <w:rFonts w:ascii="宋体"/>
          <w:sz w:val="24"/>
          <w:highlight w:val="none"/>
        </w:rPr>
      </w:pPr>
    </w:p>
    <w:p w14:paraId="587A2ADD">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4704D878">
      <w:pPr>
        <w:tabs>
          <w:tab w:val="left" w:pos="6300"/>
        </w:tabs>
        <w:snapToGrid w:val="0"/>
        <w:ind w:right="480"/>
        <w:jc w:val="right"/>
        <w:rPr>
          <w:rFonts w:ascii="宋体"/>
          <w:sz w:val="24"/>
          <w:highlight w:val="none"/>
        </w:rPr>
      </w:pPr>
      <w:r>
        <w:rPr>
          <w:rFonts w:hint="eastAsia" w:ascii="宋体"/>
          <w:sz w:val="24"/>
          <w:highlight w:val="none"/>
        </w:rPr>
        <w:t>年   月   日</w:t>
      </w:r>
    </w:p>
    <w:p w14:paraId="0470FA3C">
      <w:pPr>
        <w:jc w:val="left"/>
        <w:rPr>
          <w:rFonts w:ascii="宋体" w:cs="等线 Light"/>
          <w:snapToGrid w:val="0"/>
          <w:kern w:val="0"/>
          <w:sz w:val="24"/>
          <w:szCs w:val="24"/>
          <w:highlight w:val="none"/>
        </w:rPr>
      </w:pPr>
    </w:p>
    <w:p w14:paraId="0F2DD550">
      <w:pPr>
        <w:jc w:val="left"/>
        <w:rPr>
          <w:rFonts w:ascii="宋体" w:cs="等线 Light"/>
          <w:snapToGrid w:val="0"/>
          <w:kern w:val="0"/>
          <w:sz w:val="24"/>
          <w:szCs w:val="24"/>
          <w:highlight w:val="none"/>
        </w:rPr>
      </w:pPr>
    </w:p>
    <w:p w14:paraId="3F1797FA">
      <w:pPr>
        <w:jc w:val="left"/>
        <w:rPr>
          <w:rFonts w:ascii="宋体" w:cs="等线 Light"/>
          <w:snapToGrid w:val="0"/>
          <w:kern w:val="0"/>
          <w:sz w:val="24"/>
          <w:szCs w:val="24"/>
          <w:highlight w:val="none"/>
        </w:rPr>
      </w:pPr>
    </w:p>
    <w:p w14:paraId="25BEC52D">
      <w:pPr>
        <w:rPr>
          <w:b/>
          <w:bCs/>
          <w:highlight w:val="none"/>
        </w:rPr>
      </w:pPr>
      <w:r>
        <w:rPr>
          <w:rFonts w:hint="eastAsia"/>
          <w:kern w:val="0"/>
          <w:highlight w:val="none"/>
        </w:rPr>
        <w:br w:type="page"/>
      </w:r>
    </w:p>
    <w:p w14:paraId="64E7D728">
      <w:pPr>
        <w:pStyle w:val="22"/>
        <w:rPr>
          <w:highlight w:val="none"/>
        </w:rPr>
      </w:pPr>
      <w:r>
        <w:rPr>
          <w:highlight w:val="none"/>
        </w:rPr>
        <w:t>（</w:t>
      </w:r>
      <w:r>
        <w:rPr>
          <w:rFonts w:hint="eastAsia"/>
          <w:highlight w:val="none"/>
        </w:rPr>
        <w:t>四</w:t>
      </w:r>
      <w:r>
        <w:rPr>
          <w:highlight w:val="none"/>
        </w:rPr>
        <w:t>）中国执行信息公开网截图</w:t>
      </w:r>
    </w:p>
    <w:p w14:paraId="59A79EC4">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65E5F995">
      <w:pPr>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ED610C8">
      <w:pPr>
        <w:pStyle w:val="22"/>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1F271328">
      <w:pPr>
        <w:numPr>
          <w:ilvl w:val="0"/>
          <w:numId w:val="2"/>
        </w:numPr>
        <w:tabs>
          <w:tab w:val="left" w:pos="0"/>
        </w:tabs>
        <w:ind w:left="420" w:firstLine="0" w:firstLineChars="0"/>
        <w:rPr>
          <w:rFonts w:hint="eastAsia"/>
          <w:highlight w:val="none"/>
        </w:rPr>
      </w:pPr>
      <w:r>
        <w:rPr>
          <w:rFonts w:hint="eastAsia"/>
          <w:highlight w:val="none"/>
        </w:rPr>
        <w:t>合同关键页（合同关键页</w:t>
      </w:r>
      <w:r>
        <w:rPr>
          <w:highlight w:val="none"/>
        </w:rPr>
        <w:t>包含：甲乙双方名称、双方印章、项目名称、合同签订时间</w:t>
      </w:r>
      <w:r>
        <w:rPr>
          <w:rFonts w:hint="eastAsia"/>
          <w:highlight w:val="none"/>
        </w:rPr>
        <w:t>、服务范围。）；</w:t>
      </w:r>
    </w:p>
    <w:p w14:paraId="39154D4E">
      <w:pPr>
        <w:numPr>
          <w:ilvl w:val="0"/>
          <w:numId w:val="2"/>
        </w:numPr>
        <w:tabs>
          <w:tab w:val="left" w:pos="0"/>
        </w:tabs>
        <w:ind w:left="420" w:firstLine="0" w:firstLineChars="0"/>
        <w:rPr>
          <w:rFonts w:hint="eastAsia"/>
          <w:highlight w:val="none"/>
        </w:rPr>
      </w:pPr>
      <w:r>
        <w:rPr>
          <w:rFonts w:hint="eastAsia"/>
          <w:highlight w:val="none"/>
        </w:rPr>
        <w:t>项目简介（格式自拟）；</w:t>
      </w:r>
    </w:p>
    <w:p w14:paraId="33C753B1">
      <w:pPr>
        <w:numPr>
          <w:ilvl w:val="-1"/>
          <w:numId w:val="0"/>
        </w:numPr>
        <w:tabs>
          <w:tab w:val="left" w:pos="0"/>
        </w:tabs>
        <w:ind w:left="420" w:firstLine="0" w:firstLineChars="0"/>
        <w:rPr>
          <w:rFonts w:hint="eastAsia"/>
          <w:highlight w:val="none"/>
        </w:rPr>
      </w:pPr>
      <w:r>
        <w:rPr>
          <w:rFonts w:hint="eastAsia"/>
          <w:highlight w:val="none"/>
        </w:rPr>
        <w:t>3、合同对应的发票复印件，发票开具日期须晚于合同签订日期，发票购买方须与合同买方一致，发票销售方须与合同卖方（响应人）一致），响应人须提供合同签订后任意一年内的发票明细汇总表并逐笔附对应的发票。</w:t>
      </w:r>
    </w:p>
    <w:p w14:paraId="6AC313D9">
      <w:pPr>
        <w:ind w:firstLine="0" w:firstLineChars="0"/>
        <w:rPr>
          <w:rFonts w:hint="default" w:eastAsia="宋体"/>
          <w:highlight w:val="none"/>
          <w:lang w:val="en-US" w:eastAsia="zh-CN"/>
        </w:rPr>
      </w:pPr>
      <w:r>
        <w:rPr>
          <w:rFonts w:hint="eastAsia"/>
          <w:highlight w:val="none"/>
          <w:lang w:val="en-US" w:eastAsia="zh-CN"/>
        </w:rPr>
        <w:t>注：若提供分公司、子公司业绩证明材料的，响应人须承诺与该公司存在关联关系。【提供承诺函并加盖公章】</w:t>
      </w:r>
    </w:p>
    <w:p w14:paraId="6FF74FD0">
      <w:pPr>
        <w:rPr>
          <w:rFonts w:hint="eastAsia"/>
          <w:highlight w:val="none"/>
        </w:rPr>
      </w:pPr>
    </w:p>
    <w:p w14:paraId="2AA5F711">
      <w:pPr>
        <w:numPr>
          <w:ilvl w:val="-1"/>
          <w:numId w:val="0"/>
        </w:numPr>
        <w:tabs>
          <w:tab w:val="left" w:pos="0"/>
        </w:tabs>
        <w:ind w:left="420" w:firstLine="0" w:firstLineChars="0"/>
        <w:rPr>
          <w:rFonts w:hint="eastAsia"/>
          <w:highlight w:val="none"/>
        </w:rPr>
      </w:pPr>
    </w:p>
    <w:p w14:paraId="6E28338C">
      <w:pPr>
        <w:ind w:firstLine="0" w:firstLineChars="0"/>
        <w:rPr>
          <w:highlight w:val="none"/>
          <w:lang w:val="zh-CN"/>
        </w:rPr>
        <w:sectPr>
          <w:pgSz w:w="11906" w:h="16838"/>
          <w:pgMar w:top="1440" w:right="1800" w:bottom="1440" w:left="1800" w:header="851" w:footer="992" w:gutter="0"/>
          <w:pgNumType w:fmt="decimal"/>
          <w:cols w:space="720" w:num="1"/>
          <w:docGrid w:type="lines" w:linePitch="312" w:charSpace="0"/>
        </w:sectPr>
      </w:pPr>
    </w:p>
    <w:p w14:paraId="081EDE42">
      <w:pPr>
        <w:widowControl/>
        <w:numPr>
          <w:ilvl w:val="0"/>
          <w:numId w:val="3"/>
        </w:numPr>
        <w:autoSpaceDE/>
        <w:autoSpaceDN/>
        <w:spacing w:line="240" w:lineRule="auto"/>
        <w:ind w:left="0" w:firstLine="420" w:firstLineChars="0"/>
        <w:jc w:val="center"/>
        <w:outlineLvl w:val="2"/>
        <w:rPr>
          <w:highlight w:val="none"/>
        </w:rPr>
      </w:pPr>
      <w:r>
        <w:rPr>
          <w:rFonts w:hint="eastAsia"/>
          <w:highlight w:val="none"/>
        </w:rPr>
        <w:t>员工近半年社保缴纳证明材料</w:t>
      </w:r>
    </w:p>
    <w:p w14:paraId="687740D3">
      <w:pPr>
        <w:widowControl/>
        <w:autoSpaceDE/>
        <w:autoSpaceDN/>
        <w:spacing w:line="240" w:lineRule="auto"/>
        <w:rPr>
          <w:highlight w:val="none"/>
        </w:rPr>
      </w:pPr>
    </w:p>
    <w:p w14:paraId="63FABAFB">
      <w:pPr>
        <w:widowControl/>
        <w:numPr>
          <w:ilvl w:val="0"/>
          <w:numId w:val="0"/>
        </w:numPr>
        <w:autoSpaceDE/>
        <w:autoSpaceDN/>
        <w:spacing w:line="240" w:lineRule="auto"/>
        <w:ind w:left="0" w:firstLine="0" w:firstLineChars="0"/>
        <w:rPr>
          <w:highlight w:val="none"/>
        </w:rPr>
      </w:pPr>
      <w:r>
        <w:rPr>
          <w:rFonts w:ascii="Times New Roman" w:hAnsi="Times New Roman" w:eastAsia="宋体" w:cs="Cambria Math"/>
          <w:kern w:val="2"/>
          <w:sz w:val="21"/>
          <w:szCs w:val="20"/>
          <w:highlight w:val="none"/>
          <w:lang w:val="en-US" w:eastAsia="zh-CN" w:bidi="ar-SA"/>
        </w:rPr>
        <w:t>1.</w:t>
      </w:r>
      <w:r>
        <w:rPr>
          <w:rFonts w:hint="eastAsia"/>
          <w:highlight w:val="none"/>
        </w:rPr>
        <w:t>参保员工名单；</w:t>
      </w:r>
    </w:p>
    <w:p w14:paraId="2C1343F0">
      <w:pPr>
        <w:widowControl/>
        <w:numPr>
          <w:ilvl w:val="0"/>
          <w:numId w:val="0"/>
        </w:numPr>
        <w:autoSpaceDE/>
        <w:autoSpaceDN/>
        <w:spacing w:line="240" w:lineRule="auto"/>
        <w:ind w:firstLine="0" w:firstLineChars="0"/>
        <w:rPr>
          <w:rFonts w:hint="eastAsia"/>
          <w:highlight w:val="none"/>
        </w:rPr>
      </w:pPr>
      <w:r>
        <w:rPr>
          <w:rFonts w:hint="eastAsia" w:ascii="Times New Roman" w:hAnsi="Times New Roman" w:eastAsia="宋体" w:cs="Cambria Math"/>
          <w:kern w:val="2"/>
          <w:sz w:val="21"/>
          <w:szCs w:val="20"/>
          <w:highlight w:val="none"/>
          <w:lang w:val="en-US" w:eastAsia="zh-CN" w:bidi="ar-SA"/>
        </w:rPr>
        <w:t>2.</w:t>
      </w:r>
      <w:r>
        <w:rPr>
          <w:rFonts w:hint="eastAsia"/>
          <w:highlight w:val="none"/>
        </w:rPr>
        <w:t>员工近半年社保缴纳证明材料</w:t>
      </w:r>
    </w:p>
    <w:p w14:paraId="2F12E301">
      <w:pPr>
        <w:ind w:firstLine="0" w:firstLineChars="0"/>
        <w:rPr>
          <w:rFonts w:hint="default" w:eastAsia="宋体"/>
          <w:highlight w:val="none"/>
          <w:lang w:val="en-US" w:eastAsia="zh-CN"/>
        </w:rPr>
      </w:pPr>
      <w:r>
        <w:rPr>
          <w:rFonts w:hint="eastAsia"/>
          <w:highlight w:val="none"/>
          <w:lang w:val="en-US" w:eastAsia="zh-CN"/>
        </w:rPr>
        <w:t>注：以上材料须</w:t>
      </w:r>
      <w:r>
        <w:rPr>
          <w:rFonts w:hint="eastAsia"/>
          <w:highlight w:val="none"/>
        </w:rPr>
        <w:t>加盖响应人公章</w:t>
      </w:r>
      <w:r>
        <w:rPr>
          <w:rFonts w:hint="eastAsia"/>
          <w:highlight w:val="none"/>
          <w:lang w:eastAsia="zh-CN"/>
        </w:rPr>
        <w:t>，</w:t>
      </w:r>
      <w:r>
        <w:rPr>
          <w:rFonts w:hint="eastAsia"/>
          <w:highlight w:val="none"/>
          <w:lang w:val="en-US" w:eastAsia="zh-CN"/>
        </w:rPr>
        <w:t>若提供分公司、子公司员工社保缴纳证明材料的，响应人须承诺与该公司存在关联关系。【提供承诺函并加盖公章】</w:t>
      </w:r>
    </w:p>
    <w:p w14:paraId="1E99A0F9">
      <w:pPr>
        <w:widowControl/>
        <w:numPr>
          <w:ilvl w:val="-1"/>
          <w:numId w:val="0"/>
        </w:numPr>
        <w:autoSpaceDE/>
        <w:autoSpaceDN/>
        <w:spacing w:line="240" w:lineRule="auto"/>
        <w:ind w:firstLine="0" w:firstLineChars="0"/>
        <w:rPr>
          <w:rFonts w:hint="eastAsia"/>
          <w:highlight w:val="none"/>
        </w:rPr>
      </w:pPr>
    </w:p>
    <w:p w14:paraId="5C8BCC4D">
      <w:pPr>
        <w:widowControl/>
        <w:autoSpaceDE/>
        <w:autoSpaceDN/>
        <w:spacing w:line="240" w:lineRule="auto"/>
        <w:rPr>
          <w:highlight w:val="none"/>
        </w:rPr>
      </w:pPr>
    </w:p>
    <w:p w14:paraId="29088C6F">
      <w:pPr>
        <w:pStyle w:val="22"/>
        <w:outlineLvl w:val="9"/>
        <w:rPr>
          <w:highlight w:val="none"/>
        </w:rPr>
        <w:sectPr>
          <w:pgSz w:w="11906" w:h="16838"/>
          <w:pgMar w:top="1440" w:right="1800" w:bottom="1440" w:left="1800" w:header="851" w:footer="992" w:gutter="0"/>
          <w:pgNumType w:fmt="decimal"/>
          <w:cols w:space="720" w:num="1"/>
          <w:docGrid w:type="lines" w:linePitch="312" w:charSpace="0"/>
        </w:sectPr>
      </w:pPr>
    </w:p>
    <w:p w14:paraId="156EABBC">
      <w:pPr>
        <w:numPr>
          <w:ilvl w:val="0"/>
          <w:numId w:val="3"/>
        </w:numPr>
        <w:ind w:firstLine="420" w:firstLineChars="0"/>
        <w:jc w:val="center"/>
        <w:outlineLvl w:val="2"/>
        <w:rPr>
          <w:rFonts w:hint="eastAsia"/>
          <w:highlight w:val="none"/>
          <w:lang w:val="en-US" w:eastAsia="zh-CN"/>
        </w:rPr>
      </w:pPr>
      <w:r>
        <w:rPr>
          <w:rFonts w:hint="eastAsia"/>
          <w:highlight w:val="none"/>
          <w:lang w:val="en-US" w:eastAsia="zh-CN"/>
        </w:rPr>
        <w:t>总公司与分公司、全资子公司关联关系承诺（如有）</w:t>
      </w:r>
    </w:p>
    <w:p w14:paraId="69CE25E6">
      <w:pPr>
        <w:numPr>
          <w:ilvl w:val="-1"/>
          <w:numId w:val="0"/>
        </w:numPr>
        <w:tabs>
          <w:tab w:val="left" w:pos="0"/>
        </w:tabs>
        <w:ind w:left="0" w:firstLine="0" w:firstLineChars="0"/>
        <w:jc w:val="center"/>
        <w:outlineLvl w:val="9"/>
        <w:rPr>
          <w:rFonts w:hint="eastAsia"/>
          <w:highlight w:val="none"/>
          <w:lang w:val="zh-CN" w:eastAsia="zh-CN"/>
        </w:rPr>
      </w:pPr>
      <w:r>
        <w:rPr>
          <w:rFonts w:hint="eastAsia"/>
          <w:highlight w:val="none"/>
          <w:lang w:val="zh-CN" w:eastAsia="zh-CN"/>
        </w:rPr>
        <w:t>（</w:t>
      </w:r>
      <w:r>
        <w:rPr>
          <w:rFonts w:hint="eastAsia"/>
          <w:highlight w:val="none"/>
          <w:lang w:val="en-US" w:eastAsia="zh-CN"/>
        </w:rPr>
        <w:t>格式自拟</w:t>
      </w:r>
      <w:r>
        <w:rPr>
          <w:rFonts w:hint="eastAsia"/>
          <w:highlight w:val="none"/>
          <w:lang w:val="zh-CN" w:eastAsia="zh-CN"/>
        </w:rPr>
        <w:t>）</w:t>
      </w:r>
    </w:p>
    <w:p w14:paraId="0F156738">
      <w:pPr>
        <w:tabs>
          <w:tab w:val="left" w:pos="0"/>
        </w:tabs>
        <w:jc w:val="center"/>
        <w:outlineLvl w:val="2"/>
        <w:rPr>
          <w:rFonts w:hint="eastAsia"/>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0F2B1FEA">
      <w:pPr>
        <w:pStyle w:val="22"/>
        <w:numPr>
          <w:ilvl w:val="-1"/>
          <w:numId w:val="0"/>
        </w:numPr>
        <w:tabs>
          <w:tab w:val="left" w:pos="0"/>
        </w:tabs>
        <w:ind w:left="0"/>
        <w:rPr>
          <w:highlight w:val="none"/>
          <w:lang w:val="zh-CN"/>
        </w:rPr>
      </w:pPr>
      <w:r>
        <w:rPr>
          <w:rFonts w:hint="eastAsia"/>
          <w:highlight w:val="none"/>
          <w:lang w:eastAsia="zh-CN"/>
        </w:rPr>
        <w:t>（</w:t>
      </w:r>
      <w:r>
        <w:rPr>
          <w:rFonts w:hint="eastAsia"/>
          <w:highlight w:val="none"/>
          <w:lang w:val="en-US" w:eastAsia="zh-CN"/>
        </w:rPr>
        <w:t>八</w:t>
      </w:r>
      <w:r>
        <w:rPr>
          <w:rFonts w:hint="eastAsia"/>
          <w:highlight w:val="none"/>
          <w:lang w:eastAsia="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1622E7C6">
      <w:pPr>
        <w:rPr>
          <w:highlight w:val="none"/>
          <w:lang w:val="zh-CN"/>
        </w:rPr>
      </w:pPr>
    </w:p>
    <w:p w14:paraId="770958AC">
      <w:pPr>
        <w:rPr>
          <w:highlight w:val="none"/>
          <w:lang w:val="zh-CN"/>
        </w:rPr>
      </w:pPr>
    </w:p>
    <w:p w14:paraId="08D4F6E4">
      <w:pPr>
        <w:rPr>
          <w:highlight w:val="none"/>
          <w:lang w:val="zh-CN"/>
        </w:rPr>
        <w:sectPr>
          <w:pgSz w:w="11906" w:h="16838"/>
          <w:pgMar w:top="1440" w:right="1800" w:bottom="1440" w:left="1800" w:header="851" w:footer="992" w:gutter="0"/>
          <w:pgNumType w:fmt="decimal"/>
          <w:cols w:space="720" w:num="1"/>
          <w:docGrid w:type="lines" w:linePitch="312" w:charSpace="0"/>
        </w:sectPr>
      </w:pPr>
    </w:p>
    <w:p w14:paraId="4E29D013">
      <w:pPr>
        <w:pStyle w:val="21"/>
        <w:outlineLvl w:val="0"/>
        <w:rPr>
          <w:highlight w:val="none"/>
        </w:rPr>
      </w:pPr>
      <w:bookmarkStart w:id="173" w:name="_Toc7375"/>
      <w:bookmarkStart w:id="174" w:name="_Toc23634"/>
      <w:bookmarkStart w:id="175" w:name="_Toc32530"/>
      <w:r>
        <w:rPr>
          <w:highlight w:val="none"/>
        </w:rPr>
        <w:t>三、响应性文件</w:t>
      </w:r>
      <w:bookmarkEnd w:id="173"/>
      <w:bookmarkEnd w:id="174"/>
      <w:bookmarkEnd w:id="175"/>
    </w:p>
    <w:p w14:paraId="38211B93">
      <w:pPr>
        <w:pStyle w:val="22"/>
        <w:rPr>
          <w:highlight w:val="none"/>
        </w:rPr>
      </w:pPr>
      <w:r>
        <w:rPr>
          <w:rFonts w:hint="eastAsia"/>
          <w:highlight w:val="none"/>
        </w:rPr>
        <w:t>（一）响应承诺函</w:t>
      </w:r>
    </w:p>
    <w:p w14:paraId="02738331">
      <w:pPr>
        <w:rPr>
          <w:highlight w:val="none"/>
        </w:rPr>
      </w:pPr>
      <w:r>
        <w:rPr>
          <w:rFonts w:hint="eastAsia"/>
          <w:highlight w:val="none"/>
        </w:rPr>
        <w:t>根据第三章“项目要求”内容，做出整体承诺，格式自理。</w:t>
      </w:r>
    </w:p>
    <w:p w14:paraId="0718BDB8">
      <w:pPr>
        <w:rPr>
          <w:highlight w:val="none"/>
        </w:rPr>
      </w:pPr>
    </w:p>
    <w:p w14:paraId="038F98A3">
      <w:pPr>
        <w:rPr>
          <w:highlight w:val="none"/>
        </w:rPr>
        <w:sectPr>
          <w:pgSz w:w="11906" w:h="16838"/>
          <w:pgMar w:top="1440" w:right="1800" w:bottom="1440" w:left="1800" w:header="851" w:footer="992" w:gutter="0"/>
          <w:pgNumType w:fmt="decimal"/>
          <w:cols w:space="720" w:num="1"/>
          <w:docGrid w:type="lines" w:linePitch="312" w:charSpace="0"/>
        </w:sectPr>
      </w:pPr>
    </w:p>
    <w:p w14:paraId="0043791C">
      <w:pPr>
        <w:pStyle w:val="22"/>
        <w:rPr>
          <w:highlight w:val="none"/>
        </w:rPr>
      </w:pPr>
      <w:r>
        <w:rPr>
          <w:rFonts w:hint="eastAsia"/>
          <w:highlight w:val="none"/>
        </w:rPr>
        <w:t>（二）其他（如有）</w:t>
      </w:r>
    </w:p>
    <w:p w14:paraId="5E58775C">
      <w:pPr>
        <w:pStyle w:val="32"/>
        <w:rPr>
          <w:highlight w:val="none"/>
        </w:rPr>
      </w:pPr>
      <w:r>
        <w:rPr>
          <w:highlight w:val="none"/>
        </w:rPr>
        <w:t>（如第三章中要求提供的文件、方案等材料）</w:t>
      </w:r>
    </w:p>
    <w:p w14:paraId="2450D3AC">
      <w:pPr>
        <w:rPr>
          <w:highlight w:val="none"/>
        </w:rPr>
      </w:pPr>
    </w:p>
    <w:p w14:paraId="1D28CF8F">
      <w:pPr>
        <w:rPr>
          <w:highlight w:val="none"/>
        </w:rPr>
      </w:pPr>
    </w:p>
    <w:p w14:paraId="157E886D">
      <w:pPr>
        <w:rPr>
          <w:highlight w:val="none"/>
        </w:rPr>
        <w:sectPr>
          <w:pgSz w:w="11906" w:h="16838"/>
          <w:pgMar w:top="1440" w:right="1800" w:bottom="1440" w:left="1800" w:header="851" w:footer="992" w:gutter="0"/>
          <w:pgNumType w:fmt="decimal"/>
          <w:cols w:space="720" w:num="1"/>
          <w:docGrid w:type="lines" w:linePitch="312" w:charSpace="0"/>
        </w:sectPr>
      </w:pPr>
    </w:p>
    <w:p w14:paraId="14595963">
      <w:pPr>
        <w:pStyle w:val="21"/>
        <w:outlineLvl w:val="0"/>
        <w:rPr>
          <w:highlight w:val="none"/>
        </w:rPr>
      </w:pPr>
      <w:bookmarkStart w:id="176" w:name="_Toc14002"/>
      <w:bookmarkStart w:id="177" w:name="_Toc20152"/>
      <w:bookmarkStart w:id="178" w:name="_Toc24061"/>
      <w:r>
        <w:rPr>
          <w:highlight w:val="none"/>
        </w:rPr>
        <w:t>四、商务技术文件（如有）</w:t>
      </w:r>
      <w:bookmarkEnd w:id="176"/>
      <w:bookmarkEnd w:id="177"/>
      <w:bookmarkEnd w:id="178"/>
    </w:p>
    <w:p w14:paraId="6837506D">
      <w:pPr>
        <w:pStyle w:val="32"/>
        <w:rPr>
          <w:highlight w:val="none"/>
        </w:rPr>
      </w:pPr>
      <w:r>
        <w:rPr>
          <w:highlight w:val="none"/>
        </w:rPr>
        <w:t>（根据第四章内容提供相关材料）</w:t>
      </w:r>
    </w:p>
    <w:p w14:paraId="68C65535">
      <w:pPr>
        <w:pStyle w:val="21"/>
        <w:outlineLvl w:val="0"/>
        <w:rPr>
          <w:highlight w:val="none"/>
        </w:rPr>
        <w:sectPr>
          <w:pgSz w:w="11906" w:h="16838"/>
          <w:pgMar w:top="1440" w:right="1800" w:bottom="1440" w:left="1800" w:header="851" w:footer="992" w:gutter="0"/>
          <w:pgNumType w:fmt="decimal"/>
          <w:cols w:space="720" w:num="1"/>
          <w:docGrid w:type="lines" w:linePitch="312" w:charSpace="0"/>
        </w:sectPr>
      </w:pPr>
    </w:p>
    <w:p w14:paraId="7DF4DAB2">
      <w:pPr>
        <w:pStyle w:val="21"/>
        <w:outlineLvl w:val="0"/>
        <w:rPr>
          <w:highlight w:val="none"/>
        </w:rPr>
      </w:pPr>
      <w:bookmarkStart w:id="179" w:name="_Toc25656"/>
      <w:bookmarkStart w:id="180" w:name="_Toc5931"/>
      <w:bookmarkStart w:id="181" w:name="_Toc13765"/>
      <w:r>
        <w:rPr>
          <w:highlight w:val="none"/>
        </w:rPr>
        <w:t>五、其他（如有）</w:t>
      </w:r>
      <w:bookmarkEnd w:id="179"/>
      <w:bookmarkEnd w:id="180"/>
      <w:bookmarkEnd w:id="181"/>
    </w:p>
    <w:p w14:paraId="57D9BE32">
      <w:pPr>
        <w:rPr>
          <w:highlight w:val="none"/>
        </w:rPr>
      </w:pPr>
    </w:p>
    <w:p w14:paraId="162716DD">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56B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C7C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CBCC3">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BCBCC3">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71EA">
    <w:pPr>
      <w:tabs>
        <w:tab w:val="center" w:pos="4153"/>
        <w:tab w:val="right" w:pos="8306"/>
      </w:tabs>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93800" cy="351155"/>
              <wp:effectExtent l="0" t="0" r="0" b="0"/>
              <wp:wrapNone/>
              <wp:docPr id="4" name="文本框 4"/>
              <wp:cNvGraphicFramePr/>
              <a:graphic xmlns:a="http://schemas.openxmlformats.org/drawingml/2006/main">
                <a:graphicData uri="http://schemas.microsoft.com/office/word/2010/wordprocessingShape">
                  <wps:wsp>
                    <wps:cNvSpPr/>
                    <wps:spPr>
                      <a:xfrm>
                        <a:off x="0" y="0"/>
                        <a:ext cx="1193800" cy="350852"/>
                      </a:xfrm>
                      <a:prstGeom prst="rect">
                        <a:avLst/>
                      </a:prstGeom>
                      <a:noFill/>
                      <a:ln w="9525" cap="flat" cmpd="sng">
                        <a:noFill/>
                        <a:prstDash val="solid"/>
                        <a:miter/>
                      </a:ln>
                    </wps:spPr>
                    <wps:txbx>
                      <w:txbxContent>
                        <w:p w14:paraId="57719B85">
                          <w:pPr>
                            <w:pStyle w:val="12"/>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23</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27.65pt;width:94pt;mso-position-horizontal:center;mso-position-horizontal-relative:margin;mso-wrap-style:none;z-index:251659264;mso-width-relative:page;mso-height-relative:page;" filled="f" stroked="f" coordsize="21600,21600" o:gfxdata="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wgjSAAAABAEAAA8AAAAAAAAAAQAgAAAAIgAAAGRycy9kb3du&#10;cmV2LnhtbFBLAQIUABQAAAAIAIdO4kCbH09+BQIAAPUDAAAOAAAAAAAAAAEAIAAAACEBAABkcnMv&#10;ZTJvRG9jLnhtbFBLBQYAAAAABgAGAFkBAACYBQAAAAA=&#10;">
              <v:fill on="f" focussize="0,0"/>
              <v:stroke on="f" joinstyle="miter"/>
              <v:imagedata o:title=""/>
              <o:lock v:ext="edit" aspectratio="f"/>
              <v:textbox inset="0mm,0mm,0mm,0mm" style="mso-fit-shape-to-text:t;">
                <w:txbxContent>
                  <w:p w14:paraId="57719B85">
                    <w:pPr>
                      <w:pStyle w:val="12"/>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23</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6B2DB"/>
    <w:multiLevelType w:val="singleLevel"/>
    <w:tmpl w:val="C8F6B2DB"/>
    <w:lvl w:ilvl="0" w:tentative="0">
      <w:start w:val="7"/>
      <w:numFmt w:val="decimal"/>
      <w:suff w:val="space"/>
      <w:lvlText w:val="%1."/>
      <w:lvlJc w:val="left"/>
      <w:pPr>
        <w:tabs>
          <w:tab w:val="left" w:pos="0"/>
        </w:tabs>
        <w:ind w:left="0" w:firstLine="0"/>
      </w:pPr>
    </w:lvl>
  </w:abstractNum>
  <w:abstractNum w:abstractNumId="1">
    <w:nsid w:val="3BEF3436"/>
    <w:multiLevelType w:val="singleLevel"/>
    <w:tmpl w:val="3BEF3436"/>
    <w:lvl w:ilvl="0" w:tentative="0">
      <w:start w:val="6"/>
      <w:numFmt w:val="chineseCounting"/>
      <w:suff w:val="nothing"/>
      <w:lvlText w:val="（%1）"/>
      <w:lvlJc w:val="left"/>
      <w:pPr>
        <w:tabs>
          <w:tab w:val="left" w:pos="0"/>
        </w:tabs>
        <w:ind w:left="0" w:firstLine="0"/>
      </w:pPr>
      <w:rPr>
        <w:rFonts w:hint="eastAsia"/>
      </w:rPr>
    </w:lvl>
  </w:abstractNum>
  <w:abstractNum w:abstractNumId="2">
    <w:nsid w:val="567CAEC4"/>
    <w:multiLevelType w:val="singleLevel"/>
    <w:tmpl w:val="567CAEC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0AB1812"/>
    <w:rsid w:val="05CD222A"/>
    <w:rsid w:val="07726BE5"/>
    <w:rsid w:val="0B010F62"/>
    <w:rsid w:val="0BF37BB2"/>
    <w:rsid w:val="0F136F00"/>
    <w:rsid w:val="154F4A0A"/>
    <w:rsid w:val="17A50911"/>
    <w:rsid w:val="18087F05"/>
    <w:rsid w:val="18694035"/>
    <w:rsid w:val="1FA91ED0"/>
    <w:rsid w:val="233D0598"/>
    <w:rsid w:val="24FB6014"/>
    <w:rsid w:val="25B3069D"/>
    <w:rsid w:val="266230C4"/>
    <w:rsid w:val="28C3509B"/>
    <w:rsid w:val="2B7663F5"/>
    <w:rsid w:val="2C212804"/>
    <w:rsid w:val="2F1C5505"/>
    <w:rsid w:val="339E473B"/>
    <w:rsid w:val="35092088"/>
    <w:rsid w:val="374C0952"/>
    <w:rsid w:val="37D20E57"/>
    <w:rsid w:val="39FD5F33"/>
    <w:rsid w:val="3B7C0B25"/>
    <w:rsid w:val="3E35213F"/>
    <w:rsid w:val="3F2F6B8F"/>
    <w:rsid w:val="41727207"/>
    <w:rsid w:val="41FD61F1"/>
    <w:rsid w:val="47F76FD8"/>
    <w:rsid w:val="48A91043"/>
    <w:rsid w:val="4A9C7833"/>
    <w:rsid w:val="4AAD305D"/>
    <w:rsid w:val="4B6407D9"/>
    <w:rsid w:val="4E471DC8"/>
    <w:rsid w:val="4FD07F1A"/>
    <w:rsid w:val="54901A26"/>
    <w:rsid w:val="56E10C5F"/>
    <w:rsid w:val="588C69A8"/>
    <w:rsid w:val="5D9E6F62"/>
    <w:rsid w:val="5EF662E8"/>
    <w:rsid w:val="5FB7255D"/>
    <w:rsid w:val="6F834209"/>
    <w:rsid w:val="722D6A1C"/>
    <w:rsid w:val="743B50B2"/>
    <w:rsid w:val="75D47366"/>
    <w:rsid w:val="75E55C1E"/>
    <w:rsid w:val="76A21419"/>
    <w:rsid w:val="77976AA4"/>
    <w:rsid w:val="78D83818"/>
    <w:rsid w:val="7A0128FA"/>
    <w:rsid w:val="7B164183"/>
    <w:rsid w:val="7B785345"/>
    <w:rsid w:val="7C013085"/>
    <w:rsid w:val="7CB00608"/>
    <w:rsid w:val="7D8F021D"/>
    <w:rsid w:val="7F343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19"/>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line="317" w:lineRule="auto"/>
      <w:outlineLvl w:val="5"/>
    </w:pPr>
    <w:rPr>
      <w:rFonts w:eastAsia="黑体"/>
      <w:b/>
    </w:rPr>
  </w:style>
  <w:style w:type="paragraph" w:styleId="8">
    <w:name w:val="heading 7"/>
    <w:basedOn w:val="1"/>
    <w:next w:val="1"/>
    <w:qFormat/>
    <w:uiPriority w:val="0"/>
    <w:pPr>
      <w:keepNext/>
      <w:keepLines/>
      <w:widowControl w:val="0"/>
      <w:spacing w:line="317" w:lineRule="auto"/>
      <w:outlineLvl w:val="6"/>
    </w:pPr>
    <w:rPr>
      <w:b/>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style>
  <w:style w:type="paragraph" w:styleId="11">
    <w:name w:val="Balloon Text"/>
    <w:basedOn w:val="1"/>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autoRedefine/>
    <w:qFormat/>
    <w:uiPriority w:val="0"/>
    <w:pPr>
      <w:spacing w:line="312" w:lineRule="auto"/>
      <w:jc w:val="center"/>
      <w:outlineLvl w:val="1"/>
    </w:pPr>
    <w:rPr>
      <w:rFonts w:ascii="Arial" w:hAnsi="Arial"/>
      <w:b/>
      <w:kern w:val="28"/>
      <w:sz w:val="32"/>
    </w:rPr>
  </w:style>
  <w:style w:type="character" w:styleId="18">
    <w:name w:val="annotation reference"/>
    <w:basedOn w:val="17"/>
    <w:qFormat/>
    <w:uiPriority w:val="0"/>
    <w:rPr>
      <w:sz w:val="21"/>
      <w:szCs w:val="21"/>
    </w:rPr>
  </w:style>
  <w:style w:type="character" w:customStyle="1" w:styleId="19">
    <w:name w:val="heading 4 Char"/>
    <w:basedOn w:val="17"/>
    <w:link w:val="5"/>
    <w:autoRedefine/>
    <w:qFormat/>
    <w:uiPriority w:val="0"/>
    <w:rPr>
      <w:rFonts w:ascii="Times New Roman" w:hAnsi="Times New Roman" w:eastAsia="宋体" w:cs="Times New Roman"/>
      <w:bCs/>
      <w:kern w:val="2"/>
      <w:sz w:val="21"/>
      <w:szCs w:val="28"/>
      <w:lang w:val="en-US" w:eastAsia="zh-CN" w:bidi="ar-SA"/>
    </w:rPr>
  </w:style>
  <w:style w:type="paragraph" w:customStyle="1" w:styleId="20">
    <w:name w:val="首行缩进"/>
    <w:basedOn w:val="1"/>
    <w:qFormat/>
    <w:uiPriority w:val="0"/>
  </w:style>
  <w:style w:type="paragraph" w:customStyle="1" w:styleId="21">
    <w:name w:val="参选文件格式1"/>
    <w:basedOn w:val="1"/>
    <w:next w:val="1"/>
    <w:autoRedefine/>
    <w:qFormat/>
    <w:uiPriority w:val="0"/>
    <w:pPr>
      <w:ind w:firstLine="0" w:firstLineChars="0"/>
      <w:jc w:val="center"/>
      <w:outlineLvl w:val="1"/>
    </w:pPr>
    <w:rPr>
      <w:b/>
      <w:sz w:val="28"/>
    </w:rPr>
  </w:style>
  <w:style w:type="paragraph" w:customStyle="1" w:styleId="22">
    <w:name w:val="参选文件格式2"/>
    <w:basedOn w:val="1"/>
    <w:next w:val="1"/>
    <w:autoRedefine/>
    <w:qFormat/>
    <w:uiPriority w:val="0"/>
    <w:pPr>
      <w:ind w:firstLine="0" w:firstLineChars="0"/>
      <w:jc w:val="center"/>
      <w:outlineLvl w:val="2"/>
    </w:pPr>
    <w:rPr>
      <w:bCs/>
      <w:szCs w:val="32"/>
    </w:rPr>
  </w:style>
  <w:style w:type="paragraph" w:customStyle="1" w:styleId="23">
    <w:name w:val="参选文件格式3"/>
    <w:basedOn w:val="1"/>
    <w:link w:val="24"/>
    <w:autoRedefine/>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24">
    <w:name w:val="参选文件格式3 Char"/>
    <w:basedOn w:val="17"/>
    <w:link w:val="23"/>
    <w:autoRedefine/>
    <w:qFormat/>
    <w:uiPriority w:val="0"/>
    <w:rPr>
      <w:rFonts w:ascii="宋体" w:eastAsia="宋体" w:cs="Cambria Math"/>
      <w:b/>
      <w:snapToGrid w:val="0"/>
      <w:kern w:val="0"/>
      <w:sz w:val="21"/>
      <w:szCs w:val="20"/>
      <w:lang w:val="en-US" w:eastAsia="zh-CN" w:bidi="ar-SA"/>
    </w:rPr>
  </w:style>
  <w:style w:type="paragraph" w:customStyle="1" w:styleId="25">
    <w:name w:val="表格"/>
    <w:basedOn w:val="1"/>
    <w:qFormat/>
    <w:uiPriority w:val="0"/>
    <w:pPr>
      <w:spacing w:line="240" w:lineRule="auto"/>
      <w:ind w:firstLine="0" w:firstLineChars="0"/>
    </w:pPr>
    <w:rPr>
      <w:bCs/>
      <w:szCs w:val="18"/>
    </w:rPr>
  </w:style>
  <w:style w:type="paragraph" w:customStyle="1" w:styleId="26">
    <w:name w:val="表格（标题）"/>
    <w:basedOn w:val="1"/>
    <w:qFormat/>
    <w:uiPriority w:val="0"/>
    <w:pPr>
      <w:spacing w:line="240" w:lineRule="auto"/>
      <w:ind w:firstLine="0" w:firstLineChars="0"/>
      <w:jc w:val="center"/>
    </w:pPr>
    <w:rPr>
      <w:b/>
      <w:bCs/>
      <w:szCs w:val="18"/>
    </w:rPr>
  </w:style>
  <w:style w:type="paragraph" w:customStyle="1" w:styleId="27">
    <w:name w:val="标题2（无级别）"/>
    <w:basedOn w:val="1"/>
    <w:next w:val="1"/>
    <w:qFormat/>
    <w:uiPriority w:val="0"/>
    <w:pPr>
      <w:ind w:firstLine="0" w:firstLineChars="0"/>
    </w:pPr>
    <w:rPr>
      <w:rFonts w:cs="Times New Roman"/>
      <w:b/>
      <w:bCs/>
      <w:snapToGrid w:val="0"/>
      <w:szCs w:val="24"/>
    </w:rPr>
  </w:style>
  <w:style w:type="paragraph" w:customStyle="1" w:styleId="28">
    <w:name w:val="标题3（无级别）"/>
    <w:basedOn w:val="1"/>
    <w:next w:val="1"/>
    <w:qFormat/>
    <w:uiPriority w:val="0"/>
    <w:rPr>
      <w:b/>
      <w:bCs/>
      <w:szCs w:val="32"/>
    </w:rPr>
  </w:style>
  <w:style w:type="paragraph" w:customStyle="1" w:styleId="29">
    <w:name w:val="小五"/>
    <w:basedOn w:val="1"/>
    <w:next w:val="1"/>
    <w:qFormat/>
    <w:uiPriority w:val="0"/>
    <w:pPr>
      <w:spacing w:line="240" w:lineRule="auto"/>
      <w:ind w:firstLine="0" w:firstLineChars="0"/>
    </w:pPr>
    <w:rPr>
      <w:rFonts w:cs="Times New Roman"/>
      <w:sz w:val="18"/>
      <w:szCs w:val="18"/>
    </w:rPr>
  </w:style>
  <w:style w:type="paragraph" w:customStyle="1" w:styleId="30">
    <w:name w:val="封面标题"/>
    <w:basedOn w:val="1"/>
    <w:qFormat/>
    <w:uiPriority w:val="0"/>
    <w:pPr>
      <w:ind w:firstLine="0" w:firstLineChars="0"/>
      <w:jc w:val="center"/>
    </w:pPr>
    <w:rPr>
      <w:rFonts w:cs="Times New Roman"/>
      <w:b/>
      <w:snapToGrid w:val="0"/>
      <w:kern w:val="0"/>
      <w:sz w:val="48"/>
      <w:szCs w:val="84"/>
    </w:rPr>
  </w:style>
  <w:style w:type="paragraph" w:customStyle="1" w:styleId="31">
    <w:name w:val="封面文件名"/>
    <w:basedOn w:val="1"/>
    <w:qFormat/>
    <w:uiPriority w:val="0"/>
    <w:pPr>
      <w:ind w:firstLine="0" w:firstLineChars="0"/>
      <w:jc w:val="center"/>
    </w:pPr>
    <w:rPr>
      <w:rFonts w:cs="Times New Roman"/>
      <w:b/>
      <w:snapToGrid w:val="0"/>
      <w:kern w:val="0"/>
      <w:sz w:val="96"/>
      <w:szCs w:val="96"/>
    </w:rPr>
  </w:style>
  <w:style w:type="paragraph" w:customStyle="1" w:styleId="32">
    <w:name w:val="正文居中"/>
    <w:basedOn w:val="1"/>
    <w:qFormat/>
    <w:uiPriority w:val="0"/>
    <w:pPr>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HP</Company>
  <Pages>52</Pages>
  <Words>13542</Words>
  <Characters>14782</Characters>
  <Lines>1329</Lines>
  <Paragraphs>735</Paragraphs>
  <TotalTime>0</TotalTime>
  <ScaleCrop>false</ScaleCrop>
  <LinksUpToDate>false</LinksUpToDate>
  <CharactersWithSpaces>15011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杜玲_企采</cp:lastModifiedBy>
  <cp:lastPrinted>2025-01-03T01:34:00Z</cp:lastPrinted>
  <dcterms:modified xsi:type="dcterms:W3CDTF">2025-08-05T09:13:12Z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222CD3A876DB48B0B6F1F4D190F2CB9C_13</vt:lpwstr>
  </property>
  <property fmtid="{D5CDD505-2E9C-101B-9397-08002B2CF9AE}" pid="4" name="KSOTemplateDocerSaveRecord">
    <vt:lpwstr>eyJoZGlkIjoiMjE4MmQxZjA1Y2YxYjcxZTkzZjljNGM2ODFmNzIxYzciLCJ1c2VySWQiOiIxNTcyMDkyNzExIn0=</vt:lpwstr>
  </property>
</Properties>
</file>