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6C17A">
      <w:pPr>
        <w:pStyle w:val="3"/>
        <w:rPr>
          <w:color w:val="auto"/>
          <w:highlight w:val="none"/>
        </w:rPr>
      </w:pPr>
      <w:r>
        <w:rPr>
          <w:rFonts w:hint="eastAsia"/>
          <w:color w:val="auto"/>
          <w:highlight w:val="none"/>
          <w:lang w:val="en-US" w:eastAsia="zh-CN"/>
        </w:rPr>
        <w:t>重庆三峡银行数据资产管理平台建设项目</w:t>
      </w:r>
      <w:r>
        <w:rPr>
          <w:rFonts w:hint="eastAsia"/>
          <w:color w:val="auto"/>
          <w:highlight w:val="none"/>
        </w:rPr>
        <w:t>询比公告</w:t>
      </w:r>
    </w:p>
    <w:p w14:paraId="3890B518">
      <w:pPr>
        <w:rPr>
          <w:color w:val="auto"/>
          <w:highlight w:val="none"/>
        </w:rPr>
      </w:pPr>
      <w:bookmarkStart w:id="0" w:name="_Toc89675127"/>
      <w:bookmarkStart w:id="1" w:name="_Toc55379218"/>
      <w:bookmarkStart w:id="2" w:name="_Toc250565211"/>
      <w:bookmarkStart w:id="3" w:name="_Toc469574670"/>
      <w:bookmarkStart w:id="4" w:name="_Toc55379224"/>
      <w:bookmarkStart w:id="5" w:name="_Toc89675133"/>
      <w:r>
        <w:rPr>
          <w:rFonts w:ascii="Times New Roman" w:hAnsi="Times New Roman" w:cs="Times New Roman"/>
          <w:color w:val="auto"/>
          <w:highlight w:val="none"/>
        </w:rPr>
        <w:t>为有效落实监管部门对于</w:t>
      </w:r>
      <w:r>
        <w:rPr>
          <w:rFonts w:hint="eastAsia" w:ascii="Times New Roman" w:hAnsi="Times New Roman" w:cs="Times New Roman"/>
          <w:color w:val="auto"/>
          <w:highlight w:val="none"/>
          <w:lang w:val="en-US" w:eastAsia="zh-CN"/>
        </w:rPr>
        <w:t>数据治理、</w:t>
      </w:r>
      <w:r>
        <w:rPr>
          <w:rFonts w:ascii="Times New Roman" w:hAnsi="Times New Roman" w:cs="Times New Roman"/>
          <w:color w:val="auto"/>
          <w:highlight w:val="none"/>
        </w:rPr>
        <w:t>数据资产管理工作的要求，同时满足</w:t>
      </w:r>
      <w:r>
        <w:rPr>
          <w:rFonts w:hint="eastAsia" w:cs="Times New Roman"/>
          <w:color w:val="auto"/>
          <w:highlight w:val="none"/>
          <w:lang w:val="en-US" w:eastAsia="zh-CN"/>
        </w:rPr>
        <w:t>行内</w:t>
      </w:r>
      <w:r>
        <w:rPr>
          <w:rFonts w:ascii="Times New Roman" w:hAnsi="Times New Roman" w:cs="Times New Roman"/>
          <w:color w:val="auto"/>
          <w:highlight w:val="none"/>
        </w:rPr>
        <w:t>数据管理需要，</w:t>
      </w:r>
      <w:r>
        <w:rPr>
          <w:rFonts w:hint="eastAsia" w:cs="Times New Roman"/>
          <w:color w:val="auto"/>
          <w:highlight w:val="none"/>
          <w:lang w:val="en-US" w:eastAsia="zh-CN"/>
        </w:rPr>
        <w:t>推进数据要素价值释放，本行拟开展数据资产平台建设项目，主要内容包含：实现</w:t>
      </w:r>
      <w:r>
        <w:rPr>
          <w:rFonts w:hint="eastAsia" w:ascii="Times New Roman" w:hAnsi="Times New Roman" w:cs="Times New Roman"/>
          <w:color w:val="auto"/>
          <w:highlight w:val="none"/>
          <w:lang w:val="en-US" w:eastAsia="zh-CN"/>
        </w:rPr>
        <w:t>元数据、</w:t>
      </w:r>
      <w:r>
        <w:rPr>
          <w:rFonts w:ascii="Times New Roman" w:hAnsi="Times New Roman" w:cs="Times New Roman"/>
          <w:color w:val="auto"/>
          <w:highlight w:val="none"/>
        </w:rPr>
        <w:t>数据标准、数据质量、</w:t>
      </w:r>
      <w:r>
        <w:rPr>
          <w:rFonts w:hint="eastAsia" w:ascii="Times New Roman" w:hAnsi="Times New Roman" w:cs="Times New Roman"/>
          <w:color w:val="auto"/>
          <w:highlight w:val="none"/>
          <w:lang w:val="en-US" w:eastAsia="zh-CN"/>
        </w:rPr>
        <w:t>数据安全分类分级</w:t>
      </w:r>
      <w:r>
        <w:rPr>
          <w:rFonts w:ascii="Times New Roman" w:hAnsi="Times New Roman" w:cs="Times New Roman"/>
          <w:color w:val="auto"/>
          <w:highlight w:val="none"/>
        </w:rPr>
        <w:t>等工作</w:t>
      </w:r>
      <w:r>
        <w:rPr>
          <w:rFonts w:hint="eastAsia" w:cs="Times New Roman"/>
          <w:color w:val="auto"/>
          <w:highlight w:val="none"/>
          <w:lang w:val="en-US" w:eastAsia="zh-CN"/>
        </w:rPr>
        <w:t>平台化管理</w:t>
      </w:r>
      <w:r>
        <w:rPr>
          <w:rFonts w:hint="eastAsia" w:ascii="Times New Roman" w:hAnsi="Times New Roman" w:cs="Times New Roman"/>
          <w:color w:val="auto"/>
          <w:highlight w:val="none"/>
          <w:lang w:val="en-US" w:eastAsia="zh-CN"/>
        </w:rPr>
        <w:t>；实现数据资产登记、维护、查询和使用的全流程</w:t>
      </w:r>
      <w:r>
        <w:rPr>
          <w:rFonts w:hint="eastAsia" w:cs="Times New Roman"/>
          <w:color w:val="auto"/>
          <w:highlight w:val="none"/>
          <w:lang w:val="en-US" w:eastAsia="zh-CN"/>
        </w:rPr>
        <w:t>平台化</w:t>
      </w:r>
      <w:r>
        <w:rPr>
          <w:rFonts w:hint="eastAsia" w:ascii="Times New Roman" w:hAnsi="Times New Roman" w:cs="Times New Roman"/>
          <w:color w:val="auto"/>
          <w:highlight w:val="none"/>
          <w:lang w:val="en-US" w:eastAsia="zh-CN"/>
        </w:rPr>
        <w:t>管理；</w:t>
      </w:r>
      <w:r>
        <w:rPr>
          <w:rFonts w:hint="eastAsia" w:cs="Times New Roman"/>
          <w:color w:val="auto"/>
          <w:highlight w:val="none"/>
          <w:lang w:val="en-US" w:eastAsia="zh-CN"/>
        </w:rPr>
        <w:t>建立</w:t>
      </w:r>
      <w:r>
        <w:rPr>
          <w:rFonts w:hint="eastAsia" w:ascii="Times New Roman" w:hAnsi="Times New Roman" w:cs="Times New Roman"/>
          <w:color w:val="auto"/>
          <w:highlight w:val="none"/>
          <w:lang w:val="en-US" w:eastAsia="zh-CN"/>
        </w:rPr>
        <w:t>数</w:t>
      </w:r>
      <w:bookmarkStart w:id="26" w:name="_GoBack"/>
      <w:bookmarkEnd w:id="26"/>
      <w:r>
        <w:rPr>
          <w:rFonts w:hint="eastAsia" w:ascii="Times New Roman" w:hAnsi="Times New Roman" w:cs="Times New Roman"/>
          <w:color w:val="auto"/>
          <w:highlight w:val="none"/>
          <w:lang w:val="en-US" w:eastAsia="zh-CN"/>
        </w:rPr>
        <w:t>据门户，实现</w:t>
      </w:r>
      <w:r>
        <w:rPr>
          <w:rFonts w:hint="eastAsia" w:cs="Times New Roman"/>
          <w:color w:val="auto"/>
          <w:highlight w:val="none"/>
          <w:lang w:val="en-US" w:eastAsia="zh-CN"/>
        </w:rPr>
        <w:t>业务用户、技术用户、管理用户</w:t>
      </w:r>
      <w:r>
        <w:rPr>
          <w:rFonts w:hint="eastAsia" w:ascii="Times New Roman" w:hAnsi="Times New Roman" w:cs="Times New Roman"/>
          <w:color w:val="auto"/>
          <w:highlight w:val="none"/>
          <w:lang w:val="en-US" w:eastAsia="zh-CN"/>
        </w:rPr>
        <w:t>一站式找数、用数、管数。</w:t>
      </w:r>
      <w:r>
        <w:rPr>
          <w:rFonts w:hint="eastAsia"/>
          <w:color w:val="auto"/>
          <w:highlight w:val="none"/>
        </w:rPr>
        <w:t>现对</w:t>
      </w:r>
      <w:r>
        <w:rPr>
          <w:rFonts w:hint="eastAsia"/>
          <w:color w:val="auto"/>
          <w:highlight w:val="none"/>
          <w:u w:val="single"/>
        </w:rPr>
        <w:t>重庆三峡银行</w:t>
      </w:r>
      <w:r>
        <w:rPr>
          <w:rFonts w:hint="eastAsia" w:ascii="Times New Roman" w:eastAsia="宋体"/>
          <w:color w:val="auto"/>
          <w:highlight w:val="none"/>
          <w:u w:val="single"/>
          <w:lang w:val="en-US" w:eastAsia="zh-CN"/>
        </w:rPr>
        <w:t>数据资产平台建设</w:t>
      </w:r>
      <w:r>
        <w:rPr>
          <w:rFonts w:hint="eastAsia"/>
          <w:color w:val="auto"/>
          <w:highlight w:val="none"/>
          <w:u w:val="single"/>
        </w:rPr>
        <w:t>项目</w:t>
      </w:r>
      <w:r>
        <w:rPr>
          <w:rFonts w:hint="eastAsia"/>
          <w:color w:val="auto"/>
          <w:highlight w:val="none"/>
        </w:rPr>
        <w:t>进行公开询比，</w:t>
      </w:r>
      <w:r>
        <w:rPr>
          <w:color w:val="auto"/>
          <w:highlight w:val="none"/>
        </w:rPr>
        <w:t>特邀请有</w:t>
      </w:r>
      <w:bookmarkStart w:id="6" w:name="_Hlk59455120"/>
      <w:r>
        <w:rPr>
          <w:color w:val="auto"/>
          <w:highlight w:val="none"/>
        </w:rPr>
        <w:t>意向</w:t>
      </w:r>
      <w:bookmarkEnd w:id="6"/>
      <w:r>
        <w:rPr>
          <w:color w:val="auto"/>
          <w:highlight w:val="none"/>
        </w:rPr>
        <w:t>的潜在</w:t>
      </w:r>
      <w:r>
        <w:rPr>
          <w:rFonts w:hint="eastAsia"/>
          <w:color w:val="auto"/>
          <w:highlight w:val="none"/>
        </w:rPr>
        <w:t>响应人参与响应</w:t>
      </w:r>
      <w:r>
        <w:rPr>
          <w:color w:val="auto"/>
          <w:highlight w:val="none"/>
        </w:rPr>
        <w:t>。</w:t>
      </w:r>
    </w:p>
    <w:p w14:paraId="0263A944">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1. 询比项目内容</w:t>
      </w:r>
      <w:bookmarkEnd w:id="0"/>
      <w:bookmarkEnd w:id="1"/>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28"/>
        <w:gridCol w:w="1646"/>
        <w:gridCol w:w="2123"/>
        <w:gridCol w:w="1015"/>
      </w:tblGrid>
      <w:tr w14:paraId="7857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044ADC8">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序号</w:t>
            </w:r>
          </w:p>
        </w:tc>
        <w:tc>
          <w:tcPr>
            <w:tcW w:w="2928" w:type="dxa"/>
            <w:vAlign w:val="center"/>
          </w:tcPr>
          <w:p w14:paraId="062E44FD">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项目名称</w:t>
            </w:r>
          </w:p>
        </w:tc>
        <w:tc>
          <w:tcPr>
            <w:tcW w:w="1646" w:type="dxa"/>
            <w:vAlign w:val="center"/>
          </w:tcPr>
          <w:p w14:paraId="515D08CC">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最高限价</w:t>
            </w:r>
          </w:p>
        </w:tc>
        <w:tc>
          <w:tcPr>
            <w:tcW w:w="2123" w:type="dxa"/>
            <w:vAlign w:val="center"/>
          </w:tcPr>
          <w:p w14:paraId="57392D58">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成交供应商数量</w:t>
            </w:r>
          </w:p>
        </w:tc>
        <w:tc>
          <w:tcPr>
            <w:tcW w:w="1015" w:type="dxa"/>
            <w:vAlign w:val="center"/>
          </w:tcPr>
          <w:p w14:paraId="7A6EE833">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备注</w:t>
            </w:r>
          </w:p>
        </w:tc>
      </w:tr>
      <w:tr w14:paraId="4930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07" w:type="dxa"/>
            <w:vAlign w:val="center"/>
          </w:tcPr>
          <w:p w14:paraId="100958F1">
            <w:pPr>
              <w:widowControl w:val="0"/>
              <w:autoSpaceDE w:val="0"/>
              <w:autoSpaceDN w:val="0"/>
              <w:spacing w:line="240" w:lineRule="auto"/>
              <w:ind w:firstLine="0" w:firstLineChars="0"/>
              <w:jc w:val="center"/>
              <w:rPr>
                <w:rFonts w:ascii="Times New Roman" w:hAnsi="Times New Roman" w:eastAsia="宋体" w:cs="Cambria Math"/>
                <w:bCs/>
                <w:color w:val="auto"/>
                <w:kern w:val="2"/>
                <w:sz w:val="21"/>
                <w:szCs w:val="18"/>
                <w:highlight w:val="none"/>
                <w:lang w:val="en-US" w:eastAsia="zh-CN" w:bidi="ar-SA"/>
              </w:rPr>
            </w:pPr>
            <w:r>
              <w:rPr>
                <w:rFonts w:hint="eastAsia" w:ascii="Times New Roman" w:hAnsi="Times New Roman" w:eastAsia="宋体" w:cs="Cambria Math"/>
                <w:bCs/>
                <w:color w:val="auto"/>
                <w:kern w:val="2"/>
                <w:sz w:val="21"/>
                <w:szCs w:val="18"/>
                <w:highlight w:val="none"/>
                <w:lang w:val="en-US" w:eastAsia="zh-CN" w:bidi="ar-SA"/>
              </w:rPr>
              <w:t>1</w:t>
            </w:r>
          </w:p>
        </w:tc>
        <w:tc>
          <w:tcPr>
            <w:tcW w:w="2928" w:type="dxa"/>
            <w:tcBorders>
              <w:left w:val="single" w:color="auto" w:sz="4" w:space="0"/>
            </w:tcBorders>
            <w:vAlign w:val="center"/>
          </w:tcPr>
          <w:p w14:paraId="6A7F7879">
            <w:pPr>
              <w:widowControl w:val="0"/>
              <w:autoSpaceDE w:val="0"/>
              <w:autoSpaceDN w:val="0"/>
              <w:spacing w:line="240" w:lineRule="auto"/>
              <w:ind w:firstLine="0" w:firstLineChars="0"/>
              <w:jc w:val="center"/>
              <w:rPr>
                <w:rFonts w:ascii="Times New Roman" w:hAnsi="Times New Roman" w:eastAsia="宋体" w:cs="Cambria Math"/>
                <w:bCs/>
                <w:color w:val="auto"/>
                <w:kern w:val="2"/>
                <w:sz w:val="21"/>
                <w:szCs w:val="18"/>
                <w:highlight w:val="none"/>
                <w:lang w:val="en-US" w:eastAsia="zh-CN" w:bidi="ar-SA"/>
              </w:rPr>
            </w:pPr>
            <w:r>
              <w:rPr>
                <w:rFonts w:hint="eastAsia" w:ascii="Times New Roman" w:hAnsi="Times New Roman" w:eastAsia="宋体" w:cs="Cambria Math"/>
                <w:bCs/>
                <w:color w:val="auto"/>
                <w:kern w:val="2"/>
                <w:sz w:val="21"/>
                <w:szCs w:val="18"/>
                <w:highlight w:val="none"/>
                <w:lang w:val="en-US" w:eastAsia="zh-CN" w:bidi="ar-SA"/>
              </w:rPr>
              <w:t>重庆三峡银行数据资产管理平台建设项目</w:t>
            </w:r>
          </w:p>
        </w:tc>
        <w:tc>
          <w:tcPr>
            <w:tcW w:w="1646" w:type="dxa"/>
            <w:tcBorders>
              <w:left w:val="single" w:color="auto" w:sz="4" w:space="0"/>
            </w:tcBorders>
            <w:vAlign w:val="center"/>
          </w:tcPr>
          <w:p w14:paraId="3B6EF80A">
            <w:pPr>
              <w:widowControl w:val="0"/>
              <w:autoSpaceDE w:val="0"/>
              <w:autoSpaceDN w:val="0"/>
              <w:spacing w:line="240" w:lineRule="auto"/>
              <w:ind w:firstLine="0" w:firstLineChars="0"/>
              <w:jc w:val="center"/>
              <w:rPr>
                <w:rFonts w:ascii="Times New Roman" w:hAnsi="Times New Roman" w:eastAsia="宋体" w:cs="Cambria Math"/>
                <w:bCs/>
                <w:color w:val="auto"/>
                <w:kern w:val="2"/>
                <w:sz w:val="21"/>
                <w:szCs w:val="18"/>
                <w:highlight w:val="none"/>
                <w:lang w:val="en-US" w:eastAsia="zh-CN" w:bidi="ar-SA"/>
              </w:rPr>
            </w:pPr>
            <w:r>
              <w:rPr>
                <w:rFonts w:hint="eastAsia" w:ascii="Times New Roman" w:hAnsi="Times New Roman" w:eastAsia="宋体" w:cs="Cambria Math"/>
                <w:bCs/>
                <w:color w:val="auto"/>
                <w:kern w:val="2"/>
                <w:sz w:val="21"/>
                <w:szCs w:val="18"/>
                <w:highlight w:val="none"/>
                <w:lang w:val="en-US" w:eastAsia="zh-CN" w:bidi="ar-SA"/>
              </w:rPr>
              <w:t>2300000元</w:t>
            </w:r>
          </w:p>
        </w:tc>
        <w:tc>
          <w:tcPr>
            <w:tcW w:w="2123" w:type="dxa"/>
            <w:tcBorders>
              <w:left w:val="single" w:color="auto" w:sz="4" w:space="0"/>
            </w:tcBorders>
            <w:vAlign w:val="center"/>
          </w:tcPr>
          <w:p w14:paraId="4C3D5A8D">
            <w:pPr>
              <w:widowControl w:val="0"/>
              <w:autoSpaceDE w:val="0"/>
              <w:autoSpaceDN w:val="0"/>
              <w:spacing w:line="240" w:lineRule="auto"/>
              <w:ind w:firstLine="0" w:firstLineChars="0"/>
              <w:jc w:val="center"/>
              <w:rPr>
                <w:rFonts w:hint="eastAsia" w:ascii="Times New Roman" w:hAnsi="Times New Roman" w:eastAsia="宋体" w:cs="Cambria Math"/>
                <w:bCs/>
                <w:color w:val="auto"/>
                <w:kern w:val="2"/>
                <w:sz w:val="21"/>
                <w:szCs w:val="18"/>
                <w:highlight w:val="none"/>
                <w:lang w:val="en-US" w:eastAsia="zh-CN" w:bidi="ar-SA"/>
              </w:rPr>
            </w:pPr>
            <w:r>
              <w:rPr>
                <w:rFonts w:hint="eastAsia" w:ascii="Times New Roman" w:hAnsi="Times New Roman" w:eastAsia="宋体" w:cs="Cambria Math"/>
                <w:bCs/>
                <w:color w:val="auto"/>
                <w:kern w:val="2"/>
                <w:sz w:val="21"/>
                <w:szCs w:val="18"/>
                <w:highlight w:val="none"/>
                <w:lang w:val="en-US" w:eastAsia="zh-CN" w:bidi="ar-SA"/>
              </w:rPr>
              <w:t>1</w:t>
            </w:r>
          </w:p>
        </w:tc>
        <w:tc>
          <w:tcPr>
            <w:tcW w:w="1015" w:type="dxa"/>
            <w:tcBorders>
              <w:left w:val="single" w:color="auto" w:sz="4" w:space="0"/>
            </w:tcBorders>
            <w:vAlign w:val="center"/>
          </w:tcPr>
          <w:p w14:paraId="4B63B294">
            <w:pPr>
              <w:widowControl w:val="0"/>
              <w:autoSpaceDE w:val="0"/>
              <w:autoSpaceDN w:val="0"/>
              <w:spacing w:line="240" w:lineRule="auto"/>
              <w:ind w:firstLine="0" w:firstLineChars="0"/>
              <w:jc w:val="center"/>
              <w:rPr>
                <w:rFonts w:ascii="Times New Roman" w:hAnsi="Times New Roman" w:eastAsia="宋体" w:cs="Cambria Math"/>
                <w:bCs/>
                <w:color w:val="auto"/>
                <w:kern w:val="2"/>
                <w:sz w:val="21"/>
                <w:szCs w:val="18"/>
                <w:highlight w:val="none"/>
                <w:lang w:val="en-US" w:eastAsia="zh-CN" w:bidi="ar-SA"/>
              </w:rPr>
            </w:pPr>
            <w:r>
              <w:rPr>
                <w:rFonts w:hint="eastAsia" w:ascii="Times New Roman" w:hAnsi="Times New Roman" w:eastAsia="宋体" w:cs="Cambria Math"/>
                <w:bCs/>
                <w:color w:val="auto"/>
                <w:kern w:val="2"/>
                <w:sz w:val="21"/>
                <w:szCs w:val="18"/>
                <w:highlight w:val="none"/>
                <w:lang w:val="en-US" w:eastAsia="zh-CN" w:bidi="ar-SA"/>
              </w:rPr>
              <w:t>含税</w:t>
            </w:r>
          </w:p>
        </w:tc>
      </w:tr>
    </w:tbl>
    <w:p w14:paraId="24755CCE">
      <w:pPr>
        <w:widowControl w:val="0"/>
        <w:autoSpaceDE w:val="0"/>
        <w:autoSpaceDN w:val="0"/>
        <w:spacing w:line="600" w:lineRule="exact"/>
        <w:ind w:firstLine="0" w:firstLineChars="0"/>
        <w:jc w:val="both"/>
        <w:outlineLvl w:val="1"/>
        <w:rPr>
          <w:rFonts w:hint="eastAsia" w:ascii="Times New Roman" w:hAnsi="Times New Roman" w:eastAsia="宋体" w:cs="Times New Roman"/>
          <w:b/>
          <w:bCs/>
          <w:snapToGrid w:val="0"/>
          <w:color w:val="auto"/>
          <w:kern w:val="2"/>
          <w:sz w:val="21"/>
          <w:szCs w:val="24"/>
          <w:highlight w:val="none"/>
          <w:lang w:val="en-US" w:eastAsia="zh-CN" w:bidi="ar-SA"/>
        </w:rPr>
      </w:pPr>
      <w:bookmarkStart w:id="7" w:name="_Toc288224935"/>
      <w:bookmarkStart w:id="8" w:name="_Toc55379219"/>
      <w:bookmarkStart w:id="9" w:name="_Toc297817088"/>
      <w:bookmarkStart w:id="10" w:name="_Toc469574664"/>
      <w:bookmarkStart w:id="11" w:name="_Toc89675128"/>
      <w:r>
        <w:rPr>
          <w:rFonts w:hint="eastAsia" w:ascii="Times New Roman" w:hAnsi="Times New Roman" w:eastAsia="宋体" w:cs="Times New Roman"/>
          <w:b/>
          <w:bCs/>
          <w:snapToGrid w:val="0"/>
          <w:color w:val="auto"/>
          <w:kern w:val="2"/>
          <w:sz w:val="21"/>
          <w:szCs w:val="24"/>
          <w:highlight w:val="none"/>
          <w:lang w:val="en-US" w:eastAsia="zh-CN" w:bidi="ar-SA"/>
        </w:rPr>
        <w:t>2. 响应人资格要求</w:t>
      </w:r>
      <w:bookmarkEnd w:id="7"/>
      <w:bookmarkEnd w:id="8"/>
      <w:bookmarkEnd w:id="9"/>
      <w:bookmarkEnd w:id="10"/>
      <w:bookmarkEnd w:id="11"/>
    </w:p>
    <w:p w14:paraId="694D34F3">
      <w:pPr>
        <w:rPr>
          <w:color w:val="auto"/>
          <w:highlight w:val="none"/>
        </w:rPr>
      </w:pPr>
      <w:bookmarkStart w:id="12" w:name="_Hlk55488870"/>
      <w:r>
        <w:rPr>
          <w:rFonts w:hint="eastAsia"/>
          <w:color w:val="auto"/>
          <w:highlight w:val="none"/>
        </w:rPr>
        <w:t>2.1 具有独立承担民事责任的能力</w:t>
      </w:r>
    </w:p>
    <w:p w14:paraId="25C03227">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0EC8B42B">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8ED3A61">
      <w:pPr>
        <w:rPr>
          <w:color w:val="auto"/>
          <w:highlight w:val="none"/>
        </w:rPr>
      </w:pPr>
      <w:r>
        <w:rPr>
          <w:rFonts w:hint="eastAsia"/>
          <w:color w:val="auto"/>
          <w:highlight w:val="none"/>
        </w:rPr>
        <w:t>2.3 本项目不允许任何形式的转包【提供书面声明】</w:t>
      </w:r>
    </w:p>
    <w:p w14:paraId="46334411">
      <w:pPr>
        <w:rPr>
          <w:color w:val="auto"/>
          <w:highlight w:val="none"/>
        </w:rPr>
      </w:pPr>
      <w:r>
        <w:rPr>
          <w:rFonts w:hint="eastAsia"/>
          <w:color w:val="auto"/>
          <w:highlight w:val="none"/>
        </w:rPr>
        <w:t>2.4 法人及法定代表人没有被人民法院列为失信被执行人名单（中国执行信息公开网网址：https://zxgk.court.gov.cn/）【提供：1、法人在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70E98AD5">
      <w:pPr>
        <w:rPr>
          <w:rFonts w:hint="eastAsia"/>
          <w:color w:val="auto"/>
          <w:highlight w:val="none"/>
        </w:rPr>
      </w:pPr>
      <w:r>
        <w:rPr>
          <w:rFonts w:hint="eastAsia"/>
          <w:color w:val="auto"/>
          <w:highlight w:val="none"/>
        </w:rPr>
        <w:t>2.5 本次询比不接受联合体响应。</w:t>
      </w:r>
    </w:p>
    <w:p w14:paraId="3DA5FA09">
      <w:pPr>
        <w:rPr>
          <w:rFonts w:hint="eastAsia"/>
          <w:color w:val="auto"/>
          <w:highlight w:val="none"/>
        </w:rPr>
      </w:pPr>
      <w:r>
        <w:rPr>
          <w:rFonts w:hint="eastAsia"/>
          <w:color w:val="auto"/>
          <w:highlight w:val="none"/>
        </w:rPr>
        <w:t>2.6 业绩案例</w:t>
      </w:r>
    </w:p>
    <w:p w14:paraId="3B10CAAD">
      <w:pPr>
        <w:autoSpaceDE/>
        <w:autoSpaceDN/>
        <w:ind w:left="0" w:firstLine="420" w:firstLineChars="0"/>
        <w:rPr>
          <w:color w:val="auto"/>
          <w:highlight w:val="none"/>
          <w:lang w:val="en-US" w:eastAsia="zh-CN"/>
        </w:rPr>
      </w:pPr>
      <w:r>
        <w:rPr>
          <w:rFonts w:hint="eastAsia" w:ascii="Times New Roman" w:eastAsia="宋体"/>
          <w:color w:val="auto"/>
          <w:highlight w:val="none"/>
          <w:lang w:val="en-US" w:eastAsia="zh-CN"/>
        </w:rPr>
        <w:t>2.6.1响应人需同时具备银行业数据治理平台（</w:t>
      </w:r>
      <w:r>
        <w:rPr>
          <w:rFonts w:hint="eastAsia" w:ascii="Times New Roman" w:hAnsi="Times New Roman"/>
          <w:color w:val="auto"/>
          <w:highlight w:val="none"/>
          <w:lang w:val="en-US" w:eastAsia="zh-CN"/>
        </w:rPr>
        <w:t>数据管控</w:t>
      </w:r>
      <w:r>
        <w:rPr>
          <w:rFonts w:hint="eastAsia" w:ascii="Times New Roman" w:eastAsia="宋体"/>
          <w:color w:val="auto"/>
          <w:highlight w:val="none"/>
          <w:lang w:val="en-US" w:eastAsia="zh-CN"/>
        </w:rPr>
        <w:t>平台）、数据资产管理平台和数据安全分类分级实施案例（各种案列至少1个），且有效案例数合计不少于5个（含）。具体要求如下：</w:t>
      </w:r>
    </w:p>
    <w:p w14:paraId="5CFFA3F5">
      <w:pPr>
        <w:ind w:left="0" w:firstLine="420" w:firstLineChars="0"/>
        <w:rPr>
          <w:rFonts w:hint="eastAsia"/>
          <w:color w:val="auto"/>
          <w:highlight w:val="none"/>
          <w:lang w:val="en-US" w:eastAsia="zh-CN"/>
        </w:rPr>
      </w:pPr>
      <w:r>
        <w:rPr>
          <w:rFonts w:hint="eastAsia" w:ascii="Times New Roman" w:eastAsia="宋体"/>
          <w:color w:val="auto"/>
          <w:highlight w:val="none"/>
          <w:lang w:val="en-US" w:eastAsia="zh-CN"/>
        </w:rPr>
        <w:t>（1）</w:t>
      </w:r>
      <w:r>
        <w:rPr>
          <w:rFonts w:hint="eastAsia" w:ascii="Times New Roman" w:hAnsi="Times New Roman"/>
          <w:color w:val="auto"/>
          <w:highlight w:val="none"/>
          <w:lang w:val="en-US" w:eastAsia="zh-CN"/>
        </w:rPr>
        <w:t>202</w:t>
      </w:r>
      <w:r>
        <w:rPr>
          <w:rFonts w:hint="eastAsia" w:ascii="Times New Roman" w:eastAsia="宋体"/>
          <w:color w:val="auto"/>
          <w:highlight w:val="none"/>
          <w:lang w:val="en-US" w:eastAsia="zh-CN"/>
        </w:rPr>
        <w:t>3</w:t>
      </w:r>
      <w:r>
        <w:rPr>
          <w:rFonts w:hint="eastAsia" w:ascii="Times New Roman" w:hAnsi="Times New Roman"/>
          <w:color w:val="auto"/>
          <w:highlight w:val="none"/>
          <w:lang w:val="en-US" w:eastAsia="zh-CN"/>
        </w:rPr>
        <w:t>年1月1日至</w:t>
      </w:r>
      <w:r>
        <w:rPr>
          <w:rFonts w:hint="eastAsia" w:ascii="Times New Roman" w:eastAsia="宋体"/>
          <w:color w:val="auto"/>
          <w:highlight w:val="none"/>
          <w:lang w:val="en-US" w:eastAsia="zh-CN"/>
        </w:rPr>
        <w:t>响应截止日</w:t>
      </w:r>
      <w:r>
        <w:rPr>
          <w:rFonts w:hint="eastAsia" w:ascii="Times New Roman" w:hAnsi="Times New Roman"/>
          <w:color w:val="auto"/>
          <w:highlight w:val="none"/>
          <w:lang w:val="en-US" w:eastAsia="zh-CN"/>
        </w:rPr>
        <w:t>（以合同签订时间为准）</w:t>
      </w:r>
      <w:r>
        <w:rPr>
          <w:rFonts w:hint="eastAsia" w:ascii="Times New Roman" w:eastAsia="宋体"/>
          <w:color w:val="auto"/>
          <w:highlight w:val="none"/>
          <w:lang w:val="en-US" w:eastAsia="zh-CN"/>
        </w:rPr>
        <w:t>，</w:t>
      </w:r>
      <w:r>
        <w:rPr>
          <w:rFonts w:hint="eastAsia" w:ascii="Times New Roman" w:hAnsi="Times New Roman"/>
          <w:color w:val="auto"/>
          <w:highlight w:val="none"/>
          <w:lang w:val="en-US" w:eastAsia="zh-CN"/>
        </w:rPr>
        <w:t>具有银行业数据治理</w:t>
      </w:r>
      <w:r>
        <w:rPr>
          <w:rFonts w:hint="eastAsia" w:ascii="Times New Roman" w:eastAsia="宋体"/>
          <w:color w:val="auto"/>
          <w:highlight w:val="none"/>
          <w:lang w:val="en-US" w:eastAsia="zh-CN"/>
        </w:rPr>
        <w:t>平台</w:t>
      </w:r>
      <w:r>
        <w:rPr>
          <w:rFonts w:hint="eastAsia" w:ascii="Times New Roman" w:hAnsi="Times New Roman"/>
          <w:color w:val="auto"/>
          <w:highlight w:val="none"/>
          <w:lang w:val="en-US" w:eastAsia="zh-CN"/>
        </w:rPr>
        <w:t>或数据管控</w:t>
      </w:r>
      <w:r>
        <w:rPr>
          <w:rFonts w:hint="eastAsia" w:ascii="Times New Roman" w:eastAsia="宋体"/>
          <w:color w:val="auto"/>
          <w:highlight w:val="none"/>
          <w:lang w:val="en-US" w:eastAsia="zh-CN"/>
        </w:rPr>
        <w:t>平台</w:t>
      </w:r>
      <w:r>
        <w:rPr>
          <w:rFonts w:hint="eastAsia" w:ascii="Times New Roman" w:hAnsi="Times New Roman"/>
          <w:color w:val="auto"/>
          <w:highlight w:val="none"/>
          <w:lang w:val="en-US" w:eastAsia="zh-CN"/>
        </w:rPr>
        <w:t>实施</w:t>
      </w:r>
      <w:r>
        <w:rPr>
          <w:rFonts w:hint="eastAsia" w:ascii="Times New Roman" w:eastAsia="宋体"/>
          <w:color w:val="auto"/>
          <w:highlight w:val="none"/>
          <w:lang w:val="en-US" w:eastAsia="zh-CN"/>
        </w:rPr>
        <w:t>有效</w:t>
      </w:r>
      <w:r>
        <w:rPr>
          <w:rFonts w:hint="eastAsia" w:ascii="Times New Roman" w:hAnsi="Times New Roman"/>
          <w:color w:val="auto"/>
          <w:highlight w:val="none"/>
          <w:lang w:val="en-US" w:eastAsia="zh-CN"/>
        </w:rPr>
        <w:t>案例</w:t>
      </w:r>
      <w:r>
        <w:rPr>
          <w:rFonts w:hint="eastAsia" w:ascii="Times New Roman" w:eastAsia="宋体"/>
          <w:color w:val="auto"/>
          <w:highlight w:val="none"/>
          <w:lang w:val="en-US" w:eastAsia="zh-CN"/>
        </w:rPr>
        <w:t>（</w:t>
      </w:r>
      <w:r>
        <w:rPr>
          <w:rFonts w:hint="eastAsia" w:ascii="Times New Roman" w:hAnsi="Times New Roman"/>
          <w:color w:val="auto"/>
          <w:highlight w:val="none"/>
          <w:lang w:val="en-US" w:eastAsia="zh-CN"/>
        </w:rPr>
        <w:t>合同</w:t>
      </w:r>
      <w:r>
        <w:rPr>
          <w:rFonts w:hint="eastAsia" w:ascii="Times New Roman" w:eastAsia="宋体"/>
          <w:color w:val="auto"/>
          <w:highlight w:val="none"/>
          <w:lang w:val="en-US" w:eastAsia="zh-CN"/>
        </w:rPr>
        <w:t>项目</w:t>
      </w:r>
      <w:r>
        <w:rPr>
          <w:rFonts w:hint="eastAsia" w:ascii="Times New Roman" w:hAnsi="Times New Roman"/>
          <w:color w:val="auto"/>
          <w:highlight w:val="none"/>
          <w:lang w:val="en-US" w:eastAsia="zh-CN"/>
        </w:rPr>
        <w:t>名称包含数据治理平台、数据管控平台关键字</w:t>
      </w:r>
      <w:r>
        <w:rPr>
          <w:rFonts w:hint="eastAsia" w:ascii="Times New Roman" w:eastAsia="宋体"/>
          <w:color w:val="auto"/>
          <w:highlight w:val="none"/>
          <w:lang w:val="en-US" w:eastAsia="zh-CN"/>
        </w:rPr>
        <w:t>之一</w:t>
      </w:r>
      <w:r>
        <w:rPr>
          <w:rFonts w:hint="eastAsia" w:ascii="Times New Roman" w:eastAsia="宋体"/>
          <w:b w:val="0"/>
          <w:bCs w:val="0"/>
          <w:color w:val="auto"/>
          <w:highlight w:val="none"/>
          <w:lang w:val="en-US" w:eastAsia="zh-CN"/>
        </w:rPr>
        <w:t>或服务范围</w:t>
      </w:r>
      <w:r>
        <w:rPr>
          <w:rFonts w:hint="eastAsia" w:ascii="Times New Roman" w:hAnsi="Times New Roman"/>
          <w:color w:val="auto"/>
          <w:highlight w:val="none"/>
          <w:lang w:val="en-US" w:eastAsia="zh-CN"/>
        </w:rPr>
        <w:t>同时包含元数据、数据质量、数据标准三个模块计为1个有效案例</w:t>
      </w:r>
      <w:r>
        <w:rPr>
          <w:rFonts w:hint="eastAsia" w:ascii="Times New Roman" w:eastAsia="宋体"/>
          <w:color w:val="auto"/>
          <w:highlight w:val="none"/>
          <w:lang w:val="en-US" w:eastAsia="zh-CN"/>
        </w:rPr>
        <w:t>）。</w:t>
      </w:r>
    </w:p>
    <w:p w14:paraId="5B56C78B">
      <w:pPr>
        <w:ind w:left="0" w:firstLine="420" w:firstLineChars="0"/>
        <w:rPr>
          <w:rFonts w:hint="eastAsia" w:ascii="Times New Roman" w:hAnsi="Times New Roman"/>
          <w:color w:val="auto"/>
          <w:highlight w:val="none"/>
          <w:lang w:val="en-US" w:eastAsia="zh-CN"/>
        </w:rPr>
      </w:pPr>
      <w:r>
        <w:rPr>
          <w:rFonts w:hint="eastAsia" w:ascii="Times New Roman" w:eastAsia="宋体"/>
          <w:color w:val="auto"/>
          <w:highlight w:val="none"/>
          <w:lang w:val="en-US" w:eastAsia="zh-CN"/>
        </w:rPr>
        <w:t>（2）</w:t>
      </w:r>
      <w:r>
        <w:rPr>
          <w:rFonts w:hint="eastAsia" w:ascii="Times New Roman" w:hAnsi="Times New Roman"/>
          <w:color w:val="auto"/>
          <w:highlight w:val="none"/>
          <w:lang w:val="en-US" w:eastAsia="zh-CN"/>
        </w:rPr>
        <w:t>202</w:t>
      </w:r>
      <w:r>
        <w:rPr>
          <w:rFonts w:hint="eastAsia" w:ascii="Times New Roman" w:eastAsia="宋体"/>
          <w:color w:val="auto"/>
          <w:highlight w:val="none"/>
          <w:lang w:val="en-US" w:eastAsia="zh-CN"/>
        </w:rPr>
        <w:t>3</w:t>
      </w:r>
      <w:r>
        <w:rPr>
          <w:rFonts w:hint="eastAsia" w:ascii="Times New Roman" w:hAnsi="Times New Roman"/>
          <w:color w:val="auto"/>
          <w:highlight w:val="none"/>
          <w:lang w:val="en-US" w:eastAsia="zh-CN"/>
        </w:rPr>
        <w:t>年1月1日至</w:t>
      </w:r>
      <w:r>
        <w:rPr>
          <w:rFonts w:hint="eastAsia" w:ascii="Times New Roman" w:eastAsia="宋体"/>
          <w:color w:val="auto"/>
          <w:highlight w:val="none"/>
          <w:lang w:val="en-US" w:eastAsia="zh-CN"/>
        </w:rPr>
        <w:t>响应截止日</w:t>
      </w:r>
      <w:r>
        <w:rPr>
          <w:rFonts w:hint="eastAsia" w:ascii="Times New Roman" w:hAnsi="Times New Roman"/>
          <w:color w:val="auto"/>
          <w:highlight w:val="none"/>
          <w:lang w:val="en-US" w:eastAsia="zh-CN"/>
        </w:rPr>
        <w:t>（以合同签订时间为准）</w:t>
      </w:r>
      <w:r>
        <w:rPr>
          <w:rFonts w:hint="eastAsia" w:ascii="Times New Roman" w:eastAsia="宋体"/>
          <w:color w:val="auto"/>
          <w:highlight w:val="none"/>
          <w:lang w:val="en-US" w:eastAsia="zh-CN"/>
        </w:rPr>
        <w:t>，具有</w:t>
      </w:r>
      <w:r>
        <w:rPr>
          <w:rFonts w:hint="eastAsia" w:ascii="Times New Roman" w:hAnsi="Times New Roman"/>
          <w:color w:val="auto"/>
          <w:highlight w:val="none"/>
          <w:lang w:val="en-US" w:eastAsia="zh-CN"/>
        </w:rPr>
        <w:t>银行业数据资产管理平台实施</w:t>
      </w:r>
      <w:r>
        <w:rPr>
          <w:rFonts w:hint="eastAsia" w:ascii="Times New Roman" w:eastAsia="宋体"/>
          <w:color w:val="auto"/>
          <w:highlight w:val="none"/>
          <w:lang w:val="en-US" w:eastAsia="zh-CN"/>
        </w:rPr>
        <w:t>有效</w:t>
      </w:r>
      <w:r>
        <w:rPr>
          <w:rFonts w:hint="eastAsia" w:ascii="Times New Roman" w:hAnsi="Times New Roman"/>
          <w:b w:val="0"/>
          <w:bCs w:val="0"/>
          <w:color w:val="auto"/>
          <w:highlight w:val="none"/>
          <w:lang w:val="en-US" w:eastAsia="zh-CN"/>
        </w:rPr>
        <w:t>案例</w:t>
      </w:r>
      <w:r>
        <w:rPr>
          <w:rFonts w:hint="eastAsia" w:ascii="Times New Roman" w:hAnsi="Times New Roman"/>
          <w:color w:val="auto"/>
          <w:highlight w:val="none"/>
          <w:lang w:val="en-US" w:eastAsia="zh-CN"/>
        </w:rPr>
        <w:t>（合同</w:t>
      </w:r>
      <w:r>
        <w:rPr>
          <w:rFonts w:hint="eastAsia" w:ascii="Times New Roman" w:eastAsia="宋体"/>
          <w:color w:val="auto"/>
          <w:highlight w:val="none"/>
          <w:lang w:val="en-US" w:eastAsia="zh-CN"/>
        </w:rPr>
        <w:t>项目</w:t>
      </w:r>
      <w:r>
        <w:rPr>
          <w:rFonts w:hint="eastAsia" w:ascii="Times New Roman" w:hAnsi="Times New Roman"/>
          <w:color w:val="auto"/>
          <w:highlight w:val="none"/>
          <w:lang w:val="en-US" w:eastAsia="zh-CN"/>
        </w:rPr>
        <w:t>名称包含数据资产</w:t>
      </w:r>
      <w:r>
        <w:rPr>
          <w:rFonts w:hint="eastAsia" w:ascii="Times New Roman" w:eastAsia="宋体"/>
          <w:color w:val="auto"/>
          <w:highlight w:val="none"/>
          <w:lang w:val="en-US" w:eastAsia="zh-CN"/>
        </w:rPr>
        <w:t>管理</w:t>
      </w:r>
      <w:r>
        <w:rPr>
          <w:rFonts w:hint="eastAsia" w:ascii="Times New Roman" w:hAnsi="Times New Roman"/>
          <w:color w:val="auto"/>
          <w:highlight w:val="none"/>
          <w:lang w:val="en-US" w:eastAsia="zh-CN"/>
        </w:rPr>
        <w:t>平台</w:t>
      </w:r>
      <w:r>
        <w:rPr>
          <w:rFonts w:hint="eastAsia" w:ascii="Times New Roman" w:eastAsia="宋体"/>
          <w:color w:val="auto"/>
          <w:highlight w:val="none"/>
          <w:lang w:val="en-US" w:eastAsia="zh-CN"/>
        </w:rPr>
        <w:t>、数据资产管理系统</w:t>
      </w:r>
      <w:r>
        <w:rPr>
          <w:rFonts w:hint="eastAsia" w:ascii="Times New Roman" w:hAnsi="Times New Roman"/>
          <w:color w:val="auto"/>
          <w:highlight w:val="none"/>
          <w:lang w:val="en-US" w:eastAsia="zh-CN"/>
        </w:rPr>
        <w:t>关键字</w:t>
      </w:r>
      <w:r>
        <w:rPr>
          <w:rFonts w:hint="eastAsia" w:ascii="Times New Roman" w:eastAsia="宋体"/>
          <w:color w:val="auto"/>
          <w:highlight w:val="none"/>
          <w:lang w:val="en-US" w:eastAsia="zh-CN"/>
        </w:rPr>
        <w:t>之一</w:t>
      </w:r>
      <w:r>
        <w:rPr>
          <w:rFonts w:hint="eastAsia" w:ascii="Times New Roman" w:eastAsia="宋体"/>
          <w:b w:val="0"/>
          <w:bCs w:val="0"/>
          <w:color w:val="auto"/>
          <w:highlight w:val="none"/>
          <w:lang w:val="en-US" w:eastAsia="zh-CN"/>
        </w:rPr>
        <w:t>或</w:t>
      </w:r>
      <w:r>
        <w:rPr>
          <w:rFonts w:hint="eastAsia" w:ascii="Times New Roman" w:eastAsia="宋体"/>
          <w:color w:val="auto"/>
          <w:highlight w:val="none"/>
          <w:lang w:val="en-US" w:eastAsia="zh-CN"/>
        </w:rPr>
        <w:t>服务范围包含数据资产管理平台、数据资产管理系统</w:t>
      </w:r>
      <w:r>
        <w:rPr>
          <w:rFonts w:hint="eastAsia" w:ascii="Times New Roman" w:hAnsi="Times New Roman"/>
          <w:color w:val="auto"/>
          <w:highlight w:val="none"/>
          <w:lang w:val="en-US" w:eastAsia="zh-CN"/>
        </w:rPr>
        <w:t>关键字</w:t>
      </w:r>
      <w:r>
        <w:rPr>
          <w:rFonts w:hint="eastAsia" w:ascii="Times New Roman" w:eastAsia="宋体"/>
          <w:color w:val="auto"/>
          <w:highlight w:val="none"/>
          <w:lang w:val="en-US" w:eastAsia="zh-CN"/>
        </w:rPr>
        <w:t>之一</w:t>
      </w:r>
      <w:r>
        <w:rPr>
          <w:rFonts w:hint="eastAsia" w:ascii="Times New Roman" w:hAnsi="Times New Roman"/>
          <w:color w:val="auto"/>
          <w:highlight w:val="none"/>
          <w:lang w:val="en-US" w:eastAsia="zh-CN"/>
        </w:rPr>
        <w:t>计为1个有效案例</w:t>
      </w:r>
      <w:r>
        <w:rPr>
          <w:rFonts w:hint="eastAsia" w:ascii="Times New Roman" w:eastAsia="宋体"/>
          <w:color w:val="auto"/>
          <w:highlight w:val="none"/>
          <w:lang w:val="en-US" w:eastAsia="zh-CN"/>
        </w:rPr>
        <w:t>）</w:t>
      </w:r>
      <w:r>
        <w:rPr>
          <w:rFonts w:hint="eastAsia" w:ascii="Times New Roman" w:hAnsi="Times New Roman"/>
          <w:color w:val="auto"/>
          <w:highlight w:val="none"/>
          <w:lang w:val="en-US" w:eastAsia="zh-CN"/>
        </w:rPr>
        <w:t>。</w:t>
      </w:r>
    </w:p>
    <w:p w14:paraId="70CE0408">
      <w:pPr>
        <w:ind w:left="0" w:firstLine="420" w:firstLineChars="0"/>
        <w:rPr>
          <w:rFonts w:hint="eastAsia" w:ascii="Times New Roman" w:hAnsi="Times New Roman"/>
          <w:color w:val="auto"/>
          <w:highlight w:val="none"/>
          <w:lang w:val="en-US" w:eastAsia="zh-CN"/>
        </w:rPr>
      </w:pPr>
      <w:r>
        <w:rPr>
          <w:rFonts w:hint="eastAsia" w:ascii="Times New Roman" w:eastAsia="宋体"/>
          <w:color w:val="auto"/>
          <w:highlight w:val="none"/>
          <w:lang w:val="en-US" w:eastAsia="zh-CN"/>
        </w:rPr>
        <w:t>（3）</w:t>
      </w:r>
      <w:r>
        <w:rPr>
          <w:rFonts w:hint="eastAsia" w:ascii="Times New Roman" w:hAnsi="Times New Roman"/>
          <w:color w:val="auto"/>
          <w:highlight w:val="none"/>
          <w:lang w:val="en-US" w:eastAsia="zh-CN"/>
        </w:rPr>
        <w:t>202</w:t>
      </w:r>
      <w:r>
        <w:rPr>
          <w:rFonts w:hint="eastAsia" w:ascii="Times New Roman" w:eastAsia="宋体"/>
          <w:color w:val="auto"/>
          <w:highlight w:val="none"/>
          <w:lang w:val="en-US" w:eastAsia="zh-CN"/>
        </w:rPr>
        <w:t>3</w:t>
      </w:r>
      <w:r>
        <w:rPr>
          <w:rFonts w:hint="eastAsia" w:ascii="Times New Roman" w:hAnsi="Times New Roman"/>
          <w:color w:val="auto"/>
          <w:highlight w:val="none"/>
          <w:lang w:val="en-US" w:eastAsia="zh-CN"/>
        </w:rPr>
        <w:t>年1月1日至</w:t>
      </w:r>
      <w:r>
        <w:rPr>
          <w:rFonts w:hint="eastAsia" w:ascii="Times New Roman" w:eastAsia="宋体"/>
          <w:color w:val="auto"/>
          <w:highlight w:val="none"/>
          <w:lang w:val="en-US" w:eastAsia="zh-CN"/>
        </w:rPr>
        <w:t>响应截止日</w:t>
      </w:r>
      <w:r>
        <w:rPr>
          <w:rFonts w:hint="eastAsia" w:ascii="Times New Roman" w:hAnsi="Times New Roman"/>
          <w:color w:val="auto"/>
          <w:highlight w:val="none"/>
          <w:lang w:val="en-US" w:eastAsia="zh-CN"/>
        </w:rPr>
        <w:t>（以合同签订时间为准）</w:t>
      </w:r>
      <w:r>
        <w:rPr>
          <w:rFonts w:hint="eastAsia" w:ascii="Times New Roman" w:eastAsia="宋体"/>
          <w:color w:val="auto"/>
          <w:highlight w:val="none"/>
          <w:lang w:val="en-US" w:eastAsia="zh-CN"/>
        </w:rPr>
        <w:t>，具有</w:t>
      </w:r>
      <w:r>
        <w:rPr>
          <w:rFonts w:hint="eastAsia" w:ascii="Times New Roman" w:hAnsi="Times New Roman"/>
          <w:color w:val="auto"/>
          <w:highlight w:val="none"/>
          <w:lang w:val="en-US" w:eastAsia="zh-CN"/>
        </w:rPr>
        <w:t>银行业数据</w:t>
      </w:r>
      <w:r>
        <w:rPr>
          <w:rFonts w:hint="eastAsia" w:ascii="Times New Roman" w:eastAsia="宋体"/>
          <w:color w:val="auto"/>
          <w:highlight w:val="none"/>
          <w:lang w:val="en-US" w:eastAsia="zh-CN"/>
        </w:rPr>
        <w:t>安全分类分级</w:t>
      </w:r>
      <w:r>
        <w:rPr>
          <w:rFonts w:hint="eastAsia" w:ascii="Times New Roman" w:hAnsi="Times New Roman"/>
          <w:color w:val="auto"/>
          <w:highlight w:val="none"/>
          <w:lang w:val="en-US" w:eastAsia="zh-CN"/>
        </w:rPr>
        <w:t>实施</w:t>
      </w:r>
      <w:r>
        <w:rPr>
          <w:rFonts w:hint="eastAsia" w:ascii="Times New Roman" w:eastAsia="宋体"/>
          <w:color w:val="auto"/>
          <w:highlight w:val="none"/>
          <w:lang w:val="en-US" w:eastAsia="zh-CN"/>
        </w:rPr>
        <w:t>案例</w:t>
      </w:r>
      <w:r>
        <w:rPr>
          <w:rFonts w:hint="eastAsia" w:ascii="Times New Roman" w:hAnsi="Times New Roman"/>
          <w:color w:val="auto"/>
          <w:highlight w:val="none"/>
          <w:lang w:val="en-US" w:eastAsia="zh-CN"/>
        </w:rPr>
        <w:t>（合同</w:t>
      </w:r>
      <w:r>
        <w:rPr>
          <w:rFonts w:hint="eastAsia" w:ascii="Times New Roman" w:eastAsia="宋体"/>
          <w:color w:val="auto"/>
          <w:highlight w:val="none"/>
          <w:lang w:val="en-US" w:eastAsia="zh-CN"/>
        </w:rPr>
        <w:t>项目</w:t>
      </w:r>
      <w:r>
        <w:rPr>
          <w:rFonts w:hint="eastAsia" w:ascii="Times New Roman" w:hAnsi="Times New Roman"/>
          <w:color w:val="auto"/>
          <w:highlight w:val="none"/>
          <w:lang w:val="en-US" w:eastAsia="zh-CN"/>
        </w:rPr>
        <w:t>名称包含</w:t>
      </w:r>
      <w:r>
        <w:rPr>
          <w:rFonts w:hint="eastAsia" w:ascii="Times New Roman" w:eastAsia="宋体"/>
          <w:color w:val="auto"/>
          <w:highlight w:val="none"/>
          <w:lang w:val="en-US" w:eastAsia="zh-CN"/>
        </w:rPr>
        <w:t>分类分级</w:t>
      </w:r>
      <w:r>
        <w:rPr>
          <w:rFonts w:hint="eastAsia" w:ascii="Times New Roman" w:eastAsia="宋体"/>
          <w:b w:val="0"/>
          <w:bCs w:val="0"/>
          <w:color w:val="auto"/>
          <w:highlight w:val="none"/>
          <w:lang w:val="en-US" w:eastAsia="zh-CN"/>
        </w:rPr>
        <w:t>或</w:t>
      </w:r>
      <w:r>
        <w:rPr>
          <w:rFonts w:hint="eastAsia" w:ascii="Times New Roman" w:eastAsia="宋体"/>
          <w:color w:val="auto"/>
          <w:highlight w:val="none"/>
          <w:lang w:val="en-US" w:eastAsia="zh-CN"/>
        </w:rPr>
        <w:t>服务范围包含分类分级</w:t>
      </w:r>
      <w:r>
        <w:rPr>
          <w:rFonts w:hint="eastAsia" w:ascii="Times New Roman" w:hAnsi="Times New Roman"/>
          <w:color w:val="auto"/>
          <w:highlight w:val="none"/>
          <w:lang w:val="en-US" w:eastAsia="zh-CN"/>
        </w:rPr>
        <w:t>计为1个有效案例</w:t>
      </w:r>
      <w:r>
        <w:rPr>
          <w:rFonts w:hint="eastAsia" w:ascii="Times New Roman" w:eastAsia="宋体"/>
          <w:color w:val="auto"/>
          <w:highlight w:val="none"/>
          <w:lang w:val="en-US" w:eastAsia="zh-CN"/>
        </w:rPr>
        <w:t>）</w:t>
      </w:r>
      <w:r>
        <w:rPr>
          <w:rFonts w:hint="eastAsia" w:ascii="Times New Roman" w:hAnsi="Times New Roman"/>
          <w:color w:val="auto"/>
          <w:highlight w:val="none"/>
          <w:lang w:val="en-US" w:eastAsia="zh-CN"/>
        </w:rPr>
        <w:t>。</w:t>
      </w:r>
    </w:p>
    <w:p w14:paraId="785D1A2A">
      <w:pPr>
        <w:autoSpaceDE/>
        <w:autoSpaceDN/>
        <w:ind w:left="0" w:firstLine="420" w:firstLineChars="200"/>
        <w:rPr>
          <w:color w:val="auto"/>
          <w:highlight w:val="none"/>
          <w:lang w:val="en-US" w:eastAsia="zh-CN"/>
        </w:rPr>
      </w:pPr>
      <w:r>
        <w:rPr>
          <w:rFonts w:hint="eastAsia" w:cs="Times New Roman"/>
          <w:color w:val="auto"/>
          <w:kern w:val="0"/>
          <w:sz w:val="21"/>
          <w:szCs w:val="21"/>
          <w:highlight w:val="none"/>
          <w:lang w:val="en-US" w:eastAsia="zh-CN"/>
        </w:rPr>
        <w:t>2.6.2</w:t>
      </w:r>
      <w:r>
        <w:rPr>
          <w:rFonts w:hint="eastAsia" w:ascii="Times New Roman" w:hAnsi="Times New Roman" w:cs="Times New Roman"/>
          <w:color w:val="auto"/>
          <w:kern w:val="0"/>
          <w:sz w:val="21"/>
          <w:szCs w:val="21"/>
          <w:highlight w:val="none"/>
          <w:lang w:val="en-US" w:eastAsia="zh-CN"/>
        </w:rPr>
        <w:t>合同类型为维保类合同</w:t>
      </w:r>
      <w:r>
        <w:rPr>
          <w:rFonts w:hint="eastAsia" w:cs="Times New Roman"/>
          <w:color w:val="auto"/>
          <w:kern w:val="0"/>
          <w:sz w:val="21"/>
          <w:szCs w:val="21"/>
          <w:highlight w:val="none"/>
          <w:lang w:val="en-US" w:eastAsia="zh-CN"/>
        </w:rPr>
        <w:t>、人力外包类合同、二期以上升级类合同、纯咨询类合同、分包转包的</w:t>
      </w:r>
      <w:r>
        <w:rPr>
          <w:rFonts w:hint="eastAsia" w:ascii="Times New Roman" w:hAnsi="Times New Roman"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视为无效案例</w:t>
      </w:r>
      <w:r>
        <w:rPr>
          <w:rFonts w:hint="eastAsia" w:ascii="Times New Roman" w:hAnsi="Times New Roman" w:cs="Times New Roman"/>
          <w:color w:val="auto"/>
          <w:kern w:val="0"/>
          <w:sz w:val="21"/>
          <w:szCs w:val="21"/>
          <w:highlight w:val="none"/>
          <w:lang w:val="en-US" w:eastAsia="zh-CN"/>
        </w:rPr>
        <w:t>。</w:t>
      </w:r>
    </w:p>
    <w:p w14:paraId="49838A34">
      <w:pPr>
        <w:autoSpaceDE/>
        <w:autoSpaceDN/>
        <w:ind w:left="0" w:firstLine="420" w:firstLineChars="200"/>
        <w:rPr>
          <w:color w:val="auto"/>
          <w:highlight w:val="none"/>
          <w:lang w:val="en-US" w:eastAsia="zh-CN"/>
        </w:rPr>
      </w:pPr>
      <w:r>
        <w:rPr>
          <w:rFonts w:hint="eastAsia" w:cs="Cambria Math"/>
          <w:color w:val="auto"/>
          <w:kern w:val="2"/>
          <w:sz w:val="21"/>
          <w:highlight w:val="none"/>
          <w:lang w:val="en-US" w:eastAsia="zh-CN" w:bidi="ar-SA"/>
        </w:rPr>
        <w:t>2.6.3</w:t>
      </w:r>
      <w:r>
        <w:rPr>
          <w:rFonts w:hint="eastAsia" w:ascii="Times New Roman" w:hAnsi="Times New Roman" w:cs="Times New Roman"/>
          <w:color w:val="auto"/>
          <w:kern w:val="0"/>
          <w:sz w:val="21"/>
          <w:szCs w:val="21"/>
          <w:highlight w:val="none"/>
          <w:lang w:val="en-US" w:eastAsia="zh-CN"/>
        </w:rPr>
        <w:t>已计入到</w:t>
      </w:r>
      <w:r>
        <w:rPr>
          <w:rFonts w:hint="eastAsia" w:ascii="Times New Roman" w:eastAsia="宋体"/>
          <w:color w:val="auto"/>
          <w:highlight w:val="none"/>
          <w:lang w:val="en-US" w:eastAsia="zh-CN"/>
        </w:rPr>
        <w:t>数据</w:t>
      </w:r>
      <w:r>
        <w:rPr>
          <w:rFonts w:hint="eastAsia" w:ascii="Times New Roman" w:hAnsi="Times New Roman" w:cs="Times New Roman"/>
          <w:color w:val="auto"/>
          <w:kern w:val="0"/>
          <w:sz w:val="21"/>
          <w:szCs w:val="21"/>
          <w:highlight w:val="none"/>
          <w:lang w:val="en-US" w:eastAsia="zh-CN"/>
        </w:rPr>
        <w:t>治理平台</w:t>
      </w:r>
      <w:r>
        <w:rPr>
          <w:rFonts w:hint="eastAsia" w:ascii="Times New Roman" w:eastAsia="宋体"/>
          <w:color w:val="auto"/>
          <w:highlight w:val="none"/>
          <w:lang w:val="en-US" w:eastAsia="zh-CN"/>
        </w:rPr>
        <w:t>（</w:t>
      </w:r>
      <w:r>
        <w:rPr>
          <w:rFonts w:hint="eastAsia" w:ascii="Times New Roman" w:hAnsi="Times New Roman"/>
          <w:color w:val="auto"/>
          <w:highlight w:val="none"/>
          <w:lang w:val="en-US" w:eastAsia="zh-CN"/>
        </w:rPr>
        <w:t>数据管控</w:t>
      </w:r>
      <w:r>
        <w:rPr>
          <w:rFonts w:hint="eastAsia" w:ascii="Times New Roman" w:eastAsia="宋体"/>
          <w:color w:val="auto"/>
          <w:highlight w:val="none"/>
          <w:lang w:val="en-US" w:eastAsia="zh-CN"/>
        </w:rPr>
        <w:t>平台）</w:t>
      </w:r>
      <w:r>
        <w:rPr>
          <w:rFonts w:hint="eastAsia" w:ascii="Times New Roman" w:hAnsi="Times New Roman" w:cs="Times New Roman"/>
          <w:color w:val="auto"/>
          <w:kern w:val="0"/>
          <w:sz w:val="21"/>
          <w:szCs w:val="21"/>
          <w:highlight w:val="none"/>
          <w:lang w:val="en-US" w:eastAsia="zh-CN"/>
        </w:rPr>
        <w:t>的案例，不再计入</w:t>
      </w:r>
      <w:r>
        <w:rPr>
          <w:rFonts w:hint="eastAsia" w:ascii="Times New Roman" w:eastAsia="宋体"/>
          <w:color w:val="auto"/>
          <w:highlight w:val="none"/>
          <w:lang w:val="en-US" w:eastAsia="zh-CN"/>
        </w:rPr>
        <w:t>数据</w:t>
      </w:r>
      <w:r>
        <w:rPr>
          <w:rFonts w:hint="eastAsia" w:ascii="Times New Roman" w:hAnsi="Times New Roman" w:cs="Times New Roman"/>
          <w:color w:val="auto"/>
          <w:kern w:val="0"/>
          <w:sz w:val="21"/>
          <w:szCs w:val="21"/>
          <w:highlight w:val="none"/>
          <w:lang w:val="en-US" w:eastAsia="zh-CN"/>
        </w:rPr>
        <w:t>资产</w:t>
      </w:r>
      <w:r>
        <w:rPr>
          <w:rFonts w:hint="eastAsia" w:ascii="Times New Roman" w:eastAsia="宋体"/>
          <w:color w:val="auto"/>
          <w:highlight w:val="none"/>
          <w:lang w:val="en-US" w:eastAsia="zh-CN"/>
        </w:rPr>
        <w:t>管理</w:t>
      </w:r>
      <w:r>
        <w:rPr>
          <w:rFonts w:hint="eastAsia" w:ascii="Times New Roman" w:hAnsi="Times New Roman" w:cs="Times New Roman"/>
          <w:color w:val="auto"/>
          <w:kern w:val="0"/>
          <w:sz w:val="21"/>
          <w:szCs w:val="21"/>
          <w:highlight w:val="none"/>
          <w:lang w:val="en-US" w:eastAsia="zh-CN"/>
        </w:rPr>
        <w:t>平台案例</w:t>
      </w:r>
      <w:r>
        <w:rPr>
          <w:rFonts w:hint="eastAsia" w:cs="Times New Roman"/>
          <w:color w:val="auto"/>
          <w:kern w:val="0"/>
          <w:sz w:val="21"/>
          <w:szCs w:val="21"/>
          <w:highlight w:val="none"/>
          <w:lang w:val="en-US" w:eastAsia="zh-CN"/>
        </w:rPr>
        <w:t>，已计入到数据资产</w:t>
      </w:r>
      <w:r>
        <w:rPr>
          <w:rFonts w:hint="eastAsia" w:ascii="Times New Roman" w:eastAsia="宋体"/>
          <w:color w:val="auto"/>
          <w:highlight w:val="none"/>
          <w:lang w:val="en-US" w:eastAsia="zh-CN"/>
        </w:rPr>
        <w:t>管理</w:t>
      </w:r>
      <w:r>
        <w:rPr>
          <w:rFonts w:hint="eastAsia" w:cs="Times New Roman"/>
          <w:color w:val="auto"/>
          <w:kern w:val="0"/>
          <w:sz w:val="21"/>
          <w:szCs w:val="21"/>
          <w:highlight w:val="none"/>
          <w:lang w:val="en-US" w:eastAsia="zh-CN"/>
        </w:rPr>
        <w:t>平台的案例，不再计入数据治理平台</w:t>
      </w:r>
      <w:r>
        <w:rPr>
          <w:rFonts w:hint="eastAsia" w:ascii="Times New Roman" w:eastAsia="宋体"/>
          <w:color w:val="auto"/>
          <w:highlight w:val="none"/>
          <w:lang w:val="en-US" w:eastAsia="zh-CN"/>
        </w:rPr>
        <w:t>（</w:t>
      </w:r>
      <w:r>
        <w:rPr>
          <w:rFonts w:hint="eastAsia" w:ascii="Times New Roman" w:hAnsi="Times New Roman"/>
          <w:color w:val="auto"/>
          <w:highlight w:val="none"/>
          <w:lang w:val="en-US" w:eastAsia="zh-CN"/>
        </w:rPr>
        <w:t>数据管控</w:t>
      </w:r>
      <w:r>
        <w:rPr>
          <w:rFonts w:hint="eastAsia" w:ascii="Times New Roman" w:eastAsia="宋体"/>
          <w:color w:val="auto"/>
          <w:highlight w:val="none"/>
          <w:lang w:val="en-US" w:eastAsia="zh-CN"/>
        </w:rPr>
        <w:t>平台）</w:t>
      </w:r>
      <w:r>
        <w:rPr>
          <w:rFonts w:hint="eastAsia" w:cs="Times New Roman"/>
          <w:color w:val="auto"/>
          <w:kern w:val="0"/>
          <w:sz w:val="21"/>
          <w:szCs w:val="21"/>
          <w:highlight w:val="none"/>
          <w:lang w:val="en-US" w:eastAsia="zh-CN"/>
        </w:rPr>
        <w:t>案例</w:t>
      </w:r>
      <w:r>
        <w:rPr>
          <w:rFonts w:hint="eastAsia"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分类分级案例与数据治理平台</w:t>
      </w:r>
      <w:r>
        <w:rPr>
          <w:rFonts w:hint="eastAsia" w:ascii="Times New Roman" w:eastAsia="宋体"/>
          <w:color w:val="auto"/>
          <w:highlight w:val="none"/>
          <w:lang w:val="en-US" w:eastAsia="zh-CN"/>
        </w:rPr>
        <w:t>（</w:t>
      </w:r>
      <w:r>
        <w:rPr>
          <w:rFonts w:hint="eastAsia" w:ascii="Times New Roman" w:hAnsi="Times New Roman"/>
          <w:color w:val="auto"/>
          <w:highlight w:val="none"/>
          <w:lang w:val="en-US" w:eastAsia="zh-CN"/>
        </w:rPr>
        <w:t>数据管控</w:t>
      </w:r>
      <w:r>
        <w:rPr>
          <w:rFonts w:hint="eastAsia" w:ascii="Times New Roman" w:eastAsia="宋体"/>
          <w:color w:val="auto"/>
          <w:highlight w:val="none"/>
          <w:lang w:val="en-US" w:eastAsia="zh-CN"/>
        </w:rPr>
        <w:t>平台）</w:t>
      </w:r>
      <w:r>
        <w:rPr>
          <w:rFonts w:hint="eastAsia" w:cs="Times New Roman"/>
          <w:color w:val="auto"/>
          <w:kern w:val="0"/>
          <w:sz w:val="21"/>
          <w:szCs w:val="21"/>
          <w:highlight w:val="none"/>
          <w:lang w:val="en-US" w:eastAsia="zh-CN"/>
        </w:rPr>
        <w:t>或数据资产管理平台可在同一合同中。</w:t>
      </w:r>
    </w:p>
    <w:p w14:paraId="561F5734">
      <w:pPr>
        <w:rPr>
          <w:rFonts w:hint="eastAsia"/>
          <w:color w:val="auto"/>
          <w:highlight w:val="none"/>
        </w:rPr>
      </w:pPr>
      <w:r>
        <w:rPr>
          <w:rFonts w:hint="eastAsia"/>
          <w:color w:val="auto"/>
          <w:highlight w:val="none"/>
        </w:rPr>
        <w:t>【提供：1、合同关键页（合同关键页</w:t>
      </w:r>
      <w:r>
        <w:rPr>
          <w:color w:val="auto"/>
          <w:highlight w:val="none"/>
        </w:rPr>
        <w:t>包含：甲乙双方名称、双方印章、项目名称、合同签订时间</w:t>
      </w:r>
      <w:r>
        <w:rPr>
          <w:rFonts w:hint="eastAsia"/>
          <w:color w:val="auto"/>
          <w:highlight w:val="none"/>
        </w:rPr>
        <w:t>、服务范围。）；2、项目简介（格式自拟）；3、合同对应的发票之一（网上税务系统查询</w:t>
      </w:r>
      <w:r>
        <w:rPr>
          <w:color w:val="auto"/>
          <w:highlight w:val="none"/>
        </w:rPr>
        <w:t>（https://inv-veri.chinatax.gov.cn/）</w:t>
      </w:r>
      <w:r>
        <w:rPr>
          <w:rFonts w:hint="eastAsia"/>
          <w:color w:val="auto"/>
          <w:highlight w:val="none"/>
        </w:rPr>
        <w:t>该发票的截图，发票开具日期须晚于合同签订日期、发票购买方须与合同买方一致、发票销售方须与合同卖方（响应人）一致）】</w:t>
      </w:r>
    </w:p>
    <w:p w14:paraId="3A32DB3B">
      <w:pPr>
        <w:rPr>
          <w:rFonts w:hint="eastAsia" w:ascii="Times New Roman" w:hAnsi="Times New Roman"/>
          <w:color w:val="auto"/>
          <w:highlight w:val="none"/>
        </w:rPr>
      </w:pPr>
      <w:r>
        <w:rPr>
          <w:rFonts w:hint="eastAsia" w:ascii="Times New Roman" w:hAnsi="Times New Roman"/>
          <w:color w:val="auto"/>
          <w:highlight w:val="none"/>
        </w:rPr>
        <w:t>2.</w:t>
      </w:r>
      <w:r>
        <w:rPr>
          <w:rFonts w:hint="eastAsia" w:ascii="Times New Roman" w:eastAsia="宋体"/>
          <w:color w:val="auto"/>
          <w:highlight w:val="none"/>
          <w:lang w:val="en-US" w:eastAsia="zh-CN"/>
        </w:rPr>
        <w:t>7</w:t>
      </w:r>
      <w:r>
        <w:rPr>
          <w:rFonts w:hint="eastAsia" w:ascii="Times New Roman" w:hAnsi="Times New Roman"/>
          <w:color w:val="auto"/>
          <w:highlight w:val="none"/>
        </w:rPr>
        <w:t xml:space="preserve"> 实施团队要求</w:t>
      </w:r>
    </w:p>
    <w:p w14:paraId="7DF9763F">
      <w:pPr>
        <w:numPr>
          <w:ilvl w:val="0"/>
          <w:numId w:val="1"/>
        </w:numPr>
        <w:ind w:firstLineChars="0"/>
        <w:rPr>
          <w:rFonts w:hint="eastAsia"/>
          <w:color w:val="auto"/>
          <w:highlight w:val="none"/>
          <w:lang w:val="en-US" w:eastAsia="zh-CN"/>
        </w:rPr>
      </w:pPr>
      <w:r>
        <w:rPr>
          <w:rFonts w:hint="eastAsia" w:ascii="Times New Roman" w:eastAsia="宋体"/>
          <w:b/>
          <w:bCs/>
          <w:color w:val="auto"/>
          <w:highlight w:val="none"/>
          <w:lang w:val="en-US" w:eastAsia="zh-CN"/>
        </w:rPr>
        <w:t>项目经理</w:t>
      </w:r>
      <w:r>
        <w:rPr>
          <w:rFonts w:hint="eastAsia" w:ascii="Times New Roman" w:eastAsia="宋体"/>
          <w:color w:val="auto"/>
          <w:highlight w:val="none"/>
          <w:lang w:val="en-US" w:eastAsia="zh-CN"/>
        </w:rPr>
        <w:t>需具备10年（含）以上工作经验；具备3个（含）以上银行业数据治理或数据资产相关项目管理经验。</w:t>
      </w:r>
    </w:p>
    <w:p w14:paraId="228EC227">
      <w:pPr>
        <w:numPr>
          <w:ilvl w:val="0"/>
          <w:numId w:val="1"/>
        </w:numPr>
        <w:ind w:firstLineChars="0"/>
        <w:rPr>
          <w:rFonts w:hint="eastAsia"/>
          <w:color w:val="auto"/>
          <w:highlight w:val="none"/>
          <w:lang w:val="en-US" w:eastAsia="zh-CN"/>
        </w:rPr>
      </w:pPr>
      <w:r>
        <w:rPr>
          <w:rFonts w:hint="eastAsia" w:ascii="Times New Roman" w:eastAsia="宋体"/>
          <w:b/>
          <w:bCs/>
          <w:color w:val="auto"/>
          <w:highlight w:val="none"/>
          <w:lang w:val="en-US" w:eastAsia="zh-CN"/>
        </w:rPr>
        <w:t>咨询顾问</w:t>
      </w:r>
      <w:r>
        <w:rPr>
          <w:rFonts w:hint="eastAsia" w:ascii="Times New Roman" w:eastAsia="宋体"/>
          <w:color w:val="auto"/>
          <w:highlight w:val="none"/>
          <w:lang w:val="en-US" w:eastAsia="zh-CN"/>
        </w:rPr>
        <w:t>需具备10年（含）以上工作经验；具备3个（含）以上银行业数据治理或数据资产项目咨询案例。</w:t>
      </w:r>
    </w:p>
    <w:p w14:paraId="281119BF">
      <w:pPr>
        <w:numPr>
          <w:ilvl w:val="0"/>
          <w:numId w:val="1"/>
        </w:numPr>
        <w:ind w:firstLineChars="0"/>
        <w:rPr>
          <w:rFonts w:hint="eastAsia"/>
          <w:color w:val="auto"/>
          <w:highlight w:val="none"/>
          <w:lang w:val="en-US" w:eastAsia="zh-CN"/>
        </w:rPr>
      </w:pPr>
      <w:r>
        <w:rPr>
          <w:rFonts w:hint="eastAsia" w:ascii="Times New Roman" w:eastAsia="宋体"/>
          <w:b/>
          <w:bCs/>
          <w:color w:val="auto"/>
          <w:highlight w:val="none"/>
          <w:lang w:val="en-US" w:eastAsia="zh-CN"/>
        </w:rPr>
        <w:t>数据治理工程师</w:t>
      </w:r>
      <w:r>
        <w:rPr>
          <w:rFonts w:hint="eastAsia" w:ascii="Times New Roman" w:eastAsia="宋体"/>
          <w:color w:val="auto"/>
          <w:highlight w:val="none"/>
          <w:lang w:val="en-US" w:eastAsia="zh-CN"/>
        </w:rPr>
        <w:t>需具备5年（含）以上工作经验；具备3个（含）以上银行业数据治理或数据资产项目实施案例。</w:t>
      </w:r>
    </w:p>
    <w:p w14:paraId="24368AA1">
      <w:pPr>
        <w:numPr>
          <w:ilvl w:val="0"/>
          <w:numId w:val="1"/>
        </w:numPr>
        <w:ind w:firstLineChars="0"/>
        <w:rPr>
          <w:rFonts w:hint="eastAsia"/>
          <w:color w:val="auto"/>
          <w:highlight w:val="none"/>
          <w:lang w:val="en-US" w:eastAsia="zh-CN"/>
        </w:rPr>
      </w:pPr>
      <w:r>
        <w:rPr>
          <w:rFonts w:hint="eastAsia" w:ascii="Times New Roman" w:eastAsia="宋体"/>
          <w:color w:val="auto"/>
          <w:highlight w:val="none"/>
          <w:lang w:val="en-US" w:eastAsia="zh-CN"/>
        </w:rPr>
        <w:t>其他项目组成员，需至少具备3个（含）以上银行业项目实施经验。</w:t>
      </w:r>
    </w:p>
    <w:p w14:paraId="237DDBE6">
      <w:pPr>
        <w:numPr>
          <w:ilvl w:val="0"/>
          <w:numId w:val="1"/>
        </w:numPr>
        <w:ind w:firstLineChars="0"/>
        <w:rPr>
          <w:rFonts w:hint="eastAsia"/>
          <w:color w:val="auto"/>
          <w:highlight w:val="none"/>
          <w:lang w:val="en-US" w:eastAsia="zh-CN"/>
        </w:rPr>
      </w:pPr>
      <w:r>
        <w:rPr>
          <w:rFonts w:hint="eastAsia" w:ascii="Times New Roman" w:eastAsia="宋体"/>
          <w:color w:val="auto"/>
          <w:highlight w:val="none"/>
          <w:lang w:val="en-US" w:eastAsia="zh-CN"/>
        </w:rPr>
        <w:t>响应材料提供的项目组成员需与项目实施环节人员保持一致。未经采购人同意，不得更换项目组成员。</w:t>
      </w:r>
    </w:p>
    <w:p w14:paraId="6F9B8907">
      <w:pPr>
        <w:rPr>
          <w:rFonts w:hint="eastAsia"/>
          <w:color w:val="auto"/>
          <w:highlight w:val="none"/>
        </w:rPr>
      </w:pPr>
      <w:r>
        <w:rPr>
          <w:rFonts w:hint="eastAsia" w:ascii="Times New Roman" w:hAnsi="Times New Roman"/>
          <w:color w:val="auto"/>
          <w:highlight w:val="none"/>
        </w:rPr>
        <w:t>【提供</w:t>
      </w:r>
      <w:r>
        <w:rPr>
          <w:rFonts w:hint="eastAsia" w:ascii="Times New Roman" w:eastAsia="宋体"/>
          <w:color w:val="auto"/>
          <w:highlight w:val="none"/>
          <w:lang w:val="en-US" w:eastAsia="zh-CN"/>
        </w:rPr>
        <w:t>实施团队</w:t>
      </w:r>
      <w:r>
        <w:rPr>
          <w:color w:val="auto"/>
          <w:highlight w:val="none"/>
          <w:lang w:val="en-US" w:eastAsia="zh-CN"/>
        </w:rPr>
        <w:t>信息</w:t>
      </w:r>
      <w:r>
        <w:rPr>
          <w:rFonts w:hint="eastAsia" w:ascii="Times New Roman" w:eastAsia="宋体"/>
          <w:color w:val="auto"/>
          <w:highlight w:val="none"/>
          <w:lang w:val="en-US" w:eastAsia="zh-CN"/>
        </w:rPr>
        <w:t>，包括</w:t>
      </w:r>
      <w:r>
        <w:rPr>
          <w:rFonts w:hint="eastAsia" w:ascii="Times New Roman" w:hAnsi="Times New Roman"/>
          <w:color w:val="auto"/>
          <w:highlight w:val="none"/>
        </w:rPr>
        <w:t>：1、参与本询比项目的拟供项目组成员名单；2、提供名单中项目组成员简历信息。相关工作及项目经历需提供相应的证明材料，证明材料加盖响应人公章】</w:t>
      </w:r>
    </w:p>
    <w:p w14:paraId="05B5E5F2">
      <w:pPr>
        <w:rPr>
          <w:rFonts w:hint="eastAsia"/>
          <w:color w:val="auto"/>
          <w:highlight w:val="none"/>
          <w:lang w:val="en-US" w:eastAsia="zh-CN"/>
        </w:rPr>
      </w:pPr>
      <w:r>
        <w:rPr>
          <w:rFonts w:hint="eastAsia"/>
          <w:color w:val="auto"/>
          <w:highlight w:val="none"/>
        </w:rPr>
        <w:t>2.</w:t>
      </w:r>
      <w:r>
        <w:rPr>
          <w:rFonts w:hint="eastAsia" w:ascii="Times New Roman" w:eastAsia="宋体"/>
          <w:color w:val="auto"/>
          <w:highlight w:val="none"/>
          <w:lang w:val="en-US" w:eastAsia="zh-CN"/>
        </w:rPr>
        <w:t>8 响应人资质要求</w:t>
      </w:r>
    </w:p>
    <w:p w14:paraId="00E11A28">
      <w:pPr>
        <w:widowControl w:val="0"/>
        <w:autoSpaceDE w:val="0"/>
        <w:autoSpaceDN w:val="0"/>
        <w:spacing w:line="360" w:lineRule="auto"/>
        <w:ind w:firstLine="420" w:firstLineChars="200"/>
        <w:jc w:val="both"/>
        <w:rPr>
          <w:rFonts w:hint="eastAsia" w:ascii="宋体" w:hAnsi="Times New Roman" w:eastAsia="宋体" w:cs="Cambria Math"/>
          <w:color w:val="auto"/>
          <w:spacing w:val="0"/>
          <w:kern w:val="2"/>
          <w:sz w:val="21"/>
          <w:szCs w:val="21"/>
          <w:highlight w:val="none"/>
          <w:lang w:val="en-US" w:eastAsia="zh-CN" w:bidi="ar-SA"/>
        </w:rPr>
      </w:pPr>
      <w:r>
        <w:rPr>
          <w:rFonts w:hint="eastAsia" w:ascii="宋体" w:hAnsi="Times New Roman" w:eastAsia="宋体" w:cs="Cambria Math"/>
          <w:color w:val="auto"/>
          <w:spacing w:val="0"/>
          <w:kern w:val="2"/>
          <w:sz w:val="21"/>
          <w:szCs w:val="21"/>
          <w:highlight w:val="none"/>
          <w:lang w:val="en-US" w:eastAsia="zh-CN" w:bidi="ar-SA"/>
        </w:rPr>
        <w:t>（1）具备产品软件著作权证书；</w:t>
      </w:r>
    </w:p>
    <w:p w14:paraId="6353886B">
      <w:pPr>
        <w:widowControl w:val="0"/>
        <w:autoSpaceDE w:val="0"/>
        <w:autoSpaceDN w:val="0"/>
        <w:spacing w:line="360" w:lineRule="auto"/>
        <w:ind w:firstLine="420" w:firstLineChars="200"/>
        <w:jc w:val="both"/>
        <w:rPr>
          <w:rFonts w:hint="eastAsia" w:ascii="宋体" w:hAnsi="Times New Roman" w:eastAsia="宋体" w:cs="Cambria Math"/>
          <w:color w:val="auto"/>
          <w:spacing w:val="0"/>
          <w:kern w:val="2"/>
          <w:sz w:val="21"/>
          <w:szCs w:val="21"/>
          <w:highlight w:val="none"/>
          <w:lang w:val="en-US" w:eastAsia="zh-CN" w:bidi="ar-SA"/>
        </w:rPr>
      </w:pPr>
      <w:r>
        <w:rPr>
          <w:rFonts w:hint="eastAsia" w:ascii="宋体" w:hAnsi="Times New Roman" w:eastAsia="宋体" w:cs="Cambria Math"/>
          <w:color w:val="auto"/>
          <w:spacing w:val="0"/>
          <w:kern w:val="2"/>
          <w:sz w:val="21"/>
          <w:szCs w:val="21"/>
          <w:highlight w:val="none"/>
          <w:lang w:val="en-US" w:eastAsia="zh-CN" w:bidi="ar-SA"/>
        </w:rPr>
        <w:t>（2）具备软件研发体系CMMI3级及以上级别认证证书；</w:t>
      </w:r>
    </w:p>
    <w:p w14:paraId="4EB276A1">
      <w:pPr>
        <w:widowControl w:val="0"/>
        <w:autoSpaceDE w:val="0"/>
        <w:autoSpaceDN w:val="0"/>
        <w:spacing w:line="360" w:lineRule="auto"/>
        <w:ind w:firstLine="420" w:firstLineChars="200"/>
        <w:jc w:val="both"/>
        <w:rPr>
          <w:rFonts w:hint="eastAsia" w:ascii="宋体" w:hAnsi="Times New Roman" w:eastAsia="宋体" w:cs="Cambria Math"/>
          <w:color w:val="auto"/>
          <w:spacing w:val="0"/>
          <w:kern w:val="2"/>
          <w:sz w:val="21"/>
          <w:szCs w:val="21"/>
          <w:highlight w:val="none"/>
          <w:lang w:val="en-US" w:eastAsia="zh-CN" w:bidi="ar-SA"/>
        </w:rPr>
      </w:pPr>
      <w:r>
        <w:rPr>
          <w:rFonts w:hint="eastAsia" w:ascii="宋体" w:hAnsi="Times New Roman" w:eastAsia="宋体" w:cs="Cambria Math"/>
          <w:color w:val="auto"/>
          <w:spacing w:val="0"/>
          <w:kern w:val="2"/>
          <w:sz w:val="21"/>
          <w:szCs w:val="21"/>
          <w:highlight w:val="none"/>
          <w:lang w:val="en-US" w:eastAsia="zh-CN" w:bidi="ar-SA"/>
        </w:rPr>
        <w:t>（3）具备ISO27001信息安全管理体系认证证书；</w:t>
      </w:r>
    </w:p>
    <w:p w14:paraId="3F254372">
      <w:pPr>
        <w:widowControl w:val="0"/>
        <w:autoSpaceDE w:val="0"/>
        <w:autoSpaceDN w:val="0"/>
        <w:spacing w:line="360" w:lineRule="auto"/>
        <w:ind w:firstLine="420" w:firstLineChars="200"/>
        <w:jc w:val="both"/>
        <w:rPr>
          <w:rFonts w:hint="eastAsia" w:ascii="宋体" w:hAnsi="Times New Roman" w:eastAsia="宋体" w:cs="Cambria Math"/>
          <w:color w:val="auto"/>
          <w:spacing w:val="0"/>
          <w:kern w:val="2"/>
          <w:sz w:val="21"/>
          <w:szCs w:val="21"/>
          <w:highlight w:val="none"/>
          <w:lang w:val="en-US" w:eastAsia="zh-CN" w:bidi="ar-SA"/>
        </w:rPr>
      </w:pPr>
      <w:r>
        <w:rPr>
          <w:rFonts w:hint="eastAsia" w:ascii="宋体" w:hAnsi="Times New Roman" w:eastAsia="宋体" w:cs="Cambria Math"/>
          <w:color w:val="auto"/>
          <w:spacing w:val="0"/>
          <w:kern w:val="2"/>
          <w:sz w:val="21"/>
          <w:szCs w:val="21"/>
          <w:highlight w:val="none"/>
          <w:lang w:val="en-US" w:eastAsia="zh-CN" w:bidi="ar-SA"/>
        </w:rPr>
        <w:t>（4）具备ISO20000信息技术服务体系认证证书。</w:t>
      </w:r>
    </w:p>
    <w:p w14:paraId="7EA33BB5">
      <w:pPr>
        <w:widowControl w:val="0"/>
        <w:autoSpaceDE w:val="0"/>
        <w:autoSpaceDN w:val="0"/>
        <w:spacing w:line="360" w:lineRule="auto"/>
        <w:ind w:firstLine="420" w:firstLineChars="200"/>
        <w:jc w:val="both"/>
        <w:rPr>
          <w:rFonts w:ascii="宋体" w:hAnsi="Times New Roman" w:eastAsia="宋体" w:cs="Cambria Math"/>
          <w:color w:val="auto"/>
          <w:spacing w:val="0"/>
          <w:kern w:val="2"/>
          <w:sz w:val="21"/>
          <w:szCs w:val="21"/>
          <w:highlight w:val="none"/>
          <w:lang w:val="en-US" w:eastAsia="zh-CN" w:bidi="ar-SA"/>
        </w:rPr>
      </w:pPr>
      <w:r>
        <w:rPr>
          <w:rFonts w:hint="eastAsia" w:ascii="宋体" w:hAnsi="Times New Roman" w:eastAsia="宋体" w:cs="Cambria Math"/>
          <w:color w:val="auto"/>
          <w:spacing w:val="0"/>
          <w:kern w:val="2"/>
          <w:sz w:val="21"/>
          <w:szCs w:val="21"/>
          <w:highlight w:val="none"/>
          <w:lang w:val="en-US" w:eastAsia="zh-CN" w:bidi="ar-SA"/>
        </w:rPr>
        <w:t>【提供：相关资质认证证书】</w:t>
      </w:r>
    </w:p>
    <w:p w14:paraId="73695700">
      <w:pPr>
        <w:rPr>
          <w:rFonts w:hint="eastAsia"/>
          <w:color w:val="auto"/>
          <w:highlight w:val="none"/>
        </w:rPr>
      </w:pPr>
      <w:r>
        <w:rPr>
          <w:rFonts w:hint="eastAsia" w:ascii="Times New Roman" w:eastAsia="宋体"/>
          <w:color w:val="auto"/>
          <w:highlight w:val="none"/>
          <w:lang w:val="en-US" w:eastAsia="zh-CN"/>
        </w:rPr>
        <w:t xml:space="preserve">2.9 </w:t>
      </w:r>
      <w:r>
        <w:rPr>
          <w:rFonts w:hint="eastAsia"/>
          <w:color w:val="auto"/>
          <w:highlight w:val="none"/>
        </w:rPr>
        <w:t>响应人近3年财务状况稳定。</w:t>
      </w:r>
      <w:bookmarkStart w:id="13" w:name="_Hlk47356067"/>
      <w:r>
        <w:rPr>
          <w:rFonts w:hint="eastAsia"/>
          <w:color w:val="auto"/>
          <w:highlight w:val="none"/>
        </w:rPr>
        <w:t>提供未使用第三方软件产品确认函</w:t>
      </w:r>
      <w:bookmarkEnd w:id="13"/>
      <w:r>
        <w:rPr>
          <w:rFonts w:hint="eastAsia"/>
          <w:color w:val="auto"/>
          <w:highlight w:val="none"/>
        </w:rPr>
        <w:t>。【提供：1、财务状况提供书面声明；</w:t>
      </w:r>
      <w:r>
        <w:rPr>
          <w:rFonts w:hint="eastAsia" w:ascii="Times New Roman" w:eastAsia="宋体"/>
          <w:color w:val="auto"/>
          <w:highlight w:val="none"/>
          <w:lang w:val="en-US" w:eastAsia="zh-CN"/>
        </w:rPr>
        <w:t>2</w:t>
      </w:r>
      <w:r>
        <w:rPr>
          <w:rFonts w:hint="eastAsia"/>
          <w:color w:val="auto"/>
          <w:highlight w:val="none"/>
        </w:rPr>
        <w:t>、提供未使用第三方软件产品确认函】</w:t>
      </w:r>
    </w:p>
    <w:p w14:paraId="6C199245">
      <w:pPr>
        <w:rPr>
          <w:color w:val="auto"/>
          <w:highlight w:val="none"/>
        </w:rPr>
      </w:pPr>
      <w:r>
        <w:rPr>
          <w:rFonts w:hint="eastAsia"/>
          <w:color w:val="auto"/>
          <w:highlight w:val="none"/>
        </w:rPr>
        <w:t>注</w:t>
      </w:r>
      <w:r>
        <w:rPr>
          <w:rFonts w:hint="eastAsia" w:eastAsia="宋体"/>
          <w:color w:val="auto"/>
          <w:highlight w:val="none"/>
          <w:lang w:eastAsia="zh-CN"/>
        </w:rPr>
        <w:t>：</w:t>
      </w:r>
      <w:r>
        <w:rPr>
          <w:rFonts w:hint="eastAsia"/>
          <w:color w:val="auto"/>
          <w:highlight w:val="none"/>
        </w:rPr>
        <w:t>以上证明文件若采购人存疑，响应人需提供原件备查，响应文件中须附相关证明文件复印件并逐页加盖公章。</w:t>
      </w:r>
    </w:p>
    <w:p w14:paraId="5F3EB528">
      <w:pPr>
        <w:rPr>
          <w:color w:val="auto"/>
          <w:highlight w:val="none"/>
        </w:rPr>
      </w:pPr>
      <w:r>
        <w:rPr>
          <w:rFonts w:hint="eastAsia"/>
          <w:color w:val="auto"/>
          <w:highlight w:val="none"/>
        </w:rPr>
        <w:t>本次询比不接受曾因响应人的违约行为与采购人发生过纠纷的响应人；</w:t>
      </w:r>
      <w:r>
        <w:rPr>
          <w:color w:val="auto"/>
          <w:highlight w:val="none"/>
        </w:rPr>
        <w:t>不接受</w:t>
      </w:r>
      <w:r>
        <w:rPr>
          <w:rFonts w:hint="eastAsia"/>
          <w:color w:val="auto"/>
          <w:highlight w:val="none"/>
        </w:rPr>
        <w:t>与采购人合作过程中不遵守询比文件及合同约定的响应人；</w:t>
      </w:r>
      <w:r>
        <w:rPr>
          <w:color w:val="auto"/>
          <w:highlight w:val="none"/>
        </w:rPr>
        <w:t>不接受</w:t>
      </w:r>
      <w:r>
        <w:rPr>
          <w:rFonts w:hint="eastAsia"/>
          <w:color w:val="auto"/>
          <w:highlight w:val="none"/>
        </w:rPr>
        <w:t>曾在采购人项目</w:t>
      </w:r>
      <w:r>
        <w:rPr>
          <w:color w:val="auto"/>
          <w:highlight w:val="none"/>
        </w:rPr>
        <w:t>中存在</w:t>
      </w:r>
      <w:r>
        <w:rPr>
          <w:rFonts w:hint="eastAsia"/>
          <w:color w:val="auto"/>
          <w:highlight w:val="none"/>
        </w:rPr>
        <w:t>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p>
    <w:bookmarkEnd w:id="12"/>
    <w:p w14:paraId="27703D8E">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4" w:name="_Toc55379220"/>
      <w:bookmarkStart w:id="15" w:name="_Toc469574667"/>
      <w:bookmarkStart w:id="16" w:name="_Toc297817090"/>
      <w:bookmarkStart w:id="17" w:name="_Toc89675130"/>
      <w:r>
        <w:rPr>
          <w:rFonts w:hint="eastAsia" w:ascii="Times New Roman" w:hAnsi="Times New Roman" w:eastAsia="宋体" w:cs="Times New Roman"/>
          <w:b/>
          <w:bCs/>
          <w:snapToGrid w:val="0"/>
          <w:color w:val="auto"/>
          <w:kern w:val="2"/>
          <w:sz w:val="21"/>
          <w:szCs w:val="24"/>
          <w:highlight w:val="none"/>
          <w:lang w:val="en-US" w:eastAsia="zh-CN" w:bidi="ar-SA"/>
        </w:rPr>
        <w:t>3. 询比文件的获取</w:t>
      </w:r>
      <w:bookmarkEnd w:id="14"/>
    </w:p>
    <w:p w14:paraId="47DE23FD">
      <w:pPr>
        <w:rPr>
          <w:color w:val="auto"/>
          <w:highlight w:val="none"/>
        </w:rPr>
      </w:pPr>
      <w:r>
        <w:rPr>
          <w:rFonts w:hint="eastAsia"/>
          <w:color w:val="auto"/>
          <w:highlight w:val="none"/>
        </w:rPr>
        <w:t>3.1 响应截止时间：</w:t>
      </w:r>
      <w:r>
        <w:rPr>
          <w:rFonts w:hint="eastAsia"/>
          <w:highlight w:val="none"/>
          <w:u w:val="single"/>
        </w:rPr>
        <w:t xml:space="preserve"> </w:t>
      </w:r>
      <w:r>
        <w:rPr>
          <w:rFonts w:hint="eastAsia" w:ascii="Times New Roman" w:eastAsia="宋体"/>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ascii="Times New Roman" w:eastAsia="宋体"/>
          <w:highlight w:val="none"/>
          <w:u w:val="single"/>
          <w:lang w:val="en-US" w:eastAsia="zh-CN"/>
        </w:rPr>
        <w:t>09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ascii="Times New Roman" w:eastAsia="宋体"/>
          <w:highlight w:val="none"/>
          <w:u w:val="single"/>
          <w:lang w:val="en-US" w:eastAsia="zh-CN"/>
        </w:rPr>
        <w:t>30</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ascii="Times New Roman" w:eastAsia="宋体"/>
          <w:highlight w:val="none"/>
          <w:u w:val="single"/>
          <w:lang w:val="en-US" w:eastAsia="zh-CN"/>
        </w:rPr>
        <w:t>09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ascii="Times New Roman" w:eastAsia="宋体"/>
          <w:highlight w:val="none"/>
          <w:u w:val="single"/>
          <w:lang w:val="en-US" w:eastAsia="zh-CN"/>
        </w:rPr>
        <w:t>30</w:t>
      </w:r>
      <w:r>
        <w:rPr>
          <w:rFonts w:hint="eastAsia"/>
          <w:highlight w:val="none"/>
          <w:u w:val="single"/>
        </w:rPr>
        <w:t xml:space="preserve"> </w:t>
      </w:r>
      <w:r>
        <w:rPr>
          <w:rFonts w:hint="eastAsia"/>
          <w:highlight w:val="none"/>
        </w:rPr>
        <w:t>分</w:t>
      </w:r>
      <w:r>
        <w:rPr>
          <w:rFonts w:hint="eastAsia"/>
          <w:color w:val="auto"/>
          <w:highlight w:val="none"/>
        </w:rPr>
        <w:t>（北京时间）</w:t>
      </w:r>
    </w:p>
    <w:p w14:paraId="49BE70E1">
      <w:pPr>
        <w:rPr>
          <w:color w:val="auto"/>
          <w:highlight w:val="none"/>
        </w:rPr>
      </w:pPr>
      <w:r>
        <w:rPr>
          <w:rFonts w:hint="eastAsia"/>
          <w:color w:val="auto"/>
          <w:highlight w:val="none"/>
        </w:rPr>
        <w:t>3.2 获取时间和方式：从</w:t>
      </w:r>
      <w:r>
        <w:rPr>
          <w:rFonts w:hint="eastAsia"/>
          <w:highlight w:val="none"/>
          <w:u w:val="single"/>
        </w:rPr>
        <w:t xml:space="preserve"> </w:t>
      </w:r>
      <w:r>
        <w:rPr>
          <w:rFonts w:hint="eastAsia" w:ascii="Times New Roman" w:eastAsia="宋体"/>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ascii="Times New Roman" w:eastAsia="宋体"/>
          <w:highlight w:val="none"/>
          <w:u w:val="single"/>
          <w:lang w:val="en-US" w:eastAsia="zh-CN"/>
        </w:rPr>
        <w:t>09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日</w:t>
      </w:r>
      <w:r>
        <w:rPr>
          <w:rFonts w:hint="eastAsia"/>
          <w:color w:val="auto"/>
          <w:highlight w:val="none"/>
        </w:rPr>
        <w:t>到响应截止时间，在重庆市公共资源交易网（www.cqggzy.com）下载询比文件。</w:t>
      </w:r>
    </w:p>
    <w:p w14:paraId="1413489D">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ascii="Times New Roman" w:eastAsia="宋体"/>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ascii="Times New Roman" w:eastAsia="宋体"/>
          <w:highlight w:val="none"/>
          <w:u w:val="single"/>
          <w:lang w:val="en-US" w:eastAsia="zh-CN"/>
        </w:rPr>
        <w:t>09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ascii="Times New Roman" w:eastAsia="宋体"/>
          <w:highlight w:val="none"/>
          <w:u w:val="single"/>
          <w:lang w:val="en-US" w:eastAsia="zh-CN"/>
        </w:rPr>
        <w:t>15</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ascii="Times New Roman" w:eastAsia="宋体"/>
          <w:highlight w:val="none"/>
          <w:u w:val="single"/>
          <w:lang w:val="en-US" w:eastAsia="zh-CN"/>
        </w:rPr>
        <w:t>17</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ascii="Times New Roman" w:eastAsia="宋体"/>
          <w:highlight w:val="none"/>
          <w:u w:val="single"/>
          <w:lang w:val="en-US" w:eastAsia="zh-CN"/>
        </w:rPr>
        <w:t>00</w:t>
      </w:r>
      <w:r>
        <w:rPr>
          <w:rFonts w:hint="eastAsia"/>
          <w:highlight w:val="none"/>
          <w:u w:val="single"/>
        </w:rPr>
        <w:t xml:space="preserve"> </w:t>
      </w:r>
      <w:r>
        <w:rPr>
          <w:rFonts w:hint="eastAsia"/>
          <w:highlight w:val="none"/>
        </w:rPr>
        <w:t>分</w:t>
      </w:r>
      <w:r>
        <w:rPr>
          <w:rFonts w:hint="eastAsia"/>
          <w:color w:val="auto"/>
          <w:highlight w:val="none"/>
        </w:rPr>
        <w:t>（北京时间）前自行在重庆市公共资源交易网（http://www.cqggzy.com/）询比公告的“我要提问”栏目匿名提出。响应人未提出，则视为响应人已全面确认询比文件内容。</w:t>
      </w:r>
    </w:p>
    <w:p w14:paraId="56C2BC76">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A25E7B2">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8" w:name="_Toc55379221"/>
      <w:r>
        <w:rPr>
          <w:rFonts w:hint="eastAsia" w:ascii="Times New Roman" w:hAnsi="Times New Roman" w:eastAsia="宋体" w:cs="Times New Roman"/>
          <w:b/>
          <w:bCs/>
          <w:snapToGrid w:val="0"/>
          <w:color w:val="auto"/>
          <w:kern w:val="2"/>
          <w:sz w:val="21"/>
          <w:szCs w:val="24"/>
          <w:highlight w:val="none"/>
          <w:lang w:val="en-US" w:eastAsia="zh-CN" w:bidi="ar-SA"/>
        </w:rPr>
        <w:t>4. 响应保证金的递交</w:t>
      </w:r>
      <w:bookmarkEnd w:id="15"/>
      <w:bookmarkEnd w:id="16"/>
      <w:bookmarkEnd w:id="17"/>
      <w:bookmarkEnd w:id="18"/>
    </w:p>
    <w:p w14:paraId="32FA1312">
      <w:pPr>
        <w:rPr>
          <w:color w:val="auto"/>
          <w:highlight w:val="none"/>
        </w:rPr>
      </w:pPr>
      <w:bookmarkStart w:id="19" w:name="_Toc89675131"/>
      <w:bookmarkStart w:id="20" w:name="_Toc55379222"/>
      <w:bookmarkStart w:id="21" w:name="_Toc469574668"/>
      <w:bookmarkStart w:id="22" w:name="_Toc297817091"/>
      <w:r>
        <w:rPr>
          <w:rFonts w:hint="eastAsia"/>
          <w:color w:val="auto"/>
          <w:highlight w:val="none"/>
        </w:rPr>
        <w:t>4.1 响应保证金的金额：</w:t>
      </w:r>
      <w:r>
        <w:rPr>
          <w:rFonts w:hint="eastAsia"/>
          <w:b/>
          <w:bCs/>
          <w:color w:val="auto"/>
          <w:highlight w:val="none"/>
          <w:u w:val="single"/>
        </w:rPr>
        <w:t xml:space="preserve">   </w:t>
      </w:r>
      <w:r>
        <w:rPr>
          <w:rFonts w:hint="eastAsia" w:ascii="Times New Roman" w:hAnsi="Times New Roman"/>
          <w:b/>
          <w:bCs/>
          <w:color w:val="auto"/>
          <w:highlight w:val="none"/>
          <w:u w:val="single"/>
          <w:lang w:val="en-US" w:eastAsia="zh-CN"/>
        </w:rPr>
        <w:t>46000</w:t>
      </w:r>
      <w:r>
        <w:rPr>
          <w:rFonts w:hint="eastAsia" w:ascii="Times New Roman" w:hAnsi="Times New Roman"/>
          <w:b/>
          <w:bCs/>
          <w:color w:val="auto"/>
          <w:highlight w:val="none"/>
          <w:u w:val="single"/>
        </w:rPr>
        <w:t xml:space="preserve"> </w:t>
      </w:r>
      <w:r>
        <w:rPr>
          <w:rFonts w:hint="eastAsia"/>
          <w:b/>
          <w:bCs/>
          <w:color w:val="auto"/>
          <w:highlight w:val="none"/>
          <w:u w:val="single"/>
        </w:rPr>
        <w:t xml:space="preserve">  元整（大写：</w:t>
      </w:r>
      <w:r>
        <w:rPr>
          <w:rFonts w:hint="eastAsia" w:ascii="Times New Roman" w:eastAsia="宋体"/>
          <w:b/>
          <w:bCs/>
          <w:color w:val="auto"/>
          <w:highlight w:val="none"/>
          <w:u w:val="single"/>
          <w:lang w:val="en-US" w:eastAsia="zh-CN"/>
        </w:rPr>
        <w:t>肆万陆仟元整</w:t>
      </w:r>
      <w:r>
        <w:rPr>
          <w:rFonts w:hint="eastAsia"/>
          <w:b/>
          <w:bCs/>
          <w:color w:val="auto"/>
          <w:highlight w:val="none"/>
          <w:u w:val="single"/>
        </w:rPr>
        <w:t>）</w:t>
      </w:r>
      <w:r>
        <w:rPr>
          <w:rFonts w:hint="eastAsia"/>
          <w:color w:val="auto"/>
          <w:highlight w:val="none"/>
        </w:rPr>
        <w:t>。</w:t>
      </w:r>
    </w:p>
    <w:p w14:paraId="2A714FDE">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39535338">
      <w:pPr>
        <w:rPr>
          <w:b/>
          <w:bCs/>
          <w:color w:val="auto"/>
          <w:highlight w:val="none"/>
        </w:rPr>
      </w:pPr>
      <w:r>
        <w:rPr>
          <w:rFonts w:hint="eastAsia"/>
          <w:b/>
          <w:bCs/>
          <w:color w:val="auto"/>
          <w:highlight w:val="none"/>
        </w:rPr>
        <w:t>响应人可在付款凭证备注栏中注明项目简称。可简写成：</w:t>
      </w:r>
      <w:r>
        <w:rPr>
          <w:rFonts w:hint="eastAsia"/>
          <w:b/>
          <w:bCs/>
          <w:color w:val="auto"/>
          <w:highlight w:val="none"/>
          <w:u w:val="single"/>
        </w:rPr>
        <w:t xml:space="preserve"> </w:t>
      </w:r>
      <w:r>
        <w:rPr>
          <w:rFonts w:hint="eastAsia" w:ascii="Times New Roman" w:eastAsia="宋体"/>
          <w:b/>
          <w:bCs/>
          <w:color w:val="auto"/>
          <w:highlight w:val="none"/>
          <w:u w:val="single"/>
          <w:lang w:val="en-US" w:eastAsia="zh-CN"/>
        </w:rPr>
        <w:t>三峡银行数据资产平台</w:t>
      </w:r>
      <w:r>
        <w:rPr>
          <w:rFonts w:hint="eastAsia"/>
          <w:b/>
          <w:bCs/>
          <w:color w:val="auto"/>
          <w:highlight w:val="none"/>
          <w:u w:val="single"/>
        </w:rPr>
        <w:t>项目</w:t>
      </w:r>
      <w:r>
        <w:rPr>
          <w:rFonts w:hint="eastAsia"/>
          <w:b/>
          <w:bCs/>
          <w:color w:val="auto"/>
          <w:highlight w:val="none"/>
        </w:rPr>
        <w:t>。</w:t>
      </w:r>
    </w:p>
    <w:p w14:paraId="548974C0">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14:paraId="793F8160">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14:paraId="60B40FFE">
      <w:pPr>
        <w:rPr>
          <w:color w:val="auto"/>
          <w:highlight w:val="none"/>
        </w:rPr>
      </w:pPr>
      <w:r>
        <w:rPr>
          <w:rFonts w:hint="eastAsia"/>
          <w:color w:val="auto"/>
          <w:highlight w:val="none"/>
        </w:rPr>
        <w:t>详见重庆市公共资源交易网（www.cqggzy.com）对应本项目询比公告信息栏中的保证金信息。</w:t>
      </w:r>
    </w:p>
    <w:p w14:paraId="74F8EE4A">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5. 市场主体信息登记</w:t>
      </w:r>
    </w:p>
    <w:p w14:paraId="12E5FC4A">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30AAAE11">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6. 响应文件的递交</w:t>
      </w:r>
    </w:p>
    <w:p w14:paraId="31E61CA5">
      <w:pPr>
        <w:rPr>
          <w:color w:val="auto"/>
          <w:highlight w:val="none"/>
        </w:rPr>
      </w:pPr>
      <w:bookmarkStart w:id="23" w:name="_Toc55379223"/>
      <w:bookmarkStart w:id="24" w:name="_Toc469574669"/>
      <w:bookmarkStart w:id="25" w:name="_Toc89675132"/>
      <w:r>
        <w:rPr>
          <w:rFonts w:hint="eastAsia"/>
          <w:color w:val="auto"/>
          <w:highlight w:val="none"/>
        </w:rPr>
        <w:t>6.1 响应文件现场递交时间为</w:t>
      </w:r>
      <w:r>
        <w:rPr>
          <w:rFonts w:hint="eastAsia"/>
          <w:highlight w:val="none"/>
          <w:u w:val="single"/>
        </w:rPr>
        <w:t xml:space="preserve"> </w:t>
      </w:r>
      <w:r>
        <w:rPr>
          <w:rFonts w:hint="eastAsia" w:ascii="Times New Roman" w:eastAsia="宋体"/>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ascii="Times New Roman" w:eastAsia="宋体"/>
          <w:highlight w:val="none"/>
          <w:u w:val="single"/>
          <w:lang w:val="en-US" w:eastAsia="zh-CN"/>
        </w:rPr>
        <w:t>09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ascii="Times New Roman" w:eastAsia="宋体"/>
          <w:highlight w:val="none"/>
          <w:u w:val="single"/>
          <w:lang w:val="en-US" w:eastAsia="zh-CN"/>
        </w:rPr>
        <w:t>30</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ascii="Times New Roman" w:eastAsia="宋体"/>
          <w:highlight w:val="none"/>
          <w:u w:val="single"/>
          <w:lang w:val="en-US" w:eastAsia="zh-CN"/>
        </w:rPr>
        <w:t>09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ascii="Times New Roman" w:eastAsia="宋体"/>
          <w:highlight w:val="none"/>
          <w:u w:val="single"/>
          <w:lang w:val="en-US" w:eastAsia="zh-CN"/>
        </w:rPr>
        <w:t>00</w:t>
      </w:r>
      <w:r>
        <w:rPr>
          <w:rFonts w:hint="eastAsia"/>
          <w:highlight w:val="none"/>
          <w:u w:val="single"/>
        </w:rPr>
        <w:t xml:space="preserve"> </w:t>
      </w:r>
      <w:r>
        <w:rPr>
          <w:rFonts w:hint="eastAsia"/>
          <w:highlight w:val="none"/>
        </w:rPr>
        <w:t>分</w:t>
      </w:r>
      <w:r>
        <w:rPr>
          <w:rFonts w:hint="eastAsia"/>
          <w:color w:val="auto"/>
          <w:highlight w:val="none"/>
        </w:rPr>
        <w:t>(北京时间)至响应截止时间。</w:t>
      </w:r>
    </w:p>
    <w:p w14:paraId="2C200E5C">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68E97E54">
      <w:pPr>
        <w:rPr>
          <w:color w:val="auto"/>
          <w:highlight w:val="none"/>
        </w:rPr>
      </w:pPr>
      <w:r>
        <w:rPr>
          <w:rFonts w:hint="eastAsia"/>
          <w:color w:val="auto"/>
          <w:highlight w:val="none"/>
        </w:rPr>
        <w:t>6.3 逾期送达的响应文件，不予接收。</w:t>
      </w:r>
    </w:p>
    <w:p w14:paraId="7F0934D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7. 发布公告的媒介</w:t>
      </w:r>
      <w:bookmarkEnd w:id="23"/>
      <w:bookmarkEnd w:id="24"/>
      <w:bookmarkEnd w:id="25"/>
    </w:p>
    <w:p w14:paraId="41EDEFAD">
      <w:pPr>
        <w:rPr>
          <w:color w:val="auto"/>
          <w:highlight w:val="none"/>
        </w:rPr>
      </w:pPr>
      <w:r>
        <w:rPr>
          <w:rFonts w:hint="eastAsia"/>
          <w:color w:val="auto"/>
          <w:highlight w:val="none"/>
        </w:rPr>
        <w:t>本次询比公告同时在《重庆市公共资源交易网（www.cqggzy.com）》《重庆三峡银行官网（https://www.ccqtgb.com）》和《中国招标投标公共服务平台（http://www.cebpubservice.com）》上发布。</w:t>
      </w:r>
    </w:p>
    <w:p w14:paraId="6F7B4BE3">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8. 联系方式</w:t>
      </w:r>
      <w:bookmarkEnd w:id="2"/>
      <w:bookmarkEnd w:id="3"/>
      <w:bookmarkEnd w:id="4"/>
      <w:bookmarkEnd w:id="5"/>
    </w:p>
    <w:p w14:paraId="74179FE1">
      <w:pPr>
        <w:rPr>
          <w:color w:val="auto"/>
          <w:highlight w:val="none"/>
        </w:rPr>
      </w:pPr>
    </w:p>
    <w:tbl>
      <w:tblPr>
        <w:tblStyle w:val="6"/>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A75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03B6889">
            <w:pPr>
              <w:ind w:firstLine="0" w:firstLineChars="0"/>
              <w:jc w:val="left"/>
              <w:rPr>
                <w:color w:val="auto"/>
                <w:highlight w:val="none"/>
              </w:rPr>
            </w:pPr>
            <w:r>
              <w:rPr>
                <w:rFonts w:hint="eastAsia"/>
                <w:color w:val="auto"/>
                <w:highlight w:val="none"/>
              </w:rPr>
              <w:t>8.1 项目需求咨询</w:t>
            </w:r>
          </w:p>
        </w:tc>
      </w:tr>
      <w:tr w14:paraId="33B6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8D62F03">
            <w:pPr>
              <w:ind w:firstLine="0" w:firstLineChars="0"/>
              <w:jc w:val="left"/>
              <w:rPr>
                <w:rFonts w:eastAsia="宋体" w:cs="宋体"/>
                <w:color w:val="auto"/>
                <w:szCs w:val="21"/>
                <w:highlight w:val="none"/>
                <w:lang w:val="en-US" w:eastAsia="zh-CN"/>
              </w:rPr>
            </w:pPr>
            <w:r>
              <w:rPr>
                <w:rFonts w:hint="eastAsia"/>
                <w:color w:val="auto"/>
                <w:highlight w:val="none"/>
              </w:rPr>
              <w:t>项目联系人：</w:t>
            </w:r>
            <w:r>
              <w:rPr>
                <w:rFonts w:hint="eastAsia" w:ascii="Times New Roman" w:eastAsia="宋体"/>
                <w:color w:val="auto"/>
                <w:highlight w:val="none"/>
                <w:lang w:val="en-US" w:eastAsia="zh-CN"/>
              </w:rPr>
              <w:t>刘</w:t>
            </w:r>
            <w:r>
              <w:rPr>
                <w:color w:val="auto"/>
                <w:highlight w:val="none"/>
                <w:lang w:val="en-US" w:eastAsia="zh-CN"/>
              </w:rPr>
              <w:t>老师</w:t>
            </w:r>
          </w:p>
        </w:tc>
        <w:tc>
          <w:tcPr>
            <w:tcW w:w="4480" w:type="dxa"/>
            <w:tcBorders>
              <w:top w:val="nil"/>
              <w:left w:val="nil"/>
              <w:bottom w:val="nil"/>
              <w:right w:val="single" w:color="auto" w:sz="4" w:space="0"/>
            </w:tcBorders>
          </w:tcPr>
          <w:p w14:paraId="16B0F3FF">
            <w:pPr>
              <w:ind w:firstLine="0" w:firstLineChars="0"/>
              <w:jc w:val="left"/>
              <w:rPr>
                <w:rFonts w:eastAsia="宋体" w:cs="宋体"/>
                <w:color w:val="auto"/>
                <w:szCs w:val="21"/>
                <w:highlight w:val="none"/>
                <w:lang w:val="en-US" w:eastAsia="zh-CN"/>
              </w:rPr>
            </w:pPr>
            <w:r>
              <w:rPr>
                <w:rFonts w:hint="eastAsia"/>
                <w:color w:val="auto"/>
                <w:highlight w:val="none"/>
              </w:rPr>
              <w:t>联系方式：</w:t>
            </w:r>
            <w:r>
              <w:rPr>
                <w:rFonts w:hint="eastAsia" w:ascii="Times New Roman" w:eastAsia="宋体"/>
                <w:color w:val="auto"/>
                <w:highlight w:val="none"/>
                <w:lang w:val="en-US" w:eastAsia="zh-CN"/>
              </w:rPr>
              <w:t>023-88890939</w:t>
            </w:r>
          </w:p>
        </w:tc>
      </w:tr>
      <w:tr w14:paraId="1C9F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84A8EC">
            <w:pPr>
              <w:ind w:firstLine="0" w:firstLineChars="0"/>
              <w:jc w:val="left"/>
              <w:rPr>
                <w:color w:val="auto"/>
                <w:highlight w:val="none"/>
              </w:rPr>
            </w:pPr>
          </w:p>
        </w:tc>
      </w:tr>
      <w:tr w14:paraId="7490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7466036">
            <w:pPr>
              <w:ind w:firstLine="0" w:firstLineChars="0"/>
              <w:jc w:val="left"/>
              <w:rPr>
                <w:color w:val="auto"/>
                <w:highlight w:val="none"/>
              </w:rPr>
            </w:pPr>
            <w:r>
              <w:rPr>
                <w:rFonts w:hint="eastAsia"/>
                <w:color w:val="auto"/>
                <w:highlight w:val="none"/>
              </w:rPr>
              <w:t>8.2 项目流程咨询</w:t>
            </w:r>
          </w:p>
        </w:tc>
      </w:tr>
      <w:tr w14:paraId="1E78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E05D08E">
            <w:pPr>
              <w:ind w:firstLine="0" w:firstLineChars="0"/>
              <w:jc w:val="left"/>
              <w:rPr>
                <w:color w:val="auto"/>
                <w:highlight w:val="none"/>
              </w:rPr>
            </w:pPr>
            <w:r>
              <w:rPr>
                <w:rFonts w:hint="eastAsia"/>
                <w:color w:val="auto"/>
                <w:highlight w:val="none"/>
              </w:rPr>
              <w:t>平台服务机构：重庆联合产权交易所集团股份有限公司</w:t>
            </w:r>
          </w:p>
        </w:tc>
      </w:tr>
      <w:tr w14:paraId="5C4E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1F8D923">
            <w:pPr>
              <w:ind w:firstLine="0" w:firstLineChars="0"/>
              <w:jc w:val="left"/>
              <w:rPr>
                <w:rFonts w:eastAsia="宋体" w:cs="宋体"/>
                <w:color w:val="auto"/>
                <w:szCs w:val="21"/>
                <w:highlight w:val="none"/>
                <w:lang w:val="en-US" w:eastAsia="zh-CN"/>
              </w:rPr>
            </w:pPr>
            <w:r>
              <w:rPr>
                <w:rFonts w:hint="eastAsia"/>
                <w:color w:val="auto"/>
                <w:highlight w:val="none"/>
              </w:rPr>
              <w:t>平台联系人：</w:t>
            </w:r>
            <w:r>
              <w:rPr>
                <w:rFonts w:hint="eastAsia" w:ascii="Times New Roman" w:eastAsia="宋体"/>
                <w:color w:val="auto"/>
                <w:highlight w:val="none"/>
                <w:lang w:val="en-US" w:eastAsia="zh-CN"/>
              </w:rPr>
              <w:t>罗老师</w:t>
            </w:r>
          </w:p>
        </w:tc>
        <w:tc>
          <w:tcPr>
            <w:tcW w:w="4480" w:type="dxa"/>
            <w:tcBorders>
              <w:top w:val="nil"/>
              <w:left w:val="nil"/>
              <w:bottom w:val="nil"/>
              <w:right w:val="single" w:color="auto" w:sz="4" w:space="0"/>
            </w:tcBorders>
          </w:tcPr>
          <w:p w14:paraId="3FE982F0">
            <w:pPr>
              <w:ind w:firstLine="0" w:firstLineChars="0"/>
              <w:jc w:val="left"/>
              <w:rPr>
                <w:rFonts w:cs="宋体"/>
                <w:color w:val="auto"/>
                <w:szCs w:val="21"/>
                <w:highlight w:val="none"/>
              </w:rPr>
            </w:pPr>
            <w:r>
              <w:rPr>
                <w:rFonts w:hint="eastAsia"/>
                <w:color w:val="auto"/>
                <w:highlight w:val="none"/>
              </w:rPr>
              <w:t>联系方式：023-63621694</w:t>
            </w:r>
          </w:p>
        </w:tc>
      </w:tr>
      <w:tr w14:paraId="247F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44EDEDE">
            <w:pPr>
              <w:ind w:firstLine="0" w:firstLineChars="0"/>
              <w:jc w:val="left"/>
              <w:rPr>
                <w:color w:val="auto"/>
                <w:highlight w:val="none"/>
              </w:rPr>
            </w:pPr>
          </w:p>
        </w:tc>
      </w:tr>
      <w:tr w14:paraId="2A53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A807D51">
            <w:pPr>
              <w:ind w:firstLine="0" w:firstLineChars="0"/>
              <w:jc w:val="left"/>
              <w:rPr>
                <w:color w:val="auto"/>
                <w:highlight w:val="none"/>
              </w:rPr>
            </w:pPr>
            <w:r>
              <w:rPr>
                <w:rFonts w:hint="eastAsia"/>
                <w:color w:val="auto"/>
                <w:highlight w:val="none"/>
              </w:rPr>
              <w:t>8.3 采购人联系方式</w:t>
            </w:r>
          </w:p>
        </w:tc>
      </w:tr>
      <w:tr w14:paraId="15FA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C6B7635">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14:paraId="30CEC7FD">
            <w:pPr>
              <w:ind w:firstLine="0" w:firstLineChars="0"/>
              <w:jc w:val="left"/>
              <w:rPr>
                <w:rFonts w:cs="宋体"/>
                <w:color w:val="auto"/>
                <w:szCs w:val="21"/>
                <w:highlight w:val="none"/>
              </w:rPr>
            </w:pPr>
            <w:r>
              <w:rPr>
                <w:rFonts w:hint="eastAsia"/>
                <w:color w:val="auto"/>
                <w:highlight w:val="none"/>
              </w:rPr>
              <w:t>联系方式：023-88890395</w:t>
            </w:r>
          </w:p>
        </w:tc>
      </w:tr>
      <w:tr w14:paraId="36C5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2DE0EA6">
            <w:pPr>
              <w:ind w:firstLine="0" w:firstLineChars="0"/>
              <w:jc w:val="left"/>
              <w:rPr>
                <w:color w:val="auto"/>
                <w:highlight w:val="none"/>
              </w:rPr>
            </w:pPr>
            <w:r>
              <w:rPr>
                <w:rFonts w:hint="eastAsia"/>
                <w:color w:val="auto"/>
                <w:highlight w:val="none"/>
              </w:rPr>
              <w:t>采购人地址：重庆市渝北区嘉州路88号中渝国际都会4号写字楼21层</w:t>
            </w:r>
          </w:p>
        </w:tc>
      </w:tr>
    </w:tbl>
    <w:p w14:paraId="61A401D2">
      <w:pPr>
        <w:rPr>
          <w:color w:val="auto"/>
          <w:highlight w:val="none"/>
        </w:rPr>
      </w:pPr>
    </w:p>
    <w:p w14:paraId="02145204">
      <w:pPr>
        <w:pStyle w:val="2"/>
        <w:rPr>
          <w:rFonts w:hint="default" w:eastAsia="宋体"/>
          <w:color w:val="auto"/>
          <w:highlight w:val="none"/>
          <w:lang w:val="en-US" w:eastAsia="zh-CN"/>
        </w:rPr>
      </w:pPr>
      <w:r>
        <w:rPr>
          <w:rFonts w:hint="eastAsia"/>
          <w:color w:val="auto"/>
          <w:highlight w:val="none"/>
          <w:lang w:val="en-US" w:eastAsia="zh-CN"/>
        </w:rPr>
        <w:t>附件：重庆三峡银行数据资产管理平台建设项目询比文件</w:t>
      </w:r>
    </w:p>
    <w:p w14:paraId="7A1D3456"/>
    <w:p w14:paraId="527150FD">
      <w:pPr>
        <w:spacing w:line="240" w:lineRule="auto"/>
        <w:ind w:firstLine="0" w:firstLineChars="0"/>
        <w:jc w:val="right"/>
        <w:rPr>
          <w:color w:val="auto"/>
          <w:highlight w:val="none"/>
        </w:rPr>
      </w:pPr>
      <w:r>
        <w:rPr>
          <w:rFonts w:hint="eastAsia"/>
          <w:color w:val="auto"/>
          <w:highlight w:val="none"/>
        </w:rPr>
        <w:t>重庆三峡银行股份有限公司</w:t>
      </w:r>
    </w:p>
    <w:p w14:paraId="7F5EA99F">
      <w:pPr>
        <w:jc w:val="right"/>
        <w:rPr>
          <w:highlight w:val="none"/>
        </w:rPr>
      </w:pPr>
      <w:r>
        <w:rPr>
          <w:rFonts w:hint="eastAsia"/>
          <w:highlight w:val="none"/>
        </w:rPr>
        <w:t>202</w:t>
      </w:r>
      <w:r>
        <w:rPr>
          <w:rFonts w:hint="eastAsia" w:ascii="Times New Roman" w:eastAsia="宋体"/>
          <w:highlight w:val="none"/>
          <w:lang w:val="en-US" w:eastAsia="zh-CN"/>
        </w:rPr>
        <w:t>5</w:t>
      </w:r>
      <w:r>
        <w:rPr>
          <w:rFonts w:hint="eastAsia"/>
          <w:highlight w:val="none"/>
        </w:rPr>
        <w:t>年</w:t>
      </w:r>
      <w:r>
        <w:rPr>
          <w:rFonts w:hint="eastAsia" w:ascii="Times New Roman" w:eastAsia="宋体"/>
          <w:highlight w:val="none"/>
          <w:lang w:val="en-US" w:eastAsia="zh-CN"/>
        </w:rPr>
        <w:t>9</w:t>
      </w:r>
      <w:r>
        <w:rPr>
          <w:rFonts w:hint="eastAsia"/>
          <w:highlight w:val="none"/>
        </w:rPr>
        <w:t>月</w:t>
      </w:r>
      <w:r>
        <w:rPr>
          <w:rFonts w:hint="eastAsia" w:ascii="Times New Roman" w:eastAsia="宋体"/>
          <w:highlight w:val="none"/>
          <w:lang w:val="en-US" w:eastAsia="zh-CN"/>
        </w:rPr>
        <w:t>12</w:t>
      </w:r>
      <w:r>
        <w:rPr>
          <w:rFonts w:hint="eastAsia"/>
          <w:highlight w:val="none"/>
        </w:rPr>
        <w:t>日</w:t>
      </w:r>
    </w:p>
    <w:p w14:paraId="48DD385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11A8A"/>
    <w:multiLevelType w:val="singleLevel"/>
    <w:tmpl w:val="D7811A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32C89"/>
    <w:rsid w:val="1DB05B24"/>
    <w:rsid w:val="2F7A76F9"/>
    <w:rsid w:val="6679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4"/>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Plain Text"/>
    <w:basedOn w:val="1"/>
    <w:qFormat/>
    <w:uiPriority w:val="0"/>
    <w:rPr>
      <w:rFonts w:ascii="宋体" w:eastAsia="宋体"/>
      <w:spacing w:val="0"/>
      <w:sz w:val="21"/>
      <w:szCs w:val="21"/>
    </w:rPr>
  </w:style>
  <w:style w:type="paragraph" w:customStyle="1" w:styleId="8">
    <w:name w:val="表格（标题）"/>
    <w:basedOn w:val="1"/>
    <w:qFormat/>
    <w:locked/>
    <w:uiPriority w:val="0"/>
    <w:pPr>
      <w:spacing w:line="240" w:lineRule="auto"/>
      <w:ind w:firstLine="0" w:firstLineChars="0"/>
      <w:jc w:val="center"/>
    </w:pPr>
    <w:rPr>
      <w:b/>
      <w:bCs/>
      <w:szCs w:val="18"/>
    </w:rPr>
  </w:style>
  <w:style w:type="paragraph" w:customStyle="1" w:styleId="9">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3179</Words>
  <Characters>3583</Characters>
  <Lines>0</Lines>
  <Paragraphs>0</Paragraphs>
  <TotalTime>0</TotalTime>
  <ScaleCrop>false</ScaleCrop>
  <LinksUpToDate>false</LinksUpToDate>
  <CharactersWithSpaces>3684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2025-09-10T05:37:00Z</dcterms:created>
  <dc:creator>admin</dc:creator>
  <cp:lastModifiedBy>交易中心-罗</cp:lastModifiedBy>
  <dcterms:modified xsi:type="dcterms:W3CDTF">2025-09-12T08:30:00Z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eyJoZGlkIjoiYTQ5ZmY1ODA0NTUyNTIzOGU4NGRmM2JhYjg3Y2Q0YjMiLCJ1c2VySWQiOiIxNTcyMDkyNjg5In0=</vt:lpwstr>
  </property>
  <property fmtid="{D5CDD505-2E9C-101B-9397-08002B2CF9AE}" pid="4" name="ICV">
    <vt:lpwstr>9091BD6BDA5743EFBE7340D3BD5217DA_12</vt:lpwstr>
  </property>
</Properties>
</file>