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534F">
      <w:pPr>
        <w:rPr>
          <w:color w:val="auto"/>
          <w:highlight w:val="none"/>
        </w:rPr>
      </w:pPr>
    </w:p>
    <w:p w14:paraId="2E9C06F8">
      <w:pPr>
        <w:rPr>
          <w:color w:val="auto"/>
          <w:highlight w:val="none"/>
        </w:rPr>
      </w:pPr>
    </w:p>
    <w:p w14:paraId="58F299FC">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CCBF83C">
      <w:pPr>
        <w:ind w:firstLine="0" w:firstLineChars="0"/>
        <w:jc w:val="center"/>
        <w:rPr>
          <w:rFonts w:cs="Times New Roman"/>
          <w:b/>
          <w:snapToGrid w:val="0"/>
          <w:color w:val="auto"/>
          <w:kern w:val="0"/>
          <w:sz w:val="48"/>
          <w:szCs w:val="84"/>
          <w:highlight w:val="none"/>
          <w:u w:val="none"/>
        </w:rPr>
      </w:pPr>
      <w:r>
        <w:rPr>
          <w:rFonts w:hint="eastAsia" w:cs="Times New Roman"/>
          <w:b/>
          <w:snapToGrid w:val="0"/>
          <w:color w:val="auto"/>
          <w:kern w:val="0"/>
          <w:sz w:val="48"/>
          <w:szCs w:val="84"/>
          <w:highlight w:val="none"/>
          <w:u w:val="none"/>
          <w:lang w:val="en-US" w:eastAsia="zh-CN"/>
        </w:rPr>
        <w:t>数据资产管理平台建设项目</w:t>
      </w:r>
    </w:p>
    <w:p w14:paraId="16A7D5E2">
      <w:pPr>
        <w:rPr>
          <w:color w:val="auto"/>
          <w:highlight w:val="none"/>
        </w:rPr>
      </w:pPr>
    </w:p>
    <w:p w14:paraId="0CB1AD50">
      <w:pPr>
        <w:rPr>
          <w:color w:val="auto"/>
          <w:highlight w:val="none"/>
        </w:rPr>
      </w:pPr>
    </w:p>
    <w:p w14:paraId="1803336C">
      <w:pPr>
        <w:rPr>
          <w:color w:val="auto"/>
          <w:highlight w:val="none"/>
        </w:rPr>
      </w:pPr>
    </w:p>
    <w:p w14:paraId="309AD366">
      <w:pPr>
        <w:rPr>
          <w:color w:val="auto"/>
          <w:highlight w:val="none"/>
        </w:rPr>
      </w:pPr>
    </w:p>
    <w:p w14:paraId="09D5EDB1">
      <w:pPr>
        <w:rPr>
          <w:color w:val="auto"/>
          <w:highlight w:val="none"/>
        </w:rPr>
      </w:pPr>
    </w:p>
    <w:p w14:paraId="5C6EC260">
      <w:pPr>
        <w:rPr>
          <w:color w:val="auto"/>
          <w:highlight w:val="none"/>
        </w:rPr>
      </w:pPr>
    </w:p>
    <w:p w14:paraId="20CECA4B">
      <w:pPr>
        <w:rPr>
          <w:color w:val="auto"/>
          <w:highlight w:val="none"/>
        </w:rPr>
      </w:pPr>
    </w:p>
    <w:p w14:paraId="63733E5C">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14:paraId="228343A9">
      <w:pPr>
        <w:rPr>
          <w:color w:val="auto"/>
          <w:highlight w:val="none"/>
        </w:rPr>
      </w:pPr>
    </w:p>
    <w:p w14:paraId="7817DD8A">
      <w:pPr>
        <w:rPr>
          <w:color w:val="auto"/>
          <w:highlight w:val="none"/>
        </w:rPr>
      </w:pPr>
    </w:p>
    <w:p w14:paraId="7D8A5872">
      <w:pPr>
        <w:rPr>
          <w:color w:val="auto"/>
          <w:highlight w:val="none"/>
        </w:rPr>
      </w:pPr>
    </w:p>
    <w:p w14:paraId="7AFBB033">
      <w:pPr>
        <w:rPr>
          <w:color w:val="auto"/>
          <w:highlight w:val="none"/>
        </w:rPr>
      </w:pPr>
    </w:p>
    <w:p w14:paraId="67A5C796">
      <w:pPr>
        <w:rPr>
          <w:color w:val="auto"/>
          <w:highlight w:val="none"/>
        </w:rPr>
      </w:pPr>
    </w:p>
    <w:p w14:paraId="17FE0698">
      <w:pPr>
        <w:rPr>
          <w:color w:val="auto"/>
          <w:highlight w:val="none"/>
        </w:rPr>
      </w:pPr>
    </w:p>
    <w:p w14:paraId="35D2B19D">
      <w:pPr>
        <w:rPr>
          <w:color w:val="auto"/>
          <w:highlight w:val="none"/>
        </w:rPr>
      </w:pPr>
    </w:p>
    <w:tbl>
      <w:tblPr>
        <w:tblStyle w:val="21"/>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582E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87652D9">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1C6EEBDF">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E1EE71D">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4BB1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7578355">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6EBBBF04">
            <w:pPr>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rPr>
              <w:t xml:space="preserve"> </w:t>
            </w:r>
            <w:r>
              <w:rPr>
                <w:rFonts w:hint="eastAsia" w:cs="Times New Roman"/>
                <w:b/>
                <w:snapToGrid w:val="0"/>
                <w:color w:val="auto"/>
                <w:kern w:val="0"/>
                <w:sz w:val="30"/>
                <w:szCs w:val="30"/>
                <w:highlight w:val="none"/>
                <w:lang w:val="en-US" w:eastAsia="zh-CN"/>
              </w:rPr>
              <w:t>9</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7CC4E3E6"/>
        </w:tc>
      </w:tr>
    </w:tbl>
    <w:p w14:paraId="5A92091C">
      <w:pPr>
        <w:rPr>
          <w:color w:val="auto"/>
          <w:highlight w:val="none"/>
        </w:rPr>
      </w:pPr>
    </w:p>
    <w:p w14:paraId="31A3129A">
      <w:pPr>
        <w:rPr>
          <w:color w:val="auto"/>
          <w:highlight w:val="none"/>
        </w:rPr>
        <w:sectPr>
          <w:headerReference r:id="rId5" w:type="default"/>
          <w:pgSz w:w="11906" w:h="16838"/>
          <w:pgMar w:top="1440" w:right="1800" w:bottom="1440" w:left="1800" w:header="851" w:footer="992" w:gutter="0"/>
          <w:pgNumType w:start="1"/>
          <w:cols w:space="720" w:num="1"/>
          <w:docGrid w:type="lines" w:linePitch="312" w:charSpace="0"/>
        </w:sectPr>
      </w:pPr>
    </w:p>
    <w:p w14:paraId="1AEB6CB2">
      <w:pPr>
        <w:pStyle w:val="50"/>
        <w:rPr>
          <w:color w:val="auto"/>
          <w:highlight w:val="none"/>
        </w:rPr>
      </w:pPr>
      <w:r>
        <w:rPr>
          <w:color w:val="auto"/>
          <w:highlight w:val="none"/>
        </w:rPr>
        <w:t>目录</w:t>
      </w:r>
    </w:p>
    <w:p w14:paraId="6C07A317">
      <w:pPr>
        <w:pStyle w:val="11"/>
        <w:tabs>
          <w:tab w:val="right" w:leader="dot" w:pos="8306"/>
        </w:tabs>
        <w:rPr>
          <w:color w:val="auto"/>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_Toc8422 </w:instrText>
      </w:r>
      <w:r>
        <w:rPr>
          <w:rFonts w:ascii="宋体" w:hAnsi="宋体"/>
          <w:snapToGrid w:val="0"/>
          <w:color w:val="auto"/>
          <w:kern w:val="0"/>
          <w:szCs w:val="24"/>
          <w:highlight w:val="none"/>
        </w:rPr>
        <w:fldChar w:fldCharType="separate"/>
      </w:r>
      <w:r>
        <w:rPr>
          <w:rFonts w:hint="eastAsia"/>
          <w:color w:val="auto"/>
          <w:highlight w:val="none"/>
        </w:rPr>
        <w:t>第一章 询比公告</w:t>
      </w:r>
      <w:r>
        <w:rPr>
          <w:color w:val="auto"/>
          <w:highlight w:val="none"/>
        </w:rPr>
        <w:tab/>
      </w:r>
      <w:r>
        <w:rPr>
          <w:color w:val="auto"/>
          <w:highlight w:val="none"/>
        </w:rPr>
        <w:fldChar w:fldCharType="begin"/>
      </w:r>
      <w:r>
        <w:rPr>
          <w:color w:val="auto"/>
          <w:highlight w:val="none"/>
        </w:rPr>
        <w:instrText xml:space="preserve"> PAGEREF _Toc8422 \h </w:instrText>
      </w:r>
      <w:r>
        <w:rPr>
          <w:color w:val="auto"/>
          <w:highlight w:val="none"/>
        </w:rPr>
        <w:fldChar w:fldCharType="separate"/>
      </w:r>
      <w:r>
        <w:rPr>
          <w:color w:val="auto"/>
          <w:highlight w:val="none"/>
        </w:rPr>
        <w:t>1</w:t>
      </w:r>
      <w:r>
        <w:rPr>
          <w:color w:val="auto"/>
          <w:highlight w:val="none"/>
        </w:rPr>
        <w:fldChar w:fldCharType="end"/>
      </w:r>
      <w:r>
        <w:rPr>
          <w:rFonts w:ascii="宋体" w:hAnsi="宋体"/>
          <w:snapToGrid w:val="0"/>
          <w:color w:val="auto"/>
          <w:kern w:val="0"/>
          <w:szCs w:val="24"/>
          <w:highlight w:val="none"/>
        </w:rPr>
        <w:fldChar w:fldCharType="end"/>
      </w:r>
    </w:p>
    <w:p w14:paraId="79B134D4">
      <w:pPr>
        <w:pStyle w:val="11"/>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_Toc22321 </w:instrText>
      </w:r>
      <w:r>
        <w:rPr>
          <w:rFonts w:ascii="宋体" w:hAnsi="宋体"/>
          <w:snapToGrid w:val="0"/>
          <w:color w:val="auto"/>
          <w:kern w:val="0"/>
          <w:szCs w:val="24"/>
          <w:highlight w:val="none"/>
        </w:rPr>
        <w:fldChar w:fldCharType="separate"/>
      </w:r>
      <w:r>
        <w:rPr>
          <w:rFonts w:hint="eastAsia"/>
          <w:color w:val="auto"/>
          <w:highlight w:val="none"/>
        </w:rPr>
        <w:t>第二章 响应人须知</w:t>
      </w:r>
      <w:r>
        <w:rPr>
          <w:color w:val="auto"/>
          <w:highlight w:val="none"/>
        </w:rPr>
        <w:tab/>
      </w:r>
      <w:r>
        <w:rPr>
          <w:color w:val="auto"/>
          <w:highlight w:val="none"/>
        </w:rPr>
        <w:fldChar w:fldCharType="begin"/>
      </w:r>
      <w:r>
        <w:rPr>
          <w:color w:val="auto"/>
          <w:highlight w:val="none"/>
        </w:rPr>
        <w:instrText xml:space="preserve"> PAGEREF _Toc22321 \h </w:instrText>
      </w:r>
      <w:r>
        <w:rPr>
          <w:color w:val="auto"/>
          <w:highlight w:val="none"/>
        </w:rPr>
        <w:fldChar w:fldCharType="separate"/>
      </w:r>
      <w:r>
        <w:rPr>
          <w:color w:val="auto"/>
          <w:highlight w:val="none"/>
        </w:rPr>
        <w:t>6</w:t>
      </w:r>
      <w:r>
        <w:rPr>
          <w:color w:val="auto"/>
          <w:highlight w:val="none"/>
        </w:rPr>
        <w:fldChar w:fldCharType="end"/>
      </w:r>
      <w:r>
        <w:rPr>
          <w:rFonts w:ascii="宋体" w:hAnsi="宋体"/>
          <w:snapToGrid w:val="0"/>
          <w:color w:val="auto"/>
          <w:kern w:val="0"/>
          <w:szCs w:val="24"/>
          <w:highlight w:val="none"/>
        </w:rPr>
        <w:fldChar w:fldCharType="end"/>
      </w:r>
    </w:p>
    <w:p w14:paraId="7CF187D7">
      <w:pPr>
        <w:pStyle w:val="11"/>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_Toc16887 </w:instrText>
      </w:r>
      <w:r>
        <w:rPr>
          <w:rFonts w:ascii="宋体" w:hAnsi="宋体"/>
          <w:snapToGrid w:val="0"/>
          <w:color w:val="auto"/>
          <w:kern w:val="0"/>
          <w:szCs w:val="24"/>
          <w:highlight w:val="none"/>
        </w:rPr>
        <w:fldChar w:fldCharType="separate"/>
      </w:r>
      <w:r>
        <w:rPr>
          <w:rFonts w:hint="eastAsia"/>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_Toc16887 \h </w:instrText>
      </w:r>
      <w:r>
        <w:rPr>
          <w:color w:val="auto"/>
          <w:highlight w:val="none"/>
        </w:rPr>
        <w:fldChar w:fldCharType="separate"/>
      </w:r>
      <w:r>
        <w:rPr>
          <w:color w:val="auto"/>
          <w:highlight w:val="none"/>
        </w:rPr>
        <w:t>13</w:t>
      </w:r>
      <w:r>
        <w:rPr>
          <w:color w:val="auto"/>
          <w:highlight w:val="none"/>
        </w:rPr>
        <w:fldChar w:fldCharType="end"/>
      </w:r>
      <w:r>
        <w:rPr>
          <w:rFonts w:ascii="宋体" w:hAnsi="宋体"/>
          <w:snapToGrid w:val="0"/>
          <w:color w:val="auto"/>
          <w:kern w:val="0"/>
          <w:szCs w:val="24"/>
          <w:highlight w:val="none"/>
        </w:rPr>
        <w:fldChar w:fldCharType="end"/>
      </w:r>
    </w:p>
    <w:p w14:paraId="34575BA9">
      <w:pPr>
        <w:pStyle w:val="11"/>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_Toc10788 </w:instrText>
      </w:r>
      <w:r>
        <w:rPr>
          <w:rFonts w:ascii="宋体" w:hAnsi="宋体"/>
          <w:snapToGrid w:val="0"/>
          <w:color w:val="auto"/>
          <w:kern w:val="0"/>
          <w:szCs w:val="24"/>
          <w:highlight w:val="none"/>
        </w:rPr>
        <w:fldChar w:fldCharType="separate"/>
      </w:r>
      <w:r>
        <w:rPr>
          <w:rFonts w:hint="eastAsia"/>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_Toc10788 \h </w:instrText>
      </w:r>
      <w:r>
        <w:rPr>
          <w:color w:val="auto"/>
          <w:highlight w:val="none"/>
        </w:rPr>
        <w:fldChar w:fldCharType="separate"/>
      </w:r>
      <w:r>
        <w:rPr>
          <w:color w:val="auto"/>
          <w:highlight w:val="none"/>
        </w:rPr>
        <w:t>32</w:t>
      </w:r>
      <w:r>
        <w:rPr>
          <w:color w:val="auto"/>
          <w:highlight w:val="none"/>
        </w:rPr>
        <w:fldChar w:fldCharType="end"/>
      </w:r>
      <w:r>
        <w:rPr>
          <w:rFonts w:ascii="宋体" w:hAnsi="宋体"/>
          <w:snapToGrid w:val="0"/>
          <w:color w:val="auto"/>
          <w:kern w:val="0"/>
          <w:szCs w:val="24"/>
          <w:highlight w:val="none"/>
        </w:rPr>
        <w:fldChar w:fldCharType="end"/>
      </w:r>
    </w:p>
    <w:p w14:paraId="52C06897">
      <w:pPr>
        <w:pStyle w:val="11"/>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_Toc17358 </w:instrText>
      </w:r>
      <w:r>
        <w:rPr>
          <w:rFonts w:ascii="宋体" w:hAnsi="宋体"/>
          <w:snapToGrid w:val="0"/>
          <w:color w:val="auto"/>
          <w:kern w:val="0"/>
          <w:szCs w:val="24"/>
          <w:highlight w:val="none"/>
        </w:rPr>
        <w:fldChar w:fldCharType="separate"/>
      </w:r>
      <w:r>
        <w:rPr>
          <w:rFonts w:hint="eastAsia"/>
          <w:color w:val="auto"/>
          <w:highlight w:val="none"/>
        </w:rPr>
        <w:t>第五章 合同</w:t>
      </w:r>
      <w:r>
        <w:rPr>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_Toc17358 \h </w:instrText>
      </w:r>
      <w:r>
        <w:rPr>
          <w:color w:val="auto"/>
          <w:highlight w:val="none"/>
        </w:rPr>
        <w:fldChar w:fldCharType="separate"/>
      </w:r>
      <w:r>
        <w:rPr>
          <w:color w:val="auto"/>
          <w:highlight w:val="none"/>
        </w:rPr>
        <w:t>41</w:t>
      </w:r>
      <w:r>
        <w:rPr>
          <w:color w:val="auto"/>
          <w:highlight w:val="none"/>
        </w:rPr>
        <w:fldChar w:fldCharType="end"/>
      </w:r>
      <w:r>
        <w:rPr>
          <w:rFonts w:ascii="宋体" w:hAnsi="宋体"/>
          <w:snapToGrid w:val="0"/>
          <w:color w:val="auto"/>
          <w:kern w:val="0"/>
          <w:szCs w:val="24"/>
          <w:highlight w:val="none"/>
        </w:rPr>
        <w:fldChar w:fldCharType="end"/>
      </w:r>
    </w:p>
    <w:p w14:paraId="358CE5EF">
      <w:pPr>
        <w:pStyle w:val="11"/>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_Toc23849 </w:instrText>
      </w:r>
      <w:r>
        <w:rPr>
          <w:rFonts w:ascii="宋体" w:hAnsi="宋体"/>
          <w:snapToGrid w:val="0"/>
          <w:color w:val="auto"/>
          <w:kern w:val="0"/>
          <w:szCs w:val="24"/>
          <w:highlight w:val="none"/>
        </w:rPr>
        <w:fldChar w:fldCharType="separate"/>
      </w:r>
      <w:r>
        <w:rPr>
          <w:rFonts w:hint="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_Toc23849 \h </w:instrText>
      </w:r>
      <w:r>
        <w:rPr>
          <w:color w:val="auto"/>
          <w:highlight w:val="none"/>
        </w:rPr>
        <w:fldChar w:fldCharType="separate"/>
      </w:r>
      <w:r>
        <w:rPr>
          <w:color w:val="auto"/>
          <w:highlight w:val="none"/>
        </w:rPr>
        <w:t>88</w:t>
      </w:r>
      <w:r>
        <w:rPr>
          <w:color w:val="auto"/>
          <w:highlight w:val="none"/>
        </w:rPr>
        <w:fldChar w:fldCharType="end"/>
      </w:r>
      <w:r>
        <w:rPr>
          <w:rFonts w:ascii="宋体" w:hAnsi="宋体"/>
          <w:snapToGrid w:val="0"/>
          <w:color w:val="auto"/>
          <w:kern w:val="0"/>
          <w:szCs w:val="24"/>
          <w:highlight w:val="none"/>
        </w:rPr>
        <w:fldChar w:fldCharType="end"/>
      </w:r>
    </w:p>
    <w:p w14:paraId="6AC64D9B">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6DA39AE4">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3246C17A">
      <w:pPr>
        <w:pStyle w:val="3"/>
        <w:rPr>
          <w:color w:val="auto"/>
          <w:highlight w:val="none"/>
        </w:rPr>
      </w:pPr>
      <w:bookmarkStart w:id="0" w:name="_Toc440628903"/>
      <w:bookmarkStart w:id="1" w:name="_Toc469574661"/>
      <w:bookmarkStart w:id="2" w:name="_Toc6745"/>
      <w:bookmarkStart w:id="3" w:name="_Toc8422"/>
      <w:bookmarkStart w:id="4" w:name="_Toc17754"/>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bookmarkEnd w:id="4"/>
    </w:p>
    <w:p w14:paraId="7D16EB49">
      <w:pPr>
        <w:rPr>
          <w:color w:val="auto"/>
          <w:highlight w:val="none"/>
        </w:rPr>
      </w:pPr>
      <w:bookmarkStart w:id="5" w:name="_Toc89675127"/>
      <w:bookmarkStart w:id="6" w:name="_Toc55379218"/>
      <w:bookmarkStart w:id="7" w:name="_Toc250565211"/>
      <w:bookmarkStart w:id="8" w:name="_Toc469574670"/>
      <w:bookmarkStart w:id="9" w:name="_Toc55379224"/>
      <w:bookmarkStart w:id="10" w:name="_Toc89675133"/>
      <w:r>
        <w:rPr>
          <w:rFonts w:ascii="Times New Roman" w:hAnsi="Times New Roman" w:cs="Times New Roman"/>
          <w:color w:val="auto"/>
          <w:highlight w:val="none"/>
        </w:rPr>
        <w:t>为有效落实监管部门对于</w:t>
      </w:r>
      <w:r>
        <w:rPr>
          <w:rFonts w:hint="eastAsia" w:ascii="Times New Roman" w:hAnsi="Times New Roman" w:cs="Times New Roman"/>
          <w:color w:val="auto"/>
          <w:highlight w:val="none"/>
          <w:lang w:val="en-US" w:eastAsia="zh-CN"/>
        </w:rPr>
        <w:t>数据治理、</w:t>
      </w:r>
      <w:r>
        <w:rPr>
          <w:rFonts w:ascii="Times New Roman" w:hAnsi="Times New Roman" w:cs="Times New Roman"/>
          <w:color w:val="auto"/>
          <w:highlight w:val="none"/>
        </w:rPr>
        <w:t>数据资产管理工作的要求，同时满足</w:t>
      </w:r>
      <w:r>
        <w:rPr>
          <w:rFonts w:hint="eastAsia" w:cs="Times New Roman"/>
          <w:color w:val="auto"/>
          <w:highlight w:val="none"/>
          <w:lang w:val="en-US" w:eastAsia="zh-CN"/>
        </w:rPr>
        <w:t>行内</w:t>
      </w:r>
      <w:r>
        <w:rPr>
          <w:rFonts w:ascii="Times New Roman" w:hAnsi="Times New Roman" w:cs="Times New Roman"/>
          <w:color w:val="auto"/>
          <w:highlight w:val="none"/>
        </w:rPr>
        <w:t>数据管理需要，</w:t>
      </w:r>
      <w:r>
        <w:rPr>
          <w:rFonts w:hint="eastAsia" w:cs="Times New Roman"/>
          <w:color w:val="auto"/>
          <w:highlight w:val="none"/>
          <w:lang w:val="en-US" w:eastAsia="zh-CN"/>
        </w:rPr>
        <w:t>推进数据要素价值释放，本行拟开展数据资产平台建设项目，主要内容包含：实现</w:t>
      </w:r>
      <w:r>
        <w:rPr>
          <w:rFonts w:hint="eastAsia" w:ascii="Times New Roman" w:hAnsi="Times New Roman" w:cs="Times New Roman"/>
          <w:color w:val="auto"/>
          <w:highlight w:val="none"/>
          <w:lang w:val="en-US" w:eastAsia="zh-CN"/>
        </w:rPr>
        <w:t>元数据、</w:t>
      </w:r>
      <w:r>
        <w:rPr>
          <w:rFonts w:ascii="Times New Roman" w:hAnsi="Times New Roman" w:cs="Times New Roman"/>
          <w:color w:val="auto"/>
          <w:highlight w:val="none"/>
        </w:rPr>
        <w:t>数据标准、数据质量、</w:t>
      </w:r>
      <w:r>
        <w:rPr>
          <w:rFonts w:hint="eastAsia" w:ascii="Times New Roman" w:hAnsi="Times New Roman" w:cs="Times New Roman"/>
          <w:color w:val="auto"/>
          <w:highlight w:val="none"/>
          <w:lang w:val="en-US" w:eastAsia="zh-CN"/>
        </w:rPr>
        <w:t>数据安全分类分级</w:t>
      </w:r>
      <w:r>
        <w:rPr>
          <w:rFonts w:ascii="Times New Roman" w:hAnsi="Times New Roman" w:cs="Times New Roman"/>
          <w:color w:val="auto"/>
          <w:highlight w:val="none"/>
        </w:rPr>
        <w:t>等工作</w:t>
      </w:r>
      <w:r>
        <w:rPr>
          <w:rFonts w:hint="eastAsia" w:cs="Times New Roman"/>
          <w:color w:val="auto"/>
          <w:highlight w:val="none"/>
          <w:lang w:val="en-US" w:eastAsia="zh-CN"/>
        </w:rPr>
        <w:t>平台化管理</w:t>
      </w:r>
      <w:r>
        <w:rPr>
          <w:rFonts w:hint="eastAsia" w:ascii="Times New Roman" w:hAnsi="Times New Roman" w:cs="Times New Roman"/>
          <w:color w:val="auto"/>
          <w:highlight w:val="none"/>
          <w:lang w:val="en-US" w:eastAsia="zh-CN"/>
        </w:rPr>
        <w:t>；实现数据资产登记、维护、查询和使用的全流程</w:t>
      </w:r>
      <w:r>
        <w:rPr>
          <w:rFonts w:hint="eastAsia" w:cs="Times New Roman"/>
          <w:color w:val="auto"/>
          <w:highlight w:val="none"/>
          <w:lang w:val="en-US" w:eastAsia="zh-CN"/>
        </w:rPr>
        <w:t>平台化</w:t>
      </w:r>
      <w:r>
        <w:rPr>
          <w:rFonts w:hint="eastAsia" w:ascii="Times New Roman" w:hAnsi="Times New Roman" w:cs="Times New Roman"/>
          <w:color w:val="auto"/>
          <w:highlight w:val="none"/>
          <w:lang w:val="en-US" w:eastAsia="zh-CN"/>
        </w:rPr>
        <w:t>管理；</w:t>
      </w:r>
      <w:r>
        <w:rPr>
          <w:rFonts w:hint="eastAsia" w:cs="Times New Roman"/>
          <w:color w:val="auto"/>
          <w:highlight w:val="none"/>
          <w:lang w:val="en-US" w:eastAsia="zh-CN"/>
        </w:rPr>
        <w:t>建立</w:t>
      </w:r>
      <w:r>
        <w:rPr>
          <w:rFonts w:hint="eastAsia" w:ascii="Times New Roman" w:hAnsi="Times New Roman" w:cs="Times New Roman"/>
          <w:color w:val="auto"/>
          <w:highlight w:val="none"/>
          <w:lang w:val="en-US" w:eastAsia="zh-CN"/>
        </w:rPr>
        <w:t>数据</w:t>
      </w:r>
      <w:bookmarkStart w:id="305" w:name="_GoBack"/>
      <w:bookmarkEnd w:id="305"/>
      <w:r>
        <w:rPr>
          <w:rFonts w:hint="eastAsia" w:ascii="Times New Roman" w:hAnsi="Times New Roman" w:cs="Times New Roman"/>
          <w:color w:val="auto"/>
          <w:highlight w:val="none"/>
          <w:lang w:val="en-US" w:eastAsia="zh-CN"/>
        </w:rPr>
        <w:t>门户，实现</w:t>
      </w:r>
      <w:r>
        <w:rPr>
          <w:rFonts w:hint="eastAsia" w:cs="Times New Roman"/>
          <w:color w:val="auto"/>
          <w:highlight w:val="none"/>
          <w:lang w:val="en-US" w:eastAsia="zh-CN"/>
        </w:rPr>
        <w:t>业务用户、技术用户、管理用户</w:t>
      </w:r>
      <w:r>
        <w:rPr>
          <w:rFonts w:hint="eastAsia" w:ascii="Times New Roman" w:hAnsi="Times New Roman" w:cs="Times New Roman"/>
          <w:color w:val="auto"/>
          <w:highlight w:val="none"/>
          <w:lang w:val="en-US" w:eastAsia="zh-CN"/>
        </w:rPr>
        <w:t>一站式找数、用数、管数。</w:t>
      </w:r>
      <w:r>
        <w:rPr>
          <w:rFonts w:hint="eastAsia"/>
          <w:color w:val="auto"/>
          <w:highlight w:val="none"/>
        </w:rPr>
        <w:t>现对</w:t>
      </w:r>
      <w:r>
        <w:rPr>
          <w:rFonts w:hint="eastAsia"/>
          <w:color w:val="auto"/>
          <w:highlight w:val="none"/>
          <w:u w:val="single"/>
        </w:rPr>
        <w:t>重庆三峡银行</w:t>
      </w:r>
      <w:r>
        <w:rPr>
          <w:rFonts w:hint="eastAsia"/>
          <w:color w:val="auto"/>
          <w:highlight w:val="none"/>
          <w:u w:val="single"/>
          <w:lang w:val="en-US" w:eastAsia="zh-CN"/>
        </w:rPr>
        <w:t>数据资产平台建设</w:t>
      </w:r>
      <w:r>
        <w:rPr>
          <w:rFonts w:hint="eastAsia"/>
          <w:color w:val="auto"/>
          <w:highlight w:val="none"/>
          <w:u w:val="single"/>
        </w:rPr>
        <w:t>项目</w:t>
      </w:r>
      <w:r>
        <w:rPr>
          <w:rFonts w:hint="eastAsia"/>
          <w:color w:val="auto"/>
          <w:highlight w:val="none"/>
        </w:rPr>
        <w:t>进行公开询比，</w:t>
      </w:r>
      <w:r>
        <w:rPr>
          <w:color w:val="auto"/>
          <w:highlight w:val="none"/>
        </w:rPr>
        <w:t>特邀请有</w:t>
      </w:r>
      <w:bookmarkStart w:id="11" w:name="_Hlk59455120"/>
      <w:r>
        <w:rPr>
          <w:color w:val="auto"/>
          <w:highlight w:val="none"/>
        </w:rPr>
        <w:t>意向</w:t>
      </w:r>
      <w:bookmarkEnd w:id="11"/>
      <w:r>
        <w:rPr>
          <w:color w:val="auto"/>
          <w:highlight w:val="none"/>
        </w:rPr>
        <w:t>的潜在</w:t>
      </w:r>
      <w:r>
        <w:rPr>
          <w:rFonts w:hint="eastAsia"/>
          <w:color w:val="auto"/>
          <w:highlight w:val="none"/>
        </w:rPr>
        <w:t>响应人参与响应</w:t>
      </w:r>
      <w:r>
        <w:rPr>
          <w:color w:val="auto"/>
          <w:highlight w:val="none"/>
        </w:rPr>
        <w:t>。</w:t>
      </w:r>
    </w:p>
    <w:p w14:paraId="6E11FDDA">
      <w:pPr>
        <w:pStyle w:val="4"/>
        <w:rPr>
          <w:color w:val="auto"/>
          <w:highlight w:val="none"/>
        </w:rPr>
      </w:pPr>
      <w:r>
        <w:rPr>
          <w:rFonts w:hint="eastAsia"/>
          <w:color w:val="auto"/>
          <w:highlight w:val="none"/>
        </w:rPr>
        <w:t>1. 询比项目内容</w:t>
      </w:r>
      <w:bookmarkEnd w:id="5"/>
      <w:bookmarkEnd w:id="6"/>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28"/>
        <w:gridCol w:w="1646"/>
        <w:gridCol w:w="2123"/>
        <w:gridCol w:w="1015"/>
      </w:tblGrid>
      <w:tr w14:paraId="2B81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64E43DF">
            <w:pPr>
              <w:pStyle w:val="46"/>
              <w:rPr>
                <w:color w:val="auto"/>
                <w:highlight w:val="none"/>
              </w:rPr>
            </w:pPr>
            <w:r>
              <w:rPr>
                <w:rFonts w:hint="eastAsia"/>
                <w:color w:val="auto"/>
                <w:highlight w:val="none"/>
              </w:rPr>
              <w:t>序号</w:t>
            </w:r>
          </w:p>
        </w:tc>
        <w:tc>
          <w:tcPr>
            <w:tcW w:w="2928" w:type="dxa"/>
            <w:vAlign w:val="center"/>
          </w:tcPr>
          <w:p w14:paraId="4593BAD9">
            <w:pPr>
              <w:pStyle w:val="46"/>
              <w:rPr>
                <w:color w:val="auto"/>
                <w:highlight w:val="none"/>
              </w:rPr>
            </w:pPr>
            <w:r>
              <w:rPr>
                <w:rFonts w:hint="eastAsia"/>
                <w:color w:val="auto"/>
                <w:highlight w:val="none"/>
              </w:rPr>
              <w:t>项目名称</w:t>
            </w:r>
          </w:p>
        </w:tc>
        <w:tc>
          <w:tcPr>
            <w:tcW w:w="1646" w:type="dxa"/>
            <w:vAlign w:val="center"/>
          </w:tcPr>
          <w:p w14:paraId="4EF619D5">
            <w:pPr>
              <w:pStyle w:val="46"/>
              <w:rPr>
                <w:color w:val="auto"/>
                <w:highlight w:val="none"/>
              </w:rPr>
            </w:pPr>
            <w:r>
              <w:rPr>
                <w:rFonts w:hint="eastAsia"/>
                <w:color w:val="auto"/>
                <w:highlight w:val="none"/>
              </w:rPr>
              <w:t>最高限价</w:t>
            </w:r>
          </w:p>
        </w:tc>
        <w:tc>
          <w:tcPr>
            <w:tcW w:w="2123" w:type="dxa"/>
            <w:vAlign w:val="center"/>
          </w:tcPr>
          <w:p w14:paraId="3A08A50C">
            <w:pPr>
              <w:pStyle w:val="46"/>
              <w:rPr>
                <w:color w:val="auto"/>
                <w:highlight w:val="none"/>
              </w:rPr>
            </w:pPr>
            <w:r>
              <w:rPr>
                <w:rFonts w:hint="eastAsia"/>
                <w:color w:val="auto"/>
                <w:highlight w:val="none"/>
              </w:rPr>
              <w:t>成交供应商数量</w:t>
            </w:r>
          </w:p>
        </w:tc>
        <w:tc>
          <w:tcPr>
            <w:tcW w:w="1015" w:type="dxa"/>
            <w:vAlign w:val="center"/>
          </w:tcPr>
          <w:p w14:paraId="7FAFBCF6">
            <w:pPr>
              <w:pStyle w:val="46"/>
              <w:rPr>
                <w:color w:val="auto"/>
                <w:highlight w:val="none"/>
              </w:rPr>
            </w:pPr>
            <w:r>
              <w:rPr>
                <w:rFonts w:hint="eastAsia"/>
                <w:color w:val="auto"/>
                <w:highlight w:val="none"/>
              </w:rPr>
              <w:t>备注</w:t>
            </w:r>
          </w:p>
        </w:tc>
      </w:tr>
      <w:tr w14:paraId="7C4F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07" w:type="dxa"/>
            <w:vAlign w:val="center"/>
          </w:tcPr>
          <w:p w14:paraId="6B327F70">
            <w:pPr>
              <w:pStyle w:val="45"/>
              <w:jc w:val="center"/>
              <w:rPr>
                <w:color w:val="auto"/>
                <w:highlight w:val="none"/>
              </w:rPr>
            </w:pPr>
            <w:r>
              <w:rPr>
                <w:rFonts w:hint="eastAsia"/>
                <w:color w:val="auto"/>
                <w:highlight w:val="none"/>
              </w:rPr>
              <w:t>1</w:t>
            </w:r>
          </w:p>
        </w:tc>
        <w:tc>
          <w:tcPr>
            <w:tcW w:w="2928" w:type="dxa"/>
            <w:tcBorders>
              <w:left w:val="single" w:color="auto" w:sz="4" w:space="0"/>
            </w:tcBorders>
            <w:vAlign w:val="center"/>
          </w:tcPr>
          <w:p w14:paraId="258D8DC5">
            <w:pPr>
              <w:pStyle w:val="45"/>
              <w:jc w:val="center"/>
              <w:rPr>
                <w:rFonts w:eastAsia="宋体"/>
                <w:color w:val="auto"/>
                <w:highlight w:val="none"/>
                <w:lang w:val="en-US" w:eastAsia="zh-CN"/>
              </w:rPr>
            </w:pPr>
            <w:r>
              <w:rPr>
                <w:rFonts w:hint="eastAsia"/>
                <w:color w:val="auto"/>
                <w:highlight w:val="none"/>
                <w:lang w:val="en-US" w:eastAsia="zh-CN"/>
              </w:rPr>
              <w:t>重庆三峡银行数据资产管理平台建设项目</w:t>
            </w:r>
          </w:p>
        </w:tc>
        <w:tc>
          <w:tcPr>
            <w:tcW w:w="1646" w:type="dxa"/>
            <w:tcBorders>
              <w:left w:val="single" w:color="auto" w:sz="4" w:space="0"/>
            </w:tcBorders>
            <w:vAlign w:val="center"/>
          </w:tcPr>
          <w:p w14:paraId="5318A24F">
            <w:pPr>
              <w:pStyle w:val="45"/>
              <w:jc w:val="center"/>
              <w:rPr>
                <w:rFonts w:eastAsia="宋体"/>
                <w:color w:val="auto"/>
                <w:highlight w:val="none"/>
                <w:lang w:val="en-US" w:eastAsia="zh-CN"/>
              </w:rPr>
            </w:pPr>
            <w:r>
              <w:rPr>
                <w:rFonts w:hint="eastAsia"/>
                <w:color w:val="auto"/>
                <w:highlight w:val="none"/>
                <w:lang w:val="en-US" w:eastAsia="zh-CN"/>
              </w:rPr>
              <w:t>2300000元</w:t>
            </w:r>
          </w:p>
        </w:tc>
        <w:tc>
          <w:tcPr>
            <w:tcW w:w="2123" w:type="dxa"/>
            <w:tcBorders>
              <w:left w:val="single" w:color="auto" w:sz="4" w:space="0"/>
            </w:tcBorders>
            <w:vAlign w:val="center"/>
          </w:tcPr>
          <w:p w14:paraId="12B6BD90">
            <w:pPr>
              <w:pStyle w:val="45"/>
              <w:jc w:val="center"/>
              <w:rPr>
                <w:rFonts w:hint="eastAsia" w:eastAsia="宋体"/>
                <w:color w:val="auto"/>
                <w:highlight w:val="none"/>
                <w:lang w:val="en-US" w:eastAsia="zh-CN"/>
              </w:rPr>
            </w:pPr>
            <w:r>
              <w:rPr>
                <w:rFonts w:hint="eastAsia"/>
                <w:color w:val="auto"/>
                <w:highlight w:val="none"/>
                <w:lang w:val="en-US" w:eastAsia="zh-CN"/>
              </w:rPr>
              <w:t>1</w:t>
            </w:r>
          </w:p>
        </w:tc>
        <w:tc>
          <w:tcPr>
            <w:tcW w:w="1015" w:type="dxa"/>
            <w:tcBorders>
              <w:left w:val="single" w:color="auto" w:sz="4" w:space="0"/>
            </w:tcBorders>
            <w:vAlign w:val="center"/>
          </w:tcPr>
          <w:p w14:paraId="4F944F8D">
            <w:pPr>
              <w:pStyle w:val="45"/>
              <w:jc w:val="center"/>
              <w:rPr>
                <w:color w:val="auto"/>
                <w:highlight w:val="none"/>
              </w:rPr>
            </w:pPr>
            <w:r>
              <w:rPr>
                <w:rFonts w:hint="eastAsia"/>
                <w:color w:val="auto"/>
                <w:highlight w:val="none"/>
              </w:rPr>
              <w:t>含税</w:t>
            </w:r>
          </w:p>
        </w:tc>
      </w:tr>
    </w:tbl>
    <w:p w14:paraId="0C96ED95">
      <w:pPr>
        <w:pStyle w:val="4"/>
        <w:rPr>
          <w:rFonts w:hint="eastAsia"/>
          <w:color w:val="auto"/>
          <w:highlight w:val="none"/>
        </w:rPr>
      </w:pPr>
      <w:bookmarkStart w:id="12" w:name="_Toc288224935"/>
      <w:bookmarkStart w:id="13" w:name="_Toc55379219"/>
      <w:bookmarkStart w:id="14" w:name="_Toc89675128"/>
      <w:bookmarkStart w:id="15" w:name="_Toc297817088"/>
      <w:bookmarkStart w:id="16" w:name="_Toc469574664"/>
      <w:r>
        <w:rPr>
          <w:rFonts w:hint="eastAsia"/>
          <w:color w:val="auto"/>
          <w:highlight w:val="none"/>
        </w:rPr>
        <w:t>2. 响应人资格要求</w:t>
      </w:r>
      <w:bookmarkEnd w:id="12"/>
      <w:bookmarkEnd w:id="13"/>
      <w:bookmarkEnd w:id="14"/>
      <w:bookmarkEnd w:id="15"/>
      <w:bookmarkEnd w:id="16"/>
    </w:p>
    <w:p w14:paraId="79B6A814">
      <w:pPr>
        <w:rPr>
          <w:color w:val="auto"/>
          <w:highlight w:val="none"/>
        </w:rPr>
      </w:pPr>
      <w:bookmarkStart w:id="17" w:name="_Hlk55488870"/>
      <w:r>
        <w:rPr>
          <w:rFonts w:hint="eastAsia"/>
          <w:color w:val="auto"/>
          <w:highlight w:val="none"/>
        </w:rPr>
        <w:t>2.1 具有独立承担民事责任的能力</w:t>
      </w:r>
    </w:p>
    <w:p w14:paraId="677C096B">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8E6E784">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64F638C">
      <w:pPr>
        <w:rPr>
          <w:color w:val="auto"/>
          <w:highlight w:val="none"/>
        </w:rPr>
      </w:pPr>
      <w:r>
        <w:rPr>
          <w:rFonts w:hint="eastAsia"/>
          <w:color w:val="auto"/>
          <w:highlight w:val="none"/>
        </w:rPr>
        <w:t>2.3 本项目不允许任何形式的转包【提供书面声明】</w:t>
      </w:r>
    </w:p>
    <w:p w14:paraId="1D2F5271">
      <w:pPr>
        <w:rPr>
          <w:color w:val="auto"/>
          <w:highlight w:val="none"/>
        </w:rPr>
      </w:pPr>
      <w:r>
        <w:rPr>
          <w:rFonts w:hint="eastAsia"/>
          <w:color w:val="auto"/>
          <w:highlight w:val="none"/>
        </w:rPr>
        <w:t>2.4 法人及法定代表人没有被人民法院列为失信被执行人名单（中国执行信息公开网网址：https://zxgk.court.gov.cn/）【提供：1、法人在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0D087CCA">
      <w:pPr>
        <w:rPr>
          <w:rFonts w:hint="eastAsia"/>
          <w:color w:val="auto"/>
          <w:highlight w:val="none"/>
        </w:rPr>
      </w:pPr>
      <w:r>
        <w:rPr>
          <w:rFonts w:hint="eastAsia"/>
          <w:color w:val="auto"/>
          <w:highlight w:val="none"/>
        </w:rPr>
        <w:t>2.5 本次询比不接受联合体响应。</w:t>
      </w:r>
    </w:p>
    <w:p w14:paraId="257FB231">
      <w:pPr>
        <w:rPr>
          <w:rFonts w:hint="eastAsia"/>
          <w:color w:val="auto"/>
          <w:highlight w:val="none"/>
        </w:rPr>
      </w:pPr>
      <w:r>
        <w:rPr>
          <w:rFonts w:hint="eastAsia"/>
          <w:color w:val="auto"/>
          <w:highlight w:val="none"/>
        </w:rPr>
        <w:t>2.6 业绩案例</w:t>
      </w:r>
    </w:p>
    <w:p w14:paraId="7CBC3F64">
      <w:pPr>
        <w:autoSpaceDE/>
        <w:autoSpaceDN/>
        <w:ind w:left="0" w:firstLine="420" w:firstLineChars="0"/>
        <w:rPr>
          <w:color w:val="auto"/>
          <w:highlight w:val="none"/>
          <w:lang w:val="en-US" w:eastAsia="zh-CN"/>
        </w:rPr>
      </w:pPr>
      <w:r>
        <w:rPr>
          <w:rFonts w:hint="eastAsia"/>
          <w:color w:val="auto"/>
          <w:highlight w:val="none"/>
          <w:lang w:val="en-US" w:eastAsia="zh-CN"/>
        </w:rPr>
        <w:t>2.6.1响应人需同时具备银行业数据治理平台（</w:t>
      </w:r>
      <w:r>
        <w:rPr>
          <w:rFonts w:hint="eastAsia" w:ascii="Times New Roman" w:hAnsi="Times New Roman"/>
          <w:color w:val="auto"/>
          <w:highlight w:val="none"/>
          <w:lang w:val="en-US" w:eastAsia="zh-CN"/>
        </w:rPr>
        <w:t>数据管控</w:t>
      </w:r>
      <w:r>
        <w:rPr>
          <w:rFonts w:hint="eastAsia"/>
          <w:color w:val="auto"/>
          <w:highlight w:val="none"/>
          <w:lang w:val="en-US" w:eastAsia="zh-CN"/>
        </w:rPr>
        <w:t>平台）、数据资产管理平台和数据安全分类分级实施案例（各种案列至少1个），且有效案例数合计不少于5个（含）。具体要求如下：</w:t>
      </w:r>
    </w:p>
    <w:p w14:paraId="16F74CBF">
      <w:pPr>
        <w:ind w:left="0" w:firstLine="420" w:firstLineChars="0"/>
        <w:rPr>
          <w:rFonts w:hint="eastAsia"/>
          <w:color w:val="auto"/>
          <w:highlight w:val="none"/>
          <w:lang w:val="en-US" w:eastAsia="zh-CN"/>
        </w:rPr>
      </w:pPr>
      <w:r>
        <w:rPr>
          <w:rFonts w:hint="eastAsia"/>
          <w:color w:val="auto"/>
          <w:highlight w:val="none"/>
          <w:lang w:val="en-US" w:eastAsia="zh-CN"/>
        </w:rPr>
        <w:t>（1）</w:t>
      </w:r>
      <w:r>
        <w:rPr>
          <w:rFonts w:hint="eastAsia" w:ascii="Times New Roman" w:hAnsi="Times New Roman"/>
          <w:color w:val="auto"/>
          <w:highlight w:val="none"/>
          <w:lang w:val="en-US" w:eastAsia="zh-CN"/>
        </w:rPr>
        <w:t>202</w:t>
      </w:r>
      <w:r>
        <w:rPr>
          <w:rFonts w:hint="eastAsia"/>
          <w:color w:val="auto"/>
          <w:highlight w:val="none"/>
          <w:lang w:val="en-US" w:eastAsia="zh-CN"/>
        </w:rPr>
        <w:t>3</w:t>
      </w:r>
      <w:r>
        <w:rPr>
          <w:rFonts w:hint="eastAsia" w:ascii="Times New Roman" w:hAnsi="Times New Roman"/>
          <w:color w:val="auto"/>
          <w:highlight w:val="none"/>
          <w:lang w:val="en-US" w:eastAsia="zh-CN"/>
        </w:rPr>
        <w:t>年1月1日至</w:t>
      </w:r>
      <w:r>
        <w:rPr>
          <w:rFonts w:hint="eastAsia"/>
          <w:color w:val="auto"/>
          <w:highlight w:val="none"/>
          <w:lang w:val="en-US" w:eastAsia="zh-CN"/>
        </w:rPr>
        <w:t>响应截止日</w:t>
      </w:r>
      <w:r>
        <w:rPr>
          <w:rFonts w:hint="eastAsia" w:ascii="Times New Roman" w:hAnsi="Times New Roman"/>
          <w:color w:val="auto"/>
          <w:highlight w:val="none"/>
          <w:lang w:val="en-US" w:eastAsia="zh-CN"/>
        </w:rPr>
        <w:t>（以合同签订时间为准）</w:t>
      </w:r>
      <w:r>
        <w:rPr>
          <w:rFonts w:hint="eastAsia"/>
          <w:color w:val="auto"/>
          <w:highlight w:val="none"/>
          <w:lang w:val="en-US" w:eastAsia="zh-CN"/>
        </w:rPr>
        <w:t>，</w:t>
      </w:r>
      <w:r>
        <w:rPr>
          <w:rFonts w:hint="eastAsia" w:ascii="Times New Roman" w:hAnsi="Times New Roman"/>
          <w:color w:val="auto"/>
          <w:highlight w:val="none"/>
          <w:lang w:val="en-US" w:eastAsia="zh-CN"/>
        </w:rPr>
        <w:t>具有银行业数据治理</w:t>
      </w:r>
      <w:r>
        <w:rPr>
          <w:rFonts w:hint="eastAsia"/>
          <w:color w:val="auto"/>
          <w:highlight w:val="none"/>
          <w:lang w:val="en-US" w:eastAsia="zh-CN"/>
        </w:rPr>
        <w:t>平台</w:t>
      </w:r>
      <w:r>
        <w:rPr>
          <w:rFonts w:hint="eastAsia" w:ascii="Times New Roman" w:hAnsi="Times New Roman"/>
          <w:color w:val="auto"/>
          <w:highlight w:val="none"/>
          <w:lang w:val="en-US" w:eastAsia="zh-CN"/>
        </w:rPr>
        <w:t>或数据管控</w:t>
      </w:r>
      <w:r>
        <w:rPr>
          <w:rFonts w:hint="eastAsia"/>
          <w:color w:val="auto"/>
          <w:highlight w:val="none"/>
          <w:lang w:val="en-US" w:eastAsia="zh-CN"/>
        </w:rPr>
        <w:t>平台</w:t>
      </w:r>
      <w:r>
        <w:rPr>
          <w:rFonts w:hint="eastAsia" w:ascii="Times New Roman" w:hAnsi="Times New Roman"/>
          <w:color w:val="auto"/>
          <w:highlight w:val="none"/>
          <w:lang w:val="en-US" w:eastAsia="zh-CN"/>
        </w:rPr>
        <w:t>实施</w:t>
      </w:r>
      <w:r>
        <w:rPr>
          <w:rFonts w:hint="eastAsia"/>
          <w:color w:val="auto"/>
          <w:highlight w:val="none"/>
          <w:lang w:val="en-US" w:eastAsia="zh-CN"/>
        </w:rPr>
        <w:t>有效</w:t>
      </w:r>
      <w:r>
        <w:rPr>
          <w:rFonts w:hint="eastAsia" w:ascii="Times New Roman" w:hAnsi="Times New Roman"/>
          <w:color w:val="auto"/>
          <w:highlight w:val="none"/>
          <w:lang w:val="en-US" w:eastAsia="zh-CN"/>
        </w:rPr>
        <w:t>案例</w:t>
      </w:r>
      <w:r>
        <w:rPr>
          <w:rFonts w:hint="eastAsia"/>
          <w:color w:val="auto"/>
          <w:highlight w:val="none"/>
          <w:lang w:val="en-US" w:eastAsia="zh-CN"/>
        </w:rPr>
        <w:t>（</w:t>
      </w:r>
      <w:r>
        <w:rPr>
          <w:rFonts w:hint="eastAsia" w:ascii="Times New Roman" w:hAnsi="Times New Roman"/>
          <w:color w:val="auto"/>
          <w:highlight w:val="none"/>
          <w:lang w:val="en-US" w:eastAsia="zh-CN"/>
        </w:rPr>
        <w:t>合同</w:t>
      </w:r>
      <w:r>
        <w:rPr>
          <w:rFonts w:hint="eastAsia"/>
          <w:color w:val="auto"/>
          <w:highlight w:val="none"/>
          <w:lang w:val="en-US" w:eastAsia="zh-CN"/>
        </w:rPr>
        <w:t>项目</w:t>
      </w:r>
      <w:r>
        <w:rPr>
          <w:rFonts w:hint="eastAsia" w:ascii="Times New Roman" w:hAnsi="Times New Roman"/>
          <w:color w:val="auto"/>
          <w:highlight w:val="none"/>
          <w:lang w:val="en-US" w:eastAsia="zh-CN"/>
        </w:rPr>
        <w:t>名称包含数据治理平台、数据管控平台关键字</w:t>
      </w:r>
      <w:r>
        <w:rPr>
          <w:rFonts w:hint="eastAsia"/>
          <w:color w:val="auto"/>
          <w:highlight w:val="none"/>
          <w:lang w:val="en-US" w:eastAsia="zh-CN"/>
        </w:rPr>
        <w:t>之一</w:t>
      </w:r>
      <w:r>
        <w:rPr>
          <w:rFonts w:hint="eastAsia"/>
          <w:b w:val="0"/>
          <w:bCs w:val="0"/>
          <w:color w:val="auto"/>
          <w:highlight w:val="none"/>
          <w:lang w:val="en-US" w:eastAsia="zh-CN"/>
        </w:rPr>
        <w:t>或服务范围</w:t>
      </w:r>
      <w:r>
        <w:rPr>
          <w:rFonts w:hint="eastAsia" w:ascii="Times New Roman" w:hAnsi="Times New Roman"/>
          <w:color w:val="auto"/>
          <w:highlight w:val="none"/>
          <w:lang w:val="en-US" w:eastAsia="zh-CN"/>
        </w:rPr>
        <w:t>同时包含元数据、数据质量、数据标准三个模块计为1个有效案例</w:t>
      </w:r>
      <w:r>
        <w:rPr>
          <w:rFonts w:hint="eastAsia"/>
          <w:color w:val="auto"/>
          <w:highlight w:val="none"/>
          <w:lang w:val="en-US" w:eastAsia="zh-CN"/>
        </w:rPr>
        <w:t>）。</w:t>
      </w:r>
    </w:p>
    <w:p w14:paraId="2180A57B">
      <w:pPr>
        <w:ind w:left="0" w:firstLine="420" w:firstLineChars="0"/>
        <w:rPr>
          <w:rFonts w:hint="eastAsia" w:ascii="Times New Roman" w:hAnsi="Times New Roman"/>
          <w:color w:val="auto"/>
          <w:highlight w:val="none"/>
          <w:lang w:val="en-US" w:eastAsia="zh-CN"/>
        </w:rPr>
      </w:pPr>
      <w:r>
        <w:rPr>
          <w:rFonts w:hint="eastAsia"/>
          <w:color w:val="auto"/>
          <w:highlight w:val="none"/>
          <w:lang w:val="en-US" w:eastAsia="zh-CN"/>
        </w:rPr>
        <w:t>（2）</w:t>
      </w:r>
      <w:r>
        <w:rPr>
          <w:rFonts w:hint="eastAsia" w:ascii="Times New Roman" w:hAnsi="Times New Roman"/>
          <w:color w:val="auto"/>
          <w:highlight w:val="none"/>
          <w:lang w:val="en-US" w:eastAsia="zh-CN"/>
        </w:rPr>
        <w:t>202</w:t>
      </w:r>
      <w:r>
        <w:rPr>
          <w:rFonts w:hint="eastAsia"/>
          <w:color w:val="auto"/>
          <w:highlight w:val="none"/>
          <w:lang w:val="en-US" w:eastAsia="zh-CN"/>
        </w:rPr>
        <w:t>3</w:t>
      </w:r>
      <w:r>
        <w:rPr>
          <w:rFonts w:hint="eastAsia" w:ascii="Times New Roman" w:hAnsi="Times New Roman"/>
          <w:color w:val="auto"/>
          <w:highlight w:val="none"/>
          <w:lang w:val="en-US" w:eastAsia="zh-CN"/>
        </w:rPr>
        <w:t>年1月1日至</w:t>
      </w:r>
      <w:r>
        <w:rPr>
          <w:rFonts w:hint="eastAsia"/>
          <w:color w:val="auto"/>
          <w:highlight w:val="none"/>
          <w:lang w:val="en-US" w:eastAsia="zh-CN"/>
        </w:rPr>
        <w:t>响应截止日</w:t>
      </w:r>
      <w:r>
        <w:rPr>
          <w:rFonts w:hint="eastAsia" w:ascii="Times New Roman" w:hAnsi="Times New Roman"/>
          <w:color w:val="auto"/>
          <w:highlight w:val="none"/>
          <w:lang w:val="en-US" w:eastAsia="zh-CN"/>
        </w:rPr>
        <w:t>（以合同签订时间为准）</w:t>
      </w:r>
      <w:r>
        <w:rPr>
          <w:rFonts w:hint="eastAsia"/>
          <w:color w:val="auto"/>
          <w:highlight w:val="none"/>
          <w:lang w:val="en-US" w:eastAsia="zh-CN"/>
        </w:rPr>
        <w:t>，具有</w:t>
      </w:r>
      <w:r>
        <w:rPr>
          <w:rFonts w:hint="eastAsia" w:ascii="Times New Roman" w:hAnsi="Times New Roman"/>
          <w:color w:val="auto"/>
          <w:highlight w:val="none"/>
          <w:lang w:val="en-US" w:eastAsia="zh-CN"/>
        </w:rPr>
        <w:t>银行业数据资产管理平台实施</w:t>
      </w:r>
      <w:r>
        <w:rPr>
          <w:rFonts w:hint="eastAsia"/>
          <w:color w:val="auto"/>
          <w:highlight w:val="none"/>
          <w:lang w:val="en-US" w:eastAsia="zh-CN"/>
        </w:rPr>
        <w:t>有效</w:t>
      </w:r>
      <w:r>
        <w:rPr>
          <w:rFonts w:hint="eastAsia" w:ascii="Times New Roman" w:hAnsi="Times New Roman"/>
          <w:b w:val="0"/>
          <w:bCs w:val="0"/>
          <w:color w:val="auto"/>
          <w:highlight w:val="none"/>
          <w:lang w:val="en-US" w:eastAsia="zh-CN"/>
        </w:rPr>
        <w:t>案例</w:t>
      </w:r>
      <w:r>
        <w:rPr>
          <w:rFonts w:hint="eastAsia" w:ascii="Times New Roman" w:hAnsi="Times New Roman"/>
          <w:color w:val="auto"/>
          <w:highlight w:val="none"/>
          <w:lang w:val="en-US" w:eastAsia="zh-CN"/>
        </w:rPr>
        <w:t>（合同</w:t>
      </w:r>
      <w:r>
        <w:rPr>
          <w:rFonts w:hint="eastAsia"/>
          <w:color w:val="auto"/>
          <w:highlight w:val="none"/>
          <w:lang w:val="en-US" w:eastAsia="zh-CN"/>
        </w:rPr>
        <w:t>项目</w:t>
      </w:r>
      <w:r>
        <w:rPr>
          <w:rFonts w:hint="eastAsia" w:ascii="Times New Roman" w:hAnsi="Times New Roman"/>
          <w:color w:val="auto"/>
          <w:highlight w:val="none"/>
          <w:lang w:val="en-US" w:eastAsia="zh-CN"/>
        </w:rPr>
        <w:t>名称包含数据资产</w:t>
      </w:r>
      <w:r>
        <w:rPr>
          <w:rFonts w:hint="eastAsia"/>
          <w:color w:val="auto"/>
          <w:highlight w:val="none"/>
          <w:lang w:val="en-US" w:eastAsia="zh-CN"/>
        </w:rPr>
        <w:t>管理</w:t>
      </w:r>
      <w:r>
        <w:rPr>
          <w:rFonts w:hint="eastAsia" w:ascii="Times New Roman" w:hAnsi="Times New Roman"/>
          <w:color w:val="auto"/>
          <w:highlight w:val="none"/>
          <w:lang w:val="en-US" w:eastAsia="zh-CN"/>
        </w:rPr>
        <w:t>平台</w:t>
      </w:r>
      <w:r>
        <w:rPr>
          <w:rFonts w:hint="eastAsia"/>
          <w:color w:val="auto"/>
          <w:highlight w:val="none"/>
          <w:lang w:val="en-US" w:eastAsia="zh-CN"/>
        </w:rPr>
        <w:t>、数据资产管理系统</w:t>
      </w:r>
      <w:r>
        <w:rPr>
          <w:rFonts w:hint="eastAsia" w:ascii="Times New Roman" w:hAnsi="Times New Roman"/>
          <w:color w:val="auto"/>
          <w:highlight w:val="none"/>
          <w:lang w:val="en-US" w:eastAsia="zh-CN"/>
        </w:rPr>
        <w:t>关键字</w:t>
      </w:r>
      <w:r>
        <w:rPr>
          <w:rFonts w:hint="eastAsia"/>
          <w:color w:val="auto"/>
          <w:highlight w:val="none"/>
          <w:lang w:val="en-US" w:eastAsia="zh-CN"/>
        </w:rPr>
        <w:t>之一</w:t>
      </w:r>
      <w:r>
        <w:rPr>
          <w:rFonts w:hint="eastAsia"/>
          <w:b w:val="0"/>
          <w:bCs w:val="0"/>
          <w:color w:val="auto"/>
          <w:highlight w:val="none"/>
          <w:lang w:val="en-US" w:eastAsia="zh-CN"/>
        </w:rPr>
        <w:t>或</w:t>
      </w:r>
      <w:r>
        <w:rPr>
          <w:rFonts w:hint="eastAsia"/>
          <w:color w:val="auto"/>
          <w:highlight w:val="none"/>
          <w:lang w:val="en-US" w:eastAsia="zh-CN"/>
        </w:rPr>
        <w:t>服务范围包含数据资产管理平台、数据资产管理系统</w:t>
      </w:r>
      <w:r>
        <w:rPr>
          <w:rFonts w:hint="eastAsia" w:ascii="Times New Roman" w:hAnsi="Times New Roman"/>
          <w:color w:val="auto"/>
          <w:highlight w:val="none"/>
          <w:lang w:val="en-US" w:eastAsia="zh-CN"/>
        </w:rPr>
        <w:t>关键字</w:t>
      </w:r>
      <w:r>
        <w:rPr>
          <w:rFonts w:hint="eastAsia"/>
          <w:color w:val="auto"/>
          <w:highlight w:val="none"/>
          <w:lang w:val="en-US" w:eastAsia="zh-CN"/>
        </w:rPr>
        <w:t>之一</w:t>
      </w:r>
      <w:r>
        <w:rPr>
          <w:rFonts w:hint="eastAsia" w:ascii="Times New Roman" w:hAnsi="Times New Roman"/>
          <w:color w:val="auto"/>
          <w:highlight w:val="none"/>
          <w:lang w:val="en-US" w:eastAsia="zh-CN"/>
        </w:rPr>
        <w:t>计为1个有效案例</w:t>
      </w:r>
      <w:r>
        <w:rPr>
          <w:rFonts w:hint="eastAsia"/>
          <w:color w:val="auto"/>
          <w:highlight w:val="none"/>
          <w:lang w:val="en-US" w:eastAsia="zh-CN"/>
        </w:rPr>
        <w:t>）</w:t>
      </w:r>
      <w:r>
        <w:rPr>
          <w:rFonts w:hint="eastAsia" w:ascii="Times New Roman" w:hAnsi="Times New Roman"/>
          <w:color w:val="auto"/>
          <w:highlight w:val="none"/>
          <w:lang w:val="en-US" w:eastAsia="zh-CN"/>
        </w:rPr>
        <w:t>。</w:t>
      </w:r>
    </w:p>
    <w:p w14:paraId="333E2EA9">
      <w:pPr>
        <w:ind w:left="0" w:firstLine="420" w:firstLineChars="0"/>
        <w:rPr>
          <w:rFonts w:hint="eastAsia" w:ascii="Times New Roman" w:hAnsi="Times New Roman"/>
          <w:color w:val="auto"/>
          <w:highlight w:val="none"/>
          <w:lang w:val="en-US" w:eastAsia="zh-CN"/>
        </w:rPr>
      </w:pPr>
      <w:r>
        <w:rPr>
          <w:rFonts w:hint="eastAsia"/>
          <w:color w:val="auto"/>
          <w:highlight w:val="none"/>
          <w:lang w:val="en-US" w:eastAsia="zh-CN"/>
        </w:rPr>
        <w:t>（3）</w:t>
      </w:r>
      <w:r>
        <w:rPr>
          <w:rFonts w:hint="eastAsia" w:ascii="Times New Roman" w:hAnsi="Times New Roman"/>
          <w:color w:val="auto"/>
          <w:highlight w:val="none"/>
          <w:lang w:val="en-US" w:eastAsia="zh-CN"/>
        </w:rPr>
        <w:t>202</w:t>
      </w:r>
      <w:r>
        <w:rPr>
          <w:rFonts w:hint="eastAsia"/>
          <w:color w:val="auto"/>
          <w:highlight w:val="none"/>
          <w:lang w:val="en-US" w:eastAsia="zh-CN"/>
        </w:rPr>
        <w:t>3</w:t>
      </w:r>
      <w:r>
        <w:rPr>
          <w:rFonts w:hint="eastAsia" w:ascii="Times New Roman" w:hAnsi="Times New Roman"/>
          <w:color w:val="auto"/>
          <w:highlight w:val="none"/>
          <w:lang w:val="en-US" w:eastAsia="zh-CN"/>
        </w:rPr>
        <w:t>年1月1日至</w:t>
      </w:r>
      <w:r>
        <w:rPr>
          <w:rFonts w:hint="eastAsia"/>
          <w:color w:val="auto"/>
          <w:highlight w:val="none"/>
          <w:lang w:val="en-US" w:eastAsia="zh-CN"/>
        </w:rPr>
        <w:t>响应截止日</w:t>
      </w:r>
      <w:r>
        <w:rPr>
          <w:rFonts w:hint="eastAsia" w:ascii="Times New Roman" w:hAnsi="Times New Roman"/>
          <w:color w:val="auto"/>
          <w:highlight w:val="none"/>
          <w:lang w:val="en-US" w:eastAsia="zh-CN"/>
        </w:rPr>
        <w:t>（以合同签订时间为准）</w:t>
      </w:r>
      <w:r>
        <w:rPr>
          <w:rFonts w:hint="eastAsia"/>
          <w:color w:val="auto"/>
          <w:highlight w:val="none"/>
          <w:lang w:val="en-US" w:eastAsia="zh-CN"/>
        </w:rPr>
        <w:t>，具有</w:t>
      </w:r>
      <w:r>
        <w:rPr>
          <w:rFonts w:hint="eastAsia" w:ascii="Times New Roman" w:hAnsi="Times New Roman"/>
          <w:color w:val="auto"/>
          <w:highlight w:val="none"/>
          <w:lang w:val="en-US" w:eastAsia="zh-CN"/>
        </w:rPr>
        <w:t>银行业数据</w:t>
      </w:r>
      <w:r>
        <w:rPr>
          <w:rFonts w:hint="eastAsia"/>
          <w:color w:val="auto"/>
          <w:highlight w:val="none"/>
          <w:lang w:val="en-US" w:eastAsia="zh-CN"/>
        </w:rPr>
        <w:t>安全分类分级</w:t>
      </w:r>
      <w:r>
        <w:rPr>
          <w:rFonts w:hint="eastAsia" w:ascii="Times New Roman" w:hAnsi="Times New Roman"/>
          <w:color w:val="auto"/>
          <w:highlight w:val="none"/>
          <w:lang w:val="en-US" w:eastAsia="zh-CN"/>
        </w:rPr>
        <w:t>实施</w:t>
      </w:r>
      <w:r>
        <w:rPr>
          <w:rFonts w:hint="eastAsia"/>
          <w:color w:val="auto"/>
          <w:highlight w:val="none"/>
          <w:lang w:val="en-US" w:eastAsia="zh-CN"/>
        </w:rPr>
        <w:t>案例</w:t>
      </w:r>
      <w:r>
        <w:rPr>
          <w:rFonts w:hint="eastAsia" w:ascii="Times New Roman" w:hAnsi="Times New Roman"/>
          <w:color w:val="auto"/>
          <w:highlight w:val="none"/>
          <w:lang w:val="en-US" w:eastAsia="zh-CN"/>
        </w:rPr>
        <w:t>（合同</w:t>
      </w:r>
      <w:r>
        <w:rPr>
          <w:rFonts w:hint="eastAsia"/>
          <w:color w:val="auto"/>
          <w:highlight w:val="none"/>
          <w:lang w:val="en-US" w:eastAsia="zh-CN"/>
        </w:rPr>
        <w:t>项目</w:t>
      </w:r>
      <w:r>
        <w:rPr>
          <w:rFonts w:hint="eastAsia" w:ascii="Times New Roman" w:hAnsi="Times New Roman"/>
          <w:color w:val="auto"/>
          <w:highlight w:val="none"/>
          <w:lang w:val="en-US" w:eastAsia="zh-CN"/>
        </w:rPr>
        <w:t>名称包含</w:t>
      </w:r>
      <w:r>
        <w:rPr>
          <w:rFonts w:hint="eastAsia"/>
          <w:color w:val="auto"/>
          <w:highlight w:val="none"/>
          <w:lang w:val="en-US" w:eastAsia="zh-CN"/>
        </w:rPr>
        <w:t>分类分级</w:t>
      </w:r>
      <w:r>
        <w:rPr>
          <w:rFonts w:hint="eastAsia"/>
          <w:b w:val="0"/>
          <w:bCs w:val="0"/>
          <w:color w:val="auto"/>
          <w:highlight w:val="none"/>
          <w:lang w:val="en-US" w:eastAsia="zh-CN"/>
        </w:rPr>
        <w:t>或</w:t>
      </w:r>
      <w:r>
        <w:rPr>
          <w:rFonts w:hint="eastAsia"/>
          <w:color w:val="auto"/>
          <w:highlight w:val="none"/>
          <w:lang w:val="en-US" w:eastAsia="zh-CN"/>
        </w:rPr>
        <w:t>服务范围包含分类分级</w:t>
      </w:r>
      <w:r>
        <w:rPr>
          <w:rFonts w:hint="eastAsia" w:ascii="Times New Roman" w:hAnsi="Times New Roman"/>
          <w:color w:val="auto"/>
          <w:highlight w:val="none"/>
          <w:lang w:val="en-US" w:eastAsia="zh-CN"/>
        </w:rPr>
        <w:t>计为1个有效案例</w:t>
      </w:r>
      <w:r>
        <w:rPr>
          <w:rFonts w:hint="eastAsia"/>
          <w:color w:val="auto"/>
          <w:highlight w:val="none"/>
          <w:lang w:val="en-US" w:eastAsia="zh-CN"/>
        </w:rPr>
        <w:t>）</w:t>
      </w:r>
      <w:r>
        <w:rPr>
          <w:rFonts w:hint="eastAsia" w:ascii="Times New Roman" w:hAnsi="Times New Roman"/>
          <w:color w:val="auto"/>
          <w:highlight w:val="none"/>
          <w:lang w:val="en-US" w:eastAsia="zh-CN"/>
        </w:rPr>
        <w:t>。</w:t>
      </w:r>
    </w:p>
    <w:p w14:paraId="44D041C1">
      <w:pPr>
        <w:autoSpaceDE/>
        <w:autoSpaceDN/>
        <w:ind w:left="0" w:firstLine="420" w:firstLineChars="200"/>
        <w:rPr>
          <w:color w:val="auto"/>
          <w:highlight w:val="none"/>
          <w:lang w:val="en-US" w:eastAsia="zh-CN"/>
        </w:rPr>
      </w:pPr>
      <w:r>
        <w:rPr>
          <w:rFonts w:hint="eastAsia" w:cs="Times New Roman"/>
          <w:color w:val="auto"/>
          <w:kern w:val="0"/>
          <w:sz w:val="21"/>
          <w:szCs w:val="21"/>
          <w:highlight w:val="none"/>
          <w:lang w:val="en-US" w:eastAsia="zh-CN"/>
        </w:rPr>
        <w:t>2.6.2</w:t>
      </w:r>
      <w:r>
        <w:rPr>
          <w:rFonts w:hint="eastAsia" w:ascii="Times New Roman" w:hAnsi="Times New Roman" w:cs="Times New Roman"/>
          <w:color w:val="auto"/>
          <w:kern w:val="0"/>
          <w:sz w:val="21"/>
          <w:szCs w:val="21"/>
          <w:highlight w:val="none"/>
          <w:lang w:val="en-US" w:eastAsia="zh-CN"/>
        </w:rPr>
        <w:t>合同类型为维保类合同</w:t>
      </w:r>
      <w:r>
        <w:rPr>
          <w:rFonts w:hint="eastAsia" w:cs="Times New Roman"/>
          <w:color w:val="auto"/>
          <w:kern w:val="0"/>
          <w:sz w:val="21"/>
          <w:szCs w:val="21"/>
          <w:highlight w:val="none"/>
          <w:lang w:val="en-US" w:eastAsia="zh-CN"/>
        </w:rPr>
        <w:t>、人力外包类合同、二期以上升级类合同、纯咨询类合同、分包转包的</w:t>
      </w:r>
      <w:r>
        <w:rPr>
          <w:rFonts w:hint="eastAsia" w:ascii="Times New Roman" w:hAnsi="Times New Roman"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视为无效案例</w:t>
      </w:r>
      <w:r>
        <w:rPr>
          <w:rFonts w:hint="eastAsia" w:ascii="Times New Roman" w:hAnsi="Times New Roman" w:cs="Times New Roman"/>
          <w:color w:val="auto"/>
          <w:kern w:val="0"/>
          <w:sz w:val="21"/>
          <w:szCs w:val="21"/>
          <w:highlight w:val="none"/>
          <w:lang w:val="en-US" w:eastAsia="zh-CN"/>
        </w:rPr>
        <w:t>。</w:t>
      </w:r>
    </w:p>
    <w:p w14:paraId="5CFD6B87">
      <w:pPr>
        <w:autoSpaceDE/>
        <w:autoSpaceDN/>
        <w:ind w:left="0" w:firstLine="420" w:firstLineChars="200"/>
        <w:rPr>
          <w:color w:val="auto"/>
          <w:highlight w:val="none"/>
          <w:lang w:val="en-US" w:eastAsia="zh-CN"/>
        </w:rPr>
      </w:pPr>
      <w:r>
        <w:rPr>
          <w:rFonts w:hint="eastAsia" w:cs="Cambria Math"/>
          <w:color w:val="auto"/>
          <w:kern w:val="2"/>
          <w:sz w:val="21"/>
          <w:highlight w:val="none"/>
          <w:lang w:val="en-US" w:eastAsia="zh-CN" w:bidi="ar-SA"/>
        </w:rPr>
        <w:t>2.6.3</w:t>
      </w:r>
      <w:r>
        <w:rPr>
          <w:rFonts w:hint="eastAsia" w:ascii="Times New Roman" w:hAnsi="Times New Roman" w:cs="Times New Roman"/>
          <w:color w:val="auto"/>
          <w:kern w:val="0"/>
          <w:sz w:val="21"/>
          <w:szCs w:val="21"/>
          <w:highlight w:val="none"/>
          <w:lang w:val="en-US" w:eastAsia="zh-CN"/>
        </w:rPr>
        <w:t>已计入到</w:t>
      </w:r>
      <w:r>
        <w:rPr>
          <w:rFonts w:hint="eastAsia"/>
          <w:color w:val="auto"/>
          <w:highlight w:val="none"/>
          <w:lang w:val="en-US" w:eastAsia="zh-CN"/>
        </w:rPr>
        <w:t>数据</w:t>
      </w:r>
      <w:r>
        <w:rPr>
          <w:rFonts w:hint="eastAsia" w:ascii="Times New Roman" w:hAnsi="Times New Roman" w:cs="Times New Roman"/>
          <w:color w:val="auto"/>
          <w:kern w:val="0"/>
          <w:sz w:val="21"/>
          <w:szCs w:val="21"/>
          <w:highlight w:val="none"/>
          <w:lang w:val="en-US" w:eastAsia="zh-CN"/>
        </w:rPr>
        <w:t>治理平台</w:t>
      </w:r>
      <w:r>
        <w:rPr>
          <w:rFonts w:hint="eastAsia"/>
          <w:color w:val="auto"/>
          <w:highlight w:val="none"/>
          <w:lang w:val="en-US" w:eastAsia="zh-CN"/>
        </w:rPr>
        <w:t>（</w:t>
      </w:r>
      <w:r>
        <w:rPr>
          <w:rFonts w:hint="eastAsia" w:ascii="Times New Roman" w:hAnsi="Times New Roman"/>
          <w:color w:val="auto"/>
          <w:highlight w:val="none"/>
          <w:lang w:val="en-US" w:eastAsia="zh-CN"/>
        </w:rPr>
        <w:t>数据管控</w:t>
      </w:r>
      <w:r>
        <w:rPr>
          <w:rFonts w:hint="eastAsia"/>
          <w:color w:val="auto"/>
          <w:highlight w:val="none"/>
          <w:lang w:val="en-US" w:eastAsia="zh-CN"/>
        </w:rPr>
        <w:t>平台）</w:t>
      </w:r>
      <w:r>
        <w:rPr>
          <w:rFonts w:hint="eastAsia" w:ascii="Times New Roman" w:hAnsi="Times New Roman" w:cs="Times New Roman"/>
          <w:color w:val="auto"/>
          <w:kern w:val="0"/>
          <w:sz w:val="21"/>
          <w:szCs w:val="21"/>
          <w:highlight w:val="none"/>
          <w:lang w:val="en-US" w:eastAsia="zh-CN"/>
        </w:rPr>
        <w:t>的案例，不再计入</w:t>
      </w:r>
      <w:r>
        <w:rPr>
          <w:rFonts w:hint="eastAsia"/>
          <w:color w:val="auto"/>
          <w:highlight w:val="none"/>
          <w:lang w:val="en-US" w:eastAsia="zh-CN"/>
        </w:rPr>
        <w:t>数据</w:t>
      </w:r>
      <w:r>
        <w:rPr>
          <w:rFonts w:hint="eastAsia" w:ascii="Times New Roman" w:hAnsi="Times New Roman" w:cs="Times New Roman"/>
          <w:color w:val="auto"/>
          <w:kern w:val="0"/>
          <w:sz w:val="21"/>
          <w:szCs w:val="21"/>
          <w:highlight w:val="none"/>
          <w:lang w:val="en-US" w:eastAsia="zh-CN"/>
        </w:rPr>
        <w:t>资产</w:t>
      </w:r>
      <w:r>
        <w:rPr>
          <w:rFonts w:hint="eastAsia"/>
          <w:color w:val="auto"/>
          <w:highlight w:val="none"/>
          <w:lang w:val="en-US" w:eastAsia="zh-CN"/>
        </w:rPr>
        <w:t>管理</w:t>
      </w:r>
      <w:r>
        <w:rPr>
          <w:rFonts w:hint="eastAsia" w:ascii="Times New Roman" w:hAnsi="Times New Roman" w:cs="Times New Roman"/>
          <w:color w:val="auto"/>
          <w:kern w:val="0"/>
          <w:sz w:val="21"/>
          <w:szCs w:val="21"/>
          <w:highlight w:val="none"/>
          <w:lang w:val="en-US" w:eastAsia="zh-CN"/>
        </w:rPr>
        <w:t>平台案例</w:t>
      </w:r>
      <w:r>
        <w:rPr>
          <w:rFonts w:hint="eastAsia" w:cs="Times New Roman"/>
          <w:color w:val="auto"/>
          <w:kern w:val="0"/>
          <w:sz w:val="21"/>
          <w:szCs w:val="21"/>
          <w:highlight w:val="none"/>
          <w:lang w:val="en-US" w:eastAsia="zh-CN"/>
        </w:rPr>
        <w:t>，已计入到数据资产</w:t>
      </w:r>
      <w:r>
        <w:rPr>
          <w:rFonts w:hint="eastAsia"/>
          <w:color w:val="auto"/>
          <w:highlight w:val="none"/>
          <w:lang w:val="en-US" w:eastAsia="zh-CN"/>
        </w:rPr>
        <w:t>管理</w:t>
      </w:r>
      <w:r>
        <w:rPr>
          <w:rFonts w:hint="eastAsia" w:cs="Times New Roman"/>
          <w:color w:val="auto"/>
          <w:kern w:val="0"/>
          <w:sz w:val="21"/>
          <w:szCs w:val="21"/>
          <w:highlight w:val="none"/>
          <w:lang w:val="en-US" w:eastAsia="zh-CN"/>
        </w:rPr>
        <w:t>平台的案例，不再计入数据治理平台</w:t>
      </w:r>
      <w:r>
        <w:rPr>
          <w:rFonts w:hint="eastAsia"/>
          <w:color w:val="auto"/>
          <w:highlight w:val="none"/>
          <w:lang w:val="en-US" w:eastAsia="zh-CN"/>
        </w:rPr>
        <w:t>（</w:t>
      </w:r>
      <w:r>
        <w:rPr>
          <w:rFonts w:hint="eastAsia" w:ascii="Times New Roman" w:hAnsi="Times New Roman"/>
          <w:color w:val="auto"/>
          <w:highlight w:val="none"/>
          <w:lang w:val="en-US" w:eastAsia="zh-CN"/>
        </w:rPr>
        <w:t>数据管控</w:t>
      </w:r>
      <w:r>
        <w:rPr>
          <w:rFonts w:hint="eastAsia"/>
          <w:color w:val="auto"/>
          <w:highlight w:val="none"/>
          <w:lang w:val="en-US" w:eastAsia="zh-CN"/>
        </w:rPr>
        <w:t>平台）</w:t>
      </w:r>
      <w:r>
        <w:rPr>
          <w:rFonts w:hint="eastAsia" w:cs="Times New Roman"/>
          <w:color w:val="auto"/>
          <w:kern w:val="0"/>
          <w:sz w:val="21"/>
          <w:szCs w:val="21"/>
          <w:highlight w:val="none"/>
          <w:lang w:val="en-US" w:eastAsia="zh-CN"/>
        </w:rPr>
        <w:t>案例</w:t>
      </w:r>
      <w:r>
        <w:rPr>
          <w:rFonts w:hint="eastAsia"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分类分级案例与数据治理平台</w:t>
      </w:r>
      <w:r>
        <w:rPr>
          <w:rFonts w:hint="eastAsia"/>
          <w:color w:val="auto"/>
          <w:highlight w:val="none"/>
          <w:lang w:val="en-US" w:eastAsia="zh-CN"/>
        </w:rPr>
        <w:t>（</w:t>
      </w:r>
      <w:r>
        <w:rPr>
          <w:rFonts w:hint="eastAsia" w:ascii="Times New Roman" w:hAnsi="Times New Roman"/>
          <w:color w:val="auto"/>
          <w:highlight w:val="none"/>
          <w:lang w:val="en-US" w:eastAsia="zh-CN"/>
        </w:rPr>
        <w:t>数据管控</w:t>
      </w:r>
      <w:r>
        <w:rPr>
          <w:rFonts w:hint="eastAsia"/>
          <w:color w:val="auto"/>
          <w:highlight w:val="none"/>
          <w:lang w:val="en-US" w:eastAsia="zh-CN"/>
        </w:rPr>
        <w:t>平台）</w:t>
      </w:r>
      <w:r>
        <w:rPr>
          <w:rFonts w:hint="eastAsia" w:cs="Times New Roman"/>
          <w:color w:val="auto"/>
          <w:kern w:val="0"/>
          <w:sz w:val="21"/>
          <w:szCs w:val="21"/>
          <w:highlight w:val="none"/>
          <w:lang w:val="en-US" w:eastAsia="zh-CN"/>
        </w:rPr>
        <w:t>或数据资产管理平台可在同一合同中。</w:t>
      </w:r>
    </w:p>
    <w:p w14:paraId="4E792908">
      <w:pPr>
        <w:rPr>
          <w:rFonts w:hint="eastAsia"/>
          <w:color w:val="auto"/>
          <w:highlight w:val="none"/>
        </w:rPr>
      </w:pPr>
      <w:r>
        <w:rPr>
          <w:rFonts w:hint="eastAsia"/>
          <w:color w:val="auto"/>
          <w:highlight w:val="none"/>
        </w:rPr>
        <w:t>【提供：1、合同关键页（合同关键页</w:t>
      </w:r>
      <w:r>
        <w:rPr>
          <w:color w:val="auto"/>
          <w:highlight w:val="none"/>
        </w:rPr>
        <w:t>包含：甲乙双方名称、双方印章、项目名称、合同签订时间</w:t>
      </w:r>
      <w:r>
        <w:rPr>
          <w:rFonts w:hint="eastAsia"/>
          <w:color w:val="auto"/>
          <w:highlight w:val="none"/>
        </w:rPr>
        <w:t>、服务范围。）；2、项目简介（格式自拟）；3、合同对应的发票之一（网上税务系统查询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14:paraId="650C20F4">
      <w:pPr>
        <w:rPr>
          <w:rFonts w:hint="eastAsia" w:ascii="Times New Roman" w:hAnsi="Times New Roman"/>
          <w:color w:val="auto"/>
          <w:highlight w:val="none"/>
        </w:rPr>
      </w:pPr>
      <w:r>
        <w:rPr>
          <w:rFonts w:hint="eastAsia" w:ascii="Times New Roman" w:hAnsi="Times New Roman"/>
          <w:color w:val="auto"/>
          <w:highlight w:val="none"/>
        </w:rPr>
        <w:t>2.</w:t>
      </w:r>
      <w:r>
        <w:rPr>
          <w:rFonts w:hint="eastAsia"/>
          <w:color w:val="auto"/>
          <w:highlight w:val="none"/>
          <w:lang w:val="en-US" w:eastAsia="zh-CN"/>
        </w:rPr>
        <w:t>7</w:t>
      </w:r>
      <w:r>
        <w:rPr>
          <w:rFonts w:hint="eastAsia" w:ascii="Times New Roman" w:hAnsi="Times New Roman"/>
          <w:color w:val="auto"/>
          <w:highlight w:val="none"/>
        </w:rPr>
        <w:t xml:space="preserve"> 实施团队要求</w:t>
      </w:r>
    </w:p>
    <w:p w14:paraId="2CE9DCEF">
      <w:pPr>
        <w:numPr>
          <w:ilvl w:val="0"/>
          <w:numId w:val="1"/>
        </w:numPr>
        <w:ind w:firstLineChars="0"/>
        <w:rPr>
          <w:rFonts w:hint="eastAsia"/>
          <w:color w:val="auto"/>
          <w:highlight w:val="none"/>
          <w:lang w:val="en-US" w:eastAsia="zh-CN"/>
        </w:rPr>
      </w:pPr>
      <w:r>
        <w:rPr>
          <w:rFonts w:hint="eastAsia"/>
          <w:b/>
          <w:bCs/>
          <w:color w:val="auto"/>
          <w:highlight w:val="none"/>
          <w:lang w:val="en-US" w:eastAsia="zh-CN"/>
        </w:rPr>
        <w:t>项目经理</w:t>
      </w:r>
      <w:r>
        <w:rPr>
          <w:rFonts w:hint="eastAsia"/>
          <w:color w:val="auto"/>
          <w:highlight w:val="none"/>
          <w:lang w:val="en-US" w:eastAsia="zh-CN"/>
        </w:rPr>
        <w:t>需具备10年（含）以上工作经验；具备3个（含）以上银行业数据治理或数据资产相关项目管理经验。</w:t>
      </w:r>
    </w:p>
    <w:p w14:paraId="120FA974">
      <w:pPr>
        <w:numPr>
          <w:ilvl w:val="0"/>
          <w:numId w:val="1"/>
        </w:numPr>
        <w:ind w:firstLineChars="0"/>
        <w:rPr>
          <w:rFonts w:hint="eastAsia"/>
          <w:color w:val="auto"/>
          <w:highlight w:val="none"/>
          <w:lang w:val="en-US" w:eastAsia="zh-CN"/>
        </w:rPr>
      </w:pPr>
      <w:r>
        <w:rPr>
          <w:rFonts w:hint="eastAsia"/>
          <w:b/>
          <w:bCs/>
          <w:color w:val="auto"/>
          <w:highlight w:val="none"/>
          <w:lang w:val="en-US" w:eastAsia="zh-CN"/>
        </w:rPr>
        <w:t>咨询顾问</w:t>
      </w:r>
      <w:r>
        <w:rPr>
          <w:rFonts w:hint="eastAsia"/>
          <w:color w:val="auto"/>
          <w:highlight w:val="none"/>
          <w:lang w:val="en-US" w:eastAsia="zh-CN"/>
        </w:rPr>
        <w:t>需具备10年（含）以上工作经验；具备3个（含）以上银行业数据治理或数据资产项目咨询案例。</w:t>
      </w:r>
    </w:p>
    <w:p w14:paraId="227DD537">
      <w:pPr>
        <w:numPr>
          <w:ilvl w:val="0"/>
          <w:numId w:val="1"/>
        </w:numPr>
        <w:ind w:firstLineChars="0"/>
        <w:rPr>
          <w:rFonts w:hint="eastAsia"/>
          <w:color w:val="auto"/>
          <w:highlight w:val="none"/>
          <w:lang w:val="en-US" w:eastAsia="zh-CN"/>
        </w:rPr>
      </w:pPr>
      <w:r>
        <w:rPr>
          <w:rFonts w:hint="eastAsia"/>
          <w:b/>
          <w:bCs/>
          <w:color w:val="auto"/>
          <w:highlight w:val="none"/>
          <w:lang w:val="en-US" w:eastAsia="zh-CN"/>
        </w:rPr>
        <w:t>数据治理工程师</w:t>
      </w:r>
      <w:r>
        <w:rPr>
          <w:rFonts w:hint="eastAsia"/>
          <w:color w:val="auto"/>
          <w:highlight w:val="none"/>
          <w:lang w:val="en-US" w:eastAsia="zh-CN"/>
        </w:rPr>
        <w:t>需具备5年（含）以上工作经验；具备3个（含）以上银行业数据治理或数据资产项目实施案例。</w:t>
      </w:r>
    </w:p>
    <w:p w14:paraId="0F26662F">
      <w:pPr>
        <w:numPr>
          <w:ilvl w:val="0"/>
          <w:numId w:val="1"/>
        </w:numPr>
        <w:ind w:firstLineChars="0"/>
        <w:rPr>
          <w:rFonts w:hint="eastAsia"/>
          <w:color w:val="auto"/>
          <w:highlight w:val="none"/>
          <w:lang w:val="en-US" w:eastAsia="zh-CN"/>
        </w:rPr>
      </w:pPr>
      <w:r>
        <w:rPr>
          <w:rFonts w:hint="eastAsia"/>
          <w:color w:val="auto"/>
          <w:highlight w:val="none"/>
          <w:lang w:val="en-US" w:eastAsia="zh-CN"/>
        </w:rPr>
        <w:t>其他项目组成员，需至少具备3个（含）以上银行业项目实施经验。</w:t>
      </w:r>
    </w:p>
    <w:p w14:paraId="6BB2EAEC">
      <w:pPr>
        <w:numPr>
          <w:ilvl w:val="0"/>
          <w:numId w:val="1"/>
        </w:numPr>
        <w:ind w:firstLineChars="0"/>
        <w:rPr>
          <w:rFonts w:hint="eastAsia"/>
          <w:color w:val="auto"/>
          <w:highlight w:val="none"/>
          <w:lang w:val="en-US" w:eastAsia="zh-CN"/>
        </w:rPr>
      </w:pPr>
      <w:r>
        <w:rPr>
          <w:rFonts w:hint="eastAsia"/>
          <w:color w:val="auto"/>
          <w:highlight w:val="none"/>
          <w:lang w:val="en-US" w:eastAsia="zh-CN"/>
        </w:rPr>
        <w:t>响应材料提供的项目组成员需与项目实施环节人员保持一致。未经采购人同意，不得更换项目组成员。</w:t>
      </w:r>
    </w:p>
    <w:p w14:paraId="4F27C303">
      <w:pPr>
        <w:rPr>
          <w:rFonts w:hint="eastAsia"/>
          <w:color w:val="auto"/>
          <w:highlight w:val="none"/>
        </w:rPr>
      </w:pPr>
      <w:r>
        <w:rPr>
          <w:rFonts w:hint="eastAsia" w:ascii="Times New Roman" w:hAnsi="Times New Roman"/>
          <w:color w:val="auto"/>
          <w:highlight w:val="none"/>
        </w:rPr>
        <w:t>【提供</w:t>
      </w:r>
      <w:r>
        <w:rPr>
          <w:rFonts w:hint="eastAsia"/>
          <w:color w:val="auto"/>
          <w:highlight w:val="none"/>
          <w:lang w:val="en-US" w:eastAsia="zh-CN"/>
        </w:rPr>
        <w:t>实施团队</w:t>
      </w:r>
      <w:r>
        <w:rPr>
          <w:color w:val="auto"/>
          <w:highlight w:val="none"/>
          <w:lang w:val="en-US" w:eastAsia="zh-CN"/>
        </w:rPr>
        <w:t>信息</w:t>
      </w:r>
      <w:r>
        <w:rPr>
          <w:rFonts w:hint="eastAsia"/>
          <w:color w:val="auto"/>
          <w:highlight w:val="none"/>
          <w:lang w:val="en-US" w:eastAsia="zh-CN"/>
        </w:rPr>
        <w:t>，包括</w:t>
      </w:r>
      <w:r>
        <w:rPr>
          <w:rFonts w:hint="eastAsia" w:ascii="Times New Roman" w:hAnsi="Times New Roman"/>
          <w:color w:val="auto"/>
          <w:highlight w:val="none"/>
        </w:rPr>
        <w:t>：1、参与本询比项目的拟供项目组成员名单；2、提供名单中项目组成员简历信息。相关工作及项目经历需提供相应的证明材料，证明材料加盖响应人公章】</w:t>
      </w:r>
    </w:p>
    <w:p w14:paraId="6C50157F">
      <w:pPr>
        <w:rPr>
          <w:rFonts w:hint="eastAsia"/>
          <w:color w:val="auto"/>
          <w:highlight w:val="none"/>
          <w:lang w:val="en-US" w:eastAsia="zh-CN"/>
        </w:rPr>
      </w:pPr>
      <w:r>
        <w:rPr>
          <w:rFonts w:hint="eastAsia"/>
          <w:color w:val="auto"/>
          <w:highlight w:val="none"/>
        </w:rPr>
        <w:t>2.</w:t>
      </w:r>
      <w:r>
        <w:rPr>
          <w:rFonts w:hint="eastAsia"/>
          <w:color w:val="auto"/>
          <w:highlight w:val="none"/>
          <w:lang w:val="en-US" w:eastAsia="zh-CN"/>
        </w:rPr>
        <w:t>8 响应人资质要求</w:t>
      </w:r>
    </w:p>
    <w:p w14:paraId="3F0168BC">
      <w:pPr>
        <w:pStyle w:val="13"/>
        <w:rPr>
          <w:rFonts w:hint="eastAsia"/>
          <w:color w:val="auto"/>
          <w:highlight w:val="none"/>
          <w:lang w:val="en-US" w:eastAsia="zh-CN"/>
        </w:rPr>
      </w:pPr>
      <w:r>
        <w:rPr>
          <w:rFonts w:hint="eastAsia"/>
          <w:color w:val="auto"/>
          <w:highlight w:val="none"/>
          <w:lang w:val="en-US" w:eastAsia="zh-CN"/>
        </w:rPr>
        <w:t>（1）具备产品软件著作权证书；</w:t>
      </w:r>
    </w:p>
    <w:p w14:paraId="7AD0DDBB">
      <w:pPr>
        <w:pStyle w:val="13"/>
        <w:rPr>
          <w:rFonts w:hint="eastAsia"/>
          <w:color w:val="auto"/>
          <w:highlight w:val="none"/>
          <w:lang w:val="en-US" w:eastAsia="zh-CN"/>
        </w:rPr>
      </w:pPr>
      <w:r>
        <w:rPr>
          <w:rFonts w:hint="eastAsia"/>
          <w:color w:val="auto"/>
          <w:highlight w:val="none"/>
          <w:lang w:val="en-US" w:eastAsia="zh-CN"/>
        </w:rPr>
        <w:t>（2）具备软件研发体系CMMI3级及以上级别认证证书；</w:t>
      </w:r>
    </w:p>
    <w:p w14:paraId="4DD4FCF5">
      <w:pPr>
        <w:pStyle w:val="13"/>
        <w:rPr>
          <w:rFonts w:hint="eastAsia"/>
          <w:color w:val="auto"/>
          <w:highlight w:val="none"/>
          <w:lang w:val="en-US" w:eastAsia="zh-CN"/>
        </w:rPr>
      </w:pPr>
      <w:r>
        <w:rPr>
          <w:rFonts w:hint="eastAsia"/>
          <w:color w:val="auto"/>
          <w:highlight w:val="none"/>
          <w:lang w:val="en-US" w:eastAsia="zh-CN"/>
        </w:rPr>
        <w:t>（3）具备ISO27001信息安全管理体系认证证书；</w:t>
      </w:r>
    </w:p>
    <w:p w14:paraId="1965FAF1">
      <w:pPr>
        <w:pStyle w:val="13"/>
        <w:rPr>
          <w:rFonts w:hint="eastAsia"/>
          <w:color w:val="auto"/>
          <w:highlight w:val="none"/>
          <w:lang w:val="en-US" w:eastAsia="zh-CN"/>
        </w:rPr>
      </w:pPr>
      <w:r>
        <w:rPr>
          <w:rFonts w:hint="eastAsia"/>
          <w:color w:val="auto"/>
          <w:highlight w:val="none"/>
          <w:lang w:val="en-US" w:eastAsia="zh-CN"/>
        </w:rPr>
        <w:t>（4）具备ISO20000信息技术服务体系认证证书。</w:t>
      </w:r>
    </w:p>
    <w:p w14:paraId="6DFBA935">
      <w:pPr>
        <w:pStyle w:val="13"/>
        <w:rPr>
          <w:color w:val="auto"/>
          <w:highlight w:val="none"/>
          <w:lang w:val="en-US" w:eastAsia="zh-CN"/>
        </w:rPr>
      </w:pPr>
      <w:r>
        <w:rPr>
          <w:rFonts w:hint="eastAsia"/>
          <w:color w:val="auto"/>
          <w:highlight w:val="none"/>
          <w:lang w:val="en-US" w:eastAsia="zh-CN"/>
        </w:rPr>
        <w:t>【提供：相关资质认证证书】</w:t>
      </w:r>
    </w:p>
    <w:p w14:paraId="15C1152A">
      <w:pPr>
        <w:rPr>
          <w:rFonts w:hint="eastAsia"/>
          <w:color w:val="auto"/>
          <w:highlight w:val="none"/>
        </w:rPr>
      </w:pPr>
      <w:r>
        <w:rPr>
          <w:rFonts w:hint="eastAsia"/>
          <w:color w:val="auto"/>
          <w:highlight w:val="none"/>
          <w:lang w:val="en-US" w:eastAsia="zh-CN"/>
        </w:rPr>
        <w:t xml:space="preserve">2.9 </w:t>
      </w:r>
      <w:r>
        <w:rPr>
          <w:rFonts w:hint="eastAsia"/>
          <w:color w:val="auto"/>
          <w:highlight w:val="none"/>
        </w:rPr>
        <w:t>响应人近3年财务状况稳定。</w:t>
      </w:r>
      <w:bookmarkStart w:id="18" w:name="_Hlk47356067"/>
      <w:r>
        <w:rPr>
          <w:rFonts w:hint="eastAsia"/>
          <w:color w:val="auto"/>
          <w:highlight w:val="none"/>
        </w:rPr>
        <w:t>提供未使用第三方软件产品确认函</w:t>
      </w:r>
      <w:bookmarkEnd w:id="18"/>
      <w:r>
        <w:rPr>
          <w:rFonts w:hint="eastAsia"/>
          <w:color w:val="auto"/>
          <w:highlight w:val="none"/>
        </w:rPr>
        <w:t>。【提供：1、财务状况提供书面声明；</w:t>
      </w:r>
      <w:r>
        <w:rPr>
          <w:rFonts w:hint="eastAsia"/>
          <w:color w:val="auto"/>
          <w:highlight w:val="none"/>
          <w:lang w:val="en-US" w:eastAsia="zh-CN"/>
        </w:rPr>
        <w:t>2</w:t>
      </w:r>
      <w:r>
        <w:rPr>
          <w:rFonts w:hint="eastAsia"/>
          <w:color w:val="auto"/>
          <w:highlight w:val="none"/>
        </w:rPr>
        <w:t>、提供未使用第三方软件产品确认函】</w:t>
      </w:r>
    </w:p>
    <w:p w14:paraId="6251BBB2">
      <w:pPr>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以上证明文件若采购人存疑，响应人需提供原件备查，响应文件中须附相关证明文件复印件并逐页加盖公章。</w:t>
      </w:r>
    </w:p>
    <w:p w14:paraId="7D0043AE">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p>
    <w:bookmarkEnd w:id="17"/>
    <w:p w14:paraId="548E6BA7">
      <w:pPr>
        <w:pStyle w:val="4"/>
        <w:rPr>
          <w:color w:val="auto"/>
          <w:highlight w:val="none"/>
        </w:rPr>
      </w:pPr>
      <w:bookmarkStart w:id="19" w:name="_Toc55379220"/>
      <w:bookmarkStart w:id="20" w:name="_Toc469574667"/>
      <w:bookmarkStart w:id="21" w:name="_Toc297817090"/>
      <w:bookmarkStart w:id="22" w:name="_Toc89675130"/>
      <w:r>
        <w:rPr>
          <w:rFonts w:hint="eastAsia"/>
          <w:color w:val="auto"/>
          <w:highlight w:val="none"/>
        </w:rPr>
        <w:t>3. 询比文件的获取</w:t>
      </w:r>
      <w:bookmarkEnd w:id="19"/>
    </w:p>
    <w:p w14:paraId="529BEC88">
      <w:pPr>
        <w:rPr>
          <w:color w:val="auto"/>
          <w:highlight w:val="none"/>
        </w:rPr>
      </w:pPr>
      <w:r>
        <w:rPr>
          <w:rFonts w:hint="eastAsia"/>
          <w:color w:val="auto"/>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09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w:t>
      </w:r>
      <w:r>
        <w:rPr>
          <w:rFonts w:hint="eastAsia"/>
          <w:color w:val="auto"/>
          <w:highlight w:val="none"/>
        </w:rPr>
        <w:t>（北京时间）</w:t>
      </w:r>
    </w:p>
    <w:p w14:paraId="1D9117E6">
      <w:pPr>
        <w:rPr>
          <w:color w:val="auto"/>
          <w:highlight w:val="none"/>
        </w:rPr>
      </w:pPr>
      <w:r>
        <w:rPr>
          <w:rFonts w:hint="eastAsia"/>
          <w:color w:val="auto"/>
          <w:highlight w:val="none"/>
        </w:rPr>
        <w:t>3.2 获取时间和方式：从</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日</w:t>
      </w:r>
      <w:r>
        <w:rPr>
          <w:rFonts w:hint="eastAsia"/>
          <w:color w:val="auto"/>
          <w:highlight w:val="none"/>
        </w:rPr>
        <w:t>到响应截止时间，在重庆市公共资源交易网（www.cqggzy.com）下载询比文件。</w:t>
      </w:r>
    </w:p>
    <w:p w14:paraId="0BF8B0E2">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w:t>
      </w:r>
      <w:r>
        <w:rPr>
          <w:rFonts w:hint="eastAsia"/>
          <w:color w:val="auto"/>
          <w:highlight w:val="none"/>
        </w:rPr>
        <w:t>（北京时间）前自行在重庆市公共资源交易网（http://www.cqggzy.com/）询比公告的“我要提问”栏目匿名提出。响应人未提出，则视为响应人已全面确认询比文件内容。</w:t>
      </w:r>
    </w:p>
    <w:p w14:paraId="4E70B187">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0F26966">
      <w:pPr>
        <w:pStyle w:val="4"/>
        <w:rPr>
          <w:color w:val="auto"/>
          <w:highlight w:val="none"/>
        </w:rPr>
      </w:pPr>
      <w:bookmarkStart w:id="23" w:name="_Toc55379221"/>
      <w:r>
        <w:rPr>
          <w:rFonts w:hint="eastAsia"/>
          <w:color w:val="auto"/>
          <w:highlight w:val="none"/>
        </w:rPr>
        <w:t>4. 响应保证金的递交</w:t>
      </w:r>
      <w:bookmarkEnd w:id="20"/>
      <w:bookmarkEnd w:id="21"/>
      <w:bookmarkEnd w:id="22"/>
      <w:bookmarkEnd w:id="23"/>
    </w:p>
    <w:p w14:paraId="2F729894">
      <w:pPr>
        <w:rPr>
          <w:color w:val="auto"/>
          <w:highlight w:val="none"/>
        </w:rPr>
      </w:pPr>
      <w:bookmarkStart w:id="24" w:name="_Toc469574668"/>
      <w:bookmarkStart w:id="25" w:name="_Toc55379222"/>
      <w:bookmarkStart w:id="26" w:name="_Toc297817091"/>
      <w:bookmarkStart w:id="27" w:name="_Toc89675131"/>
      <w:r>
        <w:rPr>
          <w:rFonts w:hint="eastAsia"/>
          <w:color w:val="auto"/>
          <w:highlight w:val="none"/>
        </w:rPr>
        <w:t>4.1 响应保证金的金额：</w:t>
      </w:r>
      <w:r>
        <w:rPr>
          <w:rFonts w:hint="eastAsia"/>
          <w:b/>
          <w:bCs/>
          <w:color w:val="auto"/>
          <w:highlight w:val="none"/>
          <w:u w:val="single"/>
        </w:rPr>
        <w:t xml:space="preserve">   </w:t>
      </w:r>
      <w:r>
        <w:rPr>
          <w:rFonts w:hint="eastAsia" w:ascii="Times New Roman" w:hAnsi="Times New Roman"/>
          <w:b/>
          <w:bCs/>
          <w:color w:val="auto"/>
          <w:highlight w:val="none"/>
          <w:u w:val="single"/>
          <w:lang w:val="en-US" w:eastAsia="zh-CN"/>
        </w:rPr>
        <w:t>46000</w:t>
      </w:r>
      <w:r>
        <w:rPr>
          <w:rFonts w:hint="eastAsia" w:ascii="Times New Roman" w:hAnsi="Times New Roman"/>
          <w:b/>
          <w:bCs/>
          <w:color w:val="auto"/>
          <w:highlight w:val="none"/>
          <w:u w:val="single"/>
        </w:rPr>
        <w:t xml:space="preserve"> </w:t>
      </w:r>
      <w:r>
        <w:rPr>
          <w:rFonts w:hint="eastAsia"/>
          <w:b/>
          <w:bCs/>
          <w:color w:val="auto"/>
          <w:highlight w:val="none"/>
          <w:u w:val="single"/>
        </w:rPr>
        <w:t xml:space="preserve">  元整（大写：</w:t>
      </w:r>
      <w:r>
        <w:rPr>
          <w:rFonts w:hint="eastAsia"/>
          <w:b/>
          <w:bCs/>
          <w:color w:val="auto"/>
          <w:highlight w:val="none"/>
          <w:u w:val="single"/>
          <w:lang w:val="en-US" w:eastAsia="zh-CN"/>
        </w:rPr>
        <w:t>肆万陆仟元整</w:t>
      </w:r>
      <w:r>
        <w:rPr>
          <w:rFonts w:hint="eastAsia"/>
          <w:b/>
          <w:bCs/>
          <w:color w:val="auto"/>
          <w:highlight w:val="none"/>
          <w:u w:val="single"/>
        </w:rPr>
        <w:t>）</w:t>
      </w:r>
      <w:r>
        <w:rPr>
          <w:rFonts w:hint="eastAsia"/>
          <w:color w:val="auto"/>
          <w:highlight w:val="none"/>
        </w:rPr>
        <w:t>。</w:t>
      </w:r>
    </w:p>
    <w:p w14:paraId="4152E84E">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376C4DD">
      <w:pPr>
        <w:rPr>
          <w:b/>
          <w:bCs/>
          <w:color w:val="auto"/>
          <w:highlight w:val="none"/>
        </w:rPr>
      </w:pPr>
      <w:r>
        <w:rPr>
          <w:rFonts w:hint="eastAsia"/>
          <w:b/>
          <w:bCs/>
          <w:color w:val="auto"/>
          <w:highlight w:val="none"/>
        </w:rPr>
        <w:t>响应人可在付款凭证备注栏中注明项目简称。可简写成：</w:t>
      </w:r>
      <w:r>
        <w:rPr>
          <w:rFonts w:hint="eastAsia"/>
          <w:b/>
          <w:bCs/>
          <w:color w:val="auto"/>
          <w:highlight w:val="none"/>
          <w:u w:val="single"/>
        </w:rPr>
        <w:t xml:space="preserve"> </w:t>
      </w:r>
      <w:r>
        <w:rPr>
          <w:rFonts w:hint="eastAsia"/>
          <w:b/>
          <w:bCs/>
          <w:color w:val="auto"/>
          <w:highlight w:val="none"/>
          <w:u w:val="single"/>
          <w:lang w:val="en-US" w:eastAsia="zh-CN"/>
        </w:rPr>
        <w:t>三峡银行数据资产平台</w:t>
      </w:r>
      <w:r>
        <w:rPr>
          <w:rFonts w:hint="eastAsia"/>
          <w:b/>
          <w:bCs/>
          <w:color w:val="auto"/>
          <w:highlight w:val="none"/>
          <w:u w:val="single"/>
        </w:rPr>
        <w:t>项目</w:t>
      </w:r>
      <w:r>
        <w:rPr>
          <w:rFonts w:hint="eastAsia"/>
          <w:b/>
          <w:bCs/>
          <w:color w:val="auto"/>
          <w:highlight w:val="none"/>
        </w:rPr>
        <w:t>。</w:t>
      </w:r>
    </w:p>
    <w:p w14:paraId="1D90C672">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22764D41">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48EF0892">
      <w:pPr>
        <w:rPr>
          <w:color w:val="auto"/>
          <w:highlight w:val="none"/>
        </w:rPr>
      </w:pPr>
      <w:r>
        <w:rPr>
          <w:rFonts w:hint="eastAsia"/>
          <w:color w:val="auto"/>
          <w:highlight w:val="none"/>
        </w:rPr>
        <w:t>详见重庆市公共资源交易网（www.cqggzy.com）对应本项目询比公告信息栏中的保证金信息。</w:t>
      </w:r>
    </w:p>
    <w:p w14:paraId="6A8434E1">
      <w:pPr>
        <w:pStyle w:val="4"/>
        <w:rPr>
          <w:color w:val="auto"/>
          <w:highlight w:val="none"/>
        </w:rPr>
      </w:pPr>
      <w:r>
        <w:rPr>
          <w:rFonts w:hint="eastAsia"/>
          <w:color w:val="auto"/>
          <w:highlight w:val="none"/>
        </w:rPr>
        <w:t>5. 市场主体信息登记</w:t>
      </w:r>
    </w:p>
    <w:p w14:paraId="19312C97">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4"/>
    <w:bookmarkEnd w:id="25"/>
    <w:bookmarkEnd w:id="26"/>
    <w:bookmarkEnd w:id="27"/>
    <w:p w14:paraId="6E20BA06">
      <w:pPr>
        <w:pStyle w:val="4"/>
        <w:rPr>
          <w:color w:val="auto"/>
          <w:highlight w:val="none"/>
        </w:rPr>
      </w:pPr>
      <w:r>
        <w:rPr>
          <w:rFonts w:hint="eastAsia"/>
          <w:color w:val="auto"/>
          <w:highlight w:val="none"/>
        </w:rPr>
        <w:t>6. 响应文件的递交</w:t>
      </w:r>
    </w:p>
    <w:p w14:paraId="2B21F375">
      <w:pPr>
        <w:rPr>
          <w:color w:val="auto"/>
          <w:highlight w:val="none"/>
        </w:rPr>
      </w:pPr>
      <w:bookmarkStart w:id="28" w:name="_Toc55379223"/>
      <w:bookmarkStart w:id="29" w:name="_Toc469574669"/>
      <w:bookmarkStart w:id="30" w:name="_Toc89675132"/>
      <w:r>
        <w:rPr>
          <w:rFonts w:hint="eastAsia"/>
          <w:color w:val="auto"/>
          <w:highlight w:val="none"/>
        </w:rPr>
        <w:t>6.1 响应文件现场递交时间为</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09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09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w:t>
      </w:r>
      <w:r>
        <w:rPr>
          <w:rFonts w:hint="eastAsia"/>
          <w:color w:val="auto"/>
          <w:highlight w:val="none"/>
        </w:rPr>
        <w:t>(北京时间)至响应截止时间。</w:t>
      </w:r>
    </w:p>
    <w:p w14:paraId="55C844FC">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A90B46A">
      <w:pPr>
        <w:rPr>
          <w:color w:val="auto"/>
          <w:highlight w:val="none"/>
        </w:rPr>
      </w:pPr>
      <w:r>
        <w:rPr>
          <w:rFonts w:hint="eastAsia"/>
          <w:color w:val="auto"/>
          <w:highlight w:val="none"/>
        </w:rPr>
        <w:t>6.3 逾期送达的响应文件，不予接收。</w:t>
      </w:r>
    </w:p>
    <w:p w14:paraId="7C692D57">
      <w:pPr>
        <w:pStyle w:val="4"/>
        <w:rPr>
          <w:color w:val="auto"/>
          <w:highlight w:val="none"/>
        </w:rPr>
      </w:pPr>
      <w:r>
        <w:rPr>
          <w:rFonts w:hint="eastAsia"/>
          <w:color w:val="auto"/>
          <w:highlight w:val="none"/>
        </w:rPr>
        <w:t>7. 发布公告的媒介</w:t>
      </w:r>
      <w:bookmarkEnd w:id="28"/>
      <w:bookmarkEnd w:id="29"/>
      <w:bookmarkEnd w:id="30"/>
    </w:p>
    <w:p w14:paraId="2FDABFC4">
      <w:pPr>
        <w:rPr>
          <w:color w:val="auto"/>
          <w:highlight w:val="none"/>
        </w:rPr>
      </w:pPr>
      <w:r>
        <w:rPr>
          <w:rFonts w:hint="eastAsia"/>
          <w:color w:val="auto"/>
          <w:highlight w:val="none"/>
        </w:rPr>
        <w:t>本次询比公告同时在《重庆市公共资源交易网（www.cqggzy.com）》《重庆三峡银行官网（https://www.ccqtgb.com）》和《中国招标投标公共服务平台（http://www.cebpubservice.com）》上发布。</w:t>
      </w:r>
    </w:p>
    <w:p w14:paraId="4A048C83">
      <w:pPr>
        <w:pStyle w:val="4"/>
        <w:rPr>
          <w:color w:val="auto"/>
          <w:highlight w:val="none"/>
        </w:rPr>
      </w:pPr>
      <w:r>
        <w:rPr>
          <w:rFonts w:hint="eastAsia"/>
          <w:color w:val="auto"/>
          <w:highlight w:val="none"/>
        </w:rPr>
        <w:t>8. 联系方式</w:t>
      </w:r>
      <w:bookmarkEnd w:id="7"/>
      <w:bookmarkEnd w:id="8"/>
      <w:bookmarkEnd w:id="9"/>
      <w:bookmarkEnd w:id="10"/>
    </w:p>
    <w:p w14:paraId="61BB135D">
      <w:pPr>
        <w:rPr>
          <w:color w:val="auto"/>
          <w:highlight w:val="none"/>
        </w:rPr>
      </w:pPr>
    </w:p>
    <w:tbl>
      <w:tblPr>
        <w:tblStyle w:val="21"/>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69F6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DB6B173">
            <w:pPr>
              <w:ind w:firstLine="0" w:firstLineChars="0"/>
              <w:jc w:val="left"/>
              <w:rPr>
                <w:color w:val="auto"/>
                <w:highlight w:val="none"/>
              </w:rPr>
            </w:pPr>
            <w:r>
              <w:rPr>
                <w:rFonts w:hint="eastAsia"/>
                <w:color w:val="auto"/>
                <w:highlight w:val="none"/>
              </w:rPr>
              <w:t>8.1 项目需求咨询</w:t>
            </w:r>
          </w:p>
        </w:tc>
      </w:tr>
      <w:tr w14:paraId="4D7F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8CD2916">
            <w:pPr>
              <w:ind w:firstLine="0" w:firstLineChars="0"/>
              <w:jc w:val="left"/>
              <w:rPr>
                <w:rFonts w:eastAsia="宋体" w:cs="宋体"/>
                <w:color w:val="auto"/>
                <w:szCs w:val="21"/>
                <w:highlight w:val="none"/>
                <w:lang w:val="en-US" w:eastAsia="zh-CN"/>
              </w:rPr>
            </w:pPr>
            <w:r>
              <w:rPr>
                <w:rFonts w:hint="eastAsia"/>
                <w:color w:val="auto"/>
                <w:highlight w:val="none"/>
              </w:rPr>
              <w:t>项目联系人：</w:t>
            </w:r>
            <w:r>
              <w:rPr>
                <w:rFonts w:hint="eastAsia"/>
                <w:color w:val="auto"/>
                <w:highlight w:val="none"/>
                <w:lang w:val="en-US" w:eastAsia="zh-CN"/>
              </w:rPr>
              <w:t>刘</w:t>
            </w:r>
            <w:r>
              <w:rPr>
                <w:color w:val="auto"/>
                <w:highlight w:val="none"/>
                <w:lang w:val="en-US" w:eastAsia="zh-CN"/>
              </w:rPr>
              <w:t>老师</w:t>
            </w:r>
          </w:p>
        </w:tc>
        <w:tc>
          <w:tcPr>
            <w:tcW w:w="4480" w:type="dxa"/>
            <w:tcBorders>
              <w:top w:val="nil"/>
              <w:left w:val="nil"/>
              <w:bottom w:val="nil"/>
              <w:right w:val="single" w:color="auto" w:sz="4" w:space="0"/>
            </w:tcBorders>
          </w:tcPr>
          <w:p w14:paraId="79A53CA7">
            <w:pPr>
              <w:ind w:firstLine="0" w:firstLineChars="0"/>
              <w:jc w:val="left"/>
              <w:rPr>
                <w:rFonts w:eastAsia="宋体" w:cs="宋体"/>
                <w:color w:val="auto"/>
                <w:szCs w:val="21"/>
                <w:highlight w:val="none"/>
                <w:lang w:val="en-US" w:eastAsia="zh-CN"/>
              </w:rPr>
            </w:pPr>
            <w:r>
              <w:rPr>
                <w:rFonts w:hint="eastAsia"/>
                <w:color w:val="auto"/>
                <w:highlight w:val="none"/>
              </w:rPr>
              <w:t>联系方式：</w:t>
            </w:r>
            <w:r>
              <w:rPr>
                <w:rFonts w:hint="eastAsia"/>
                <w:color w:val="auto"/>
                <w:highlight w:val="none"/>
                <w:lang w:val="en-US" w:eastAsia="zh-CN"/>
              </w:rPr>
              <w:t>023-88890939</w:t>
            </w:r>
          </w:p>
        </w:tc>
      </w:tr>
      <w:tr w14:paraId="4665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F446E75">
            <w:pPr>
              <w:ind w:firstLine="0" w:firstLineChars="0"/>
              <w:jc w:val="left"/>
              <w:rPr>
                <w:color w:val="auto"/>
                <w:highlight w:val="none"/>
              </w:rPr>
            </w:pPr>
          </w:p>
        </w:tc>
      </w:tr>
      <w:tr w14:paraId="0413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026486">
            <w:pPr>
              <w:ind w:firstLine="0" w:firstLineChars="0"/>
              <w:jc w:val="left"/>
              <w:rPr>
                <w:color w:val="auto"/>
                <w:highlight w:val="none"/>
              </w:rPr>
            </w:pPr>
            <w:r>
              <w:rPr>
                <w:rFonts w:hint="eastAsia"/>
                <w:color w:val="auto"/>
                <w:highlight w:val="none"/>
              </w:rPr>
              <w:t>8.2 项目流程咨询</w:t>
            </w:r>
          </w:p>
        </w:tc>
      </w:tr>
      <w:tr w14:paraId="2430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FD7FF55">
            <w:pPr>
              <w:ind w:firstLine="0" w:firstLineChars="0"/>
              <w:jc w:val="left"/>
              <w:rPr>
                <w:color w:val="auto"/>
                <w:highlight w:val="none"/>
              </w:rPr>
            </w:pPr>
            <w:r>
              <w:rPr>
                <w:rFonts w:hint="eastAsia"/>
                <w:color w:val="auto"/>
                <w:highlight w:val="none"/>
              </w:rPr>
              <w:t>平台服务机构：重庆联合产权交易所集团股份有限公司</w:t>
            </w:r>
          </w:p>
        </w:tc>
      </w:tr>
      <w:tr w14:paraId="4D63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AE8138E">
            <w:pPr>
              <w:ind w:firstLine="0" w:firstLineChars="0"/>
              <w:jc w:val="left"/>
              <w:rPr>
                <w:rFonts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tcPr>
          <w:p w14:paraId="5CCFE11F">
            <w:pPr>
              <w:ind w:firstLine="0" w:firstLineChars="0"/>
              <w:jc w:val="left"/>
              <w:rPr>
                <w:rFonts w:cs="宋体"/>
                <w:color w:val="auto"/>
                <w:szCs w:val="21"/>
                <w:highlight w:val="none"/>
              </w:rPr>
            </w:pPr>
            <w:r>
              <w:rPr>
                <w:rFonts w:hint="eastAsia"/>
                <w:color w:val="auto"/>
                <w:highlight w:val="none"/>
              </w:rPr>
              <w:t>联系方式：023-63621694</w:t>
            </w:r>
          </w:p>
        </w:tc>
      </w:tr>
      <w:tr w14:paraId="250F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307D28E">
            <w:pPr>
              <w:ind w:firstLine="0" w:firstLineChars="0"/>
              <w:jc w:val="left"/>
              <w:rPr>
                <w:color w:val="auto"/>
                <w:highlight w:val="none"/>
              </w:rPr>
            </w:pPr>
          </w:p>
        </w:tc>
      </w:tr>
      <w:tr w14:paraId="36D9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46E195">
            <w:pPr>
              <w:ind w:firstLine="0" w:firstLineChars="0"/>
              <w:jc w:val="left"/>
              <w:rPr>
                <w:color w:val="auto"/>
                <w:highlight w:val="none"/>
              </w:rPr>
            </w:pPr>
            <w:r>
              <w:rPr>
                <w:rFonts w:hint="eastAsia"/>
                <w:color w:val="auto"/>
                <w:highlight w:val="none"/>
              </w:rPr>
              <w:t>8.3 采购人联系方式</w:t>
            </w:r>
          </w:p>
        </w:tc>
      </w:tr>
      <w:tr w14:paraId="3AB1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458CF18">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5A2BAB04">
            <w:pPr>
              <w:ind w:firstLine="0" w:firstLineChars="0"/>
              <w:jc w:val="left"/>
              <w:rPr>
                <w:rFonts w:cs="宋体"/>
                <w:color w:val="auto"/>
                <w:szCs w:val="21"/>
                <w:highlight w:val="none"/>
              </w:rPr>
            </w:pPr>
            <w:r>
              <w:rPr>
                <w:rFonts w:hint="eastAsia"/>
                <w:color w:val="auto"/>
                <w:highlight w:val="none"/>
              </w:rPr>
              <w:t>联系方式：023-88890395</w:t>
            </w:r>
          </w:p>
        </w:tc>
      </w:tr>
      <w:tr w14:paraId="2732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9BE2972">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4EF08EC7">
      <w:pPr>
        <w:rPr>
          <w:color w:val="auto"/>
          <w:highlight w:val="none"/>
        </w:rPr>
      </w:pPr>
    </w:p>
    <w:p w14:paraId="527150FD">
      <w:pPr>
        <w:spacing w:line="240" w:lineRule="auto"/>
        <w:ind w:firstLine="0" w:firstLineChars="0"/>
        <w:jc w:val="right"/>
        <w:rPr>
          <w:color w:val="auto"/>
          <w:highlight w:val="none"/>
        </w:rPr>
      </w:pPr>
      <w:r>
        <w:rPr>
          <w:rFonts w:hint="eastAsia"/>
          <w:color w:val="auto"/>
          <w:highlight w:val="none"/>
        </w:rPr>
        <w:t>重庆三峡银行股份有限公司</w:t>
      </w:r>
    </w:p>
    <w:p w14:paraId="53AB77C2">
      <w:pPr>
        <w:jc w:val="right"/>
        <w:rPr>
          <w:highlight w:val="none"/>
        </w:rPr>
      </w:pPr>
      <w:r>
        <w:rPr>
          <w:rFonts w:hint="eastAsia"/>
          <w:highlight w:val="none"/>
        </w:rPr>
        <w:t>202</w:t>
      </w:r>
      <w:r>
        <w:rPr>
          <w:rFonts w:hint="eastAsia" w:ascii="Times New Roman" w:eastAsia="宋体"/>
          <w:highlight w:val="none"/>
          <w:lang w:val="en-US" w:eastAsia="zh-CN"/>
        </w:rPr>
        <w:t>5</w:t>
      </w:r>
      <w:r>
        <w:rPr>
          <w:rFonts w:hint="eastAsia"/>
          <w:highlight w:val="none"/>
        </w:rPr>
        <w:t>年</w:t>
      </w:r>
      <w:r>
        <w:rPr>
          <w:rFonts w:hint="eastAsia" w:ascii="Times New Roman" w:eastAsia="宋体"/>
          <w:highlight w:val="none"/>
          <w:lang w:val="en-US" w:eastAsia="zh-CN"/>
        </w:rPr>
        <w:t>9</w:t>
      </w:r>
      <w:r>
        <w:rPr>
          <w:rFonts w:hint="eastAsia"/>
          <w:highlight w:val="none"/>
        </w:rPr>
        <w:t>月</w:t>
      </w:r>
      <w:r>
        <w:rPr>
          <w:rFonts w:hint="eastAsia" w:ascii="Times New Roman" w:eastAsia="宋体"/>
          <w:highlight w:val="none"/>
          <w:lang w:val="en-US" w:eastAsia="zh-CN"/>
        </w:rPr>
        <w:t>12</w:t>
      </w:r>
      <w:r>
        <w:rPr>
          <w:rFonts w:hint="eastAsia"/>
          <w:highlight w:val="none"/>
        </w:rPr>
        <w:t>日</w:t>
      </w:r>
    </w:p>
    <w:p w14:paraId="74D77878">
      <w:pPr>
        <w:rPr>
          <w:color w:val="auto"/>
          <w:highlight w:val="none"/>
        </w:rPr>
      </w:pPr>
      <w:r>
        <w:rPr>
          <w:color w:val="auto"/>
          <w:highlight w:val="none"/>
        </w:rPr>
        <w:br w:type="page"/>
      </w:r>
    </w:p>
    <w:p w14:paraId="74AFE5A7">
      <w:pPr>
        <w:pStyle w:val="3"/>
        <w:rPr>
          <w:color w:val="auto"/>
          <w:highlight w:val="none"/>
        </w:rPr>
      </w:pPr>
      <w:bookmarkStart w:id="31" w:name="_Toc303066033"/>
      <w:bookmarkStart w:id="32" w:name="_Toc22321"/>
      <w:bookmarkStart w:id="33" w:name="_Toc32557"/>
      <w:bookmarkStart w:id="34" w:name="_Toc89675159"/>
      <w:r>
        <w:rPr>
          <w:rFonts w:hint="eastAsia"/>
          <w:color w:val="auto"/>
          <w:highlight w:val="none"/>
        </w:rPr>
        <w:t>第二章 响应人须知</w:t>
      </w:r>
      <w:bookmarkEnd w:id="31"/>
      <w:bookmarkEnd w:id="32"/>
      <w:bookmarkEnd w:id="33"/>
      <w:bookmarkEnd w:id="34"/>
    </w:p>
    <w:p w14:paraId="5B370FD2">
      <w:pPr>
        <w:pStyle w:val="4"/>
        <w:rPr>
          <w:color w:val="auto"/>
          <w:highlight w:val="none"/>
        </w:rPr>
      </w:pPr>
      <w:bookmarkStart w:id="35" w:name="_Toc89675161"/>
      <w:bookmarkStart w:id="36" w:name="_Toc89675160"/>
      <w:r>
        <w:rPr>
          <w:rFonts w:hint="eastAsia"/>
          <w:color w:val="auto"/>
          <w:highlight w:val="none"/>
        </w:rPr>
        <w:t>1. 采购人</w:t>
      </w:r>
    </w:p>
    <w:p w14:paraId="5B85363B">
      <w:pPr>
        <w:rPr>
          <w:color w:val="auto"/>
          <w:highlight w:val="none"/>
        </w:rPr>
      </w:pPr>
      <w:r>
        <w:rPr>
          <w:color w:val="auto"/>
          <w:highlight w:val="none"/>
        </w:rPr>
        <w:t>重庆三峡银行股份有限公司</w:t>
      </w:r>
      <w:r>
        <w:rPr>
          <w:rFonts w:hint="eastAsia"/>
          <w:color w:val="auto"/>
          <w:highlight w:val="none"/>
        </w:rPr>
        <w:t>。</w:t>
      </w:r>
    </w:p>
    <w:p w14:paraId="12A63830">
      <w:pPr>
        <w:pStyle w:val="4"/>
        <w:rPr>
          <w:color w:val="auto"/>
          <w:highlight w:val="none"/>
        </w:rPr>
      </w:pPr>
      <w:r>
        <w:rPr>
          <w:rFonts w:hint="eastAsia"/>
          <w:color w:val="auto"/>
          <w:highlight w:val="none"/>
        </w:rPr>
        <w:t xml:space="preserve">2. </w:t>
      </w:r>
      <w:bookmarkEnd w:id="35"/>
      <w:r>
        <w:rPr>
          <w:rFonts w:hint="eastAsia"/>
          <w:color w:val="auto"/>
          <w:highlight w:val="none"/>
        </w:rPr>
        <w:t>响应人</w:t>
      </w:r>
    </w:p>
    <w:p w14:paraId="1A94B8A2">
      <w:pPr>
        <w:rPr>
          <w:color w:val="auto"/>
          <w:highlight w:val="none"/>
        </w:rPr>
      </w:pPr>
      <w:r>
        <w:rPr>
          <w:rFonts w:hint="eastAsia"/>
          <w:color w:val="auto"/>
          <w:highlight w:val="none"/>
        </w:rPr>
        <w:t>为采购人提供工程、货物和服务的承包商、供货商和服务商。</w:t>
      </w:r>
    </w:p>
    <w:p w14:paraId="6B80295E">
      <w:pPr>
        <w:pStyle w:val="5"/>
        <w:rPr>
          <w:color w:val="auto"/>
          <w:highlight w:val="none"/>
        </w:rPr>
      </w:pPr>
      <w:r>
        <w:rPr>
          <w:rFonts w:hint="eastAsia"/>
          <w:color w:val="auto"/>
          <w:highlight w:val="none"/>
        </w:rPr>
        <w:t>2.1 合格响应人条件</w:t>
      </w:r>
    </w:p>
    <w:p w14:paraId="2524CAD3">
      <w:pPr>
        <w:rPr>
          <w:color w:val="auto"/>
          <w:highlight w:val="none"/>
        </w:rPr>
      </w:pPr>
      <w:r>
        <w:rPr>
          <w:rFonts w:hint="eastAsia"/>
          <w:color w:val="auto"/>
          <w:highlight w:val="none"/>
        </w:rPr>
        <w:t>合格响应人应完全符合询比文件第一章中规定的响应人资格条件，并对询比文件作出实质性响应。</w:t>
      </w:r>
    </w:p>
    <w:p w14:paraId="0FD26F9B">
      <w:pPr>
        <w:pStyle w:val="5"/>
        <w:rPr>
          <w:color w:val="auto"/>
          <w:highlight w:val="none"/>
        </w:rPr>
      </w:pPr>
      <w:r>
        <w:rPr>
          <w:rFonts w:hint="eastAsia"/>
          <w:color w:val="auto"/>
          <w:highlight w:val="none"/>
        </w:rPr>
        <w:t>2.2 响应人的风险</w:t>
      </w:r>
    </w:p>
    <w:p w14:paraId="369EAF94">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bookmarkEnd w:id="36"/>
    <w:p w14:paraId="09D70461">
      <w:pPr>
        <w:pStyle w:val="4"/>
        <w:rPr>
          <w:color w:val="auto"/>
          <w:highlight w:val="none"/>
        </w:rPr>
      </w:pPr>
      <w:bookmarkStart w:id="37" w:name="_Toc89675162"/>
      <w:r>
        <w:rPr>
          <w:rFonts w:hint="eastAsia"/>
          <w:color w:val="auto"/>
          <w:highlight w:val="none"/>
        </w:rPr>
        <w:t xml:space="preserve">3. </w:t>
      </w:r>
      <w:bookmarkEnd w:id="37"/>
      <w:r>
        <w:rPr>
          <w:rFonts w:hint="eastAsia"/>
          <w:color w:val="auto"/>
          <w:highlight w:val="none"/>
        </w:rPr>
        <w:t>询比文件</w:t>
      </w:r>
    </w:p>
    <w:p w14:paraId="2B2FCE0F">
      <w:pPr>
        <w:rPr>
          <w:color w:val="auto"/>
          <w:highlight w:val="none"/>
        </w:rPr>
      </w:pPr>
      <w:r>
        <w:rPr>
          <w:rFonts w:hint="eastAsia"/>
          <w:color w:val="auto"/>
          <w:highlight w:val="none"/>
        </w:rPr>
        <w:t>采购人根据自身采购方案或需求编制的采购文件。</w:t>
      </w:r>
    </w:p>
    <w:p w14:paraId="483CA75E">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4AF5289B">
      <w:pPr>
        <w:rPr>
          <w:color w:val="auto"/>
          <w:highlight w:val="none"/>
        </w:rPr>
      </w:pPr>
      <w:r>
        <w:rPr>
          <w:rFonts w:hint="eastAsia"/>
          <w:color w:val="auto"/>
          <w:highlight w:val="none"/>
        </w:rPr>
        <w:t>采购人对询比文件所作的一切有效的书面通知、修改及补充，都是询比文件不可分割的部分。</w:t>
      </w:r>
    </w:p>
    <w:p w14:paraId="2663A6DA">
      <w:pPr>
        <w:pStyle w:val="4"/>
        <w:rPr>
          <w:color w:val="auto"/>
          <w:highlight w:val="none"/>
        </w:rPr>
      </w:pPr>
      <w:bookmarkStart w:id="38" w:name="_Toc89675163"/>
      <w:r>
        <w:rPr>
          <w:rFonts w:hint="eastAsia"/>
          <w:color w:val="auto"/>
          <w:highlight w:val="none"/>
        </w:rPr>
        <w:t xml:space="preserve">4. </w:t>
      </w:r>
      <w:bookmarkEnd w:id="38"/>
      <w:r>
        <w:rPr>
          <w:rFonts w:hint="eastAsia"/>
          <w:color w:val="auto"/>
          <w:highlight w:val="none"/>
        </w:rPr>
        <w:t>响应</w:t>
      </w:r>
    </w:p>
    <w:p w14:paraId="1E285E4A">
      <w:pPr>
        <w:rPr>
          <w:color w:val="auto"/>
          <w:highlight w:val="none"/>
        </w:rPr>
      </w:pPr>
      <w:r>
        <w:rPr>
          <w:rFonts w:hint="eastAsia"/>
          <w:color w:val="auto"/>
          <w:highlight w:val="none"/>
        </w:rPr>
        <w:t>响应人应当按照询比文件的要求编制响应文件，并对询比文件提出的要求和条件作出实质性响应。</w:t>
      </w:r>
    </w:p>
    <w:p w14:paraId="0FEB9B58">
      <w:pPr>
        <w:pStyle w:val="5"/>
        <w:rPr>
          <w:color w:val="auto"/>
          <w:highlight w:val="none"/>
        </w:rPr>
      </w:pPr>
      <w:r>
        <w:rPr>
          <w:rFonts w:hint="eastAsia"/>
          <w:color w:val="auto"/>
          <w:highlight w:val="none"/>
        </w:rPr>
        <w:t>4.1 响应文件</w:t>
      </w:r>
    </w:p>
    <w:p w14:paraId="25C0AEDE">
      <w:pPr>
        <w:rPr>
          <w:color w:val="auto"/>
          <w:highlight w:val="none"/>
        </w:rPr>
      </w:pPr>
      <w:r>
        <w:rPr>
          <w:rFonts w:hint="eastAsia"/>
          <w:color w:val="auto"/>
          <w:highlight w:val="none"/>
        </w:rPr>
        <w:t>参与询比活动的响应人按照询比文件的要求编制提交的要约文件的统称。</w:t>
      </w:r>
    </w:p>
    <w:p w14:paraId="7961B43F">
      <w:pPr>
        <w:pStyle w:val="5"/>
        <w:rPr>
          <w:color w:val="auto"/>
          <w:highlight w:val="none"/>
        </w:rPr>
      </w:pPr>
      <w:r>
        <w:rPr>
          <w:rFonts w:hint="eastAsia"/>
          <w:color w:val="auto"/>
          <w:highlight w:val="none"/>
        </w:rPr>
        <w:t>4.2 响应文件组成</w:t>
      </w:r>
    </w:p>
    <w:p w14:paraId="34C4000E">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30D730BB">
      <w:pPr>
        <w:pStyle w:val="5"/>
        <w:rPr>
          <w:color w:val="auto"/>
          <w:highlight w:val="none"/>
        </w:rPr>
      </w:pPr>
      <w:r>
        <w:rPr>
          <w:rFonts w:hint="eastAsia"/>
          <w:color w:val="auto"/>
          <w:highlight w:val="none"/>
        </w:rPr>
        <w:t>4.3 联合响应</w:t>
      </w:r>
    </w:p>
    <w:p w14:paraId="0DA7E1DE">
      <w:pPr>
        <w:rPr>
          <w:color w:val="auto"/>
          <w:highlight w:val="none"/>
        </w:rPr>
      </w:pPr>
      <w:r>
        <w:rPr>
          <w:rFonts w:hint="eastAsia"/>
          <w:color w:val="auto"/>
          <w:highlight w:val="none"/>
        </w:rPr>
        <w:t>本询比项目不接受联合响应</w:t>
      </w:r>
    </w:p>
    <w:p w14:paraId="2193A49F">
      <w:pPr>
        <w:pStyle w:val="5"/>
        <w:rPr>
          <w:color w:val="auto"/>
          <w:highlight w:val="none"/>
        </w:rPr>
      </w:pPr>
      <w:r>
        <w:rPr>
          <w:rFonts w:hint="eastAsia"/>
          <w:color w:val="auto"/>
          <w:highlight w:val="none"/>
        </w:rPr>
        <w:t>4.4 响应有效期</w:t>
      </w:r>
    </w:p>
    <w:p w14:paraId="27945616">
      <w:pPr>
        <w:rPr>
          <w:color w:val="auto"/>
          <w:highlight w:val="none"/>
        </w:rPr>
      </w:pPr>
      <w:r>
        <w:rPr>
          <w:rFonts w:hint="eastAsia"/>
          <w:color w:val="auto"/>
          <w:highlight w:val="none"/>
        </w:rPr>
        <w:t>响应有效期为响应截止时间后90天内。</w:t>
      </w:r>
    </w:p>
    <w:p w14:paraId="700801CC">
      <w:pPr>
        <w:pStyle w:val="5"/>
        <w:rPr>
          <w:color w:val="auto"/>
          <w:highlight w:val="none"/>
        </w:rPr>
      </w:pPr>
      <w:r>
        <w:rPr>
          <w:rFonts w:hint="eastAsia"/>
          <w:color w:val="auto"/>
          <w:highlight w:val="none"/>
        </w:rPr>
        <w:t>4.5 响应保证金</w:t>
      </w:r>
    </w:p>
    <w:p w14:paraId="6ADBB701">
      <w:pPr>
        <w:rPr>
          <w:color w:val="auto"/>
          <w:highlight w:val="none"/>
        </w:rPr>
      </w:pPr>
      <w:r>
        <w:rPr>
          <w:rFonts w:hint="eastAsia"/>
          <w:color w:val="auto"/>
          <w:highlight w:val="none"/>
        </w:rPr>
        <w:t>4.5.1 响应人应在响应截止时间前，按询比文件第一章规定向采购人缴纳响应保证金。</w:t>
      </w:r>
    </w:p>
    <w:p w14:paraId="5A1FD5D3">
      <w:pPr>
        <w:rPr>
          <w:color w:val="auto"/>
          <w:highlight w:val="none"/>
        </w:rPr>
      </w:pPr>
      <w:r>
        <w:rPr>
          <w:rFonts w:hint="eastAsia"/>
          <w:color w:val="auto"/>
          <w:highlight w:val="none"/>
        </w:rPr>
        <w:t>4.5.2 响应保证金为响应的有效约束条件。</w:t>
      </w:r>
    </w:p>
    <w:p w14:paraId="36D54E40">
      <w:pPr>
        <w:rPr>
          <w:color w:val="auto"/>
          <w:highlight w:val="none"/>
        </w:rPr>
      </w:pPr>
      <w:r>
        <w:rPr>
          <w:rFonts w:hint="eastAsia"/>
          <w:color w:val="auto"/>
          <w:highlight w:val="none"/>
        </w:rPr>
        <w:t>4.5.3 响应保证金有效期与响应文件有效期一致。</w:t>
      </w:r>
    </w:p>
    <w:p w14:paraId="4D4EAE7B">
      <w:pPr>
        <w:rPr>
          <w:color w:val="auto"/>
          <w:highlight w:val="none"/>
        </w:rPr>
      </w:pPr>
      <w:r>
        <w:rPr>
          <w:rFonts w:hint="eastAsia"/>
          <w:color w:val="auto"/>
          <w:highlight w:val="none"/>
        </w:rPr>
        <w:t>4.5.4 响应保证金币种应与响应报价币种相同。</w:t>
      </w:r>
    </w:p>
    <w:p w14:paraId="27A99C3B">
      <w:pPr>
        <w:rPr>
          <w:color w:val="auto"/>
          <w:highlight w:val="none"/>
        </w:rPr>
      </w:pPr>
      <w:r>
        <w:rPr>
          <w:rFonts w:hint="eastAsia"/>
          <w:color w:val="auto"/>
          <w:highlight w:val="none"/>
        </w:rPr>
        <w:t>4.5.5 响应保证金的退还：</w:t>
      </w:r>
    </w:p>
    <w:p w14:paraId="16941F26">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392222B4">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14A63357">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7E50D0D5">
      <w:pPr>
        <w:rPr>
          <w:color w:val="auto"/>
          <w:highlight w:val="none"/>
        </w:rPr>
      </w:pPr>
      <w:r>
        <w:rPr>
          <w:rFonts w:hint="eastAsia"/>
          <w:color w:val="auto"/>
          <w:highlight w:val="none"/>
        </w:rPr>
        <w:t>4.5.6 响应人有下列情形之一的，响应保证金将不予退还：</w:t>
      </w:r>
    </w:p>
    <w:p w14:paraId="071625E5">
      <w:pPr>
        <w:rPr>
          <w:color w:val="auto"/>
          <w:highlight w:val="none"/>
        </w:rPr>
      </w:pPr>
      <w:r>
        <w:rPr>
          <w:rFonts w:hint="eastAsia"/>
          <w:color w:val="auto"/>
          <w:highlight w:val="none"/>
        </w:rPr>
        <w:t>4.5.6.1 响应人在响应有效期内撤销响应文件的；</w:t>
      </w:r>
    </w:p>
    <w:p w14:paraId="585E8F76">
      <w:pPr>
        <w:rPr>
          <w:color w:val="auto"/>
          <w:highlight w:val="none"/>
        </w:rPr>
      </w:pPr>
      <w:r>
        <w:rPr>
          <w:rFonts w:hint="eastAsia"/>
          <w:color w:val="auto"/>
          <w:highlight w:val="none"/>
        </w:rPr>
        <w:t>4.5.6.2 响应人在响应过程中弄虚作假，提供虚假材料的；</w:t>
      </w:r>
    </w:p>
    <w:p w14:paraId="3163517E">
      <w:pPr>
        <w:rPr>
          <w:color w:val="auto"/>
          <w:highlight w:val="none"/>
        </w:rPr>
      </w:pPr>
      <w:r>
        <w:rPr>
          <w:rFonts w:hint="eastAsia"/>
          <w:color w:val="auto"/>
          <w:highlight w:val="none"/>
        </w:rPr>
        <w:t>4.5.6.3 成交供应商无故弃选或无正当理由不与采购人签订合同的；</w:t>
      </w:r>
    </w:p>
    <w:p w14:paraId="4FF043E2">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4C453F3A">
      <w:pPr>
        <w:rPr>
          <w:color w:val="auto"/>
          <w:highlight w:val="none"/>
        </w:rPr>
      </w:pPr>
      <w:r>
        <w:rPr>
          <w:rFonts w:hint="eastAsia"/>
          <w:color w:val="auto"/>
          <w:highlight w:val="none"/>
        </w:rPr>
        <w:t>4.5.6.5 成交供应商拒绝履行合同义务的；</w:t>
      </w:r>
    </w:p>
    <w:p w14:paraId="7D2ECFEA">
      <w:pPr>
        <w:rPr>
          <w:color w:val="auto"/>
          <w:highlight w:val="none"/>
        </w:rPr>
      </w:pPr>
      <w:r>
        <w:rPr>
          <w:rFonts w:hint="eastAsia"/>
          <w:color w:val="auto"/>
          <w:highlight w:val="none"/>
        </w:rPr>
        <w:t>4.5.6.6 其他严重扰乱询比程序的；</w:t>
      </w:r>
    </w:p>
    <w:p w14:paraId="5C215AE2">
      <w:pPr>
        <w:pStyle w:val="5"/>
        <w:rPr>
          <w:color w:val="auto"/>
          <w:highlight w:val="none"/>
        </w:rPr>
      </w:pPr>
      <w:r>
        <w:rPr>
          <w:rFonts w:hint="eastAsia"/>
          <w:color w:val="auto"/>
          <w:highlight w:val="none"/>
        </w:rPr>
        <w:t>4.6 响应文件的份数和签署</w:t>
      </w:r>
    </w:p>
    <w:p w14:paraId="5E0F693B">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DD362B8">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1F304A51">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6EDB2234">
      <w:pPr>
        <w:rPr>
          <w:color w:val="auto"/>
          <w:highlight w:val="none"/>
        </w:rPr>
      </w:pPr>
      <w:r>
        <w:rPr>
          <w:rFonts w:hint="eastAsia"/>
          <w:color w:val="auto"/>
          <w:highlight w:val="none"/>
        </w:rPr>
        <w:t>4.6.4 电报、电话、邮寄、传真形式的响应文件概不接受。</w:t>
      </w:r>
    </w:p>
    <w:p w14:paraId="544CDD10">
      <w:pPr>
        <w:pStyle w:val="5"/>
        <w:rPr>
          <w:color w:val="auto"/>
          <w:highlight w:val="none"/>
        </w:rPr>
      </w:pPr>
      <w:r>
        <w:rPr>
          <w:rFonts w:hint="eastAsia"/>
          <w:color w:val="auto"/>
          <w:highlight w:val="none"/>
        </w:rPr>
        <w:t>4.7 响应文件的密封与标记</w:t>
      </w:r>
    </w:p>
    <w:p w14:paraId="2F2A4F67">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00E2D80E">
      <w:pPr>
        <w:rPr>
          <w:color w:val="auto"/>
          <w:highlight w:val="none"/>
        </w:rPr>
      </w:pPr>
      <w:r>
        <w:rPr>
          <w:rFonts w:hint="eastAsia"/>
          <w:color w:val="auto"/>
          <w:highlight w:val="none"/>
        </w:rPr>
        <w:t>如果未按上述规定进行密封和标记，则其响应将作为无效响应处理。</w:t>
      </w:r>
    </w:p>
    <w:p w14:paraId="0189DD0B">
      <w:pPr>
        <w:pStyle w:val="5"/>
        <w:rPr>
          <w:color w:val="auto"/>
          <w:highlight w:val="none"/>
        </w:rPr>
      </w:pPr>
      <w:r>
        <w:rPr>
          <w:rFonts w:hint="eastAsia"/>
          <w:color w:val="auto"/>
          <w:highlight w:val="none"/>
        </w:rPr>
        <w:t>4.8 响应报价</w:t>
      </w:r>
    </w:p>
    <w:p w14:paraId="0FE90E1B">
      <w:pPr>
        <w:rPr>
          <w:color w:val="auto"/>
          <w:highlight w:val="none"/>
        </w:rPr>
      </w:pPr>
      <w:r>
        <w:rPr>
          <w:rFonts w:hint="eastAsia"/>
          <w:color w:val="auto"/>
          <w:highlight w:val="none"/>
        </w:rPr>
        <w:t>4.8.1 响应人应严格按照“响应文件格式”填写报价。</w:t>
      </w:r>
    </w:p>
    <w:p w14:paraId="4AA6B677">
      <w:pPr>
        <w:rPr>
          <w:color w:val="auto"/>
          <w:highlight w:val="none"/>
        </w:rPr>
      </w:pPr>
      <w:r>
        <w:rPr>
          <w:rFonts w:hint="eastAsia"/>
          <w:color w:val="auto"/>
          <w:highlight w:val="none"/>
        </w:rPr>
        <w:t>4.8.2 响应人的报价为一次性报价，即在响应有效期内响应价格固定不变。</w:t>
      </w:r>
    </w:p>
    <w:p w14:paraId="3AD74271">
      <w:pPr>
        <w:rPr>
          <w:color w:val="auto"/>
          <w:highlight w:val="none"/>
        </w:rPr>
      </w:pPr>
      <w:r>
        <w:rPr>
          <w:rFonts w:hint="eastAsia"/>
          <w:color w:val="auto"/>
          <w:highlight w:val="none"/>
        </w:rPr>
        <w:t>4.8.3 本项目只接受一个响应报价，有选择的或有条件的响应将不予接受。</w:t>
      </w:r>
    </w:p>
    <w:p w14:paraId="76DC0E24">
      <w:pPr>
        <w:rPr>
          <w:color w:val="auto"/>
          <w:highlight w:val="none"/>
        </w:rPr>
      </w:pPr>
      <w:r>
        <w:rPr>
          <w:rFonts w:hint="eastAsia"/>
          <w:color w:val="auto"/>
          <w:highlight w:val="none"/>
        </w:rPr>
        <w:t>4.8.4 响应报价不得高于最高限价。</w:t>
      </w:r>
    </w:p>
    <w:p w14:paraId="7D23166A">
      <w:pPr>
        <w:pStyle w:val="5"/>
        <w:rPr>
          <w:color w:val="auto"/>
          <w:highlight w:val="none"/>
        </w:rPr>
      </w:pPr>
      <w:r>
        <w:rPr>
          <w:rFonts w:hint="eastAsia"/>
          <w:color w:val="auto"/>
          <w:highlight w:val="none"/>
        </w:rPr>
        <w:t>4.9 修正错误</w:t>
      </w:r>
    </w:p>
    <w:p w14:paraId="0FEF40C1">
      <w:pPr>
        <w:rPr>
          <w:color w:val="auto"/>
          <w:highlight w:val="none"/>
        </w:rPr>
      </w:pPr>
      <w:r>
        <w:rPr>
          <w:rFonts w:hint="eastAsia"/>
          <w:color w:val="auto"/>
          <w:highlight w:val="none"/>
        </w:rPr>
        <w:t>若响应文件出现计算或表达上的错误，修正错误的原则如下：</w:t>
      </w:r>
    </w:p>
    <w:p w14:paraId="13A4CADE">
      <w:pPr>
        <w:rPr>
          <w:color w:val="auto"/>
          <w:highlight w:val="none"/>
        </w:rPr>
      </w:pPr>
      <w:r>
        <w:rPr>
          <w:rFonts w:hint="eastAsia"/>
          <w:color w:val="auto"/>
          <w:highlight w:val="none"/>
        </w:rPr>
        <w:t>4.9.1 响应文件的大写金额和小写金额不一致的，以大写金额为准；</w:t>
      </w:r>
    </w:p>
    <w:p w14:paraId="43C50371">
      <w:pPr>
        <w:rPr>
          <w:color w:val="auto"/>
          <w:highlight w:val="none"/>
        </w:rPr>
      </w:pPr>
      <w:r>
        <w:rPr>
          <w:rFonts w:hint="eastAsia"/>
          <w:color w:val="auto"/>
          <w:highlight w:val="none"/>
        </w:rPr>
        <w:t>4.9.2 总价金额与按单价汇总金额不一致的，以单价金额计算结果为准；</w:t>
      </w:r>
    </w:p>
    <w:p w14:paraId="55CCD38F">
      <w:pPr>
        <w:rPr>
          <w:color w:val="auto"/>
          <w:highlight w:val="none"/>
        </w:rPr>
      </w:pPr>
      <w:r>
        <w:rPr>
          <w:rFonts w:hint="eastAsia"/>
          <w:color w:val="auto"/>
          <w:highlight w:val="none"/>
        </w:rPr>
        <w:t>4.9.3 单价金额小数点有明显错位的，应以总价为准，并修正单价；</w:t>
      </w:r>
    </w:p>
    <w:p w14:paraId="352327D7">
      <w:pPr>
        <w:rPr>
          <w:color w:val="auto"/>
          <w:highlight w:val="none"/>
        </w:rPr>
      </w:pPr>
      <w:r>
        <w:rPr>
          <w:rFonts w:hint="eastAsia"/>
          <w:color w:val="auto"/>
          <w:highlight w:val="none"/>
        </w:rPr>
        <w:t>4.9.4 对不同文字文本响应文件的解释发生异议的，以中文文本为准。</w:t>
      </w:r>
    </w:p>
    <w:p w14:paraId="360A628F">
      <w:pPr>
        <w:rPr>
          <w:color w:val="auto"/>
          <w:highlight w:val="none"/>
        </w:rPr>
      </w:pPr>
      <w:r>
        <w:rPr>
          <w:rFonts w:hint="eastAsia"/>
          <w:color w:val="auto"/>
          <w:highlight w:val="none"/>
        </w:rPr>
        <w:t>4.9.5 含税金额与不含税金额不一致的，以含税金额为准。</w:t>
      </w:r>
    </w:p>
    <w:p w14:paraId="43FDBA0C">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A0D4CA7">
      <w:pPr>
        <w:pStyle w:val="4"/>
        <w:rPr>
          <w:color w:val="auto"/>
          <w:highlight w:val="none"/>
        </w:rPr>
      </w:pPr>
      <w:bookmarkStart w:id="39" w:name="_Toc89675166"/>
      <w:r>
        <w:rPr>
          <w:rFonts w:hint="eastAsia"/>
          <w:color w:val="auto"/>
          <w:highlight w:val="none"/>
        </w:rPr>
        <w:t>5. 询比程序</w:t>
      </w:r>
    </w:p>
    <w:p w14:paraId="30E4C837">
      <w:pPr>
        <w:rPr>
          <w:color w:val="auto"/>
          <w:highlight w:val="none"/>
        </w:rPr>
      </w:pPr>
      <w:r>
        <w:rPr>
          <w:rFonts w:hint="eastAsia"/>
          <w:color w:val="auto"/>
          <w:highlight w:val="none"/>
        </w:rPr>
        <w:t>主持人按下列程序进行询比：</w:t>
      </w:r>
    </w:p>
    <w:p w14:paraId="3ED6242C">
      <w:pPr>
        <w:rPr>
          <w:color w:val="auto"/>
          <w:highlight w:val="none"/>
        </w:rPr>
      </w:pPr>
      <w:r>
        <w:rPr>
          <w:rFonts w:hint="eastAsia"/>
          <w:color w:val="auto"/>
          <w:highlight w:val="none"/>
        </w:rPr>
        <w:t>5.1 宣布询比纪律；</w:t>
      </w:r>
    </w:p>
    <w:p w14:paraId="5610A867">
      <w:pPr>
        <w:rPr>
          <w:color w:val="auto"/>
          <w:highlight w:val="none"/>
        </w:rPr>
      </w:pPr>
      <w:r>
        <w:rPr>
          <w:rFonts w:hint="eastAsia"/>
          <w:color w:val="auto"/>
          <w:highlight w:val="none"/>
        </w:rPr>
        <w:t>5.2 宣布采购人、唱标人、记录人、监督人等有关人员姓名；</w:t>
      </w:r>
    </w:p>
    <w:p w14:paraId="36230AAD">
      <w:pPr>
        <w:rPr>
          <w:color w:val="auto"/>
          <w:highlight w:val="none"/>
        </w:rPr>
      </w:pPr>
      <w:r>
        <w:rPr>
          <w:rFonts w:hint="eastAsia"/>
          <w:color w:val="auto"/>
          <w:highlight w:val="none"/>
        </w:rPr>
        <w:t>5.3 公布在响应截止时间前递交响应文件的响应人名称，并点名确认响应人是否派人到场；</w:t>
      </w:r>
    </w:p>
    <w:p w14:paraId="441D4C90">
      <w:pPr>
        <w:rPr>
          <w:color w:val="auto"/>
          <w:highlight w:val="none"/>
        </w:rPr>
      </w:pPr>
      <w:r>
        <w:rPr>
          <w:rFonts w:hint="eastAsia"/>
          <w:color w:val="auto"/>
          <w:highlight w:val="none"/>
        </w:rPr>
        <w:t>5.4 展示响应保证金，响应保证金缴款不全或有误的，则记录在案交由评审委员会评审；</w:t>
      </w:r>
    </w:p>
    <w:p w14:paraId="5BDEF343">
      <w:pPr>
        <w:rPr>
          <w:color w:val="auto"/>
          <w:highlight w:val="none"/>
        </w:rPr>
      </w:pPr>
      <w:r>
        <w:rPr>
          <w:rFonts w:hint="eastAsia"/>
          <w:color w:val="auto"/>
          <w:highlight w:val="none"/>
        </w:rPr>
        <w:t>5.5 封装情况检查：响应人或者其推选的代表检查各响应文件的封装情况并确认；</w:t>
      </w:r>
    </w:p>
    <w:p w14:paraId="7AE1F9E1">
      <w:pPr>
        <w:rPr>
          <w:color w:val="auto"/>
          <w:highlight w:val="none"/>
        </w:rPr>
      </w:pPr>
      <w:r>
        <w:rPr>
          <w:rFonts w:hint="eastAsia"/>
          <w:color w:val="auto"/>
          <w:highlight w:val="none"/>
        </w:rPr>
        <w:t>5.6 设有最高限价的，公布最高限价；</w:t>
      </w:r>
    </w:p>
    <w:p w14:paraId="7CF648F2">
      <w:pPr>
        <w:rPr>
          <w:color w:val="auto"/>
          <w:highlight w:val="none"/>
        </w:rPr>
      </w:pPr>
      <w:r>
        <w:rPr>
          <w:rFonts w:hint="eastAsia"/>
          <w:color w:val="auto"/>
          <w:highlight w:val="none"/>
        </w:rPr>
        <w:t>5.7 开启响应文件；</w:t>
      </w:r>
    </w:p>
    <w:p w14:paraId="63262AEE">
      <w:pPr>
        <w:rPr>
          <w:color w:val="auto"/>
          <w:highlight w:val="none"/>
        </w:rPr>
      </w:pPr>
      <w:r>
        <w:rPr>
          <w:rFonts w:hint="eastAsia"/>
          <w:color w:val="auto"/>
          <w:highlight w:val="none"/>
        </w:rPr>
        <w:t>5.8 采购人代表、响应人代表、监督人、记录人等有关人员在询比记录上签字确认；</w:t>
      </w:r>
    </w:p>
    <w:p w14:paraId="364F225E">
      <w:pPr>
        <w:rPr>
          <w:color w:val="auto"/>
          <w:highlight w:val="none"/>
        </w:rPr>
      </w:pPr>
      <w:r>
        <w:rPr>
          <w:rFonts w:hint="eastAsia"/>
          <w:color w:val="auto"/>
          <w:highlight w:val="none"/>
        </w:rPr>
        <w:t>5.9 询比结束。</w:t>
      </w:r>
    </w:p>
    <w:p w14:paraId="14E2AA59">
      <w:pPr>
        <w:pStyle w:val="4"/>
        <w:rPr>
          <w:color w:val="auto"/>
          <w:highlight w:val="none"/>
        </w:rPr>
      </w:pPr>
      <w:r>
        <w:rPr>
          <w:rFonts w:hint="eastAsia"/>
          <w:color w:val="auto"/>
          <w:highlight w:val="none"/>
        </w:rPr>
        <w:t>6. 评审</w:t>
      </w:r>
    </w:p>
    <w:p w14:paraId="79534638">
      <w:pPr>
        <w:rPr>
          <w:color w:val="auto"/>
          <w:highlight w:val="none"/>
        </w:rPr>
      </w:pPr>
      <w:r>
        <w:rPr>
          <w:rFonts w:hint="eastAsia"/>
          <w:color w:val="auto"/>
          <w:highlight w:val="none"/>
        </w:rPr>
        <w:t>见第四章内容。</w:t>
      </w:r>
    </w:p>
    <w:p w14:paraId="171A65BA">
      <w:pPr>
        <w:pStyle w:val="4"/>
        <w:rPr>
          <w:color w:val="auto"/>
          <w:highlight w:val="none"/>
        </w:rPr>
      </w:pPr>
      <w:r>
        <w:rPr>
          <w:rFonts w:hint="eastAsia"/>
          <w:color w:val="auto"/>
          <w:highlight w:val="none"/>
        </w:rPr>
        <w:t xml:space="preserve">7. </w:t>
      </w:r>
      <w:bookmarkEnd w:id="39"/>
      <w:r>
        <w:rPr>
          <w:rFonts w:hint="eastAsia"/>
          <w:color w:val="auto"/>
          <w:highlight w:val="none"/>
        </w:rPr>
        <w:t>确定成交供应商</w:t>
      </w:r>
    </w:p>
    <w:p w14:paraId="2DF28CE9">
      <w:pPr>
        <w:rPr>
          <w:color w:val="auto"/>
          <w:highlight w:val="none"/>
        </w:rPr>
      </w:pPr>
      <w:r>
        <w:rPr>
          <w:rFonts w:hint="eastAsia"/>
          <w:color w:val="auto"/>
          <w:highlight w:val="none"/>
        </w:rPr>
        <w:t>7.1 确定成交供应商原则</w:t>
      </w:r>
    </w:p>
    <w:p w14:paraId="6461D2D8">
      <w:pPr>
        <w:bidi w:val="0"/>
      </w:pPr>
      <w:r>
        <w:rPr>
          <w:rFonts w:hint="eastAsia"/>
          <w:lang w:eastAsia="zh-CN"/>
        </w:rPr>
        <w:t>采购人</w:t>
      </w:r>
      <w:r>
        <w:rPr>
          <w:rFonts w:hint="eastAsia"/>
        </w:rPr>
        <w:t>按照</w:t>
      </w:r>
      <w:r>
        <w:rPr>
          <w:rFonts w:hint="eastAsia"/>
          <w:lang w:eastAsia="zh-CN"/>
        </w:rPr>
        <w:t>评审</w:t>
      </w:r>
      <w:r>
        <w:rPr>
          <w:rFonts w:hint="eastAsia"/>
        </w:rPr>
        <w:t>报告中</w:t>
      </w:r>
      <w:r>
        <w:rPr>
          <w:rFonts w:hint="eastAsia"/>
          <w:lang w:val="en-US" w:eastAsia="zh-CN"/>
        </w:rPr>
        <w:t>排名</w:t>
      </w:r>
      <w:r>
        <w:rPr>
          <w:rFonts w:hint="eastAsia"/>
        </w:rPr>
        <w:t>顺序确定</w:t>
      </w:r>
      <w:r>
        <w:rPr>
          <w:rFonts w:hint="eastAsia"/>
          <w:lang w:eastAsia="zh-CN"/>
        </w:rPr>
        <w:t>成交供应商</w:t>
      </w:r>
      <w:r>
        <w:rPr>
          <w:rFonts w:hint="eastAsia"/>
        </w:rPr>
        <w:t>，如</w:t>
      </w:r>
      <w:r>
        <w:rPr>
          <w:rFonts w:hint="eastAsia"/>
          <w:lang w:eastAsia="zh-CN"/>
        </w:rPr>
        <w:t>成交供应商</w:t>
      </w:r>
      <w:r>
        <w:rPr>
          <w:rFonts w:hint="eastAsia"/>
        </w:rPr>
        <w:t>因自身原因不能履行合同的，由此带来的损失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r>
        <w:rPr>
          <w:rFonts w:hint="eastAsia"/>
          <w:lang w:eastAsia="zh-CN"/>
        </w:rPr>
        <w:t>采购人</w:t>
      </w:r>
      <w:r>
        <w:rPr>
          <w:rFonts w:hint="eastAsia"/>
        </w:rPr>
        <w:t>可以</w:t>
      </w:r>
      <w:r>
        <w:rPr>
          <w:rFonts w:hint="eastAsia"/>
          <w:lang w:val="en-US" w:eastAsia="zh-CN"/>
        </w:rPr>
        <w:t>重新采购或</w:t>
      </w:r>
      <w:r>
        <w:rPr>
          <w:rFonts w:hint="eastAsia"/>
        </w:rPr>
        <w:t>顺延下一</w:t>
      </w:r>
      <w:r>
        <w:rPr>
          <w:rFonts w:hint="eastAsia"/>
          <w:lang w:val="en-US" w:eastAsia="zh-CN"/>
        </w:rPr>
        <w:t>排名的响应人成为成交供应商</w:t>
      </w:r>
      <w:r>
        <w:rPr>
          <w:rFonts w:hint="eastAsia"/>
        </w:rPr>
        <w:t>。</w:t>
      </w:r>
    </w:p>
    <w:p w14:paraId="309BAD4E">
      <w:pPr>
        <w:rPr>
          <w:color w:val="auto"/>
          <w:highlight w:val="none"/>
        </w:rPr>
      </w:pPr>
      <w:r>
        <w:rPr>
          <w:rFonts w:hint="eastAsia"/>
          <w:color w:val="auto"/>
          <w:highlight w:val="none"/>
        </w:rPr>
        <w:t>7.2 不承诺最低价格成交。</w:t>
      </w:r>
    </w:p>
    <w:p w14:paraId="31180EF6">
      <w:pPr>
        <w:bidi w:val="0"/>
      </w:pPr>
      <w:r>
        <w:rPr>
          <w:rFonts w:hint="eastAsia"/>
          <w:lang w:val="en-US" w:eastAsia="zh-CN"/>
        </w:rPr>
        <w:t xml:space="preserve">7.3 </w:t>
      </w:r>
      <w:r>
        <w:rPr>
          <w:rFonts w:hint="eastAsia"/>
        </w:rPr>
        <w:t>若</w:t>
      </w:r>
      <w:r>
        <w:rPr>
          <w:rFonts w:hint="eastAsia"/>
          <w:lang w:eastAsia="zh-CN"/>
        </w:rPr>
        <w:t>成交供应商</w:t>
      </w:r>
      <w:r>
        <w:rPr>
          <w:rFonts w:hint="eastAsia"/>
          <w:lang w:val="en-US" w:eastAsia="zh-CN"/>
        </w:rPr>
        <w:t>响应</w:t>
      </w:r>
      <w:r>
        <w:rPr>
          <w:rFonts w:hint="eastAsia"/>
        </w:rPr>
        <w:t>材料出现造假、不实等与实际查询结果不符或无故弃选的情况，</w:t>
      </w:r>
      <w:r>
        <w:rPr>
          <w:rFonts w:hint="eastAsia"/>
          <w:lang w:eastAsia="zh-CN"/>
        </w:rPr>
        <w:t>采购人</w:t>
      </w:r>
      <w:r>
        <w:rPr>
          <w:rFonts w:hint="eastAsia"/>
        </w:rPr>
        <w:t>有权选择重新</w:t>
      </w:r>
      <w:r>
        <w:rPr>
          <w:rFonts w:hint="eastAsia"/>
          <w:lang w:eastAsia="zh-CN"/>
        </w:rPr>
        <w:t>询比</w:t>
      </w:r>
      <w:r>
        <w:rPr>
          <w:rFonts w:hint="eastAsia"/>
        </w:rPr>
        <w:t>或顺延下一</w:t>
      </w:r>
      <w:r>
        <w:rPr>
          <w:rFonts w:hint="eastAsia"/>
          <w:lang w:val="en-US" w:eastAsia="zh-CN"/>
        </w:rPr>
        <w:t>排名的响应人成为成交供应商</w:t>
      </w:r>
      <w:r>
        <w:rPr>
          <w:rFonts w:hint="eastAsia"/>
        </w:rPr>
        <w:t>，由此带来的损失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p>
    <w:p w14:paraId="3E88DFF8">
      <w:pPr>
        <w:pStyle w:val="4"/>
        <w:rPr>
          <w:color w:val="auto"/>
          <w:highlight w:val="none"/>
        </w:rPr>
      </w:pPr>
      <w:bookmarkStart w:id="40" w:name="_Toc89675168"/>
      <w:bookmarkStart w:id="41" w:name="_Toc12245"/>
      <w:r>
        <w:rPr>
          <w:rFonts w:hint="eastAsia"/>
          <w:color w:val="auto"/>
          <w:highlight w:val="none"/>
        </w:rPr>
        <w:t>8. 签订合同</w:t>
      </w:r>
      <w:bookmarkEnd w:id="40"/>
      <w:bookmarkEnd w:id="41"/>
    </w:p>
    <w:p w14:paraId="4EED8E0B">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52729F6E">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w:t>
      </w:r>
      <w:r>
        <w:rPr>
          <w:rFonts w:hint="eastAsia"/>
          <w:color w:val="auto"/>
          <w:highlight w:val="none"/>
          <w:lang w:val="en-US" w:eastAsia="zh-CN"/>
        </w:rPr>
        <w:t>30</w:t>
      </w:r>
      <w:r>
        <w:rPr>
          <w:rFonts w:hint="eastAsia"/>
          <w:color w:val="auto"/>
          <w:highlight w:val="none"/>
        </w:rPr>
        <w:t>日内完成合同的签订。如未在规定时间内签订合同，且经采购人书面通知后仍不按照通知要求签订合同的，可视为成交供应商无故弃选。</w:t>
      </w:r>
    </w:p>
    <w:p w14:paraId="60DAE93B">
      <w:pPr>
        <w:rPr>
          <w:color w:val="auto"/>
          <w:highlight w:val="none"/>
        </w:rPr>
      </w:pPr>
      <w:r>
        <w:rPr>
          <w:rFonts w:hint="eastAsia"/>
          <w:color w:val="auto"/>
          <w:highlight w:val="none"/>
        </w:rPr>
        <w:t>8.3 询比文件、成交供应商的响应文件及澄清文件等，均为签订合同的依据。</w:t>
      </w:r>
    </w:p>
    <w:p w14:paraId="2E921420">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5ABD57F2">
      <w:pPr>
        <w:bidi w:val="0"/>
        <w:rPr>
          <w:rFonts w:hint="eastAsia"/>
          <w:lang w:val="en-US" w:eastAsia="zh-CN"/>
        </w:rPr>
      </w:pPr>
      <w:r>
        <w:rPr>
          <w:rFonts w:hint="eastAsia"/>
          <w:lang w:val="en-US" w:eastAsia="zh-CN"/>
        </w:rPr>
        <w:t>8.5 若成交供应商无法按要求履约或成交单位提供的产品测试不合格或与响应文件中的产品不一致，采购人可以废除成交供应商资格，并可选择</w:t>
      </w:r>
      <w:r>
        <w:rPr>
          <w:rFonts w:hint="eastAsia"/>
        </w:rPr>
        <w:t>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r>
        <w:rPr>
          <w:rFonts w:hint="eastAsia"/>
          <w:lang w:val="en-US" w:eastAsia="zh-CN"/>
        </w:rPr>
        <w:t>。</w:t>
      </w:r>
    </w:p>
    <w:p w14:paraId="1251E256">
      <w:pPr>
        <w:rPr>
          <w:color w:val="auto"/>
          <w:highlight w:val="none"/>
        </w:rPr>
      </w:pPr>
      <w:r>
        <w:rPr>
          <w:rFonts w:hint="eastAsia"/>
          <w:color w:val="auto"/>
          <w:highlight w:val="none"/>
        </w:rPr>
        <w:t>8.6 该项目不允许任何形式的转包。</w:t>
      </w:r>
    </w:p>
    <w:p w14:paraId="16286742">
      <w:pPr>
        <w:pStyle w:val="4"/>
        <w:rPr>
          <w:color w:val="auto"/>
          <w:highlight w:val="none"/>
        </w:rPr>
      </w:pPr>
      <w:r>
        <w:rPr>
          <w:rFonts w:hint="eastAsia"/>
          <w:color w:val="auto"/>
          <w:highlight w:val="none"/>
        </w:rPr>
        <w:t>9. 纪律与要求</w:t>
      </w:r>
    </w:p>
    <w:p w14:paraId="698DC7BC">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1EFCEB80">
      <w:pPr>
        <w:rPr>
          <w:color w:val="auto"/>
          <w:highlight w:val="none"/>
        </w:rPr>
      </w:pPr>
      <w:r>
        <w:rPr>
          <w:rFonts w:hint="eastAsia"/>
          <w:color w:val="auto"/>
          <w:highlight w:val="none"/>
        </w:rPr>
        <w:t>9.1 有下列情形之一的，属于响应人相互串通响应：</w:t>
      </w:r>
    </w:p>
    <w:p w14:paraId="222C0C3F">
      <w:pPr>
        <w:rPr>
          <w:color w:val="auto"/>
          <w:highlight w:val="none"/>
        </w:rPr>
      </w:pPr>
      <w:r>
        <w:rPr>
          <w:rFonts w:hint="eastAsia"/>
          <w:color w:val="auto"/>
          <w:highlight w:val="none"/>
        </w:rPr>
        <w:t>9.1.1 响应人之间协商响应报价等响应文件的实质性内容；</w:t>
      </w:r>
    </w:p>
    <w:p w14:paraId="0FB41DCA">
      <w:pPr>
        <w:rPr>
          <w:color w:val="auto"/>
          <w:highlight w:val="none"/>
        </w:rPr>
      </w:pPr>
      <w:r>
        <w:rPr>
          <w:rFonts w:hint="eastAsia"/>
          <w:color w:val="auto"/>
          <w:highlight w:val="none"/>
        </w:rPr>
        <w:t>9.1.2 响应人之间约定成交供应商；</w:t>
      </w:r>
    </w:p>
    <w:p w14:paraId="4DCE2EAC">
      <w:pPr>
        <w:rPr>
          <w:color w:val="auto"/>
          <w:highlight w:val="none"/>
        </w:rPr>
      </w:pPr>
      <w:r>
        <w:rPr>
          <w:rFonts w:hint="eastAsia"/>
          <w:color w:val="auto"/>
          <w:highlight w:val="none"/>
        </w:rPr>
        <w:t>9.1.3 响应人之间约定部分响应人放弃响应或者成交；</w:t>
      </w:r>
    </w:p>
    <w:p w14:paraId="31A3858C">
      <w:pPr>
        <w:rPr>
          <w:color w:val="auto"/>
          <w:highlight w:val="none"/>
        </w:rPr>
      </w:pPr>
      <w:r>
        <w:rPr>
          <w:rFonts w:hint="eastAsia"/>
          <w:color w:val="auto"/>
          <w:highlight w:val="none"/>
        </w:rPr>
        <w:t>9.1.4 属于同一集团、协会、商会等组织成员的响应人按照该组织要求协同响应；</w:t>
      </w:r>
    </w:p>
    <w:p w14:paraId="739A60ED">
      <w:pPr>
        <w:rPr>
          <w:color w:val="auto"/>
          <w:highlight w:val="none"/>
        </w:rPr>
      </w:pPr>
      <w:r>
        <w:rPr>
          <w:rFonts w:hint="eastAsia"/>
          <w:color w:val="auto"/>
          <w:highlight w:val="none"/>
        </w:rPr>
        <w:t>9.1.5 响应人之间为谋取成交或者排斥特定响应人而采取的其他联合行动。</w:t>
      </w:r>
    </w:p>
    <w:p w14:paraId="6AADB390">
      <w:pPr>
        <w:rPr>
          <w:color w:val="auto"/>
          <w:highlight w:val="none"/>
        </w:rPr>
      </w:pPr>
      <w:r>
        <w:rPr>
          <w:rFonts w:hint="eastAsia"/>
          <w:color w:val="auto"/>
          <w:highlight w:val="none"/>
        </w:rPr>
        <w:t>9.2 有下列情形之一的，视为响应人相互串通响应：</w:t>
      </w:r>
    </w:p>
    <w:p w14:paraId="4CF43BF8">
      <w:pPr>
        <w:rPr>
          <w:color w:val="auto"/>
          <w:highlight w:val="none"/>
        </w:rPr>
      </w:pPr>
      <w:r>
        <w:rPr>
          <w:rFonts w:hint="eastAsia"/>
          <w:color w:val="auto"/>
          <w:highlight w:val="none"/>
        </w:rPr>
        <w:t>9.2.1 不同响应人的响应文件由同一单位或者个人编制；</w:t>
      </w:r>
    </w:p>
    <w:p w14:paraId="54C78ACF">
      <w:pPr>
        <w:rPr>
          <w:color w:val="auto"/>
          <w:highlight w:val="none"/>
        </w:rPr>
      </w:pPr>
      <w:r>
        <w:rPr>
          <w:rFonts w:hint="eastAsia"/>
          <w:color w:val="auto"/>
          <w:highlight w:val="none"/>
        </w:rPr>
        <w:t>9.2.2 不同响应人委托同一单位或者个人办理响应事宜；</w:t>
      </w:r>
    </w:p>
    <w:p w14:paraId="08E6C105">
      <w:pPr>
        <w:rPr>
          <w:color w:val="auto"/>
          <w:highlight w:val="none"/>
        </w:rPr>
      </w:pPr>
      <w:r>
        <w:rPr>
          <w:rFonts w:hint="eastAsia"/>
          <w:color w:val="auto"/>
          <w:highlight w:val="none"/>
        </w:rPr>
        <w:t>9.2.3 不同响应人的响应文件载明的项目管理成员为同一人；</w:t>
      </w:r>
    </w:p>
    <w:p w14:paraId="31246A4D">
      <w:pPr>
        <w:rPr>
          <w:color w:val="auto"/>
          <w:highlight w:val="none"/>
        </w:rPr>
      </w:pPr>
      <w:r>
        <w:rPr>
          <w:rFonts w:hint="eastAsia"/>
          <w:color w:val="auto"/>
          <w:highlight w:val="none"/>
        </w:rPr>
        <w:t>9.2.4 不同响应人的响应文件相互混装；</w:t>
      </w:r>
    </w:p>
    <w:p w14:paraId="478D5038">
      <w:pPr>
        <w:rPr>
          <w:color w:val="auto"/>
          <w:highlight w:val="none"/>
        </w:rPr>
      </w:pPr>
      <w:r>
        <w:rPr>
          <w:rFonts w:hint="eastAsia"/>
          <w:color w:val="auto"/>
          <w:highlight w:val="none"/>
        </w:rPr>
        <w:t>9.2.5 不同响应人的响应保证金从同一单位或者个人的账户转出。</w:t>
      </w:r>
    </w:p>
    <w:p w14:paraId="2A2C0293">
      <w:pPr>
        <w:rPr>
          <w:color w:val="auto"/>
          <w:highlight w:val="none"/>
        </w:rPr>
      </w:pPr>
      <w:r>
        <w:rPr>
          <w:rFonts w:hint="eastAsia"/>
          <w:color w:val="auto"/>
          <w:highlight w:val="none"/>
        </w:rPr>
        <w:t>9.3 使用通过受让或者租借等方式获取的资格、资质证书响应的，属于以他人名义响应。</w:t>
      </w:r>
    </w:p>
    <w:p w14:paraId="1EE29C29">
      <w:pPr>
        <w:rPr>
          <w:color w:val="auto"/>
          <w:highlight w:val="none"/>
        </w:rPr>
      </w:pPr>
      <w:r>
        <w:rPr>
          <w:rFonts w:hint="eastAsia"/>
          <w:color w:val="auto"/>
          <w:highlight w:val="none"/>
        </w:rPr>
        <w:t>9.4 响应人有下列情形之一的，属于弄虚作假的行为：</w:t>
      </w:r>
    </w:p>
    <w:p w14:paraId="6AB8D86A">
      <w:pPr>
        <w:rPr>
          <w:color w:val="auto"/>
          <w:highlight w:val="none"/>
        </w:rPr>
      </w:pPr>
      <w:r>
        <w:rPr>
          <w:rFonts w:hint="eastAsia"/>
          <w:color w:val="auto"/>
          <w:highlight w:val="none"/>
        </w:rPr>
        <w:t>9.4.1 使用伪造、变造的许可证件；</w:t>
      </w:r>
    </w:p>
    <w:p w14:paraId="6FEE1C11">
      <w:pPr>
        <w:rPr>
          <w:color w:val="auto"/>
          <w:highlight w:val="none"/>
        </w:rPr>
      </w:pPr>
      <w:r>
        <w:rPr>
          <w:rFonts w:hint="eastAsia"/>
          <w:color w:val="auto"/>
          <w:highlight w:val="none"/>
        </w:rPr>
        <w:t>9.4.2 提供虚假的财务状况或者虚假业绩；</w:t>
      </w:r>
    </w:p>
    <w:p w14:paraId="4AE0EED9">
      <w:pPr>
        <w:rPr>
          <w:color w:val="auto"/>
          <w:highlight w:val="none"/>
        </w:rPr>
      </w:pPr>
      <w:r>
        <w:rPr>
          <w:rFonts w:hint="eastAsia"/>
          <w:color w:val="auto"/>
          <w:highlight w:val="none"/>
        </w:rPr>
        <w:t>9.4.3 提供虚假的项目负责人或者主要技术人员简历、劳动关系证明；</w:t>
      </w:r>
    </w:p>
    <w:p w14:paraId="7605F989">
      <w:pPr>
        <w:rPr>
          <w:color w:val="auto"/>
          <w:highlight w:val="none"/>
        </w:rPr>
      </w:pPr>
      <w:r>
        <w:rPr>
          <w:rFonts w:hint="eastAsia"/>
          <w:color w:val="auto"/>
          <w:highlight w:val="none"/>
        </w:rPr>
        <w:t>9.4.4 提供虚假的信用状况；</w:t>
      </w:r>
    </w:p>
    <w:p w14:paraId="637DA2CB">
      <w:pPr>
        <w:rPr>
          <w:color w:val="auto"/>
          <w:highlight w:val="none"/>
        </w:rPr>
      </w:pPr>
      <w:r>
        <w:rPr>
          <w:rFonts w:hint="eastAsia"/>
          <w:color w:val="auto"/>
          <w:highlight w:val="none"/>
        </w:rPr>
        <w:t>9.4.5 其它弄虚作假的行为。</w:t>
      </w:r>
    </w:p>
    <w:p w14:paraId="1487115B">
      <w:pPr>
        <w:rPr>
          <w:color w:val="auto"/>
          <w:highlight w:val="none"/>
        </w:rPr>
      </w:pPr>
      <w:r>
        <w:rPr>
          <w:rFonts w:hint="eastAsia"/>
          <w:color w:val="auto"/>
          <w:highlight w:val="none"/>
        </w:rPr>
        <w:t>针对以上情况，采购人有权没收响应人的响应保证金，并保留进一步追究由此带来损失的权利。</w:t>
      </w:r>
    </w:p>
    <w:p w14:paraId="4C04474A">
      <w:pPr>
        <w:pStyle w:val="4"/>
        <w:rPr>
          <w:color w:val="auto"/>
          <w:highlight w:val="none"/>
        </w:rPr>
      </w:pPr>
      <w:bookmarkStart w:id="42" w:name="_Toc89675169"/>
      <w:r>
        <w:rPr>
          <w:rFonts w:hint="eastAsia"/>
          <w:color w:val="auto"/>
          <w:highlight w:val="none"/>
        </w:rPr>
        <w:t>10. 提问、质疑、投诉</w:t>
      </w:r>
    </w:p>
    <w:p w14:paraId="6D5B3A63">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2856C19D">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37675C51">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246C5F2D">
      <w:pPr>
        <w:rPr>
          <w:color w:val="auto"/>
          <w:highlight w:val="none"/>
        </w:rPr>
      </w:pPr>
      <w:r>
        <w:rPr>
          <w:rFonts w:hint="eastAsia"/>
          <w:color w:val="auto"/>
          <w:highlight w:val="none"/>
        </w:rPr>
        <w:t>10.4 响应人对采购人的答复不满意或者有质疑，可向采购人纪检监察部投诉。</w:t>
      </w:r>
    </w:p>
    <w:p w14:paraId="34C37443">
      <w:pPr>
        <w:rPr>
          <w:color w:val="auto"/>
          <w:highlight w:val="none"/>
        </w:rPr>
      </w:pPr>
      <w:r>
        <w:rPr>
          <w:rFonts w:hint="eastAsia"/>
          <w:color w:val="auto"/>
          <w:highlight w:val="none"/>
        </w:rPr>
        <w:t>采购质疑邮箱：</w:t>
      </w:r>
      <w:r>
        <w:rPr>
          <w:color w:val="auto"/>
          <w:highlight w:val="none"/>
        </w:rPr>
        <w:t>sx.jcb@ccqtgb.com</w:t>
      </w:r>
    </w:p>
    <w:p w14:paraId="09AEE0DA">
      <w:pPr>
        <w:rPr>
          <w:color w:val="auto"/>
          <w:highlight w:val="none"/>
        </w:rPr>
      </w:pPr>
      <w:r>
        <w:rPr>
          <w:rFonts w:hint="eastAsia"/>
          <w:color w:val="auto"/>
          <w:highlight w:val="none"/>
        </w:rPr>
        <w:t>采购投诉邮箱：</w:t>
      </w:r>
      <w:bookmarkStart w:id="43" w:name="_Hlk74215856"/>
      <w:r>
        <w:rPr>
          <w:rFonts w:hint="eastAsia"/>
          <w:color w:val="auto"/>
          <w:highlight w:val="none"/>
        </w:rPr>
        <w:t>sxyhjjz@</w:t>
      </w:r>
      <w:r>
        <w:rPr>
          <w:color w:val="auto"/>
          <w:highlight w:val="none"/>
        </w:rPr>
        <w:t>ccqtgb</w:t>
      </w:r>
      <w:r>
        <w:rPr>
          <w:rFonts w:hint="eastAsia"/>
          <w:color w:val="auto"/>
          <w:highlight w:val="none"/>
        </w:rPr>
        <w:t>.com</w:t>
      </w:r>
      <w:bookmarkEnd w:id="43"/>
    </w:p>
    <w:p w14:paraId="26FF1FF7">
      <w:pPr>
        <w:pStyle w:val="4"/>
        <w:rPr>
          <w:color w:val="auto"/>
          <w:highlight w:val="none"/>
        </w:rPr>
      </w:pPr>
      <w:bookmarkStart w:id="44" w:name="_Toc15059431"/>
      <w:bookmarkStart w:id="45" w:name="_Toc275199618"/>
      <w:bookmarkStart w:id="46" w:name="_Toc440628924"/>
      <w:bookmarkStart w:id="47" w:name="_Toc89675157"/>
      <w:bookmarkStart w:id="48" w:name="_Toc11439"/>
      <w:r>
        <w:rPr>
          <w:rFonts w:hint="eastAsia"/>
          <w:color w:val="auto"/>
          <w:highlight w:val="none"/>
        </w:rPr>
        <w:t>11. 无效响应条款</w:t>
      </w:r>
      <w:bookmarkEnd w:id="44"/>
      <w:bookmarkEnd w:id="45"/>
      <w:bookmarkEnd w:id="46"/>
      <w:bookmarkEnd w:id="47"/>
      <w:bookmarkEnd w:id="48"/>
    </w:p>
    <w:p w14:paraId="78E1481F">
      <w:pPr>
        <w:rPr>
          <w:color w:val="auto"/>
          <w:highlight w:val="none"/>
        </w:rPr>
      </w:pPr>
      <w:r>
        <w:rPr>
          <w:rFonts w:hint="eastAsia"/>
          <w:color w:val="auto"/>
          <w:highlight w:val="none"/>
        </w:rPr>
        <w:t>响应人或其响应文件出现下列情况之一者，应为无效响应：</w:t>
      </w:r>
    </w:p>
    <w:p w14:paraId="6048B569">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6F5C2EC0">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4A05F3F4">
      <w:pPr>
        <w:rPr>
          <w:color w:val="auto"/>
          <w:highlight w:val="none"/>
        </w:rPr>
      </w:pPr>
      <w:r>
        <w:rPr>
          <w:rFonts w:hint="eastAsia"/>
          <w:color w:val="auto"/>
          <w:highlight w:val="none"/>
        </w:rPr>
        <w:t>11.3 响应人超出其营业执照或事业单位法人证书上经营范围（业务范围）响应的。</w:t>
      </w:r>
    </w:p>
    <w:p w14:paraId="3368253E">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4D1837B7">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4F00FB5E">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270B99FB">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4EA154A3">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4BF4FC1B">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25606445">
      <w:pPr>
        <w:rPr>
          <w:color w:val="auto"/>
          <w:highlight w:val="none"/>
        </w:rPr>
      </w:pPr>
      <w:r>
        <w:rPr>
          <w:rFonts w:hint="eastAsia"/>
          <w:color w:val="auto"/>
          <w:highlight w:val="none"/>
        </w:rPr>
        <w:t>11.10 出现影响询比公正的违法、违规行为的。</w:t>
      </w:r>
    </w:p>
    <w:p w14:paraId="55FFC11A">
      <w:pPr>
        <w:rPr>
          <w:color w:val="auto"/>
          <w:highlight w:val="none"/>
        </w:rPr>
      </w:pPr>
      <w:r>
        <w:rPr>
          <w:rFonts w:hint="eastAsia"/>
          <w:color w:val="auto"/>
          <w:highlight w:val="none"/>
        </w:rPr>
        <w:t>11.11 与采购人、评审专家、其他响应人恶意串通。</w:t>
      </w:r>
    </w:p>
    <w:p w14:paraId="6D667A8A">
      <w:pPr>
        <w:rPr>
          <w:color w:val="auto"/>
          <w:highlight w:val="none"/>
        </w:rPr>
      </w:pPr>
      <w:r>
        <w:rPr>
          <w:rFonts w:hint="eastAsia"/>
          <w:color w:val="auto"/>
          <w:highlight w:val="none"/>
        </w:rPr>
        <w:t>11.12 参与响应的法人发生合并、分立、破产等重大变化后，不再具备询比要求的资格条件的。</w:t>
      </w:r>
    </w:p>
    <w:p w14:paraId="1B93174F">
      <w:pPr>
        <w:rPr>
          <w:color w:val="auto"/>
          <w:highlight w:val="none"/>
        </w:rPr>
      </w:pPr>
      <w:r>
        <w:rPr>
          <w:rFonts w:hint="eastAsia"/>
          <w:color w:val="auto"/>
          <w:highlight w:val="none"/>
        </w:rPr>
        <w:t>11.13 提供虚假材料谋取成交资格的。</w:t>
      </w:r>
    </w:p>
    <w:p w14:paraId="06396159">
      <w:pPr>
        <w:rPr>
          <w:color w:val="auto"/>
          <w:highlight w:val="none"/>
        </w:rPr>
      </w:pPr>
      <w:r>
        <w:rPr>
          <w:rFonts w:hint="eastAsia"/>
          <w:color w:val="auto"/>
          <w:highlight w:val="none"/>
        </w:rPr>
        <w:t>11.14 响应文件含有采购人不能接受的附件条件的。</w:t>
      </w:r>
    </w:p>
    <w:p w14:paraId="364F42A4">
      <w:pPr>
        <w:pStyle w:val="4"/>
        <w:rPr>
          <w:color w:val="auto"/>
          <w:highlight w:val="none"/>
        </w:rPr>
      </w:pPr>
      <w:r>
        <w:rPr>
          <w:rFonts w:hint="eastAsia"/>
          <w:color w:val="auto"/>
          <w:highlight w:val="none"/>
        </w:rPr>
        <w:t>12. 询比失败情形</w:t>
      </w:r>
    </w:p>
    <w:p w14:paraId="4A8C60EA">
      <w:pPr>
        <w:rPr>
          <w:color w:val="auto"/>
          <w:highlight w:val="none"/>
        </w:rPr>
      </w:pPr>
      <w:r>
        <w:rPr>
          <w:rFonts w:hint="eastAsia"/>
          <w:color w:val="auto"/>
          <w:highlight w:val="none"/>
        </w:rPr>
        <w:t>12.1 出现以下情形本次询比失败：</w:t>
      </w:r>
    </w:p>
    <w:p w14:paraId="183C94EC">
      <w:pPr>
        <w:rPr>
          <w:color w:val="auto"/>
          <w:highlight w:val="none"/>
        </w:rPr>
      </w:pPr>
      <w:r>
        <w:rPr>
          <w:rFonts w:hint="eastAsia"/>
          <w:color w:val="auto"/>
          <w:highlight w:val="none"/>
        </w:rPr>
        <w:t>12.1.1 首次询比的项目，截至响应截止时间，响应人少于3个的。</w:t>
      </w:r>
    </w:p>
    <w:p w14:paraId="37F89BDB">
      <w:pPr>
        <w:rPr>
          <w:color w:val="auto"/>
          <w:highlight w:val="none"/>
        </w:rPr>
      </w:pPr>
      <w:r>
        <w:rPr>
          <w:rFonts w:hint="eastAsia"/>
          <w:color w:val="auto"/>
          <w:highlight w:val="none"/>
        </w:rPr>
        <w:t>12.1.2 经评审委员会评审后否决所有响应的。</w:t>
      </w:r>
    </w:p>
    <w:p w14:paraId="675CF91D">
      <w:pPr>
        <w:rPr>
          <w:color w:val="auto"/>
          <w:highlight w:val="none"/>
        </w:rPr>
      </w:pPr>
      <w:r>
        <w:rPr>
          <w:rFonts w:hint="eastAsia"/>
          <w:color w:val="auto"/>
          <w:highlight w:val="none"/>
        </w:rPr>
        <w:t>12.1.3 法律法规规定的其他情形。</w:t>
      </w:r>
    </w:p>
    <w:p w14:paraId="16D5835B">
      <w:pPr>
        <w:rPr>
          <w:color w:val="auto"/>
          <w:highlight w:val="none"/>
        </w:rPr>
      </w:pPr>
      <w:r>
        <w:rPr>
          <w:rFonts w:hint="eastAsia"/>
          <w:color w:val="auto"/>
          <w:highlight w:val="none"/>
        </w:rPr>
        <w:t>12.2 重新询比和不再询比</w:t>
      </w:r>
    </w:p>
    <w:p w14:paraId="7AA356DC">
      <w:pPr>
        <w:bidi w:val="0"/>
        <w:rPr>
          <w:rFonts w:hint="default"/>
          <w:lang w:val="en-US" w:eastAsia="zh-CN"/>
        </w:rPr>
      </w:pPr>
      <w:r>
        <w:rPr>
          <w:rFonts w:hint="default"/>
          <w:lang w:val="en-US" w:eastAsia="zh-CN"/>
        </w:rPr>
        <w:t>重新</w:t>
      </w:r>
      <w:r>
        <w:rPr>
          <w:rFonts w:hint="eastAsia"/>
          <w:lang w:val="en-US" w:eastAsia="zh-CN"/>
        </w:rPr>
        <w:t>询比</w:t>
      </w:r>
      <w:r>
        <w:rPr>
          <w:rFonts w:hint="default"/>
          <w:lang w:val="en-US" w:eastAsia="zh-CN"/>
        </w:rPr>
        <w:t>的</w:t>
      </w:r>
      <w:r>
        <w:rPr>
          <w:rFonts w:hint="eastAsia"/>
          <w:lang w:val="en-US" w:eastAsia="zh-CN"/>
        </w:rPr>
        <w:t>响应人</w:t>
      </w:r>
      <w:r>
        <w:rPr>
          <w:rFonts w:hint="default"/>
          <w:lang w:val="en-US" w:eastAsia="zh-CN"/>
        </w:rPr>
        <w:t>仍然少于三个的，按照有关规定的程序开标和评审。重新</w:t>
      </w:r>
      <w:r>
        <w:rPr>
          <w:rFonts w:hint="eastAsia"/>
          <w:lang w:val="en-US" w:eastAsia="zh-CN"/>
        </w:rPr>
        <w:t>询比</w:t>
      </w:r>
      <w:r>
        <w:rPr>
          <w:rFonts w:hint="default"/>
          <w:lang w:val="en-US" w:eastAsia="zh-CN"/>
        </w:rPr>
        <w:t>经评审有有效</w:t>
      </w:r>
      <w:r>
        <w:rPr>
          <w:rFonts w:hint="eastAsia"/>
          <w:lang w:val="en-US" w:eastAsia="zh-CN"/>
        </w:rPr>
        <w:t>响应人</w:t>
      </w:r>
      <w:r>
        <w:rPr>
          <w:rFonts w:hint="default"/>
          <w:lang w:val="en-US" w:eastAsia="zh-CN"/>
        </w:rPr>
        <w:t>的，应当确定</w:t>
      </w:r>
      <w:r>
        <w:rPr>
          <w:rFonts w:hint="eastAsia"/>
          <w:lang w:val="en-US" w:eastAsia="zh-CN"/>
        </w:rPr>
        <w:t>排名与成交供应商</w:t>
      </w:r>
      <w:r>
        <w:rPr>
          <w:rFonts w:hint="default"/>
          <w:lang w:val="en-US" w:eastAsia="zh-CN"/>
        </w:rPr>
        <w:t>；无有效</w:t>
      </w:r>
      <w:r>
        <w:rPr>
          <w:rFonts w:hint="eastAsia"/>
          <w:lang w:val="en-US" w:eastAsia="zh-CN"/>
        </w:rPr>
        <w:t>响应人</w:t>
      </w:r>
      <w:r>
        <w:rPr>
          <w:rFonts w:hint="default"/>
          <w:lang w:val="en-US" w:eastAsia="zh-CN"/>
        </w:rPr>
        <w:t>的，可以不再进行</w:t>
      </w:r>
      <w:r>
        <w:rPr>
          <w:rFonts w:hint="eastAsia"/>
          <w:lang w:val="en-US" w:eastAsia="zh-CN"/>
        </w:rPr>
        <w:t>询比</w:t>
      </w:r>
      <w:r>
        <w:rPr>
          <w:rFonts w:hint="default"/>
          <w:lang w:val="en-US" w:eastAsia="zh-CN"/>
        </w:rPr>
        <w:t>。</w:t>
      </w:r>
    </w:p>
    <w:p w14:paraId="62930E5D">
      <w:pPr>
        <w:pStyle w:val="4"/>
        <w:rPr>
          <w:color w:val="auto"/>
          <w:highlight w:val="none"/>
        </w:rPr>
      </w:pPr>
      <w:r>
        <w:rPr>
          <w:rFonts w:hint="eastAsia"/>
          <w:color w:val="auto"/>
          <w:highlight w:val="none"/>
        </w:rPr>
        <w:t>13. 终止</w:t>
      </w:r>
      <w:bookmarkEnd w:id="42"/>
      <w:r>
        <w:rPr>
          <w:rFonts w:hint="eastAsia"/>
          <w:color w:val="auto"/>
          <w:highlight w:val="none"/>
        </w:rPr>
        <w:t>询比</w:t>
      </w:r>
    </w:p>
    <w:p w14:paraId="720F1677">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3053956F">
      <w:pPr>
        <w:bidi w:val="0"/>
      </w:pPr>
      <w:r>
        <w:rPr>
          <w:rFonts w:hint="eastAsia"/>
          <w:lang w:val="en-US" w:eastAsia="zh-CN"/>
        </w:rPr>
        <w:t xml:space="preserve">13.2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14:paraId="0C45FCCD">
      <w:pPr>
        <w:pStyle w:val="4"/>
        <w:rPr>
          <w:color w:val="auto"/>
          <w:highlight w:val="none"/>
        </w:rPr>
      </w:pPr>
      <w:r>
        <w:rPr>
          <w:rFonts w:hint="eastAsia"/>
          <w:color w:val="auto"/>
          <w:highlight w:val="none"/>
        </w:rPr>
        <w:t>14. 参与项目费用</w:t>
      </w:r>
    </w:p>
    <w:p w14:paraId="2391646A">
      <w:pPr>
        <w:rPr>
          <w:color w:val="auto"/>
          <w:highlight w:val="none"/>
        </w:rPr>
      </w:pPr>
      <w:r>
        <w:rPr>
          <w:rFonts w:hint="eastAsia"/>
          <w:color w:val="auto"/>
          <w:highlight w:val="none"/>
        </w:rPr>
        <w:t>响应人参与本询比项目时，一切与响应有关的费用均由响应人自理。</w:t>
      </w:r>
    </w:p>
    <w:p w14:paraId="71721680">
      <w:pPr>
        <w:rPr>
          <w:color w:val="auto"/>
          <w:highlight w:val="none"/>
        </w:rPr>
      </w:pPr>
      <w:r>
        <w:rPr>
          <w:rFonts w:hint="eastAsia"/>
          <w:color w:val="auto"/>
          <w:highlight w:val="none"/>
        </w:rPr>
        <w:t>本项目平台服务费为</w:t>
      </w:r>
      <w:r>
        <w:rPr>
          <w:rFonts w:hint="eastAsia"/>
          <w:color w:val="auto"/>
          <w:highlight w:val="none"/>
          <w:lang w:val="en-US" w:eastAsia="zh-CN"/>
        </w:rPr>
        <w:t>15000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36B1DD18">
      <w:pPr>
        <w:rPr>
          <w:color w:val="auto"/>
          <w:highlight w:val="none"/>
        </w:rPr>
      </w:pPr>
      <w:r>
        <w:rPr>
          <w:color w:val="auto"/>
          <w:highlight w:val="none"/>
        </w:rPr>
        <w:br w:type="page"/>
      </w:r>
    </w:p>
    <w:p w14:paraId="2670BC2D">
      <w:pPr>
        <w:pStyle w:val="3"/>
        <w:rPr>
          <w:color w:val="auto"/>
          <w:highlight w:val="none"/>
        </w:rPr>
      </w:pPr>
      <w:bookmarkStart w:id="49" w:name="_Toc30433"/>
      <w:bookmarkStart w:id="50" w:name="_Toc16887"/>
      <w:r>
        <w:rPr>
          <w:rFonts w:hint="eastAsia"/>
          <w:color w:val="auto"/>
          <w:highlight w:val="none"/>
        </w:rPr>
        <w:t>第三章 项目要求</w:t>
      </w:r>
      <w:bookmarkEnd w:id="49"/>
      <w:bookmarkEnd w:id="50"/>
    </w:p>
    <w:p w14:paraId="56C595D5">
      <w:pPr>
        <w:pStyle w:val="4"/>
        <w:numPr>
          <w:ilvl w:val="0"/>
          <w:numId w:val="2"/>
        </w:numPr>
        <w:ind w:left="0" w:firstLine="0"/>
        <w:rPr>
          <w:color w:val="auto"/>
          <w:highlight w:val="none"/>
        </w:rPr>
      </w:pPr>
      <w:r>
        <w:rPr>
          <w:rFonts w:hint="eastAsia"/>
          <w:color w:val="auto"/>
          <w:highlight w:val="none"/>
        </w:rPr>
        <w:t>项目</w:t>
      </w:r>
      <w:r>
        <w:rPr>
          <w:rFonts w:hint="eastAsia"/>
          <w:color w:val="auto"/>
          <w:highlight w:val="none"/>
          <w:lang w:val="en-US" w:eastAsia="zh-CN"/>
        </w:rPr>
        <w:t>概况</w:t>
      </w:r>
    </w:p>
    <w:p w14:paraId="0DA5BDA4">
      <w:pPr>
        <w:rPr>
          <w:rFonts w:eastAsia="宋体"/>
          <w:color w:val="auto"/>
          <w:highlight w:val="none"/>
          <w:lang w:val="en-US" w:eastAsia="zh-CN"/>
        </w:rPr>
      </w:pPr>
      <w:r>
        <w:rPr>
          <w:rFonts w:ascii="Times New Roman" w:hAnsi="Times New Roman" w:cs="Times New Roman"/>
          <w:color w:val="auto"/>
          <w:highlight w:val="none"/>
        </w:rPr>
        <w:t>为有效落实监管部门对于</w:t>
      </w:r>
      <w:r>
        <w:rPr>
          <w:rFonts w:hint="eastAsia" w:ascii="Times New Roman" w:hAnsi="Times New Roman" w:cs="Times New Roman"/>
          <w:color w:val="auto"/>
          <w:highlight w:val="none"/>
          <w:lang w:val="en-US" w:eastAsia="zh-CN"/>
        </w:rPr>
        <w:t>数据治理、</w:t>
      </w:r>
      <w:r>
        <w:rPr>
          <w:rFonts w:ascii="Times New Roman" w:hAnsi="Times New Roman" w:cs="Times New Roman"/>
          <w:color w:val="auto"/>
          <w:highlight w:val="none"/>
        </w:rPr>
        <w:t>数据资产管理工作的要求，同时满足我行数据管理需要，</w:t>
      </w:r>
      <w:r>
        <w:rPr>
          <w:rFonts w:hint="eastAsia" w:cs="Times New Roman"/>
          <w:color w:val="auto"/>
          <w:highlight w:val="none"/>
          <w:lang w:val="en-US" w:eastAsia="zh-CN"/>
        </w:rPr>
        <w:t>推进数据要素价值释放，赋能业务发展，本行亟</w:t>
      </w:r>
      <w:r>
        <w:rPr>
          <w:rFonts w:ascii="Times New Roman" w:hAnsi="Times New Roman" w:cs="Times New Roman"/>
          <w:color w:val="auto"/>
          <w:highlight w:val="none"/>
        </w:rPr>
        <w:t>需建设数据资产管理平台对数据</w:t>
      </w:r>
      <w:r>
        <w:rPr>
          <w:rFonts w:ascii="Times New Roman" w:hAnsi="Times New Roman" w:cs="Times New Roman"/>
          <w:color w:val="auto"/>
          <w:highlight w:val="none"/>
          <w:lang w:val="en-US" w:eastAsia="zh-CN"/>
        </w:rPr>
        <w:t>资产</w:t>
      </w:r>
      <w:r>
        <w:rPr>
          <w:rFonts w:ascii="Times New Roman" w:hAnsi="Times New Roman" w:cs="Times New Roman"/>
          <w:color w:val="auto"/>
          <w:highlight w:val="none"/>
        </w:rPr>
        <w:t>进行管理</w:t>
      </w:r>
      <w:r>
        <w:rPr>
          <w:rFonts w:hint="eastAsia" w:cs="Times New Roman"/>
          <w:color w:val="auto"/>
          <w:highlight w:val="none"/>
          <w:lang w:eastAsia="zh-CN"/>
        </w:rPr>
        <w:t>；</w:t>
      </w:r>
      <w:r>
        <w:rPr>
          <w:rFonts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元数据</w:t>
      </w:r>
      <w:r>
        <w:rPr>
          <w:rFonts w:hint="eastAsia" w:cs="Times New Roman"/>
          <w:color w:val="auto"/>
          <w:highlight w:val="none"/>
          <w:lang w:val="en-US" w:eastAsia="zh-CN"/>
        </w:rPr>
        <w:t>管理</w:t>
      </w:r>
      <w:r>
        <w:rPr>
          <w:rFonts w:hint="eastAsia" w:ascii="Times New Roman" w:hAnsi="Times New Roman" w:cs="Times New Roman"/>
          <w:color w:val="auto"/>
          <w:highlight w:val="none"/>
          <w:lang w:val="en-US" w:eastAsia="zh-CN"/>
        </w:rPr>
        <w:t>、</w:t>
      </w:r>
      <w:r>
        <w:rPr>
          <w:rFonts w:ascii="Times New Roman" w:hAnsi="Times New Roman" w:cs="Times New Roman"/>
          <w:color w:val="auto"/>
          <w:highlight w:val="none"/>
        </w:rPr>
        <w:t>数据标准</w:t>
      </w:r>
      <w:r>
        <w:rPr>
          <w:rFonts w:hint="eastAsia" w:cs="Times New Roman"/>
          <w:color w:val="auto"/>
          <w:highlight w:val="none"/>
          <w:lang w:val="en-US" w:eastAsia="zh-CN"/>
        </w:rPr>
        <w:t>管理</w:t>
      </w:r>
      <w:r>
        <w:rPr>
          <w:rFonts w:ascii="Times New Roman" w:hAnsi="Times New Roman" w:cs="Times New Roman"/>
          <w:color w:val="auto"/>
          <w:highlight w:val="none"/>
        </w:rPr>
        <w:t>、数据质量</w:t>
      </w:r>
      <w:r>
        <w:rPr>
          <w:rFonts w:hint="eastAsia" w:cs="Times New Roman"/>
          <w:color w:val="auto"/>
          <w:highlight w:val="none"/>
          <w:lang w:val="en-US" w:eastAsia="zh-CN"/>
        </w:rPr>
        <w:t>管理</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数据安全分类分级</w:t>
      </w:r>
      <w:r>
        <w:rPr>
          <w:rFonts w:ascii="Times New Roman" w:hAnsi="Times New Roman" w:cs="Times New Roman"/>
          <w:color w:val="auto"/>
          <w:highlight w:val="none"/>
        </w:rPr>
        <w:t>等工作提供</w:t>
      </w:r>
      <w:r>
        <w:rPr>
          <w:rFonts w:hint="eastAsia" w:ascii="Times New Roman" w:hAnsi="Times New Roman" w:cs="Times New Roman"/>
          <w:color w:val="auto"/>
          <w:highlight w:val="none"/>
          <w:lang w:val="en-US" w:eastAsia="zh-CN"/>
        </w:rPr>
        <w:t>工具支撑；实现数据资产登记、维护、查询和使用的全流程管理；</w:t>
      </w:r>
      <w:r>
        <w:rPr>
          <w:rFonts w:hint="eastAsia" w:cs="Times New Roman"/>
          <w:color w:val="auto"/>
          <w:highlight w:val="none"/>
          <w:lang w:val="en-US" w:eastAsia="zh-CN"/>
        </w:rPr>
        <w:t>通过</w:t>
      </w:r>
      <w:r>
        <w:rPr>
          <w:rFonts w:hint="eastAsia" w:ascii="Times New Roman" w:hAnsi="Times New Roman" w:cs="Times New Roman"/>
          <w:color w:val="auto"/>
          <w:highlight w:val="none"/>
          <w:lang w:val="en-US" w:eastAsia="zh-CN"/>
        </w:rPr>
        <w:t>数据门户，实现</w:t>
      </w:r>
      <w:r>
        <w:rPr>
          <w:rFonts w:hint="eastAsia" w:cs="Times New Roman"/>
          <w:color w:val="auto"/>
          <w:highlight w:val="none"/>
          <w:lang w:val="en-US" w:eastAsia="zh-CN"/>
        </w:rPr>
        <w:t>业务用户、技术用户、管理用户</w:t>
      </w:r>
      <w:r>
        <w:rPr>
          <w:rFonts w:hint="eastAsia" w:ascii="Times New Roman" w:hAnsi="Times New Roman" w:cs="Times New Roman"/>
          <w:color w:val="auto"/>
          <w:highlight w:val="none"/>
          <w:lang w:val="en-US" w:eastAsia="zh-CN"/>
        </w:rPr>
        <w:t>一站式找数、用数、管数。</w:t>
      </w:r>
    </w:p>
    <w:p w14:paraId="4249476E">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项目目标</w:t>
      </w:r>
    </w:p>
    <w:p w14:paraId="6ECFB787">
      <w:pPr>
        <w:numPr>
          <w:ilvl w:val="0"/>
          <w:numId w:val="3"/>
        </w:numPr>
        <w:ind w:firstLineChars="0"/>
        <w:rPr>
          <w:rFonts w:hint="eastAsia"/>
          <w:color w:val="auto"/>
          <w:highlight w:val="none"/>
          <w:lang w:val="en-US" w:eastAsia="zh-CN"/>
        </w:rPr>
      </w:pPr>
      <w:r>
        <w:rPr>
          <w:rFonts w:hint="eastAsia"/>
          <w:color w:val="auto"/>
          <w:highlight w:val="none"/>
          <w:lang w:val="en-US" w:eastAsia="zh-CN"/>
        </w:rPr>
        <w:t>通过本项目构建数据资产管理体系。</w:t>
      </w:r>
    </w:p>
    <w:p w14:paraId="0169431C">
      <w:pPr>
        <w:numPr>
          <w:ilvl w:val="0"/>
          <w:numId w:val="3"/>
        </w:numPr>
        <w:ind w:firstLineChars="0"/>
        <w:rPr>
          <w:color w:val="auto"/>
          <w:highlight w:val="none"/>
          <w:lang w:val="en-US" w:eastAsia="zh-CN"/>
        </w:rPr>
      </w:pPr>
      <w:r>
        <w:rPr>
          <w:rFonts w:hint="eastAsia"/>
          <w:color w:val="auto"/>
          <w:highlight w:val="none"/>
          <w:lang w:val="en-US" w:eastAsia="zh-CN"/>
        </w:rPr>
        <w:t>建设数据治理工具，实现元数据管理、数据标准管理、数据质量管理工作平台支撑，提升治理效率和覆盖面。</w:t>
      </w:r>
    </w:p>
    <w:p w14:paraId="302F7FBE">
      <w:pPr>
        <w:numPr>
          <w:ilvl w:val="0"/>
          <w:numId w:val="3"/>
        </w:numPr>
        <w:ind w:firstLineChars="0"/>
        <w:rPr>
          <w:color w:val="auto"/>
          <w:highlight w:val="none"/>
          <w:lang w:val="en-US" w:eastAsia="zh-CN"/>
        </w:rPr>
      </w:pPr>
      <w:r>
        <w:rPr>
          <w:rFonts w:hint="eastAsia"/>
          <w:color w:val="auto"/>
          <w:highlight w:val="none"/>
          <w:lang w:val="en-US" w:eastAsia="zh-CN"/>
        </w:rPr>
        <w:t>建设数据资产管理工具，构建数据资源、数据资产目录，实现数据资产登记、管理、查询、使用全流程管理。</w:t>
      </w:r>
    </w:p>
    <w:p w14:paraId="39512ADE">
      <w:pPr>
        <w:numPr>
          <w:ilvl w:val="0"/>
          <w:numId w:val="3"/>
        </w:numPr>
        <w:ind w:firstLineChars="0"/>
        <w:rPr>
          <w:color w:val="auto"/>
          <w:highlight w:val="none"/>
          <w:lang w:val="en-US" w:eastAsia="zh-CN"/>
        </w:rPr>
      </w:pPr>
      <w:r>
        <w:rPr>
          <w:rFonts w:hint="eastAsia"/>
          <w:color w:val="auto"/>
          <w:highlight w:val="none"/>
          <w:lang w:val="en-US" w:eastAsia="zh-CN"/>
        </w:rPr>
        <w:t>建设数据安全分类分级工具，依托数据目录，实现数据安全分类分级。</w:t>
      </w:r>
    </w:p>
    <w:p w14:paraId="6D93D2C2">
      <w:pPr>
        <w:numPr>
          <w:ilvl w:val="0"/>
          <w:numId w:val="3"/>
        </w:numPr>
        <w:ind w:firstLineChars="0"/>
        <w:rPr>
          <w:color w:val="auto"/>
          <w:highlight w:val="none"/>
          <w:lang w:val="en-US" w:eastAsia="zh-CN"/>
        </w:rPr>
      </w:pPr>
      <w:r>
        <w:rPr>
          <w:rFonts w:hint="eastAsia"/>
          <w:color w:val="auto"/>
          <w:highlight w:val="none"/>
          <w:lang w:val="en-US" w:eastAsia="zh-CN"/>
        </w:rPr>
        <w:t>建立数据门户，提供业务用户一站式查数、找数、用数入口。</w:t>
      </w:r>
    </w:p>
    <w:p w14:paraId="45FD4844">
      <w:pPr>
        <w:numPr>
          <w:ilvl w:val="0"/>
          <w:numId w:val="3"/>
        </w:numPr>
        <w:ind w:firstLineChars="0"/>
        <w:rPr>
          <w:color w:val="auto"/>
          <w:highlight w:val="none"/>
          <w:lang w:val="en-US" w:eastAsia="zh-CN"/>
        </w:rPr>
      </w:pPr>
      <w:r>
        <w:rPr>
          <w:rFonts w:hint="eastAsia"/>
          <w:color w:val="auto"/>
          <w:highlight w:val="none"/>
          <w:lang w:val="en-US" w:eastAsia="zh-CN"/>
        </w:rPr>
        <w:t>将本行基础数据标准、数据质量检核规则、数据安全分类分级标准等内容在平台落地；将数据中台建设过程中梳理的库表元数据、数据指标、数据标签、数据报表、API接口等数据资产在数据资产管理平台进行统一维护、管理。</w:t>
      </w:r>
    </w:p>
    <w:p w14:paraId="7C3EA29D">
      <w:pPr>
        <w:pStyle w:val="4"/>
        <w:numPr>
          <w:ilvl w:val="0"/>
          <w:numId w:val="2"/>
        </w:numPr>
        <w:ind w:left="0" w:firstLine="0"/>
        <w:rPr>
          <w:color w:val="auto"/>
          <w:highlight w:val="none"/>
          <w:lang w:val="en-US" w:eastAsia="zh-CN"/>
        </w:rPr>
      </w:pPr>
      <w:r>
        <w:rPr>
          <w:rFonts w:hint="eastAsia"/>
          <w:color w:val="auto"/>
          <w:highlight w:val="none"/>
          <w:lang w:val="en-US" w:eastAsia="zh-CN"/>
        </w:rPr>
        <w:t>业务需求</w:t>
      </w:r>
    </w:p>
    <w:p w14:paraId="3D3FC102">
      <w:pPr>
        <w:pStyle w:val="5"/>
        <w:numPr>
          <w:ilvl w:val="0"/>
          <w:numId w:val="4"/>
        </w:numPr>
        <w:ind w:firstLineChars="0"/>
        <w:rPr>
          <w:rFonts w:hint="eastAsia"/>
          <w:color w:val="auto"/>
          <w:szCs w:val="24"/>
          <w:highlight w:val="none"/>
          <w:lang w:val="en-US" w:eastAsia="zh-CN"/>
        </w:rPr>
      </w:pPr>
      <w:r>
        <w:rPr>
          <w:rFonts w:hint="eastAsia"/>
          <w:color w:val="auto"/>
          <w:szCs w:val="24"/>
          <w:highlight w:val="none"/>
          <w:lang w:val="en-US" w:eastAsia="zh-CN"/>
        </w:rPr>
        <w:t>数据资产管理体系建设咨询</w:t>
      </w:r>
    </w:p>
    <w:p w14:paraId="7F5EA622">
      <w:pPr>
        <w:numPr>
          <w:ilvl w:val="0"/>
          <w:numId w:val="5"/>
        </w:numPr>
        <w:ind w:left="0" w:firstLine="422" w:firstLineChars="200"/>
        <w:rPr>
          <w:b w:val="0"/>
          <w:bCs w:val="0"/>
          <w:color w:val="auto"/>
          <w:highlight w:val="none"/>
          <w:lang w:val="en-US" w:eastAsia="zh-CN"/>
        </w:rPr>
      </w:pPr>
      <w:r>
        <w:rPr>
          <w:rFonts w:hint="eastAsia"/>
          <w:b/>
          <w:bCs/>
          <w:color w:val="auto"/>
          <w:highlight w:val="none"/>
          <w:lang w:val="en-US" w:eastAsia="zh-CN"/>
        </w:rPr>
        <w:t>建立数据资产管理策略。</w:t>
      </w:r>
      <w:r>
        <w:rPr>
          <w:rFonts w:hint="eastAsia"/>
          <w:b w:val="0"/>
          <w:bCs w:val="0"/>
          <w:color w:val="auto"/>
          <w:highlight w:val="none"/>
          <w:lang w:val="en-US" w:eastAsia="zh-CN"/>
        </w:rPr>
        <w:t>明确数据资产定义；规划数据资产管理实施路径；提供数据资产运营管理策略和价值评估方法；设计数据资产分类管理体系；设计技术视角数据目录；设计业务视角数据目录；设计数据资产管理标签体系，支持对元数据、数据资产打标，实现数据资产多维度检索。</w:t>
      </w:r>
    </w:p>
    <w:p w14:paraId="48CC243B">
      <w:pPr>
        <w:numPr>
          <w:ilvl w:val="0"/>
          <w:numId w:val="5"/>
        </w:numPr>
        <w:ind w:left="0" w:firstLine="422" w:firstLineChars="200"/>
        <w:rPr>
          <w:color w:val="auto"/>
          <w:highlight w:val="none"/>
          <w:lang w:val="en-US" w:eastAsia="zh-CN"/>
        </w:rPr>
      </w:pPr>
      <w:r>
        <w:rPr>
          <w:rFonts w:hint="eastAsia"/>
          <w:b/>
          <w:bCs/>
          <w:color w:val="auto"/>
          <w:highlight w:val="none"/>
          <w:lang w:val="en-US" w:eastAsia="zh-CN"/>
        </w:rPr>
        <w:t>梳理数据资产管理模板。</w:t>
      </w:r>
      <w:r>
        <w:rPr>
          <w:rFonts w:hint="eastAsia"/>
          <w:b w:val="0"/>
          <w:bCs w:val="0"/>
          <w:color w:val="auto"/>
          <w:highlight w:val="none"/>
          <w:lang w:val="en-US" w:eastAsia="zh-CN"/>
        </w:rPr>
        <w:t>梳理各板块管理对象的管理属性和管理模板，包含元数据管理属性、基础数据标准管理属性、指标数据标准管理属性、数据质量问题管理属性、数据质量检核规则管理属性，梳理各类数据资产（指标、标签、报表、API接口）管理属性，形成数据资产管理模板。</w:t>
      </w:r>
    </w:p>
    <w:p w14:paraId="15FB478B">
      <w:pPr>
        <w:numPr>
          <w:ilvl w:val="0"/>
          <w:numId w:val="5"/>
        </w:numPr>
        <w:ind w:left="0" w:firstLine="422" w:firstLineChars="200"/>
        <w:rPr>
          <w:b w:val="0"/>
          <w:bCs w:val="0"/>
          <w:color w:val="auto"/>
          <w:highlight w:val="none"/>
          <w:lang w:val="en-US" w:eastAsia="zh-CN"/>
        </w:rPr>
      </w:pPr>
      <w:r>
        <w:rPr>
          <w:rFonts w:hint="eastAsia"/>
          <w:b/>
          <w:bCs/>
          <w:color w:val="auto"/>
          <w:highlight w:val="none"/>
          <w:lang w:val="en-US" w:eastAsia="zh-CN"/>
        </w:rPr>
        <w:t>梳理数据管理流程。</w:t>
      </w:r>
      <w:r>
        <w:rPr>
          <w:rFonts w:hint="eastAsia"/>
          <w:b w:val="0"/>
          <w:bCs w:val="0"/>
          <w:color w:val="auto"/>
          <w:highlight w:val="none"/>
          <w:lang w:val="en-US" w:eastAsia="zh-CN"/>
        </w:rPr>
        <w:t>包含元数据管理流程；数据标准全生命周期管理流程；数据质量规则管理流程；数据质量问题管理流程；数据资产闭环管理流程（含资产登记、资产维护、资产下线）等；数据资产目录变更流程；数据安全分类分级管理流程</w:t>
      </w:r>
      <w:r>
        <w:rPr>
          <w:b w:val="0"/>
          <w:bCs w:val="0"/>
          <w:color w:val="auto"/>
          <w:highlight w:val="none"/>
          <w:lang w:val="en-US" w:eastAsia="zh-CN"/>
        </w:rPr>
        <w:t>；数据申请流程等</w:t>
      </w:r>
      <w:r>
        <w:rPr>
          <w:rFonts w:hint="eastAsia"/>
          <w:b w:val="0"/>
          <w:bCs w:val="0"/>
          <w:color w:val="auto"/>
          <w:highlight w:val="none"/>
          <w:lang w:val="en-US" w:eastAsia="zh-CN"/>
        </w:rPr>
        <w:t>。</w:t>
      </w:r>
    </w:p>
    <w:p w14:paraId="527766C8">
      <w:pPr>
        <w:numPr>
          <w:ilvl w:val="0"/>
          <w:numId w:val="5"/>
        </w:numPr>
        <w:ind w:left="0" w:firstLine="422" w:firstLineChars="200"/>
        <w:rPr>
          <w:b w:val="0"/>
          <w:bCs w:val="0"/>
          <w:color w:val="auto"/>
          <w:highlight w:val="none"/>
          <w:lang w:val="en-US" w:eastAsia="zh-CN"/>
        </w:rPr>
      </w:pPr>
      <w:r>
        <w:rPr>
          <w:rFonts w:hint="eastAsia"/>
          <w:b/>
          <w:bCs/>
          <w:color w:val="auto"/>
          <w:highlight w:val="none"/>
          <w:lang w:val="en-US" w:eastAsia="zh-CN"/>
        </w:rPr>
        <w:t>完善数据管理制度</w:t>
      </w:r>
      <w:r>
        <w:rPr>
          <w:rFonts w:hint="eastAsia"/>
          <w:b w:val="0"/>
          <w:bCs w:val="0"/>
          <w:color w:val="auto"/>
          <w:highlight w:val="none"/>
          <w:lang w:val="en-US" w:eastAsia="zh-CN"/>
        </w:rPr>
        <w:t>，建立数据资产平台管理制度、元数据管理制度、数据标准管理制度。</w:t>
      </w:r>
    </w:p>
    <w:p w14:paraId="7780D192">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平台通用功能</w:t>
      </w:r>
    </w:p>
    <w:p w14:paraId="4EA0FD75">
      <w:pPr>
        <w:numPr>
          <w:ilvl w:val="0"/>
          <w:numId w:val="6"/>
        </w:numPr>
        <w:ind w:left="0" w:firstLine="420" w:firstLineChars="200"/>
        <w:rPr>
          <w:b w:val="0"/>
          <w:bCs w:val="0"/>
          <w:color w:val="auto"/>
          <w:highlight w:val="none"/>
          <w:lang w:val="en-US" w:eastAsia="zh-CN"/>
        </w:rPr>
      </w:pPr>
      <w:r>
        <w:rPr>
          <w:rFonts w:hint="eastAsia"/>
          <w:b w:val="0"/>
          <w:bCs w:val="0"/>
          <w:color w:val="auto"/>
          <w:highlight w:val="none"/>
          <w:lang w:val="en-US" w:eastAsia="zh-CN"/>
        </w:rPr>
        <w:t>管理流程配置：平台支持灵活配置相关管理流程。</w:t>
      </w:r>
    </w:p>
    <w:p w14:paraId="32D5A456">
      <w:pPr>
        <w:numPr>
          <w:ilvl w:val="0"/>
          <w:numId w:val="6"/>
        </w:numPr>
        <w:ind w:left="0" w:firstLine="420" w:firstLineChars="200"/>
        <w:rPr>
          <w:color w:val="auto"/>
          <w:highlight w:val="none"/>
          <w:lang w:val="en-US"/>
        </w:rPr>
      </w:pPr>
      <w:r>
        <w:rPr>
          <w:rFonts w:hint="eastAsia"/>
          <w:b w:val="0"/>
          <w:bCs w:val="0"/>
          <w:color w:val="auto"/>
          <w:highlight w:val="none"/>
          <w:lang w:val="en-US" w:eastAsia="zh-CN"/>
        </w:rPr>
        <w:t>管理属性配置：平台支持灵活配置各板块管理属性，包含但不限于元数据管理属性、基础数据标准管理属性、指标数据标准管理属性、数据质量检核规则管理属性、数据质量问题管理属性、数据资产管理属性等；落地规划咨询阶段梳理的管理属性。</w:t>
      </w:r>
    </w:p>
    <w:p w14:paraId="6BD4AD77">
      <w:pPr>
        <w:numPr>
          <w:ilvl w:val="0"/>
          <w:numId w:val="6"/>
        </w:numPr>
        <w:ind w:left="0" w:firstLine="420" w:firstLineChars="200"/>
        <w:rPr>
          <w:b w:val="0"/>
          <w:bCs w:val="0"/>
          <w:color w:val="auto"/>
          <w:highlight w:val="none"/>
          <w:lang w:val="en-US" w:eastAsia="zh-CN"/>
        </w:rPr>
      </w:pPr>
      <w:r>
        <w:rPr>
          <w:rStyle w:val="30"/>
          <w:rFonts w:hint="eastAsia" w:cs="Times New Roman"/>
          <w:b w:val="0"/>
          <w:bCs w:val="0"/>
          <w:color w:val="auto"/>
          <w:highlight w:val="none"/>
          <w:lang w:val="en-US" w:eastAsia="zh-CN"/>
        </w:rPr>
        <w:t>用户权限管理：设计用户及权限体系，区分管理用户、业务用户、技术用户角色及权限。</w:t>
      </w:r>
    </w:p>
    <w:p w14:paraId="7C08CADD">
      <w:pPr>
        <w:numPr>
          <w:ilvl w:val="0"/>
          <w:numId w:val="6"/>
        </w:numPr>
        <w:ind w:left="0" w:firstLine="420" w:firstLineChars="200"/>
        <w:rPr>
          <w:b w:val="0"/>
          <w:bCs w:val="0"/>
          <w:color w:val="auto"/>
          <w:highlight w:val="none"/>
          <w:lang w:val="en-US" w:eastAsia="zh-CN"/>
        </w:rPr>
      </w:pPr>
      <w:r>
        <w:rPr>
          <w:rFonts w:hint="eastAsia"/>
          <w:b w:val="0"/>
          <w:bCs w:val="0"/>
          <w:color w:val="auto"/>
          <w:highlight w:val="none"/>
          <w:lang w:val="en-US" w:eastAsia="zh-CN"/>
        </w:rPr>
        <w:t>日志管理：记录平台</w:t>
      </w:r>
      <w:r>
        <w:rPr>
          <w:b w:val="0"/>
          <w:bCs w:val="0"/>
          <w:color w:val="auto"/>
          <w:highlight w:val="none"/>
          <w:lang w:val="en-US" w:eastAsia="zh-CN"/>
        </w:rPr>
        <w:t>所有操作的日志，</w:t>
      </w:r>
      <w:r>
        <w:rPr>
          <w:rFonts w:hint="eastAsia"/>
          <w:b w:val="0"/>
          <w:bCs w:val="0"/>
          <w:color w:val="auto"/>
          <w:highlight w:val="none"/>
          <w:lang w:val="en-US" w:eastAsia="zh-CN"/>
        </w:rPr>
        <w:t>支持</w:t>
      </w:r>
      <w:r>
        <w:rPr>
          <w:b w:val="0"/>
          <w:bCs w:val="0"/>
          <w:color w:val="auto"/>
          <w:highlight w:val="none"/>
          <w:lang w:val="en-US" w:eastAsia="zh-CN"/>
        </w:rPr>
        <w:t>按照操作人、模块名称、操作描述、操作结果等内容以列表方式呈现，</w:t>
      </w:r>
      <w:r>
        <w:rPr>
          <w:rFonts w:hint="eastAsia"/>
          <w:b w:val="0"/>
          <w:bCs w:val="0"/>
          <w:color w:val="auto"/>
          <w:highlight w:val="none"/>
          <w:lang w:val="en-US" w:eastAsia="zh-CN"/>
        </w:rPr>
        <w:t>支持</w:t>
      </w:r>
      <w:r>
        <w:rPr>
          <w:b w:val="0"/>
          <w:bCs w:val="0"/>
          <w:color w:val="auto"/>
          <w:highlight w:val="none"/>
          <w:lang w:val="en-US" w:eastAsia="zh-CN"/>
        </w:rPr>
        <w:t>对操作记录进行搜索</w:t>
      </w:r>
      <w:r>
        <w:rPr>
          <w:rFonts w:hint="eastAsia"/>
          <w:b w:val="0"/>
          <w:bCs w:val="0"/>
          <w:color w:val="auto"/>
          <w:highlight w:val="none"/>
          <w:lang w:val="en-US" w:eastAsia="zh-CN"/>
        </w:rPr>
        <w:t>、</w:t>
      </w:r>
      <w:r>
        <w:rPr>
          <w:b w:val="0"/>
          <w:bCs w:val="0"/>
          <w:color w:val="auto"/>
          <w:highlight w:val="none"/>
          <w:lang w:val="en-US" w:eastAsia="zh-CN"/>
        </w:rPr>
        <w:t>查看等</w:t>
      </w:r>
      <w:r>
        <w:rPr>
          <w:rFonts w:hint="eastAsia"/>
          <w:b w:val="0"/>
          <w:bCs w:val="0"/>
          <w:color w:val="auto"/>
          <w:highlight w:val="none"/>
          <w:lang w:val="en-US" w:eastAsia="zh-CN"/>
        </w:rPr>
        <w:t>。</w:t>
      </w:r>
    </w:p>
    <w:p w14:paraId="0C195067">
      <w:pPr>
        <w:numPr>
          <w:ilvl w:val="0"/>
          <w:numId w:val="6"/>
        </w:numPr>
        <w:ind w:left="0" w:firstLine="420" w:firstLineChars="200"/>
        <w:rPr>
          <w:b w:val="0"/>
          <w:bCs w:val="0"/>
          <w:color w:val="auto"/>
          <w:highlight w:val="none"/>
          <w:lang w:val="en-US" w:eastAsia="zh-CN"/>
        </w:rPr>
      </w:pPr>
      <w:r>
        <w:rPr>
          <w:rFonts w:hint="eastAsia"/>
          <w:b w:val="0"/>
          <w:bCs w:val="0"/>
          <w:color w:val="auto"/>
          <w:highlight w:val="none"/>
          <w:lang w:val="en-US" w:eastAsia="zh-CN"/>
        </w:rPr>
        <w:t>个人工作台：系统用户可查看个人待办，并通过工作台进行办理，查看个人数据资产收藏、提交数据资产查看申请、提交数据资产需求申请等；支持统一消息推送。</w:t>
      </w:r>
    </w:p>
    <w:p w14:paraId="7F256D58">
      <w:pPr>
        <w:numPr>
          <w:ilvl w:val="0"/>
          <w:numId w:val="6"/>
        </w:numPr>
        <w:ind w:left="0" w:firstLine="420" w:firstLineChars="200"/>
        <w:rPr>
          <w:color w:val="auto"/>
          <w:highlight w:val="none"/>
          <w:lang w:val="en-US" w:eastAsia="zh-CN"/>
        </w:rPr>
      </w:pPr>
      <w:r>
        <w:rPr>
          <w:rFonts w:hint="eastAsia"/>
          <w:color w:val="auto"/>
          <w:highlight w:val="none"/>
          <w:lang w:val="en-US" w:eastAsia="zh-CN"/>
        </w:rPr>
        <w:t>数据标签维护：支持灵活维护数据标签体系；落地规划咨询阶段梳理的标签体系；标签维护后支持对元数据、数据资产打标；针对已使用的标签，标签变动同步更新打标内容。</w:t>
      </w:r>
    </w:p>
    <w:p w14:paraId="329D1ED4">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元数据管理</w:t>
      </w:r>
    </w:p>
    <w:p w14:paraId="008357CC">
      <w:pPr>
        <w:numPr>
          <w:ilvl w:val="0"/>
          <w:numId w:val="7"/>
        </w:numPr>
        <w:ind w:firstLineChars="0"/>
        <w:rPr>
          <w:color w:val="auto"/>
          <w:highlight w:val="none"/>
          <w:lang w:val="en-US"/>
        </w:rPr>
      </w:pPr>
      <w:r>
        <w:rPr>
          <w:rFonts w:hint="eastAsia"/>
          <w:color w:val="auto"/>
          <w:highlight w:val="none"/>
          <w:lang w:val="en-US" w:eastAsia="zh-CN"/>
        </w:rPr>
        <w:t>元数据采集：支持采集各类数据库元数据，支持OceanBase、TDSQL、达梦、Doris、ClickHouse、HBASE、Hive、Elasticsearch、Hudi等数据源；支持采集BI平台元数据，包含帆软、SmartBI、YongHongBI等主流报表工具。</w:t>
      </w:r>
    </w:p>
    <w:p w14:paraId="2EBE347A">
      <w:pPr>
        <w:ind w:left="0" w:firstLine="420" w:firstLineChars="0"/>
        <w:rPr>
          <w:color w:val="auto"/>
          <w:highlight w:val="none"/>
          <w:lang w:val="en-US"/>
        </w:rPr>
      </w:pPr>
      <w:r>
        <w:rPr>
          <w:rFonts w:hint="eastAsia"/>
          <w:color w:val="auto"/>
          <w:highlight w:val="none"/>
        </w:rPr>
        <w:t>采集全行</w:t>
      </w:r>
      <w:r>
        <w:rPr>
          <w:rFonts w:hint="eastAsia"/>
          <w:color w:val="auto"/>
          <w:highlight w:val="none"/>
          <w:lang w:val="en-US" w:eastAsia="zh-CN"/>
        </w:rPr>
        <w:t>库表类技术</w:t>
      </w:r>
      <w:r>
        <w:rPr>
          <w:rFonts w:hint="eastAsia"/>
          <w:color w:val="auto"/>
          <w:highlight w:val="none"/>
        </w:rPr>
        <w:t>元数据</w:t>
      </w:r>
      <w:r>
        <w:rPr>
          <w:rFonts w:hint="eastAsia"/>
          <w:color w:val="auto"/>
          <w:highlight w:val="none"/>
          <w:lang w:eastAsia="zh-CN"/>
        </w:rPr>
        <w:t>；</w:t>
      </w:r>
      <w:r>
        <w:rPr>
          <w:rFonts w:hint="eastAsia"/>
          <w:color w:val="auto"/>
          <w:highlight w:val="none"/>
          <w:lang w:val="en-US" w:eastAsia="zh-CN"/>
        </w:rPr>
        <w:t>采集本行数据中台范围内数据指标、数据标签、数据报表、API接口等元数据。</w:t>
      </w:r>
    </w:p>
    <w:p w14:paraId="6BD55474">
      <w:pPr>
        <w:numPr>
          <w:ilvl w:val="0"/>
          <w:numId w:val="7"/>
        </w:numPr>
        <w:ind w:firstLineChars="0"/>
        <w:rPr>
          <w:color w:val="auto"/>
          <w:highlight w:val="none"/>
          <w:lang w:val="en-US"/>
        </w:rPr>
      </w:pPr>
      <w:r>
        <w:rPr>
          <w:rFonts w:hint="eastAsia"/>
          <w:color w:val="auto"/>
          <w:highlight w:val="none"/>
          <w:lang w:val="en-US" w:eastAsia="zh-CN"/>
        </w:rPr>
        <w:t>元数据信息查看：支持查看元数据的概要信息、中文名、英文名、归属系统、字段信息、采样数据（支持采样数据查看权限控制）、血缘关系、数据质量、变更历史、安全等级、标签、管理归属部门等信息。</w:t>
      </w:r>
    </w:p>
    <w:p w14:paraId="5A76B763">
      <w:pPr>
        <w:ind w:left="0" w:firstLine="420" w:firstLineChars="0"/>
        <w:rPr>
          <w:rFonts w:hint="eastAsia"/>
          <w:b w:val="0"/>
          <w:bCs w:val="0"/>
          <w:color w:val="auto"/>
          <w:highlight w:val="none"/>
          <w:lang w:val="en-US" w:eastAsia="zh-CN"/>
        </w:rPr>
      </w:pPr>
      <w:r>
        <w:rPr>
          <w:rFonts w:hint="eastAsia"/>
          <w:b w:val="0"/>
          <w:bCs w:val="0"/>
          <w:color w:val="auto"/>
          <w:highlight w:val="none"/>
          <w:lang w:val="en-US" w:eastAsia="zh-CN"/>
        </w:rPr>
        <w:t>数据表元数据信息需包含数据表创建时间、更新时间、数据量（大小）、数据条数等信息。</w:t>
      </w:r>
    </w:p>
    <w:p w14:paraId="5E6482B0">
      <w:pPr>
        <w:numPr>
          <w:ilvl w:val="0"/>
          <w:numId w:val="7"/>
        </w:numPr>
        <w:ind w:firstLineChars="0"/>
        <w:rPr>
          <w:color w:val="auto"/>
          <w:highlight w:val="none"/>
          <w:lang w:val="en-US"/>
        </w:rPr>
      </w:pPr>
      <w:r>
        <w:rPr>
          <w:rFonts w:hint="eastAsia"/>
          <w:color w:val="auto"/>
          <w:highlight w:val="none"/>
          <w:lang w:val="en-US" w:eastAsia="zh-CN"/>
        </w:rPr>
        <w:t>元数据维护：支持手工维护（单条、批量维护）业务元数据、管理元数据，实现自动采集的技术元数据与手工维护的业务元数据联动更新。</w:t>
      </w:r>
    </w:p>
    <w:p w14:paraId="142EBF41">
      <w:pPr>
        <w:numPr>
          <w:ilvl w:val="0"/>
          <w:numId w:val="7"/>
        </w:numPr>
        <w:ind w:firstLineChars="0"/>
        <w:rPr>
          <w:color w:val="auto"/>
          <w:highlight w:val="none"/>
          <w:lang w:val="en-US" w:eastAsia="zh-CN"/>
        </w:rPr>
      </w:pPr>
      <w:r>
        <w:rPr>
          <w:rFonts w:hint="eastAsia"/>
          <w:color w:val="auto"/>
          <w:highlight w:val="none"/>
          <w:lang w:val="en-US" w:eastAsia="zh-CN"/>
        </w:rPr>
        <w:t>元数据变更：支持查看元数据变更记录；支持元数据变更后对数据标准、数据质量检核规则、已登记的数据资产进行影响分析和一键式变更。</w:t>
      </w:r>
    </w:p>
    <w:p w14:paraId="1175AE9D">
      <w:pPr>
        <w:numPr>
          <w:ilvl w:val="0"/>
          <w:numId w:val="7"/>
        </w:numPr>
        <w:ind w:firstLineChars="0"/>
        <w:rPr>
          <w:color w:val="auto"/>
          <w:highlight w:val="none"/>
          <w:lang w:val="en-US"/>
        </w:rPr>
      </w:pPr>
      <w:r>
        <w:rPr>
          <w:rFonts w:hint="eastAsia"/>
          <w:color w:val="auto"/>
          <w:highlight w:val="none"/>
          <w:lang w:val="en-US" w:eastAsia="zh-CN"/>
        </w:rPr>
        <w:t>元数据查询：</w:t>
      </w:r>
      <w:r>
        <w:rPr>
          <w:rFonts w:hint="eastAsia"/>
          <w:color w:val="auto"/>
          <w:highlight w:val="none"/>
          <w:lang w:eastAsia="zh-CN"/>
        </w:rPr>
        <w:t>支持通过关键字或者分类的方式</w:t>
      </w:r>
      <w:r>
        <w:rPr>
          <w:rFonts w:hint="eastAsia"/>
          <w:color w:val="auto"/>
          <w:highlight w:val="none"/>
          <w:lang w:val="en-US" w:eastAsia="zh-CN"/>
        </w:rPr>
        <w:t>查询</w:t>
      </w:r>
      <w:r>
        <w:rPr>
          <w:rFonts w:hint="eastAsia"/>
          <w:color w:val="auto"/>
          <w:highlight w:val="none"/>
          <w:lang w:eastAsia="zh-CN"/>
        </w:rPr>
        <w:t>元数据，支持通过标签等维度进行元数据的搜索和快速定位；</w:t>
      </w:r>
      <w:r>
        <w:rPr>
          <w:rFonts w:hint="eastAsia"/>
          <w:color w:val="auto"/>
          <w:highlight w:val="none"/>
          <w:lang w:val="en-US" w:eastAsia="zh-CN"/>
        </w:rPr>
        <w:t>包含按数据表类型，按数据量大小，按数据表更新时间等不同维度筛选数据表，区分数据表使用活跃度；支持元数据批量导入导出。</w:t>
      </w:r>
    </w:p>
    <w:p w14:paraId="5DC6D638">
      <w:pPr>
        <w:numPr>
          <w:ilvl w:val="0"/>
          <w:numId w:val="7"/>
        </w:numPr>
        <w:ind w:firstLineChars="0"/>
        <w:rPr>
          <w:color w:val="auto"/>
          <w:highlight w:val="none"/>
          <w:lang w:val="en-US"/>
        </w:rPr>
      </w:pPr>
      <w:r>
        <w:rPr>
          <w:rFonts w:hint="eastAsia"/>
          <w:color w:val="auto"/>
          <w:highlight w:val="none"/>
          <w:lang w:val="en-US" w:eastAsia="zh-CN"/>
        </w:rPr>
        <w:t>数据资源目录：根据采集的各类元数据，组织形成数据资源目录。技术视角数据资源目录支持按系统、按系统管理部门组织。</w:t>
      </w:r>
    </w:p>
    <w:p w14:paraId="08BC03E7">
      <w:pPr>
        <w:numPr>
          <w:ilvl w:val="0"/>
          <w:numId w:val="7"/>
        </w:numPr>
        <w:ind w:firstLineChars="0"/>
        <w:rPr>
          <w:color w:val="auto"/>
          <w:highlight w:val="none"/>
          <w:lang w:val="en-US"/>
        </w:rPr>
      </w:pPr>
      <w:r>
        <w:rPr>
          <w:rFonts w:hint="eastAsia"/>
          <w:color w:val="auto"/>
          <w:highlight w:val="none"/>
          <w:lang w:val="en-US" w:eastAsia="zh-CN"/>
        </w:rPr>
        <w:t>数据血缘：支持按周期、按具体位置采集数据血缘文件；支持通过血缘文件、脚本解析，形成可视化数据血缘，可查看表、字段加工链路；支持对解析完的血缘链路成果进行分组，可依据schema、业务系统等不同方式进行分类；支持手工更新或维护数据血缘，为数据变更影响分析提供支撑；支持查看不同粒度的数据血缘，包含系统级、表级、字段级。</w:t>
      </w:r>
    </w:p>
    <w:p w14:paraId="171714A6">
      <w:pPr>
        <w:rPr>
          <w:rFonts w:hint="eastAsia"/>
          <w:color w:val="auto"/>
          <w:highlight w:val="none"/>
          <w:lang w:val="en-US" w:eastAsia="zh-CN"/>
        </w:rPr>
      </w:pPr>
      <w:r>
        <w:rPr>
          <w:rFonts w:hint="eastAsia"/>
          <w:color w:val="auto"/>
          <w:highlight w:val="none"/>
          <w:lang w:val="en-US" w:eastAsia="zh-CN"/>
        </w:rPr>
        <w:t>采集本行数据中台及综合报送平台（一表通及EAST）数据加工文件，进行数据血缘解析。</w:t>
      </w:r>
    </w:p>
    <w:p w14:paraId="367CC686">
      <w:pPr>
        <w:numPr>
          <w:ilvl w:val="0"/>
          <w:numId w:val="7"/>
        </w:numPr>
        <w:ind w:firstLineChars="0"/>
        <w:rPr>
          <w:rFonts w:hint="eastAsia"/>
          <w:color w:val="auto"/>
          <w:highlight w:val="none"/>
          <w:lang w:val="en-US" w:eastAsia="zh-CN"/>
        </w:rPr>
      </w:pPr>
      <w:r>
        <w:rPr>
          <w:rFonts w:hint="eastAsia"/>
          <w:color w:val="auto"/>
          <w:highlight w:val="none"/>
          <w:lang w:val="en-US" w:eastAsia="zh-CN"/>
        </w:rPr>
        <w:t>元数据概览：支持通过数据看板方式展示元数据管理整体情况，包含但不限于从应用系统、管理部门、业务领域等维度展示数据表概数、数据字段概数、数据总量（大小）、数据条数等信息；支持查看元数据质量，包括中文名充足率；支持通过元数据与数据标准板块联动，展示基础数据标准对标、落标情况等。</w:t>
      </w:r>
    </w:p>
    <w:p w14:paraId="6E3A1AF8">
      <w:pPr>
        <w:numPr>
          <w:ilvl w:val="0"/>
          <w:numId w:val="7"/>
        </w:numPr>
        <w:ind w:firstLineChars="0"/>
        <w:rPr>
          <w:rFonts w:hint="eastAsia"/>
          <w:color w:val="auto"/>
          <w:highlight w:val="none"/>
          <w:lang w:val="en-US" w:eastAsia="zh-CN"/>
        </w:rPr>
      </w:pPr>
      <w:r>
        <w:rPr>
          <w:rFonts w:hint="eastAsia"/>
          <w:color w:val="auto"/>
          <w:highlight w:val="none"/>
          <w:lang w:val="en-US" w:eastAsia="zh-CN"/>
        </w:rPr>
        <w:t>落地规划阶段元数据管理流程，形成元数据动态管理机制。</w:t>
      </w:r>
    </w:p>
    <w:p w14:paraId="3004DF07">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数据标准管理</w:t>
      </w:r>
    </w:p>
    <w:p w14:paraId="4FFE1979">
      <w:pPr>
        <w:numPr>
          <w:ilvl w:val="0"/>
          <w:numId w:val="8"/>
        </w:numPr>
        <w:ind w:firstLineChars="0"/>
        <w:rPr>
          <w:color w:val="auto"/>
          <w:highlight w:val="none"/>
          <w:lang w:val="en-US" w:eastAsia="zh-CN"/>
        </w:rPr>
      </w:pPr>
      <w:r>
        <w:rPr>
          <w:rFonts w:hint="eastAsia"/>
          <w:color w:val="auto"/>
          <w:highlight w:val="none"/>
          <w:lang w:val="en-US" w:eastAsia="zh-CN"/>
        </w:rPr>
        <w:t>数据标准全流程管理：支持数据标准分类框架维护；支持基础数据标准新增、维护、停用，包含批量维护和单条记录操作；支持数据标准版本管理，通过版本对比展示变更差异。</w:t>
      </w:r>
    </w:p>
    <w:p w14:paraId="36B52225">
      <w:pPr>
        <w:ind w:left="0" w:firstLine="420" w:firstLineChars="0"/>
        <w:rPr>
          <w:rFonts w:hint="eastAsia"/>
          <w:color w:val="auto"/>
          <w:highlight w:val="none"/>
          <w:lang w:val="en-US" w:eastAsia="zh-CN"/>
        </w:rPr>
      </w:pPr>
      <w:r>
        <w:rPr>
          <w:rFonts w:hint="eastAsia"/>
          <w:color w:val="auto"/>
          <w:highlight w:val="none"/>
          <w:lang w:val="en-US" w:eastAsia="zh-CN"/>
        </w:rPr>
        <w:t>基础数据标准的维护内容包含数据元基础信息、码值、命名词典，码值类基础数据标准需与具体码值项进行关联。将本行已有数据标准维护到基础数据标准管理板块。与本行指标管理平台对接指标数据标准</w:t>
      </w:r>
      <w:r>
        <w:rPr>
          <w:color w:val="auto"/>
          <w:highlight w:val="none"/>
          <w:lang w:val="en-US" w:eastAsia="zh-CN"/>
        </w:rPr>
        <w:t>，支持指标数据标准维护</w:t>
      </w:r>
      <w:r>
        <w:rPr>
          <w:rFonts w:hint="eastAsia"/>
          <w:color w:val="auto"/>
          <w:highlight w:val="none"/>
          <w:lang w:val="en-US" w:eastAsia="zh-CN"/>
        </w:rPr>
        <w:t>。</w:t>
      </w:r>
    </w:p>
    <w:p w14:paraId="4425317B">
      <w:pPr>
        <w:numPr>
          <w:ilvl w:val="0"/>
          <w:numId w:val="8"/>
        </w:numPr>
        <w:ind w:firstLineChars="0"/>
        <w:rPr>
          <w:color w:val="auto"/>
          <w:highlight w:val="none"/>
          <w:lang w:val="en-US" w:eastAsia="zh-CN"/>
        </w:rPr>
      </w:pPr>
      <w:r>
        <w:rPr>
          <w:rFonts w:hint="eastAsia"/>
          <w:color w:val="auto"/>
          <w:highlight w:val="none"/>
          <w:lang w:val="en-US" w:eastAsia="zh-CN"/>
        </w:rPr>
        <w:t>数据标准检索：支持数据标准快速检索，支持按标准名称、标准编码、标准状态、标准所有者、以及标准发布时间等属性筛选数据标准；支持查看标准被引用情况的查看，包括被元数据引用、被模型引用情况；支持数据标准导入导出。</w:t>
      </w:r>
    </w:p>
    <w:p w14:paraId="178DFE26">
      <w:pPr>
        <w:numPr>
          <w:ilvl w:val="0"/>
          <w:numId w:val="8"/>
        </w:numPr>
        <w:ind w:firstLineChars="0"/>
        <w:rPr>
          <w:color w:val="auto"/>
          <w:highlight w:val="none"/>
          <w:lang w:val="en-US" w:eastAsia="zh-CN"/>
        </w:rPr>
      </w:pPr>
      <w:r>
        <w:rPr>
          <w:rFonts w:hint="eastAsia"/>
          <w:color w:val="auto"/>
          <w:highlight w:val="none"/>
          <w:lang w:val="en-US" w:eastAsia="zh-CN"/>
        </w:rPr>
        <w:t>数据标准落标：基础数据标准管理模块需与本行建模工具打通，实现通过建模工具加载数据标准（含词根），实现建模过程对数据标准的引用；支持数据标准与元数据进行批量智能对标；支持对数据标准落标情况的检查，支持根据不同维度展示对标情况，包括名称、数据类型、长度、代码等内容。</w:t>
      </w:r>
    </w:p>
    <w:p w14:paraId="660FFEBA">
      <w:pPr>
        <w:ind w:left="0" w:firstLine="420" w:firstLineChars="0"/>
        <w:rPr>
          <w:rFonts w:hint="eastAsia"/>
          <w:color w:val="auto"/>
          <w:highlight w:val="none"/>
          <w:lang w:val="en-US" w:eastAsia="zh-CN"/>
        </w:rPr>
      </w:pPr>
      <w:r>
        <w:rPr>
          <w:rFonts w:hint="eastAsia"/>
          <w:color w:val="auto"/>
          <w:highlight w:val="none"/>
          <w:lang w:val="en-US" w:eastAsia="zh-CN"/>
        </w:rPr>
        <w:t>支持联动数据质量检核模块，将数据标准的数据类型、长度、码值自动转换为数据质量检核规则。</w:t>
      </w:r>
    </w:p>
    <w:p w14:paraId="2DA5594F">
      <w:pPr>
        <w:numPr>
          <w:ilvl w:val="0"/>
          <w:numId w:val="8"/>
        </w:numPr>
        <w:ind w:firstLineChars="0"/>
        <w:rPr>
          <w:color w:val="auto"/>
          <w:highlight w:val="none"/>
          <w:lang w:val="en-US" w:eastAsia="zh-CN"/>
        </w:rPr>
      </w:pPr>
      <w:r>
        <w:rPr>
          <w:rFonts w:hint="eastAsia"/>
          <w:color w:val="auto"/>
          <w:highlight w:val="none"/>
          <w:lang w:val="en-US" w:eastAsia="zh-CN"/>
        </w:rPr>
        <w:t>数据标准聚合推荐：支持通过扫描元数据自动归类相似度高的数据项并智能推荐数据标准。</w:t>
      </w:r>
    </w:p>
    <w:p w14:paraId="0F373801">
      <w:pPr>
        <w:numPr>
          <w:ilvl w:val="0"/>
          <w:numId w:val="8"/>
        </w:numPr>
        <w:ind w:firstLineChars="0"/>
        <w:rPr>
          <w:color w:val="auto"/>
          <w:highlight w:val="none"/>
          <w:lang w:val="en-US" w:eastAsia="zh-CN"/>
        </w:rPr>
      </w:pPr>
      <w:r>
        <w:rPr>
          <w:rFonts w:hint="eastAsia"/>
          <w:color w:val="auto"/>
          <w:highlight w:val="none"/>
          <w:lang w:val="en-US" w:eastAsia="zh-CN"/>
        </w:rPr>
        <w:t>数据标准概览：展示数据标准板块相关统计信息，包含按标准分类展示标准已发布、待发布、已废弃的统计信息。按系统维度展示数据标准对标、落标数据。</w:t>
      </w:r>
    </w:p>
    <w:p w14:paraId="41C176E4">
      <w:pPr>
        <w:numPr>
          <w:ilvl w:val="0"/>
          <w:numId w:val="8"/>
        </w:numPr>
        <w:ind w:firstLineChars="0"/>
        <w:rPr>
          <w:color w:val="auto"/>
          <w:highlight w:val="none"/>
          <w:lang w:val="en-US" w:eastAsia="zh-CN"/>
        </w:rPr>
      </w:pPr>
      <w:r>
        <w:rPr>
          <w:rFonts w:hint="eastAsia"/>
          <w:color w:val="auto"/>
          <w:highlight w:val="none"/>
          <w:lang w:val="en-US" w:eastAsia="zh-CN"/>
        </w:rPr>
        <w:t>落地规划阶段梳理的数据标准管理流程，形成动态管理机制。</w:t>
      </w:r>
    </w:p>
    <w:p w14:paraId="3E1D08E9">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数据质量管理</w:t>
      </w:r>
    </w:p>
    <w:p w14:paraId="7E17245A">
      <w:pPr>
        <w:numPr>
          <w:ilvl w:val="0"/>
          <w:numId w:val="9"/>
        </w:numPr>
        <w:ind w:firstLineChars="0"/>
        <w:rPr>
          <w:rStyle w:val="30"/>
          <w:rFonts w:hint="eastAsia" w:cs="Times New Roman"/>
          <w:b w:val="0"/>
          <w:bCs w:val="0"/>
          <w:color w:val="auto"/>
          <w:highlight w:val="none"/>
          <w:lang w:val="en-US" w:eastAsia="zh-CN"/>
        </w:rPr>
      </w:pPr>
      <w:r>
        <w:rPr>
          <w:rStyle w:val="30"/>
          <w:rFonts w:hint="eastAsia" w:cs="Times New Roman"/>
          <w:b w:val="0"/>
          <w:bCs w:val="0"/>
          <w:color w:val="auto"/>
          <w:highlight w:val="none"/>
          <w:lang w:val="en-US" w:eastAsia="zh-CN"/>
        </w:rPr>
        <w:t>数据质量监测：支持维护数据质量检核业务规则、技术规则，包含批量维护和单条维护；支持数据质量检核规则执行，查看问题数据；支持数据质量检核规则导入导出。</w:t>
      </w:r>
    </w:p>
    <w:p w14:paraId="29F9819F">
      <w:pPr>
        <w:ind w:left="0" w:firstLine="420" w:firstLineChars="0"/>
        <w:rPr>
          <w:rStyle w:val="30"/>
          <w:rFonts w:hint="eastAsia" w:cs="Times New Roman"/>
          <w:b w:val="0"/>
          <w:bCs w:val="0"/>
          <w:color w:val="auto"/>
          <w:highlight w:val="none"/>
          <w:lang w:val="en-US" w:eastAsia="zh-CN"/>
        </w:rPr>
      </w:pPr>
      <w:r>
        <w:rPr>
          <w:rStyle w:val="30"/>
          <w:rFonts w:hint="eastAsia" w:cs="Times New Roman"/>
          <w:b w:val="0"/>
          <w:bCs w:val="0"/>
          <w:color w:val="auto"/>
          <w:highlight w:val="none"/>
          <w:lang w:val="en-US" w:eastAsia="zh-CN"/>
        </w:rPr>
        <w:t>支持查看数据质量检核任务执行的历史数据，可查看每一次的执行结果及详情，包括任务执行时间，问题数据条数。本行当前已形成的数据质量检核规则在平台维护落地执行。</w:t>
      </w:r>
    </w:p>
    <w:p w14:paraId="58246A2F">
      <w:pPr>
        <w:numPr>
          <w:ilvl w:val="0"/>
          <w:numId w:val="9"/>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质量问题管理：支持手动创建数据质量问题；支持根据数据质量检核结果创建（维护）数据质量问题；支持多维度灵活查询数据质量问题，包含按系统维度、按管理部门维度、按登记时间、按问题关闭时间、按问题状态等维度查询；支持质量问题的跟踪处理；展示处理的节点和问题的状态；支持手工维护数据质量问题属性。</w:t>
      </w:r>
    </w:p>
    <w:p w14:paraId="66A6ED81">
      <w:pPr>
        <w:ind w:left="0" w:firstLine="420" w:firstLineChars="0"/>
        <w:rPr>
          <w:rStyle w:val="30"/>
          <w:rFonts w:hint="eastAsia" w:cs="Times New Roman"/>
          <w:b w:val="0"/>
          <w:bCs w:val="0"/>
          <w:color w:val="auto"/>
          <w:highlight w:val="none"/>
          <w:lang w:val="en-US" w:eastAsia="zh-CN"/>
        </w:rPr>
      </w:pPr>
      <w:r>
        <w:rPr>
          <w:rStyle w:val="30"/>
          <w:rFonts w:hint="eastAsia" w:cs="Times New Roman"/>
          <w:b w:val="0"/>
          <w:bCs w:val="0"/>
          <w:color w:val="auto"/>
          <w:highlight w:val="none"/>
          <w:lang w:val="en-US" w:eastAsia="zh-CN"/>
        </w:rPr>
        <w:t>支持将特定问题数据下发至特定人员处理（支持问题数据精准下发和精准管理），实现与OA系统的消息对接和流程对接；支持数据质量问题复检，对比问题数据减少情况。将当前线下管理的数据质量问题台账迁移到系统管理。</w:t>
      </w:r>
      <w:r>
        <w:rPr>
          <w:rStyle w:val="30"/>
          <w:rFonts w:cs="Times New Roman"/>
          <w:b w:val="0"/>
          <w:bCs w:val="0"/>
          <w:color w:val="auto"/>
          <w:highlight w:val="none"/>
          <w:lang w:val="en-US" w:eastAsia="zh-CN"/>
        </w:rPr>
        <w:t>根据需求与监管报送平台实现质量问题对接。</w:t>
      </w:r>
    </w:p>
    <w:p w14:paraId="32236F8A">
      <w:pPr>
        <w:numPr>
          <w:ilvl w:val="0"/>
          <w:numId w:val="9"/>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数据质量报告：支持多维度数据质量报告生成，支持定义数据质量报告模板；报告支持生成数据质量规则及运行数据，数据质量问题解决相关数据；支持定期生成、留档数据质量报告；支持数据质量报告导出。</w:t>
      </w:r>
    </w:p>
    <w:p w14:paraId="34367F11">
      <w:pPr>
        <w:numPr>
          <w:ilvl w:val="0"/>
          <w:numId w:val="9"/>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质量管理概览：支持从系统、管理部门维度查看数据质量检核规则编制及执行情况；支持从数据质量管理维度（六性）查看数据质量情况，包含系统维度、管理部门维度；支持查看数据质量问题分布和解决情况，包含从管理部门、所属系统等维度进行展示；支持查看问题数据量，支持查看通过治理后问题数据量变动情况（压降数）。</w:t>
      </w:r>
    </w:p>
    <w:p w14:paraId="2EFDFA88">
      <w:pPr>
        <w:ind w:left="0" w:firstLine="420"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根据数据质量检核规则执行情况生成数据质量评分。质量评分涵盖多个维度，主要包括质量六性类复合评分、六性环比趋势分析、部门类复合评分、部门环比趋势分析、系统类复合评分、系统环比趋势分析等。</w:t>
      </w:r>
    </w:p>
    <w:p w14:paraId="67F96A95">
      <w:pPr>
        <w:numPr>
          <w:ilvl w:val="0"/>
          <w:numId w:val="9"/>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落地规划阶段梳理的数据质量管理流程，形成系统支撑的动态管理机制。</w:t>
      </w:r>
    </w:p>
    <w:p w14:paraId="51A263C4">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数据资产管理</w:t>
      </w:r>
    </w:p>
    <w:p w14:paraId="12D67AAF">
      <w:pPr>
        <w:numPr>
          <w:ilvl w:val="0"/>
          <w:numId w:val="10"/>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数据资产目录管理：将规划阶段设计的数据资产目录进行系统维护；支持资产类型、目录视角、资产目录新增、编辑和删除；落地数据资产目录变更流程。</w:t>
      </w:r>
    </w:p>
    <w:p w14:paraId="6993408B">
      <w:pPr>
        <w:numPr>
          <w:ilvl w:val="0"/>
          <w:numId w:val="10"/>
        </w:numPr>
        <w:ind w:firstLineChars="0"/>
        <w:rPr>
          <w:rStyle w:val="30"/>
          <w:rFonts w:ascii="Times New Roman" w:hAnsi="Times New Roman" w:eastAsia="宋体" w:cs="Times New Roman"/>
          <w:b w:val="0"/>
          <w:bCs w:val="0"/>
          <w:color w:val="auto"/>
          <w:spacing w:val="0"/>
          <w:kern w:val="2"/>
          <w:sz w:val="21"/>
          <w:highlight w:val="none"/>
          <w:lang w:val="en-US" w:eastAsia="zh-CN" w:bidi="ar-SA"/>
        </w:rPr>
      </w:pPr>
      <w:r>
        <w:rPr>
          <w:rStyle w:val="30"/>
          <w:rFonts w:hint="eastAsia" w:cs="Times New Roman"/>
          <w:b w:val="0"/>
          <w:bCs w:val="0"/>
          <w:color w:val="auto"/>
          <w:highlight w:val="none"/>
          <w:lang w:val="en-US" w:eastAsia="zh-CN"/>
        </w:rPr>
        <w:t>数据资产登记、维护：支持通过引用元数据、手工导入等方式，完善资产管理属性，进行数据资产登记；支持批量登记数据资产；支持查看、编辑数据资产信息；支持通过目录导航筛选、定位资产；落地数据</w:t>
      </w:r>
      <w:r>
        <w:rPr>
          <w:rStyle w:val="30"/>
          <w:rFonts w:hint="eastAsia" w:eastAsia="宋体" w:cs="Times New Roman"/>
          <w:b w:val="0"/>
          <w:bCs w:val="0"/>
          <w:color w:val="auto"/>
          <w:highlight w:val="none"/>
          <w:lang w:val="en-US" w:eastAsia="zh-CN"/>
        </w:rPr>
        <w:t>资产登记（包括属性输入、目录挂载等）、发</w:t>
      </w:r>
      <w:r>
        <w:rPr>
          <w:rStyle w:val="30"/>
          <w:rFonts w:hint="eastAsia" w:cs="Times New Roman"/>
          <w:b w:val="0"/>
          <w:bCs w:val="0"/>
          <w:color w:val="auto"/>
          <w:highlight w:val="none"/>
          <w:lang w:val="en-US" w:eastAsia="zh-CN"/>
        </w:rPr>
        <w:t>布、变更、下线的管理流程；</w:t>
      </w:r>
      <w:r>
        <w:rPr>
          <w:rStyle w:val="30"/>
          <w:rFonts w:hint="eastAsia" w:ascii="Times New Roman" w:hAnsi="Times New Roman" w:eastAsia="宋体" w:cs="Times New Roman"/>
          <w:b w:val="0"/>
          <w:bCs w:val="0"/>
          <w:color w:val="auto"/>
          <w:spacing w:val="0"/>
          <w:kern w:val="2"/>
          <w:sz w:val="21"/>
          <w:highlight w:val="none"/>
          <w:lang w:val="en-US" w:eastAsia="zh-CN" w:bidi="ar-SA"/>
        </w:rPr>
        <w:t>支持数据资产模板管理，包含维护、上传、下载等功能</w:t>
      </w:r>
      <w:r>
        <w:rPr>
          <w:rStyle w:val="30"/>
          <w:rFonts w:hint="eastAsia" w:eastAsia="宋体" w:cs="Times New Roman"/>
          <w:b w:val="0"/>
          <w:bCs w:val="0"/>
          <w:color w:val="auto"/>
          <w:spacing w:val="0"/>
          <w:kern w:val="2"/>
          <w:sz w:val="21"/>
          <w:highlight w:val="none"/>
          <w:lang w:val="en-US" w:eastAsia="zh-CN" w:bidi="ar-SA"/>
        </w:rPr>
        <w:t>。</w:t>
      </w:r>
    </w:p>
    <w:p w14:paraId="43F36E79">
      <w:pPr>
        <w:pStyle w:val="13"/>
        <w:rPr>
          <w:rStyle w:val="30"/>
          <w:rFonts w:ascii="Times New Roman" w:hAnsi="Times New Roman" w:eastAsia="宋体" w:cs="Times New Roman"/>
          <w:b w:val="0"/>
          <w:bCs w:val="0"/>
          <w:color w:val="auto"/>
          <w:spacing w:val="0"/>
          <w:kern w:val="2"/>
          <w:sz w:val="21"/>
          <w:highlight w:val="none"/>
          <w:lang w:val="en-US" w:eastAsia="zh-CN" w:bidi="ar-SA"/>
        </w:rPr>
      </w:pPr>
      <w:r>
        <w:rPr>
          <w:rStyle w:val="30"/>
          <w:rFonts w:hint="eastAsia" w:ascii="Times New Roman" w:hAnsi="Times New Roman" w:eastAsia="宋体" w:cs="Times New Roman"/>
          <w:b w:val="0"/>
          <w:bCs w:val="0"/>
          <w:color w:val="auto"/>
          <w:spacing w:val="0"/>
          <w:kern w:val="2"/>
          <w:sz w:val="21"/>
          <w:highlight w:val="none"/>
          <w:lang w:val="en-US" w:eastAsia="zh-CN" w:bidi="ar-SA"/>
        </w:rPr>
        <w:t>将采集的生产态</w:t>
      </w:r>
      <w:r>
        <w:rPr>
          <w:rStyle w:val="30"/>
          <w:rFonts w:hint="eastAsia" w:ascii="Times New Roman" w:hAnsi="Times New Roman" w:cs="Times New Roman"/>
          <w:b w:val="0"/>
          <w:bCs w:val="0"/>
          <w:color w:val="auto"/>
          <w:spacing w:val="0"/>
          <w:kern w:val="2"/>
          <w:sz w:val="21"/>
          <w:highlight w:val="none"/>
          <w:lang w:val="en-US" w:eastAsia="zh-CN" w:bidi="ar-SA"/>
        </w:rPr>
        <w:t>元</w:t>
      </w:r>
      <w:r>
        <w:rPr>
          <w:rStyle w:val="30"/>
          <w:rFonts w:hint="eastAsia" w:ascii="Times New Roman" w:hAnsi="Times New Roman" w:eastAsia="宋体" w:cs="Times New Roman"/>
          <w:b w:val="0"/>
          <w:bCs w:val="0"/>
          <w:color w:val="auto"/>
          <w:spacing w:val="0"/>
          <w:kern w:val="2"/>
          <w:sz w:val="21"/>
          <w:highlight w:val="none"/>
          <w:lang w:val="en-US" w:eastAsia="zh-CN" w:bidi="ar-SA"/>
        </w:rPr>
        <w:t>数据与资产平台中记录的数据做比对，对于有差异的内容生成待办，</w:t>
      </w:r>
      <w:r>
        <w:rPr>
          <w:rStyle w:val="30"/>
          <w:rFonts w:hint="eastAsia" w:ascii="Times New Roman" w:hAnsi="Times New Roman" w:cs="Times New Roman"/>
          <w:b w:val="0"/>
          <w:bCs w:val="0"/>
          <w:color w:val="auto"/>
          <w:spacing w:val="0"/>
          <w:kern w:val="2"/>
          <w:sz w:val="21"/>
          <w:highlight w:val="none"/>
          <w:lang w:val="en-US" w:eastAsia="zh-CN" w:bidi="ar-SA"/>
        </w:rPr>
        <w:t>联动</w:t>
      </w:r>
      <w:r>
        <w:rPr>
          <w:rStyle w:val="30"/>
          <w:rFonts w:hint="eastAsia" w:ascii="Times New Roman" w:hAnsi="Times New Roman" w:eastAsia="宋体" w:cs="Times New Roman"/>
          <w:b w:val="0"/>
          <w:bCs w:val="0"/>
          <w:color w:val="auto"/>
          <w:spacing w:val="0"/>
          <w:kern w:val="2"/>
          <w:sz w:val="21"/>
          <w:highlight w:val="none"/>
          <w:lang w:val="en-US" w:eastAsia="zh-CN" w:bidi="ar-SA"/>
        </w:rPr>
        <w:t>资产</w:t>
      </w:r>
      <w:r>
        <w:rPr>
          <w:rStyle w:val="30"/>
          <w:rFonts w:hint="eastAsia" w:ascii="Times New Roman" w:hAnsi="Times New Roman" w:cs="Times New Roman"/>
          <w:b w:val="0"/>
          <w:bCs w:val="0"/>
          <w:color w:val="auto"/>
          <w:spacing w:val="0"/>
          <w:kern w:val="2"/>
          <w:sz w:val="21"/>
          <w:highlight w:val="none"/>
          <w:lang w:val="en-US" w:eastAsia="zh-CN" w:bidi="ar-SA"/>
        </w:rPr>
        <w:t>更新</w:t>
      </w:r>
      <w:r>
        <w:rPr>
          <w:rStyle w:val="30"/>
          <w:rFonts w:hint="eastAsia" w:ascii="Times New Roman" w:hAnsi="Times New Roman" w:eastAsia="宋体" w:cs="Times New Roman"/>
          <w:b w:val="0"/>
          <w:bCs w:val="0"/>
          <w:color w:val="auto"/>
          <w:spacing w:val="0"/>
          <w:kern w:val="2"/>
          <w:sz w:val="21"/>
          <w:highlight w:val="none"/>
          <w:lang w:val="en-US" w:eastAsia="zh-CN" w:bidi="ar-SA"/>
        </w:rPr>
        <w:t>发布。</w:t>
      </w:r>
    </w:p>
    <w:p w14:paraId="520200D7">
      <w:pPr>
        <w:ind w:left="0" w:firstLine="420" w:firstLineChars="0"/>
        <w:rPr>
          <w:rStyle w:val="30"/>
          <w:rFonts w:hint="eastAsia" w:cs="Times New Roman"/>
          <w:b w:val="0"/>
          <w:bCs w:val="0"/>
          <w:color w:val="auto"/>
          <w:highlight w:val="none"/>
          <w:lang w:val="en-US" w:eastAsia="zh-CN"/>
        </w:rPr>
      </w:pPr>
      <w:r>
        <w:rPr>
          <w:rStyle w:val="30"/>
          <w:rFonts w:hint="eastAsia" w:cs="Times New Roman"/>
          <w:b w:val="0"/>
          <w:bCs w:val="0"/>
          <w:color w:val="auto"/>
          <w:highlight w:val="none"/>
          <w:lang w:val="en-US" w:eastAsia="zh-CN"/>
        </w:rPr>
        <w:t>对数据中台范围内加工类数据资产进行登记；对数据中台范围内的应用类数据资产进行登记，包含指标、标签、报表、API接口等，针对数据报表实现有权限的用户通过点击链接跳转至报表查看页面；无权限用户链接至权限申请页面。</w:t>
      </w:r>
    </w:p>
    <w:p w14:paraId="0C0A8454">
      <w:pPr>
        <w:ind w:left="0" w:firstLine="420" w:firstLineChars="0"/>
        <w:rPr>
          <w:rStyle w:val="30"/>
          <w:rFonts w:hint="eastAsia" w:cs="Times New Roman"/>
          <w:b w:val="0"/>
          <w:bCs w:val="0"/>
          <w:color w:val="auto"/>
          <w:highlight w:val="none"/>
          <w:lang w:val="en-US" w:eastAsia="zh-CN"/>
        </w:rPr>
      </w:pPr>
      <w:r>
        <w:rPr>
          <w:rStyle w:val="30"/>
          <w:rFonts w:hint="eastAsia" w:cs="Times New Roman"/>
          <w:b w:val="0"/>
          <w:bCs w:val="0"/>
          <w:color w:val="auto"/>
          <w:highlight w:val="none"/>
          <w:lang w:val="en-US" w:eastAsia="zh-CN"/>
        </w:rPr>
        <w:t>通过数据标签体系对数据资产打标，实现数据资产多维度查询。</w:t>
      </w:r>
    </w:p>
    <w:p w14:paraId="4B959F4F">
      <w:pPr>
        <w:numPr>
          <w:ilvl w:val="0"/>
          <w:numId w:val="10"/>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资产用户视图：通过数据资产目录、数据超市形式，展示各类数据资产信息；以业务视角呈现全域资产视图，支持热搜关键词、热门资产推荐；支持关键词搜索（精准查询、模糊查询）、二次筛选功能、搜索结果自定义排序等对数据资产进行定位；实现按系统维度、按部门维度、按业务分类、按资产类型、按访问次数等查询数据资产。</w:t>
      </w:r>
    </w:p>
    <w:p w14:paraId="395291BB">
      <w:pPr>
        <w:numPr>
          <w:ilvl w:val="0"/>
          <w:numId w:val="10"/>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资产运营：支持在数据资产平台上，对数据资产的类型、分布、属性完整率等各方面指标进行可视化分析展示；支持用户运营分析，支持对数据资产平台用户、部门、等各方面指标进行可视化分析展示；支持采集、展示数据资产访问数据，分析数据资产热度。</w:t>
      </w:r>
    </w:p>
    <w:p w14:paraId="05A39992">
      <w:pPr>
        <w:numPr>
          <w:ilvl w:val="0"/>
          <w:numId w:val="10"/>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落地数据资产管理相关流程，形成动态管理机制。</w:t>
      </w:r>
    </w:p>
    <w:p w14:paraId="4776F910">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数据安全分类分级</w:t>
      </w:r>
    </w:p>
    <w:p w14:paraId="339BDA02">
      <w:pPr>
        <w:numPr>
          <w:ilvl w:val="0"/>
          <w:numId w:val="11"/>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分类分级体系维护：支持维护数据安全分类分级体系。</w:t>
      </w:r>
    </w:p>
    <w:p w14:paraId="0F0B27DB">
      <w:pPr>
        <w:numPr>
          <w:ilvl w:val="0"/>
          <w:numId w:val="11"/>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数据分类分级（自动和人工）：支持通过元数据信息，实现数据安全分类分级智能打标；支持人工对自动分类分级结果校对和维护；支持打标结果展示到元数据目录和数据资产目录。</w:t>
      </w:r>
    </w:p>
    <w:p w14:paraId="37D66AFE">
      <w:pPr>
        <w:ind w:left="0" w:firstLine="420" w:firstLineChars="0"/>
        <w:rPr>
          <w:color w:val="auto"/>
          <w:highlight w:val="none"/>
          <w:lang w:val="en-US" w:eastAsia="zh-CN"/>
        </w:rPr>
      </w:pPr>
      <w:r>
        <w:rPr>
          <w:rStyle w:val="30"/>
          <w:rFonts w:hint="eastAsia" w:cs="Times New Roman"/>
          <w:b w:val="0"/>
          <w:bCs w:val="0"/>
          <w:color w:val="auto"/>
          <w:highlight w:val="none"/>
          <w:lang w:val="en-US" w:eastAsia="zh-CN"/>
        </w:rPr>
        <w:t>实现湖仓全量库表元数据分类分级。</w:t>
      </w:r>
      <w:r>
        <w:rPr>
          <w:rFonts w:hint="eastAsia"/>
          <w:color w:val="auto"/>
          <w:highlight w:val="none"/>
          <w:lang w:val="en-US" w:eastAsia="zh-CN"/>
        </w:rPr>
        <w:t>支持与元数据板块联动，将元数据变更情况同步至数据分类分级板块，支持对新增元数据进行分类分级。</w:t>
      </w:r>
    </w:p>
    <w:p w14:paraId="37BBDED6">
      <w:pPr>
        <w:numPr>
          <w:ilvl w:val="0"/>
          <w:numId w:val="11"/>
        </w:numPr>
        <w:ind w:firstLineChars="0"/>
        <w:rPr>
          <w:rStyle w:val="30"/>
          <w:rFonts w:cs="Times New Roman"/>
          <w:b w:val="0"/>
          <w:bCs w:val="0"/>
          <w:color w:val="auto"/>
          <w:highlight w:val="none"/>
          <w:lang w:val="en-US" w:eastAsia="zh-CN"/>
        </w:rPr>
      </w:pPr>
      <w:r>
        <w:rPr>
          <w:rStyle w:val="30"/>
          <w:rFonts w:hint="eastAsia" w:cs="Times New Roman"/>
          <w:b w:val="0"/>
          <w:bCs w:val="0"/>
          <w:color w:val="auto"/>
          <w:highlight w:val="none"/>
          <w:lang w:val="en-US" w:eastAsia="zh-CN"/>
        </w:rPr>
        <w:t>安全分类分级结果查询：数据资产目录支持分类分级检索；元数据目录支持分类分级检索；对外提供分类分级结果查询接口。</w:t>
      </w:r>
    </w:p>
    <w:p w14:paraId="699B4559">
      <w:pPr>
        <w:numPr>
          <w:ilvl w:val="0"/>
          <w:numId w:val="11"/>
        </w:numPr>
        <w:ind w:firstLineChars="0"/>
        <w:rPr>
          <w:color w:val="auto"/>
          <w:highlight w:val="none"/>
          <w:lang w:val="en-US" w:eastAsia="zh-CN"/>
        </w:rPr>
      </w:pPr>
      <w:r>
        <w:rPr>
          <w:rStyle w:val="30"/>
          <w:rFonts w:hint="eastAsia" w:cs="Times New Roman"/>
          <w:b w:val="0"/>
          <w:bCs w:val="0"/>
          <w:color w:val="auto"/>
          <w:highlight w:val="none"/>
          <w:lang w:val="en-US" w:eastAsia="zh-CN"/>
        </w:rPr>
        <w:t>分类分级管理策略维护：支持维护各类数据的安全管理策略。</w:t>
      </w:r>
    </w:p>
    <w:p w14:paraId="265FBF35">
      <w:pPr>
        <w:numPr>
          <w:ilvl w:val="0"/>
          <w:numId w:val="11"/>
        </w:numPr>
        <w:ind w:firstLineChars="0"/>
        <w:rPr>
          <w:rStyle w:val="30"/>
          <w:rFonts w:cs="Times New Roman"/>
          <w:color w:val="auto"/>
          <w:highlight w:val="none"/>
          <w:lang w:val="en-US" w:eastAsia="zh-CN"/>
        </w:rPr>
      </w:pPr>
      <w:r>
        <w:rPr>
          <w:rFonts w:hint="eastAsia"/>
          <w:color w:val="auto"/>
          <w:highlight w:val="none"/>
          <w:lang w:val="en-US" w:eastAsia="zh-CN"/>
        </w:rPr>
        <w:t>落地分类分级管理流程，形成动态管理机制。</w:t>
      </w:r>
    </w:p>
    <w:p w14:paraId="4C06539F">
      <w:pPr>
        <w:pStyle w:val="5"/>
        <w:numPr>
          <w:ilvl w:val="0"/>
          <w:numId w:val="4"/>
        </w:numPr>
        <w:ind w:firstLineChars="0"/>
        <w:rPr>
          <w:color w:val="auto"/>
          <w:szCs w:val="24"/>
          <w:highlight w:val="none"/>
          <w:lang w:val="en-US" w:eastAsia="zh-CN"/>
        </w:rPr>
      </w:pPr>
      <w:r>
        <w:rPr>
          <w:rFonts w:hint="eastAsia"/>
          <w:color w:val="auto"/>
          <w:szCs w:val="24"/>
          <w:highlight w:val="none"/>
          <w:lang w:val="en-US" w:eastAsia="zh-CN"/>
        </w:rPr>
        <w:t>数据门户</w:t>
      </w:r>
    </w:p>
    <w:p w14:paraId="39CF7BB2">
      <w:pPr>
        <w:numPr>
          <w:ilvl w:val="0"/>
          <w:numId w:val="12"/>
        </w:numPr>
        <w:ind w:firstLineChars="0"/>
        <w:rPr>
          <w:color w:val="auto"/>
          <w:highlight w:val="none"/>
          <w:lang w:val="en-US" w:eastAsia="zh-CN"/>
        </w:rPr>
      </w:pPr>
      <w:r>
        <w:rPr>
          <w:rStyle w:val="30"/>
          <w:rFonts w:cs="Times New Roman"/>
          <w:b w:val="0"/>
          <w:bCs w:val="0"/>
          <w:color w:val="auto"/>
          <w:highlight w:val="none"/>
          <w:lang w:val="en-US" w:eastAsia="zh-CN"/>
        </w:rPr>
        <w:t>实现一站式数据门户</w:t>
      </w:r>
      <w:r>
        <w:rPr>
          <w:rStyle w:val="30"/>
          <w:rFonts w:hint="eastAsia" w:cs="Times New Roman"/>
          <w:b w:val="0"/>
          <w:bCs w:val="0"/>
          <w:color w:val="auto"/>
          <w:highlight w:val="none"/>
          <w:lang w:val="en-US" w:eastAsia="zh-CN"/>
        </w:rPr>
        <w:t>：实现通过OA平台单点登录数据资产管理平台；实现通过数据资产管理平台</w:t>
      </w:r>
      <w:r>
        <w:rPr>
          <w:rStyle w:val="30"/>
          <w:rFonts w:cs="Times New Roman"/>
          <w:b w:val="0"/>
          <w:bCs w:val="0"/>
          <w:color w:val="auto"/>
          <w:highlight w:val="none"/>
          <w:lang w:val="en-US" w:eastAsia="zh-CN"/>
        </w:rPr>
        <w:t>集成</w:t>
      </w:r>
      <w:r>
        <w:rPr>
          <w:rStyle w:val="30"/>
          <w:rFonts w:hint="eastAsia" w:cs="Times New Roman"/>
          <w:b w:val="0"/>
          <w:bCs w:val="0"/>
          <w:color w:val="auto"/>
          <w:highlight w:val="none"/>
          <w:lang w:val="en-US" w:eastAsia="zh-CN"/>
        </w:rPr>
        <w:t>BI平台、标签平台、指标平台</w:t>
      </w:r>
      <w:r>
        <w:rPr>
          <w:rStyle w:val="30"/>
          <w:rFonts w:cs="Times New Roman"/>
          <w:b w:val="0"/>
          <w:bCs w:val="0"/>
          <w:color w:val="auto"/>
          <w:highlight w:val="none"/>
          <w:lang w:val="en-US" w:eastAsia="zh-CN"/>
        </w:rPr>
        <w:t>、外部数据管理等模块</w:t>
      </w:r>
      <w:r>
        <w:rPr>
          <w:rStyle w:val="30"/>
          <w:rFonts w:hint="eastAsia" w:cs="Times New Roman"/>
          <w:b w:val="0"/>
          <w:bCs w:val="0"/>
          <w:color w:val="auto"/>
          <w:highlight w:val="none"/>
          <w:lang w:val="en-US" w:eastAsia="zh-CN"/>
        </w:rPr>
        <w:t>，根据需求进行必要的菜单集成</w:t>
      </w:r>
      <w:r>
        <w:rPr>
          <w:rStyle w:val="30"/>
          <w:rFonts w:cs="Times New Roman"/>
          <w:b w:val="0"/>
          <w:bCs w:val="0"/>
          <w:color w:val="auto"/>
          <w:highlight w:val="none"/>
          <w:lang w:val="en-US" w:eastAsia="zh-CN"/>
        </w:rPr>
        <w:t>、界面集成、用户界面设计</w:t>
      </w:r>
      <w:r>
        <w:rPr>
          <w:rStyle w:val="30"/>
          <w:rFonts w:hint="eastAsia" w:cs="Times New Roman"/>
          <w:b w:val="0"/>
          <w:bCs w:val="0"/>
          <w:color w:val="auto"/>
          <w:highlight w:val="none"/>
          <w:lang w:val="en-US" w:eastAsia="zh-CN"/>
        </w:rPr>
        <w:t>；</w:t>
      </w:r>
      <w:r>
        <w:rPr>
          <w:rStyle w:val="30"/>
          <w:rFonts w:cs="Times New Roman"/>
          <w:b w:val="0"/>
          <w:bCs w:val="0"/>
          <w:color w:val="auto"/>
          <w:highlight w:val="none"/>
          <w:lang w:val="en-US" w:eastAsia="zh-CN"/>
        </w:rPr>
        <w:t>设计用户体系，实现</w:t>
      </w:r>
      <w:r>
        <w:rPr>
          <w:rStyle w:val="30"/>
          <w:rFonts w:hint="eastAsia" w:cs="Times New Roman"/>
          <w:b w:val="0"/>
          <w:bCs w:val="0"/>
          <w:color w:val="auto"/>
          <w:highlight w:val="none"/>
          <w:lang w:val="en-US" w:eastAsia="zh-CN"/>
        </w:rPr>
        <w:t>权限</w:t>
      </w:r>
      <w:r>
        <w:rPr>
          <w:rStyle w:val="30"/>
          <w:rFonts w:cs="Times New Roman"/>
          <w:b w:val="0"/>
          <w:bCs w:val="0"/>
          <w:color w:val="auto"/>
          <w:highlight w:val="none"/>
          <w:lang w:val="en-US" w:eastAsia="zh-CN"/>
        </w:rPr>
        <w:t>统一</w:t>
      </w:r>
      <w:r>
        <w:rPr>
          <w:rStyle w:val="30"/>
          <w:rFonts w:hint="eastAsia" w:cs="Times New Roman"/>
          <w:b w:val="0"/>
          <w:bCs w:val="0"/>
          <w:color w:val="auto"/>
          <w:highlight w:val="none"/>
          <w:lang w:val="en-US" w:eastAsia="zh-CN"/>
        </w:rPr>
        <w:t>控制。</w:t>
      </w:r>
    </w:p>
    <w:p w14:paraId="5707AAEA">
      <w:pPr>
        <w:pStyle w:val="5"/>
        <w:numPr>
          <w:ilvl w:val="0"/>
          <w:numId w:val="4"/>
        </w:numPr>
        <w:ind w:firstLineChars="0"/>
        <w:rPr>
          <w:rFonts w:hint="eastAsia"/>
          <w:color w:val="auto"/>
          <w:szCs w:val="24"/>
          <w:highlight w:val="none"/>
          <w:lang w:val="en-US" w:eastAsia="zh-CN"/>
        </w:rPr>
      </w:pPr>
      <w:r>
        <w:rPr>
          <w:rFonts w:hint="eastAsia"/>
          <w:color w:val="auto"/>
          <w:szCs w:val="24"/>
          <w:highlight w:val="none"/>
          <w:lang w:val="en-US" w:eastAsia="zh-CN"/>
        </w:rPr>
        <w:t>系统对接</w:t>
      </w:r>
    </w:p>
    <w:p w14:paraId="22686173">
      <w:pPr>
        <w:numPr>
          <w:ilvl w:val="0"/>
          <w:numId w:val="13"/>
        </w:numPr>
        <w:ind w:left="0" w:firstLine="420" w:firstLineChars="200"/>
        <w:rPr>
          <w:rStyle w:val="30"/>
          <w:rFonts w:cs="Times New Roman"/>
          <w:color w:val="auto"/>
          <w:highlight w:val="none"/>
          <w:lang w:val="en-US" w:eastAsia="zh-CN"/>
        </w:rPr>
      </w:pPr>
      <w:r>
        <w:rPr>
          <w:rStyle w:val="30"/>
          <w:rFonts w:hint="eastAsia" w:cs="Times New Roman"/>
          <w:b w:val="0"/>
          <w:bCs w:val="0"/>
          <w:color w:val="auto"/>
          <w:highlight w:val="none"/>
          <w:lang w:val="en-US" w:eastAsia="zh-CN"/>
        </w:rPr>
        <w:t>基础数据对接：对接本行相关系统，实现用户基础数据同步和管理；实现本行组织架构基础数据同步和管理；实现本行信息系统基础数据同步和管理。</w:t>
      </w:r>
    </w:p>
    <w:p w14:paraId="0FDCAF92">
      <w:pPr>
        <w:numPr>
          <w:ilvl w:val="0"/>
          <w:numId w:val="13"/>
        </w:numPr>
        <w:ind w:left="0" w:firstLine="420" w:firstLineChars="200"/>
        <w:rPr>
          <w:rStyle w:val="30"/>
          <w:rFonts w:cs="Times New Roman"/>
          <w:color w:val="auto"/>
          <w:highlight w:val="none"/>
          <w:lang w:val="en-US" w:eastAsia="zh-CN"/>
        </w:rPr>
      </w:pPr>
      <w:r>
        <w:rPr>
          <w:rStyle w:val="30"/>
          <w:rFonts w:hint="eastAsia" w:cs="Times New Roman"/>
          <w:b w:val="0"/>
          <w:bCs w:val="0"/>
          <w:color w:val="auto"/>
          <w:highlight w:val="none"/>
          <w:lang w:val="en-US" w:eastAsia="zh-CN"/>
        </w:rPr>
        <w:t>与OA系统对接：实现待办推送；单点登录；流程对接（包含数据资产访问权限申请，提数等管理流程对接）。</w:t>
      </w:r>
    </w:p>
    <w:p w14:paraId="3B1419A2">
      <w:pPr>
        <w:numPr>
          <w:ilvl w:val="0"/>
          <w:numId w:val="13"/>
        </w:numPr>
        <w:ind w:left="0" w:firstLine="420" w:firstLineChars="200"/>
        <w:rPr>
          <w:rStyle w:val="30"/>
          <w:rFonts w:cs="Times New Roman"/>
          <w:color w:val="auto"/>
          <w:highlight w:val="none"/>
          <w:lang w:val="en-US" w:eastAsia="zh-CN"/>
        </w:rPr>
      </w:pPr>
      <w:r>
        <w:rPr>
          <w:rStyle w:val="30"/>
          <w:rFonts w:hint="eastAsia" w:cs="Times New Roman"/>
          <w:b w:val="0"/>
          <w:bCs w:val="0"/>
          <w:color w:val="auto"/>
          <w:highlight w:val="none"/>
          <w:lang w:val="en-US" w:eastAsia="zh-CN"/>
        </w:rPr>
        <w:t>与数据底座对接：实现数据质量检核规则运行；元数据采集；与建模工具对接，支持数据标准落地。</w:t>
      </w:r>
    </w:p>
    <w:p w14:paraId="79B8C04D">
      <w:pPr>
        <w:numPr>
          <w:ilvl w:val="0"/>
          <w:numId w:val="13"/>
        </w:numPr>
        <w:ind w:left="0" w:firstLine="420" w:firstLineChars="200"/>
        <w:rPr>
          <w:rStyle w:val="30"/>
          <w:rFonts w:cs="Times New Roman"/>
          <w:color w:val="auto"/>
          <w:highlight w:val="none"/>
          <w:lang w:val="en-US" w:eastAsia="zh-CN"/>
        </w:rPr>
      </w:pPr>
      <w:r>
        <w:rPr>
          <w:rStyle w:val="30"/>
          <w:rFonts w:hint="eastAsia" w:cs="Times New Roman"/>
          <w:b w:val="0"/>
          <w:bCs w:val="0"/>
          <w:color w:val="auto"/>
          <w:highlight w:val="none"/>
          <w:lang w:val="en-US" w:eastAsia="zh-CN"/>
        </w:rPr>
        <w:t>与BI平台对接：实现报表元数据对接；实现报表跳转。</w:t>
      </w:r>
    </w:p>
    <w:p w14:paraId="2E5DBB77">
      <w:pPr>
        <w:numPr>
          <w:ilvl w:val="0"/>
          <w:numId w:val="13"/>
        </w:numPr>
        <w:ind w:left="0" w:firstLine="420" w:firstLineChars="200"/>
        <w:rPr>
          <w:rStyle w:val="30"/>
          <w:rFonts w:cs="Times New Roman"/>
          <w:color w:val="auto"/>
          <w:highlight w:val="none"/>
          <w:lang w:val="en-US" w:eastAsia="zh-CN"/>
        </w:rPr>
      </w:pPr>
      <w:r>
        <w:rPr>
          <w:rStyle w:val="30"/>
          <w:rFonts w:hint="eastAsia" w:cs="Times New Roman"/>
          <w:b w:val="0"/>
          <w:bCs w:val="0"/>
          <w:color w:val="auto"/>
          <w:highlight w:val="none"/>
          <w:lang w:val="en-US" w:eastAsia="zh-CN"/>
        </w:rPr>
        <w:t>与指标平台对接：实现指标元数据对接。</w:t>
      </w:r>
    </w:p>
    <w:p w14:paraId="1895913C">
      <w:pPr>
        <w:numPr>
          <w:ilvl w:val="0"/>
          <w:numId w:val="13"/>
        </w:numPr>
        <w:ind w:left="0" w:firstLine="420" w:firstLineChars="200"/>
        <w:rPr>
          <w:rFonts w:hint="eastAsia"/>
          <w:color w:val="auto"/>
          <w:highlight w:val="none"/>
          <w:lang w:val="en-US" w:eastAsia="zh-CN"/>
        </w:rPr>
      </w:pPr>
      <w:r>
        <w:rPr>
          <w:rStyle w:val="30"/>
          <w:rFonts w:hint="eastAsia" w:cs="Times New Roman"/>
          <w:b w:val="0"/>
          <w:bCs w:val="0"/>
          <w:color w:val="auto"/>
          <w:highlight w:val="none"/>
          <w:lang w:val="en-US" w:eastAsia="zh-CN"/>
        </w:rPr>
        <w:t>与标签平台对接：实现标签元数据对接。</w:t>
      </w:r>
    </w:p>
    <w:p w14:paraId="7F6CA25C">
      <w:pPr>
        <w:numPr>
          <w:ilvl w:val="0"/>
          <w:numId w:val="13"/>
        </w:numPr>
        <w:ind w:left="0" w:firstLine="420" w:firstLineChars="200"/>
        <w:rPr>
          <w:rFonts w:hint="eastAsia"/>
          <w:color w:val="auto"/>
          <w:highlight w:val="none"/>
          <w:lang w:val="en-US" w:eastAsia="zh-CN"/>
        </w:rPr>
      </w:pPr>
      <w:r>
        <w:rPr>
          <w:rStyle w:val="30"/>
          <w:rFonts w:hint="eastAsia" w:cs="Times New Roman"/>
          <w:b w:val="0"/>
          <w:bCs w:val="0"/>
          <w:color w:val="auto"/>
          <w:highlight w:val="none"/>
          <w:lang w:val="en-US" w:eastAsia="zh-CN"/>
        </w:rPr>
        <w:t>与外部数据管理系统对接，实现服务接口元数据对接。</w:t>
      </w:r>
    </w:p>
    <w:p w14:paraId="68C5D2E7">
      <w:pPr>
        <w:pStyle w:val="5"/>
        <w:numPr>
          <w:ilvl w:val="0"/>
          <w:numId w:val="4"/>
        </w:numPr>
        <w:ind w:firstLineChars="0"/>
        <w:rPr>
          <w:rFonts w:hint="eastAsia"/>
          <w:color w:val="auto"/>
          <w:szCs w:val="24"/>
          <w:highlight w:val="none"/>
          <w:lang w:val="en-US" w:eastAsia="zh-CN"/>
        </w:rPr>
      </w:pPr>
      <w:r>
        <w:rPr>
          <w:rFonts w:hint="eastAsia"/>
          <w:color w:val="auto"/>
          <w:szCs w:val="24"/>
          <w:highlight w:val="none"/>
          <w:lang w:val="en-US" w:eastAsia="zh-CN"/>
        </w:rPr>
        <w:t>其他需求</w:t>
      </w:r>
    </w:p>
    <w:p w14:paraId="48698302">
      <w:pPr>
        <w:numPr>
          <w:ilvl w:val="0"/>
          <w:numId w:val="14"/>
        </w:numPr>
        <w:ind w:firstLineChars="0"/>
        <w:rPr>
          <w:rStyle w:val="30"/>
          <w:rFonts w:hint="eastAsia" w:cs="Times New Roman"/>
          <w:b w:val="0"/>
          <w:bCs w:val="0"/>
          <w:color w:val="auto"/>
          <w:highlight w:val="none"/>
          <w:lang w:val="en-US" w:eastAsia="zh-CN"/>
        </w:rPr>
      </w:pPr>
      <w:r>
        <w:rPr>
          <w:rStyle w:val="30"/>
          <w:rFonts w:hint="eastAsia" w:cs="Times New Roman"/>
          <w:b w:val="0"/>
          <w:bCs w:val="0"/>
          <w:color w:val="auto"/>
          <w:highlight w:val="none"/>
          <w:lang w:val="en-US" w:eastAsia="zh-CN"/>
        </w:rPr>
        <w:t>增值服务：数据管理协会年度会议</w:t>
      </w:r>
      <w:r>
        <w:rPr>
          <w:rFonts w:hint="eastAsia" w:ascii="宋体" w:hAnsi="宋体" w:eastAsia="宋体" w:cs="宋体"/>
          <w:color w:val="auto"/>
          <w:kern w:val="0"/>
          <w:sz w:val="21"/>
          <w:szCs w:val="21"/>
          <w:highlight w:val="none"/>
          <w:lang w:val="en-US" w:eastAsia="zh-CN"/>
        </w:rPr>
        <w:t>参会名额支持；数据管理协会、行业论坛等案例报送支持；行业知识库支持（包含但不限于词根库、数据标准库、分词库、分类分级词库；分类分级管理策略；通用数据质量检核规则等）；数据建模、数据治理或数据资产管理领域专项培训名额支持。</w:t>
      </w:r>
    </w:p>
    <w:p w14:paraId="7957EB0F">
      <w:pPr>
        <w:numPr>
          <w:ilvl w:val="0"/>
          <w:numId w:val="14"/>
        </w:numPr>
        <w:ind w:firstLineChars="0"/>
        <w:rPr>
          <w:rStyle w:val="30"/>
          <w:rFonts w:hint="eastAsia" w:cs="Times New Roman"/>
          <w:b w:val="0"/>
          <w:bCs w:val="0"/>
          <w:color w:val="auto"/>
          <w:highlight w:val="none"/>
          <w:lang w:val="en-US" w:eastAsia="zh-CN"/>
        </w:rPr>
      </w:pPr>
      <w:r>
        <w:rPr>
          <w:color w:val="auto"/>
          <w:highlight w:val="none"/>
        </w:rPr>
        <w:t>信创</w:t>
      </w:r>
      <w:r>
        <w:rPr>
          <w:rFonts w:hint="eastAsia"/>
          <w:color w:val="auto"/>
          <w:highlight w:val="none"/>
          <w:lang w:val="en-US" w:eastAsia="zh-CN"/>
        </w:rPr>
        <w:t>支持</w:t>
      </w:r>
      <w:r>
        <w:rPr>
          <w:color w:val="auto"/>
          <w:highlight w:val="none"/>
        </w:rPr>
        <w:t>：支持基于国产服务器、国产操作系统、国产浏览器、国产数据库、国产中间件等基础软硬件</w:t>
      </w:r>
      <w:r>
        <w:rPr>
          <w:rFonts w:hint="eastAsia"/>
          <w:color w:val="auto"/>
          <w:highlight w:val="none"/>
          <w:lang w:eastAsia="zh-CN"/>
        </w:rPr>
        <w:t>，</w:t>
      </w:r>
      <w:r>
        <w:rPr>
          <w:color w:val="auto"/>
          <w:highlight w:val="none"/>
        </w:rPr>
        <w:t>满足监管及</w:t>
      </w:r>
      <w:r>
        <w:rPr>
          <w:rFonts w:hint="eastAsia"/>
          <w:color w:val="auto"/>
          <w:highlight w:val="none"/>
        </w:rPr>
        <w:t>采购人</w:t>
      </w:r>
      <w:r>
        <w:rPr>
          <w:color w:val="auto"/>
          <w:highlight w:val="none"/>
        </w:rPr>
        <w:t>的技术架构要求</w:t>
      </w:r>
      <w:r>
        <w:rPr>
          <w:rFonts w:hint="eastAsia"/>
          <w:color w:val="auto"/>
          <w:highlight w:val="none"/>
          <w:lang w:eastAsia="zh-CN"/>
        </w:rPr>
        <w:t>。</w:t>
      </w:r>
      <w:r>
        <w:rPr>
          <w:rFonts w:hint="eastAsia"/>
          <w:color w:val="auto"/>
          <w:highlight w:val="none"/>
          <w:lang w:val="en-US" w:eastAsia="zh-CN"/>
        </w:rPr>
        <w:t>按照监管部门要求，交付信创方案。</w:t>
      </w:r>
    </w:p>
    <w:p w14:paraId="622DFBAB">
      <w:pPr>
        <w:numPr>
          <w:ilvl w:val="0"/>
          <w:numId w:val="14"/>
        </w:numPr>
        <w:ind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软著申请：配合采购人申请软件著作权1项并获取证书。</w:t>
      </w:r>
    </w:p>
    <w:p w14:paraId="31EE1BA6">
      <w:pPr>
        <w:numPr>
          <w:ilvl w:val="0"/>
          <w:numId w:val="14"/>
        </w:numPr>
        <w:ind w:firstLineChars="0"/>
        <w:rPr>
          <w:rFonts w:hint="eastAsia" w:ascii="宋体" w:hAnsi="宋体" w:eastAsia="宋体" w:cs="宋体"/>
          <w:color w:val="auto"/>
          <w:kern w:val="0"/>
          <w:sz w:val="21"/>
          <w:szCs w:val="21"/>
          <w:highlight w:val="none"/>
          <w:lang w:val="en-US" w:eastAsia="zh-CN"/>
        </w:rPr>
      </w:pPr>
      <w:r>
        <w:rPr>
          <w:rStyle w:val="30"/>
          <w:rFonts w:hint="eastAsia" w:eastAsia="宋体" w:cs="Times New Roman"/>
          <w:b w:val="0"/>
          <w:bCs w:val="0"/>
          <w:color w:val="auto"/>
          <w:highlight w:val="none"/>
          <w:lang w:val="en-US" w:eastAsia="zh-CN"/>
        </w:rPr>
        <w:t>用户数支撑：系统有权限用户为总行、支行数据分析人员、总科技人员、总行数据管理人员，支持最大用户数</w:t>
      </w:r>
      <w:r>
        <w:rPr>
          <w:rStyle w:val="30"/>
          <w:rFonts w:hint="eastAsia" w:cs="Times New Roman"/>
          <w:b w:val="0"/>
          <w:bCs w:val="0"/>
          <w:color w:val="auto"/>
          <w:highlight w:val="none"/>
          <w:lang w:val="en-US" w:eastAsia="zh-CN"/>
        </w:rPr>
        <w:t>3</w:t>
      </w:r>
      <w:r>
        <w:rPr>
          <w:rStyle w:val="30"/>
          <w:rFonts w:hint="eastAsia" w:eastAsia="宋体" w:cs="Times New Roman"/>
          <w:b w:val="0"/>
          <w:bCs w:val="0"/>
          <w:color w:val="auto"/>
          <w:highlight w:val="none"/>
          <w:lang w:val="en-US" w:eastAsia="zh-CN"/>
        </w:rPr>
        <w:t>000人用户使用需求，支持日均活跃用户数200人。</w:t>
      </w:r>
    </w:p>
    <w:p w14:paraId="2F4F16A9">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技术要求</w:t>
      </w:r>
    </w:p>
    <w:p w14:paraId="29761A78">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总体原则</w:t>
      </w:r>
    </w:p>
    <w:p w14:paraId="0E583448">
      <w:pPr>
        <w:rPr>
          <w:rFonts w:hint="eastAsia"/>
          <w:color w:val="auto"/>
          <w:highlight w:val="none"/>
          <w:lang w:val="en-US" w:eastAsia="zh-CN"/>
        </w:rPr>
      </w:pPr>
      <w:r>
        <w:rPr>
          <w:rFonts w:hint="eastAsia"/>
          <w:color w:val="auto"/>
          <w:highlight w:val="none"/>
          <w:lang w:val="en-US" w:eastAsia="zh-CN"/>
        </w:rPr>
        <w:t>系统的建设应遵循集成性、先进性、可扩展性、稳定性、安全性、经济性、前瞻性和可维护性相结合的原则。</w:t>
      </w:r>
    </w:p>
    <w:p w14:paraId="1FE24114">
      <w:pPr>
        <w:numPr>
          <w:ilvl w:val="0"/>
          <w:numId w:val="16"/>
        </w:numPr>
        <w:ind w:firstLineChars="0"/>
        <w:rPr>
          <w:rFonts w:hint="eastAsia"/>
          <w:color w:val="auto"/>
          <w:highlight w:val="none"/>
          <w:lang w:val="en-US" w:eastAsia="zh-CN"/>
        </w:rPr>
      </w:pPr>
      <w:r>
        <w:rPr>
          <w:rFonts w:hint="eastAsia"/>
          <w:color w:val="auto"/>
          <w:highlight w:val="none"/>
          <w:lang w:val="en-US" w:eastAsia="zh-CN"/>
        </w:rPr>
        <w:t>集成性：系统建设需充分考虑与其它系统的集成，能快速与采购人其它业务和管理系统的集成。</w:t>
      </w:r>
    </w:p>
    <w:p w14:paraId="437C0A8E">
      <w:pPr>
        <w:numPr>
          <w:ilvl w:val="0"/>
          <w:numId w:val="16"/>
        </w:numPr>
        <w:ind w:firstLineChars="0"/>
        <w:rPr>
          <w:rFonts w:hint="eastAsia"/>
          <w:color w:val="auto"/>
          <w:highlight w:val="none"/>
          <w:lang w:val="en-US" w:eastAsia="zh-CN"/>
        </w:rPr>
      </w:pPr>
      <w:r>
        <w:rPr>
          <w:rFonts w:hint="eastAsia"/>
          <w:color w:val="auto"/>
          <w:highlight w:val="none"/>
          <w:lang w:val="en-US" w:eastAsia="zh-CN"/>
        </w:rPr>
        <w:t>先进性：软件系统的选择与开发应在满足业务需求的基础上具有易改造、易升级、易操作、易维护等特点。</w:t>
      </w:r>
    </w:p>
    <w:p w14:paraId="2064F485">
      <w:pPr>
        <w:numPr>
          <w:ilvl w:val="0"/>
          <w:numId w:val="16"/>
        </w:numPr>
        <w:ind w:firstLineChars="0"/>
        <w:rPr>
          <w:rFonts w:hint="eastAsia"/>
          <w:color w:val="auto"/>
          <w:highlight w:val="none"/>
          <w:lang w:val="en-US" w:eastAsia="zh-CN"/>
        </w:rPr>
      </w:pPr>
      <w:r>
        <w:rPr>
          <w:rFonts w:hint="eastAsia"/>
          <w:color w:val="auto"/>
          <w:highlight w:val="none"/>
          <w:lang w:val="en-US" w:eastAsia="zh-CN"/>
        </w:rPr>
        <w:t>可扩展性：支持业务和系统的可扩展，支持行业应用可扩展，具有向后兼容的能力。</w:t>
      </w:r>
    </w:p>
    <w:p w14:paraId="515946D9">
      <w:pPr>
        <w:numPr>
          <w:ilvl w:val="0"/>
          <w:numId w:val="16"/>
        </w:numPr>
        <w:ind w:firstLineChars="0"/>
        <w:rPr>
          <w:rFonts w:hint="eastAsia"/>
          <w:color w:val="auto"/>
          <w:highlight w:val="none"/>
          <w:lang w:val="en-US" w:eastAsia="zh-CN"/>
        </w:rPr>
      </w:pPr>
      <w:r>
        <w:rPr>
          <w:rFonts w:hint="eastAsia"/>
          <w:color w:val="auto"/>
          <w:highlight w:val="none"/>
          <w:lang w:val="en-US" w:eastAsia="zh-CN"/>
        </w:rPr>
        <w:t>稳定性：系统要确保系统平稳运行，支持7×24小时连续运行，满足高峰处理的需要。</w:t>
      </w:r>
    </w:p>
    <w:p w14:paraId="7F023B19">
      <w:pPr>
        <w:numPr>
          <w:ilvl w:val="0"/>
          <w:numId w:val="16"/>
        </w:numPr>
        <w:ind w:firstLineChars="0"/>
        <w:rPr>
          <w:rFonts w:hint="eastAsia"/>
          <w:color w:val="auto"/>
          <w:highlight w:val="none"/>
          <w:lang w:val="en-US" w:eastAsia="zh-CN"/>
        </w:rPr>
      </w:pPr>
      <w:r>
        <w:rPr>
          <w:rFonts w:hint="eastAsia"/>
          <w:color w:val="auto"/>
          <w:highlight w:val="none"/>
          <w:lang w:val="en-US" w:eastAsia="zh-CN"/>
        </w:rPr>
        <w:t>安全性：</w:t>
      </w:r>
    </w:p>
    <w:p w14:paraId="17B433DD">
      <w:pPr>
        <w:rPr>
          <w:rFonts w:hint="eastAsia"/>
          <w:color w:val="auto"/>
          <w:highlight w:val="none"/>
          <w:lang w:val="en-US" w:eastAsia="zh-CN"/>
        </w:rPr>
      </w:pPr>
      <w:r>
        <w:rPr>
          <w:rFonts w:hint="eastAsia"/>
          <w:color w:val="auto"/>
          <w:highlight w:val="none"/>
          <w:lang w:val="en-US" w:eastAsia="zh-CN"/>
        </w:rPr>
        <w:t>- 系统必须建立在成熟稳定的硬件环境和应用软件基础上，通过完善的备份恢复策略、安全控制机制、可靠的运行管理监控和故障处理手段来保障系统的运行稳定、安全。</w:t>
      </w:r>
    </w:p>
    <w:p w14:paraId="600868C0">
      <w:pPr>
        <w:rPr>
          <w:rFonts w:hint="eastAsia"/>
          <w:color w:val="auto"/>
          <w:highlight w:val="none"/>
          <w:lang w:val="en-US" w:eastAsia="zh-CN"/>
        </w:rPr>
      </w:pPr>
      <w:r>
        <w:rPr>
          <w:rFonts w:hint="eastAsia"/>
          <w:color w:val="auto"/>
          <w:highlight w:val="none"/>
          <w:lang w:val="en-US" w:eastAsia="zh-CN"/>
        </w:rPr>
        <w:t>- 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01CF798A">
      <w:pPr>
        <w:numPr>
          <w:ilvl w:val="0"/>
          <w:numId w:val="16"/>
        </w:numPr>
        <w:ind w:firstLineChars="0"/>
        <w:rPr>
          <w:rFonts w:hint="eastAsia"/>
          <w:color w:val="auto"/>
          <w:highlight w:val="none"/>
          <w:lang w:val="en-US" w:eastAsia="zh-CN"/>
        </w:rPr>
      </w:pPr>
      <w:r>
        <w:rPr>
          <w:rFonts w:hint="eastAsia"/>
          <w:color w:val="auto"/>
          <w:highlight w:val="none"/>
          <w:lang w:val="en-US" w:eastAsia="zh-CN"/>
        </w:rPr>
        <w:t>经济性：系统的建设要考虑在网络、设备、信息安全等方面合理利用现有的资源。要充分调研，结合业务需求，合理利用现有资源，降低系统的投资，创造最优的工作效率，产生最好的经济效益。</w:t>
      </w:r>
    </w:p>
    <w:p w14:paraId="01247DD0">
      <w:pPr>
        <w:numPr>
          <w:ilvl w:val="0"/>
          <w:numId w:val="16"/>
        </w:numPr>
        <w:ind w:firstLineChars="0"/>
        <w:rPr>
          <w:rFonts w:hint="eastAsia"/>
          <w:color w:val="auto"/>
          <w:highlight w:val="none"/>
          <w:lang w:val="en-US" w:eastAsia="zh-CN"/>
        </w:rPr>
      </w:pPr>
      <w:r>
        <w:rPr>
          <w:rFonts w:hint="eastAsia"/>
          <w:color w:val="auto"/>
          <w:highlight w:val="none"/>
          <w:lang w:val="en-US" w:eastAsia="zh-CN"/>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CE72750">
      <w:pPr>
        <w:numPr>
          <w:ilvl w:val="0"/>
          <w:numId w:val="16"/>
        </w:numPr>
        <w:ind w:firstLineChars="0"/>
        <w:rPr>
          <w:rFonts w:hint="eastAsia"/>
          <w:color w:val="auto"/>
          <w:highlight w:val="none"/>
          <w:lang w:val="en-US" w:eastAsia="zh-CN"/>
        </w:rPr>
      </w:pPr>
      <w:r>
        <w:rPr>
          <w:rFonts w:hint="eastAsia"/>
          <w:color w:val="auto"/>
          <w:highlight w:val="none"/>
          <w:lang w:val="en-US" w:eastAsia="zh-CN"/>
        </w:rPr>
        <w:t>可维护性：系统可维护，运行成本可控。</w:t>
      </w:r>
    </w:p>
    <w:p w14:paraId="099B0061">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用户体验要求</w:t>
      </w:r>
    </w:p>
    <w:p w14:paraId="2E5A87AB">
      <w:pPr>
        <w:rPr>
          <w:rFonts w:hint="eastAsia"/>
          <w:color w:val="auto"/>
          <w:highlight w:val="none"/>
          <w:lang w:val="en-US" w:eastAsia="zh-CN"/>
        </w:rPr>
      </w:pPr>
      <w:r>
        <w:rPr>
          <w:rFonts w:hint="eastAsia"/>
          <w:color w:val="auto"/>
          <w:highlight w:val="none"/>
          <w:lang w:val="en-US" w:eastAsia="zh-CN"/>
        </w:rPr>
        <w:t>界面可根据用户需求灵活更改（增强标签分类特性），注重用户体验，使系统各项功能易见、易学、易用。</w:t>
      </w:r>
    </w:p>
    <w:p w14:paraId="2D1774F0">
      <w:pPr>
        <w:rPr>
          <w:rFonts w:hint="eastAsia"/>
          <w:color w:val="auto"/>
          <w:highlight w:val="none"/>
          <w:lang w:val="en-US" w:eastAsia="zh-CN"/>
        </w:rPr>
      </w:pPr>
      <w:r>
        <w:rPr>
          <w:rFonts w:hint="eastAsia"/>
          <w:color w:val="auto"/>
          <w:highlight w:val="none"/>
          <w:lang w:val="en-US" w:eastAsia="zh-CN"/>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E7D8D22">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系统技术架构要求</w:t>
      </w:r>
    </w:p>
    <w:p w14:paraId="365C42FC">
      <w:pPr>
        <w:numPr>
          <w:ilvl w:val="0"/>
          <w:numId w:val="17"/>
        </w:numPr>
        <w:ind w:firstLineChars="0"/>
        <w:rPr>
          <w:rFonts w:hint="eastAsia"/>
          <w:color w:val="auto"/>
          <w:highlight w:val="none"/>
          <w:lang w:val="en-US" w:eastAsia="zh-CN"/>
        </w:rPr>
      </w:pPr>
      <w:r>
        <w:rPr>
          <w:rFonts w:hint="eastAsia"/>
          <w:color w:val="auto"/>
          <w:highlight w:val="none"/>
          <w:lang w:val="en-US" w:eastAsia="zh-CN"/>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ECC6337">
      <w:pPr>
        <w:numPr>
          <w:ilvl w:val="0"/>
          <w:numId w:val="17"/>
        </w:numPr>
        <w:ind w:firstLineChars="0"/>
        <w:rPr>
          <w:rFonts w:hint="eastAsia"/>
          <w:color w:val="auto"/>
          <w:highlight w:val="none"/>
          <w:lang w:val="en-US" w:eastAsia="zh-CN"/>
        </w:rPr>
      </w:pPr>
      <w:r>
        <w:rPr>
          <w:rFonts w:hint="eastAsia"/>
          <w:color w:val="auto"/>
          <w:highlight w:val="none"/>
          <w:lang w:val="en-US" w:eastAsia="zh-CN"/>
        </w:rPr>
        <w:t>系统技术架构合理，数据结构合理，避免数据冗余，具有良好的扩展性、维护性和稳定性。如服务限流机制、服务降级机制等服务管控机制的应用，保障系统稳定运行。</w:t>
      </w:r>
    </w:p>
    <w:p w14:paraId="1BBB8DA8">
      <w:pPr>
        <w:numPr>
          <w:ilvl w:val="0"/>
          <w:numId w:val="17"/>
        </w:numPr>
        <w:ind w:firstLineChars="0"/>
        <w:rPr>
          <w:rFonts w:hint="eastAsia"/>
          <w:color w:val="auto"/>
          <w:highlight w:val="none"/>
          <w:lang w:val="en-US" w:eastAsia="zh-CN"/>
        </w:rPr>
      </w:pPr>
      <w:r>
        <w:rPr>
          <w:rFonts w:hint="eastAsia"/>
          <w:color w:val="auto"/>
          <w:highlight w:val="none"/>
          <w:lang w:val="en-US" w:eastAsia="zh-CN"/>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2702FB46">
      <w:pPr>
        <w:numPr>
          <w:ilvl w:val="0"/>
          <w:numId w:val="17"/>
        </w:numPr>
        <w:ind w:firstLineChars="0"/>
        <w:rPr>
          <w:rFonts w:hint="eastAsia"/>
          <w:color w:val="auto"/>
          <w:highlight w:val="none"/>
          <w:lang w:val="en-US" w:eastAsia="zh-CN"/>
        </w:rPr>
      </w:pPr>
      <w:r>
        <w:rPr>
          <w:rFonts w:hint="eastAsia"/>
          <w:color w:val="auto"/>
          <w:highlight w:val="none"/>
          <w:lang w:val="en-US" w:eastAsia="zh-CN"/>
        </w:rPr>
        <w:t>支持集群部署方式，适应采购人未来业务发展的需要。应用系统之间逻辑独立、启停服务时系统间不相互影响的部署方案。应用系统应支持双活跨数据中心的部署方案。</w:t>
      </w:r>
    </w:p>
    <w:p w14:paraId="47486B49">
      <w:pPr>
        <w:numPr>
          <w:ilvl w:val="0"/>
          <w:numId w:val="17"/>
        </w:numPr>
        <w:ind w:firstLineChars="0"/>
        <w:rPr>
          <w:rFonts w:hint="eastAsia"/>
          <w:color w:val="auto"/>
          <w:highlight w:val="none"/>
          <w:lang w:val="en-US" w:eastAsia="zh-CN"/>
        </w:rPr>
      </w:pPr>
      <w:r>
        <w:rPr>
          <w:rFonts w:hint="eastAsia"/>
          <w:color w:val="auto"/>
          <w:highlight w:val="none"/>
          <w:lang w:val="en-US" w:eastAsia="zh-CN"/>
        </w:rPr>
        <w:t>系统支持域名部署。</w:t>
      </w:r>
    </w:p>
    <w:p w14:paraId="09571D92">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系统性能要求</w:t>
      </w:r>
    </w:p>
    <w:p w14:paraId="514879CC">
      <w:pPr>
        <w:numPr>
          <w:ilvl w:val="0"/>
          <w:numId w:val="18"/>
        </w:numPr>
        <w:ind w:firstLineChars="0"/>
        <w:rPr>
          <w:rFonts w:hint="eastAsia"/>
          <w:color w:val="auto"/>
          <w:highlight w:val="none"/>
          <w:lang w:val="en-US" w:eastAsia="zh-CN"/>
        </w:rPr>
      </w:pPr>
      <w:r>
        <w:rPr>
          <w:rFonts w:hint="eastAsia"/>
          <w:color w:val="auto"/>
          <w:highlight w:val="none"/>
          <w:lang w:val="en-US" w:eastAsia="zh-CN"/>
        </w:rPr>
        <w:t>应具有高效的运行效率，能通过负载均衡、流量控制、消息缓存等机制，提供大规模、高并发量的交易处理能力，满足登陆、查询、日终批量等性能需求。</w:t>
      </w:r>
    </w:p>
    <w:p w14:paraId="531F3696">
      <w:pPr>
        <w:numPr>
          <w:ilvl w:val="0"/>
          <w:numId w:val="18"/>
        </w:numPr>
        <w:ind w:firstLineChars="0"/>
        <w:rPr>
          <w:rFonts w:hint="eastAsia"/>
          <w:color w:val="auto"/>
          <w:highlight w:val="none"/>
          <w:lang w:val="en-US" w:eastAsia="zh-CN"/>
        </w:rPr>
      </w:pPr>
      <w:r>
        <w:rPr>
          <w:rFonts w:hint="eastAsia"/>
          <w:color w:val="auto"/>
          <w:highlight w:val="none"/>
          <w:lang w:val="en-US" w:eastAsia="zh-CN"/>
        </w:rPr>
        <w:t>系统必须提供平台级的负载均衡和容错能力。</w:t>
      </w:r>
    </w:p>
    <w:p w14:paraId="35F40CB2">
      <w:pPr>
        <w:numPr>
          <w:ilvl w:val="0"/>
          <w:numId w:val="18"/>
        </w:numPr>
        <w:ind w:firstLineChars="0"/>
        <w:rPr>
          <w:rFonts w:hint="eastAsia"/>
          <w:color w:val="auto"/>
          <w:highlight w:val="none"/>
          <w:lang w:val="en-US" w:eastAsia="zh-CN"/>
        </w:rPr>
      </w:pPr>
      <w:r>
        <w:rPr>
          <w:rFonts w:hint="eastAsia"/>
          <w:color w:val="auto"/>
          <w:highlight w:val="none"/>
          <w:lang w:val="en-US" w:eastAsia="zh-CN"/>
        </w:rPr>
        <w:t>主机系统能够保持7*24稳定的不间断运行，从系统软硬件平台及网络等方面来保证系统的稳定性。</w:t>
      </w:r>
    </w:p>
    <w:p w14:paraId="1D89EF7F">
      <w:pPr>
        <w:numPr>
          <w:ilvl w:val="0"/>
          <w:numId w:val="18"/>
        </w:numPr>
        <w:ind w:firstLineChars="0"/>
        <w:rPr>
          <w:rFonts w:hint="eastAsia"/>
          <w:color w:val="auto"/>
          <w:highlight w:val="none"/>
          <w:lang w:val="en-US" w:eastAsia="zh-CN"/>
        </w:rPr>
      </w:pPr>
      <w:r>
        <w:rPr>
          <w:rFonts w:hint="eastAsia"/>
          <w:color w:val="auto"/>
          <w:highlight w:val="none"/>
          <w:lang w:val="en-US" w:eastAsia="zh-CN"/>
        </w:rPr>
        <w:t>可用率：系统总体平均可用率在99.99%以上。</w:t>
      </w:r>
    </w:p>
    <w:p w14:paraId="35E3CAAB">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安全性要求</w:t>
      </w:r>
    </w:p>
    <w:p w14:paraId="109F9CB3">
      <w:pPr>
        <w:rPr>
          <w:rFonts w:hint="eastAsia"/>
          <w:color w:val="auto"/>
          <w:highlight w:val="none"/>
          <w:lang w:val="en-US" w:eastAsia="zh-CN"/>
        </w:rPr>
      </w:pPr>
      <w:r>
        <w:rPr>
          <w:rFonts w:hint="eastAsia"/>
          <w:color w:val="auto"/>
          <w:highlight w:val="none"/>
          <w:lang w:val="en-US" w:eastAsia="zh-CN"/>
        </w:rPr>
        <w:t>为确保信息安全，采取的措施包括但不限于以下：</w:t>
      </w:r>
    </w:p>
    <w:p w14:paraId="47962EF6">
      <w:pPr>
        <w:numPr>
          <w:ilvl w:val="0"/>
          <w:numId w:val="19"/>
        </w:numPr>
        <w:ind w:firstLineChars="0"/>
        <w:rPr>
          <w:rFonts w:hint="eastAsia"/>
          <w:color w:val="auto"/>
          <w:highlight w:val="none"/>
          <w:lang w:val="en-US" w:eastAsia="zh-CN"/>
        </w:rPr>
      </w:pPr>
      <w:r>
        <w:rPr>
          <w:rFonts w:hint="eastAsia"/>
          <w:color w:val="auto"/>
          <w:highlight w:val="none"/>
          <w:lang w:val="en-US" w:eastAsia="zh-CN"/>
        </w:rPr>
        <w:t>平台安全：架构设计符合安全性要求，平台软件达到安全设计标准且不低于同业相关系统要求。</w:t>
      </w:r>
    </w:p>
    <w:p w14:paraId="297D0AF7">
      <w:pPr>
        <w:numPr>
          <w:ilvl w:val="0"/>
          <w:numId w:val="19"/>
        </w:numPr>
        <w:ind w:firstLineChars="0"/>
        <w:rPr>
          <w:rFonts w:hint="eastAsia"/>
          <w:color w:val="auto"/>
          <w:highlight w:val="none"/>
          <w:lang w:val="en-US" w:eastAsia="zh-CN"/>
        </w:rPr>
      </w:pPr>
      <w:r>
        <w:rPr>
          <w:rFonts w:hint="eastAsia"/>
          <w:color w:val="auto"/>
          <w:highlight w:val="none"/>
          <w:lang w:val="en-US" w:eastAsia="zh-CN"/>
        </w:rPr>
        <w:t>数据安全：支持文档安全软件整合技术，从而做到数据传输加密、远程安全访问、数据存储加密，数据部署网络区域应支持入侵检测与防御系统、防火墙的应用。</w:t>
      </w:r>
    </w:p>
    <w:p w14:paraId="14D8B325">
      <w:pPr>
        <w:numPr>
          <w:ilvl w:val="0"/>
          <w:numId w:val="19"/>
        </w:numPr>
        <w:ind w:firstLineChars="0"/>
        <w:rPr>
          <w:rFonts w:hint="eastAsia"/>
          <w:color w:val="auto"/>
          <w:highlight w:val="none"/>
          <w:lang w:val="en-US" w:eastAsia="zh-CN"/>
        </w:rPr>
      </w:pPr>
      <w:r>
        <w:rPr>
          <w:rFonts w:hint="eastAsia"/>
          <w:color w:val="auto"/>
          <w:highlight w:val="none"/>
          <w:lang w:val="en-US" w:eastAsia="zh-CN"/>
        </w:rPr>
        <w:t>容灾备份：支持各种容灾的软硬件设备的使用等。</w:t>
      </w:r>
    </w:p>
    <w:p w14:paraId="5C7814A5">
      <w:pPr>
        <w:numPr>
          <w:ilvl w:val="0"/>
          <w:numId w:val="19"/>
        </w:numPr>
        <w:ind w:firstLineChars="0"/>
        <w:rPr>
          <w:rFonts w:hint="eastAsia"/>
          <w:color w:val="auto"/>
          <w:highlight w:val="none"/>
          <w:lang w:val="en-US" w:eastAsia="zh-CN"/>
        </w:rPr>
      </w:pPr>
      <w:r>
        <w:rPr>
          <w:rFonts w:hint="eastAsia"/>
          <w:color w:val="auto"/>
          <w:highlight w:val="none"/>
          <w:lang w:val="en-US" w:eastAsia="zh-CN"/>
        </w:rPr>
        <w:t>管理安全：提供完善的日志功能，能够记录系统使用人员的关键操作，保证系统应用的安全。</w:t>
      </w:r>
    </w:p>
    <w:p w14:paraId="5B0C1A9B">
      <w:pPr>
        <w:numPr>
          <w:ilvl w:val="0"/>
          <w:numId w:val="19"/>
        </w:numPr>
        <w:ind w:firstLineChars="0"/>
        <w:rPr>
          <w:rFonts w:hint="eastAsia"/>
          <w:color w:val="auto"/>
          <w:highlight w:val="none"/>
          <w:lang w:val="en-US" w:eastAsia="zh-CN"/>
        </w:rPr>
      </w:pPr>
      <w:r>
        <w:rPr>
          <w:rFonts w:hint="eastAsia"/>
          <w:color w:val="auto"/>
          <w:highlight w:val="none"/>
          <w:lang w:val="en-US" w:eastAsia="zh-CN"/>
        </w:rPr>
        <w:t>密码策略：初始密码强制更改、启用验证码、密码过期控制、密码错误次数控制、密码强度设置等，不得以明文的方式保存任何相关密码，防止暴力破解和恶意攻击。</w:t>
      </w:r>
    </w:p>
    <w:p w14:paraId="1CD569DB">
      <w:pPr>
        <w:numPr>
          <w:ilvl w:val="0"/>
          <w:numId w:val="19"/>
        </w:numPr>
        <w:ind w:firstLineChars="0"/>
        <w:rPr>
          <w:rFonts w:hint="eastAsia"/>
          <w:color w:val="auto"/>
          <w:highlight w:val="none"/>
          <w:lang w:val="en-US" w:eastAsia="zh-CN"/>
        </w:rPr>
      </w:pPr>
      <w:r>
        <w:rPr>
          <w:rFonts w:hint="eastAsia"/>
          <w:color w:val="auto"/>
          <w:highlight w:val="none"/>
          <w:lang w:val="en-US" w:eastAsia="zh-CN"/>
        </w:rPr>
        <w:t>系统严密、灵活的访问安全控制。</w:t>
      </w:r>
    </w:p>
    <w:p w14:paraId="7EE6E2E2">
      <w:pPr>
        <w:numPr>
          <w:ilvl w:val="0"/>
          <w:numId w:val="19"/>
        </w:numPr>
        <w:ind w:firstLineChars="0"/>
        <w:rPr>
          <w:rFonts w:hint="eastAsia"/>
          <w:color w:val="auto"/>
          <w:highlight w:val="none"/>
          <w:lang w:val="en-US" w:eastAsia="zh-CN"/>
        </w:rPr>
      </w:pPr>
      <w:r>
        <w:rPr>
          <w:rFonts w:hint="eastAsia"/>
          <w:color w:val="auto"/>
          <w:highlight w:val="none"/>
          <w:lang w:val="en-US" w:eastAsia="zh-CN"/>
        </w:rPr>
        <w:t>系统有整体的用户/权限管理体系，可统一进行用户/权限的管理，实现到字段级的查询、修改、管理权限控制。</w:t>
      </w:r>
    </w:p>
    <w:p w14:paraId="6A33682F">
      <w:pPr>
        <w:numPr>
          <w:ilvl w:val="0"/>
          <w:numId w:val="19"/>
        </w:numPr>
        <w:ind w:firstLineChars="0"/>
        <w:rPr>
          <w:rFonts w:hint="eastAsia"/>
          <w:color w:val="auto"/>
          <w:highlight w:val="none"/>
          <w:lang w:val="en-US" w:eastAsia="zh-CN"/>
        </w:rPr>
      </w:pPr>
      <w:r>
        <w:rPr>
          <w:rFonts w:hint="eastAsia"/>
          <w:color w:val="auto"/>
          <w:highlight w:val="none"/>
          <w:lang w:val="en-US" w:eastAsia="zh-CN"/>
        </w:rPr>
        <w:t>系统开发必须满足采购人软件研发项目安全需求基线要求。</w:t>
      </w:r>
    </w:p>
    <w:p w14:paraId="19368037">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可扩展性需求</w:t>
      </w:r>
    </w:p>
    <w:p w14:paraId="2988E9B9">
      <w:pPr>
        <w:numPr>
          <w:ilvl w:val="0"/>
          <w:numId w:val="20"/>
        </w:numPr>
        <w:ind w:firstLineChars="0"/>
        <w:rPr>
          <w:rFonts w:hint="eastAsia"/>
          <w:color w:val="auto"/>
          <w:highlight w:val="none"/>
          <w:lang w:val="en-US" w:eastAsia="zh-CN"/>
        </w:rPr>
      </w:pPr>
      <w:r>
        <w:rPr>
          <w:rFonts w:hint="eastAsia"/>
          <w:color w:val="auto"/>
          <w:highlight w:val="none"/>
          <w:lang w:val="en-US" w:eastAsia="zh-CN"/>
        </w:rPr>
        <w:t>系统要求支持主流操作系统、数据库和通讯中间件，对软、硬件平台具有良好的可扩展能力，支持跨平台客制化开发。</w:t>
      </w:r>
    </w:p>
    <w:p w14:paraId="28FB2544">
      <w:pPr>
        <w:numPr>
          <w:ilvl w:val="0"/>
          <w:numId w:val="20"/>
        </w:numPr>
        <w:ind w:firstLineChars="0"/>
        <w:rPr>
          <w:rFonts w:hint="eastAsia"/>
          <w:color w:val="auto"/>
          <w:highlight w:val="none"/>
          <w:lang w:val="en-US" w:eastAsia="zh-CN"/>
        </w:rPr>
      </w:pPr>
      <w:r>
        <w:rPr>
          <w:rFonts w:hint="eastAsia"/>
          <w:color w:val="auto"/>
          <w:highlight w:val="none"/>
          <w:lang w:val="en-US" w:eastAsia="zh-CN"/>
        </w:rPr>
        <w:t>支持交易数据导入、模型参数维护、计量、会计核算、报表模块对于新产品的支持，系统容易改进、扩展和升级。</w:t>
      </w:r>
    </w:p>
    <w:p w14:paraId="56C8AB4A">
      <w:pPr>
        <w:numPr>
          <w:ilvl w:val="0"/>
          <w:numId w:val="20"/>
        </w:numPr>
        <w:ind w:firstLineChars="0"/>
        <w:rPr>
          <w:rFonts w:hint="eastAsia"/>
          <w:color w:val="auto"/>
          <w:highlight w:val="none"/>
          <w:lang w:val="en-US" w:eastAsia="zh-CN"/>
        </w:rPr>
      </w:pPr>
      <w:r>
        <w:rPr>
          <w:rFonts w:hint="eastAsia"/>
          <w:color w:val="auto"/>
          <w:highlight w:val="none"/>
          <w:lang w:val="en-US" w:eastAsia="zh-CN"/>
        </w:rPr>
        <w:t>提供的平台能够很好的实现业务功能扩展的灵活性，通过后台服务器对业务功能的模块化处理和可配置处理实现对功能的一站式更新，且不影响原有系统的正常运行。</w:t>
      </w:r>
    </w:p>
    <w:p w14:paraId="7618B496">
      <w:pPr>
        <w:numPr>
          <w:ilvl w:val="0"/>
          <w:numId w:val="20"/>
        </w:numPr>
        <w:ind w:firstLineChars="0"/>
        <w:rPr>
          <w:rFonts w:hint="eastAsia"/>
          <w:color w:val="auto"/>
          <w:highlight w:val="none"/>
          <w:lang w:val="en-US" w:eastAsia="zh-CN"/>
        </w:rPr>
      </w:pPr>
      <w:r>
        <w:rPr>
          <w:rFonts w:hint="eastAsia"/>
          <w:color w:val="auto"/>
          <w:highlight w:val="none"/>
          <w:lang w:val="en-US" w:eastAsia="zh-CN"/>
        </w:rPr>
        <w:t>系统的计算能力支持横向扩展。</w:t>
      </w:r>
    </w:p>
    <w:p w14:paraId="27AF5E6F">
      <w:pPr>
        <w:numPr>
          <w:ilvl w:val="0"/>
          <w:numId w:val="20"/>
        </w:numPr>
        <w:ind w:firstLineChars="0"/>
        <w:rPr>
          <w:rFonts w:hint="eastAsia"/>
          <w:color w:val="auto"/>
          <w:highlight w:val="none"/>
          <w:lang w:val="en-US" w:eastAsia="zh-CN"/>
        </w:rPr>
      </w:pPr>
      <w:r>
        <w:rPr>
          <w:rFonts w:hint="eastAsia"/>
          <w:color w:val="auto"/>
          <w:highlight w:val="none"/>
          <w:lang w:val="en-US" w:eastAsia="zh-CN"/>
        </w:rPr>
        <w:t>对第三方平台提供良好的接口支持和扩展能力。</w:t>
      </w:r>
    </w:p>
    <w:p w14:paraId="7D927C7F">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二次开发要求</w:t>
      </w:r>
    </w:p>
    <w:p w14:paraId="63C301DB">
      <w:pPr>
        <w:rPr>
          <w:rFonts w:hint="eastAsia"/>
          <w:color w:val="auto"/>
          <w:highlight w:val="none"/>
          <w:lang w:val="en-US" w:eastAsia="zh-CN"/>
        </w:rPr>
      </w:pPr>
      <w:r>
        <w:rPr>
          <w:rFonts w:hint="eastAsia"/>
          <w:color w:val="auto"/>
          <w:highlight w:val="none"/>
          <w:lang w:val="en-US" w:eastAsia="zh-CN"/>
        </w:rPr>
        <w:t>为满足采购人业务发展需要，系统应能灵活、方便、快捷地支持个性化需求开发，相关要求包括：</w:t>
      </w:r>
    </w:p>
    <w:p w14:paraId="18E58B63">
      <w:pPr>
        <w:numPr>
          <w:ilvl w:val="0"/>
          <w:numId w:val="21"/>
        </w:numPr>
        <w:ind w:firstLineChars="0"/>
        <w:rPr>
          <w:rFonts w:hint="eastAsia"/>
          <w:color w:val="auto"/>
          <w:highlight w:val="none"/>
          <w:lang w:val="en-US" w:eastAsia="zh-CN"/>
        </w:rPr>
      </w:pPr>
      <w:r>
        <w:rPr>
          <w:rFonts w:hint="eastAsia"/>
          <w:color w:val="auto"/>
          <w:highlight w:val="none"/>
          <w:lang w:val="en-US" w:eastAsia="zh-CN"/>
        </w:rPr>
        <w:t>支持模型参数的个性化调整，从而适应监管要求及行内业务需求的变化。</w:t>
      </w:r>
    </w:p>
    <w:p w14:paraId="7F8F88E5">
      <w:pPr>
        <w:numPr>
          <w:ilvl w:val="0"/>
          <w:numId w:val="21"/>
        </w:numPr>
        <w:ind w:firstLineChars="0"/>
        <w:rPr>
          <w:rFonts w:hint="eastAsia"/>
          <w:color w:val="auto"/>
          <w:highlight w:val="none"/>
          <w:lang w:val="en-US" w:eastAsia="zh-CN"/>
        </w:rPr>
      </w:pPr>
      <w:r>
        <w:rPr>
          <w:rFonts w:hint="eastAsia"/>
          <w:color w:val="auto"/>
          <w:highlight w:val="none"/>
          <w:lang w:val="en-US" w:eastAsia="zh-CN"/>
        </w:rPr>
        <w:t>支持数据采集范围扩展及接口快速开发。</w:t>
      </w:r>
    </w:p>
    <w:p w14:paraId="4B036A94">
      <w:pPr>
        <w:numPr>
          <w:ilvl w:val="0"/>
          <w:numId w:val="21"/>
        </w:numPr>
        <w:ind w:firstLineChars="0"/>
        <w:rPr>
          <w:rFonts w:hint="eastAsia"/>
          <w:color w:val="auto"/>
          <w:highlight w:val="none"/>
          <w:lang w:val="en-US" w:eastAsia="zh-CN"/>
        </w:rPr>
      </w:pPr>
      <w:r>
        <w:rPr>
          <w:rFonts w:hint="eastAsia"/>
          <w:color w:val="auto"/>
          <w:highlight w:val="none"/>
          <w:lang w:val="en-US" w:eastAsia="zh-CN"/>
        </w:rPr>
        <w:t>支持较为便捷的全量/增量程序版本抽取和提交。</w:t>
      </w:r>
    </w:p>
    <w:p w14:paraId="7A8D74E9">
      <w:pPr>
        <w:numPr>
          <w:ilvl w:val="0"/>
          <w:numId w:val="21"/>
        </w:numPr>
        <w:ind w:firstLineChars="0"/>
        <w:rPr>
          <w:rFonts w:hint="eastAsia"/>
          <w:color w:val="auto"/>
          <w:highlight w:val="none"/>
          <w:lang w:val="en-US" w:eastAsia="zh-CN"/>
        </w:rPr>
      </w:pPr>
      <w:r>
        <w:rPr>
          <w:rFonts w:hint="eastAsia"/>
          <w:color w:val="auto"/>
          <w:highlight w:val="none"/>
          <w:lang w:val="en-US" w:eastAsia="zh-CN"/>
        </w:rPr>
        <w:t>支持日常需求改造涉及的其他开发要求。</w:t>
      </w:r>
    </w:p>
    <w:p w14:paraId="51871EC9">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其它非功能性要求</w:t>
      </w:r>
    </w:p>
    <w:p w14:paraId="68C0E7A6">
      <w:pPr>
        <w:numPr>
          <w:ilvl w:val="0"/>
          <w:numId w:val="22"/>
        </w:numPr>
        <w:ind w:firstLineChars="0"/>
        <w:rPr>
          <w:rFonts w:hint="eastAsia"/>
          <w:color w:val="auto"/>
          <w:highlight w:val="none"/>
          <w:lang w:val="en-US" w:eastAsia="zh-CN"/>
        </w:rPr>
      </w:pPr>
      <w:r>
        <w:rPr>
          <w:rFonts w:hint="eastAsia"/>
          <w:color w:val="auto"/>
          <w:highlight w:val="none"/>
          <w:lang w:val="en-US" w:eastAsia="zh-CN"/>
        </w:rPr>
        <w:t>运维要求</w:t>
      </w:r>
    </w:p>
    <w:p w14:paraId="53BA8AED">
      <w:pPr>
        <w:rPr>
          <w:rFonts w:hint="eastAsia"/>
          <w:color w:val="auto"/>
          <w:highlight w:val="none"/>
          <w:lang w:val="en-US" w:eastAsia="zh-CN"/>
        </w:rPr>
      </w:pPr>
      <w:r>
        <w:rPr>
          <w:rFonts w:hint="eastAsia"/>
          <w:color w:val="auto"/>
          <w:highlight w:val="none"/>
          <w:lang w:val="en-US" w:eastAsia="zh-CN"/>
        </w:rPr>
        <w:t>- 提供日常运行监控和完整的系统维护管理的方案：提供日志、实时交易监控等系统问题定位方案；提供日志和历史数据备份、清理机制。</w:t>
      </w:r>
    </w:p>
    <w:p w14:paraId="2141F1A7">
      <w:pPr>
        <w:rPr>
          <w:rFonts w:hint="eastAsia"/>
          <w:color w:val="auto"/>
          <w:highlight w:val="none"/>
          <w:lang w:val="en-US" w:eastAsia="zh-CN"/>
        </w:rPr>
      </w:pPr>
      <w:r>
        <w:rPr>
          <w:rFonts w:hint="eastAsia"/>
          <w:color w:val="auto"/>
          <w:highlight w:val="none"/>
          <w:lang w:val="en-US" w:eastAsia="zh-CN"/>
        </w:rPr>
        <w:t>- 系统日志需接入采购人智能运维平台，满足《重庆三峡银行应用日志规范》中的要求，如需了解具体要求，可联系采购人，电话：023-88890939。</w:t>
      </w:r>
    </w:p>
    <w:p w14:paraId="484C8B34">
      <w:pPr>
        <w:rPr>
          <w:rFonts w:hint="eastAsia"/>
          <w:color w:val="auto"/>
          <w:highlight w:val="none"/>
          <w:lang w:val="en-US" w:eastAsia="zh-CN"/>
        </w:rPr>
      </w:pPr>
      <w:r>
        <w:rPr>
          <w:rFonts w:hint="eastAsia"/>
          <w:color w:val="auto"/>
          <w:highlight w:val="none"/>
          <w:lang w:val="en-US" w:eastAsia="zh-CN"/>
        </w:rPr>
        <w:t>- 提供应用系统之间逻辑独立、启停服务时系统间不相互影响的部署方案（十分重要），保障系统的7*24小时运行。</w:t>
      </w:r>
    </w:p>
    <w:p w14:paraId="3C207C0E">
      <w:pPr>
        <w:rPr>
          <w:rFonts w:hint="eastAsia"/>
          <w:color w:val="auto"/>
          <w:highlight w:val="none"/>
          <w:lang w:val="en-US" w:eastAsia="zh-CN"/>
        </w:rPr>
      </w:pPr>
      <w:r>
        <w:rPr>
          <w:rFonts w:hint="eastAsia"/>
          <w:color w:val="auto"/>
          <w:highlight w:val="none"/>
          <w:lang w:val="en-US" w:eastAsia="zh-CN"/>
        </w:rPr>
        <w:t>- 提供系统资源运行情况实时监控报告；提供系统出现异常预警报告；提供系统运行情况报表等。</w:t>
      </w:r>
    </w:p>
    <w:p w14:paraId="03959E81">
      <w:pPr>
        <w:rPr>
          <w:rFonts w:hint="eastAsia"/>
          <w:color w:val="auto"/>
          <w:highlight w:val="none"/>
          <w:lang w:val="en-US" w:eastAsia="zh-CN"/>
        </w:rPr>
      </w:pPr>
      <w:r>
        <w:rPr>
          <w:rFonts w:hint="eastAsia"/>
          <w:color w:val="auto"/>
          <w:highlight w:val="none"/>
          <w:lang w:val="en-US" w:eastAsia="zh-CN"/>
        </w:rPr>
        <w:t>- 涉及重大生产故障，需15分钟内响应，30分钟内提供临时解决方案并能恢复生产服务，并安排响应的技术专家进行技术支持。</w:t>
      </w:r>
    </w:p>
    <w:p w14:paraId="1A8CFAEB">
      <w:pPr>
        <w:rPr>
          <w:color w:val="auto"/>
          <w:highlight w:val="none"/>
          <w:lang w:val="en-US" w:eastAsia="zh-CN"/>
        </w:rPr>
      </w:pPr>
      <w:r>
        <w:rPr>
          <w:rFonts w:hint="eastAsia"/>
          <w:color w:val="auto"/>
          <w:highlight w:val="none"/>
          <w:lang w:val="en-US" w:eastAsia="zh-CN"/>
        </w:rPr>
        <w:t>- 对接采购人监控运维体系，满足监控体系各项要求。</w:t>
      </w:r>
    </w:p>
    <w:p w14:paraId="48B60C35">
      <w:pPr>
        <w:numPr>
          <w:ilvl w:val="0"/>
          <w:numId w:val="22"/>
        </w:numPr>
        <w:ind w:firstLineChars="0"/>
        <w:rPr>
          <w:rFonts w:hint="eastAsia"/>
          <w:color w:val="auto"/>
          <w:highlight w:val="none"/>
          <w:lang w:val="en-US" w:eastAsia="zh-CN"/>
        </w:rPr>
      </w:pPr>
      <w:r>
        <w:rPr>
          <w:rFonts w:hint="eastAsia"/>
          <w:color w:val="auto"/>
          <w:highlight w:val="none"/>
          <w:lang w:val="en-US" w:eastAsia="zh-CN"/>
        </w:rPr>
        <w:t>日志要求</w:t>
      </w:r>
    </w:p>
    <w:p w14:paraId="2866CA75">
      <w:pPr>
        <w:rPr>
          <w:rFonts w:hint="eastAsia"/>
          <w:color w:val="auto"/>
          <w:highlight w:val="none"/>
          <w:lang w:val="en-US" w:eastAsia="zh-CN"/>
        </w:rPr>
      </w:pPr>
      <w:r>
        <w:rPr>
          <w:rFonts w:hint="eastAsia"/>
          <w:color w:val="auto"/>
          <w:highlight w:val="none"/>
          <w:lang w:val="en-US" w:eastAsia="zh-CN"/>
        </w:rPr>
        <w:t>- 应完整记录所有通讯日志，如果通讯日志为字节码的，不能直接查看的，应提供查看工具。</w:t>
      </w:r>
    </w:p>
    <w:p w14:paraId="4E74A03D">
      <w:pPr>
        <w:rPr>
          <w:rFonts w:hint="eastAsia"/>
          <w:color w:val="auto"/>
          <w:highlight w:val="none"/>
          <w:lang w:val="en-US" w:eastAsia="zh-CN"/>
        </w:rPr>
      </w:pPr>
      <w:r>
        <w:rPr>
          <w:rFonts w:hint="eastAsia"/>
          <w:color w:val="auto"/>
          <w:highlight w:val="none"/>
          <w:lang w:val="en-US" w:eastAsia="zh-CN"/>
        </w:rPr>
        <w:t>- 应完整记录交易日志，方便交易统计分析，不同类型的交易可分不同的交易日志表。</w:t>
      </w:r>
    </w:p>
    <w:p w14:paraId="6F07CBE5">
      <w:pPr>
        <w:rPr>
          <w:rFonts w:hint="eastAsia"/>
          <w:color w:val="auto"/>
          <w:highlight w:val="none"/>
          <w:lang w:val="en-US" w:eastAsia="zh-CN"/>
        </w:rPr>
      </w:pPr>
      <w:r>
        <w:rPr>
          <w:rFonts w:hint="eastAsia"/>
          <w:color w:val="auto"/>
          <w:highlight w:val="none"/>
          <w:lang w:val="en-US" w:eastAsia="zh-CN"/>
        </w:rPr>
        <w:t>- 可在线动态调整日志级别，在生产环境下定位问题时不需要中断服务。</w:t>
      </w:r>
    </w:p>
    <w:p w14:paraId="282619B5">
      <w:pPr>
        <w:rPr>
          <w:rFonts w:hint="eastAsia"/>
          <w:color w:val="auto"/>
          <w:highlight w:val="none"/>
          <w:lang w:val="en-US" w:eastAsia="zh-CN"/>
        </w:rPr>
      </w:pPr>
      <w:r>
        <w:rPr>
          <w:rFonts w:hint="eastAsia"/>
          <w:color w:val="auto"/>
          <w:highlight w:val="none"/>
          <w:lang w:val="en-US" w:eastAsia="zh-CN"/>
        </w:rPr>
        <w:t>- 系统相关日志应输出在应用目录之外。</w:t>
      </w:r>
    </w:p>
    <w:p w14:paraId="16F75647">
      <w:pPr>
        <w:rPr>
          <w:rFonts w:hint="eastAsia"/>
          <w:color w:val="auto"/>
          <w:highlight w:val="none"/>
          <w:lang w:val="en-US" w:eastAsia="zh-CN"/>
        </w:rPr>
      </w:pPr>
      <w:r>
        <w:rPr>
          <w:rFonts w:hint="eastAsia"/>
          <w:color w:val="auto"/>
          <w:highlight w:val="none"/>
          <w:lang w:val="en-US" w:eastAsia="zh-CN"/>
        </w:rPr>
        <w:t>- 不应在日志中记录客户支付敏感信息；不允许保留非本机构的客户敏感信息。</w:t>
      </w:r>
    </w:p>
    <w:p w14:paraId="5DA0D199">
      <w:pPr>
        <w:numPr>
          <w:ilvl w:val="0"/>
          <w:numId w:val="22"/>
        </w:numPr>
        <w:ind w:firstLineChars="0"/>
        <w:rPr>
          <w:rFonts w:hint="eastAsia"/>
          <w:color w:val="auto"/>
          <w:highlight w:val="none"/>
          <w:lang w:val="en-US" w:eastAsia="zh-CN"/>
        </w:rPr>
      </w:pPr>
      <w:r>
        <w:rPr>
          <w:rFonts w:hint="eastAsia"/>
          <w:color w:val="auto"/>
          <w:highlight w:val="none"/>
          <w:lang w:val="en-US" w:eastAsia="zh-CN"/>
        </w:rPr>
        <w:t>自动监控指标</w:t>
      </w:r>
    </w:p>
    <w:p w14:paraId="1D4A3024">
      <w:pPr>
        <w:rPr>
          <w:rFonts w:hint="eastAsia"/>
          <w:color w:val="auto"/>
          <w:highlight w:val="none"/>
          <w:lang w:val="en-US" w:eastAsia="zh-CN"/>
        </w:rPr>
      </w:pPr>
      <w:r>
        <w:rPr>
          <w:rFonts w:hint="eastAsia"/>
          <w:color w:val="auto"/>
          <w:highlight w:val="none"/>
          <w:lang w:val="en-US" w:eastAsia="zh-CN"/>
        </w:rPr>
        <w:t>- 磁盘占用率（关键目录）、CPU使用率、内存占用率等。</w:t>
      </w:r>
    </w:p>
    <w:p w14:paraId="50D6DB1B">
      <w:pPr>
        <w:rPr>
          <w:rFonts w:hint="eastAsia"/>
          <w:color w:val="auto"/>
          <w:highlight w:val="none"/>
          <w:lang w:val="en-US" w:eastAsia="zh-CN"/>
        </w:rPr>
      </w:pPr>
      <w:r>
        <w:rPr>
          <w:rFonts w:hint="eastAsia"/>
          <w:color w:val="auto"/>
          <w:highlight w:val="none"/>
          <w:lang w:val="en-US" w:eastAsia="zh-CN"/>
        </w:rPr>
        <w:t>- 数据库连接池使用情况：总连接数、空闲连接数、使用中连接数；线程池使用情况，总线程、空闲线程、使用中线程。</w:t>
      </w:r>
    </w:p>
    <w:p w14:paraId="26484DC7">
      <w:pPr>
        <w:rPr>
          <w:rFonts w:hint="eastAsia"/>
          <w:color w:val="auto"/>
          <w:highlight w:val="none"/>
          <w:lang w:val="en-US" w:eastAsia="zh-CN"/>
        </w:rPr>
      </w:pPr>
      <w:r>
        <w:rPr>
          <w:rFonts w:hint="eastAsia"/>
          <w:color w:val="auto"/>
          <w:highlight w:val="none"/>
          <w:lang w:val="en-US" w:eastAsia="zh-CN"/>
        </w:rPr>
        <w:t>- 虚拟机堆内存情况（适用Java）：空闲内存、使用中内存。</w:t>
      </w:r>
    </w:p>
    <w:p w14:paraId="3CECF41F">
      <w:pPr>
        <w:rPr>
          <w:rFonts w:hint="eastAsia"/>
          <w:color w:val="auto"/>
          <w:highlight w:val="none"/>
          <w:lang w:val="en-US" w:eastAsia="zh-CN"/>
        </w:rPr>
      </w:pPr>
      <w:r>
        <w:rPr>
          <w:rFonts w:hint="eastAsia"/>
          <w:color w:val="auto"/>
          <w:highlight w:val="none"/>
          <w:lang w:val="en-US" w:eastAsia="zh-CN"/>
        </w:rPr>
        <w:t>- 交易级的错误，应用系统重大错误。</w:t>
      </w:r>
    </w:p>
    <w:p w14:paraId="60985460">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应当遵循的标准和规范</w:t>
      </w:r>
    </w:p>
    <w:p w14:paraId="393EBEA0">
      <w:pPr>
        <w:rPr>
          <w:rFonts w:hint="eastAsia"/>
          <w:color w:val="auto"/>
          <w:highlight w:val="none"/>
          <w:lang w:val="en-US" w:eastAsia="zh-CN"/>
        </w:rPr>
      </w:pPr>
      <w:r>
        <w:rPr>
          <w:rFonts w:hint="eastAsia"/>
          <w:color w:val="auto"/>
          <w:highlight w:val="none"/>
          <w:lang w:val="en-US" w:eastAsia="zh-CN"/>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1536310">
      <w:pPr>
        <w:rPr>
          <w:rFonts w:hint="eastAsia"/>
          <w:color w:val="auto"/>
          <w:highlight w:val="none"/>
          <w:lang w:val="en-US" w:eastAsia="zh-CN"/>
        </w:rPr>
      </w:pPr>
      <w:r>
        <w:rPr>
          <w:rFonts w:hint="eastAsia"/>
          <w:color w:val="auto"/>
          <w:highlight w:val="none"/>
          <w:lang w:val="en-US" w:eastAsia="zh-CN"/>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1BD1C2CC">
      <w:pPr>
        <w:rPr>
          <w:rFonts w:hint="eastAsia"/>
          <w:color w:val="auto"/>
          <w:highlight w:val="none"/>
          <w:lang w:val="en-US" w:eastAsia="zh-CN"/>
        </w:rPr>
      </w:pPr>
      <w:r>
        <w:rPr>
          <w:rFonts w:hint="eastAsia"/>
          <w:color w:val="auto"/>
          <w:highlight w:val="none"/>
          <w:lang w:val="en-US" w:eastAsia="zh-CN"/>
        </w:rPr>
        <w:t>业务处理符合国家法律、法规和有关政策规定。数据标准要满足银监会及人民银行相关管理办法及标准化的要求。</w:t>
      </w:r>
    </w:p>
    <w:p w14:paraId="2AF71DC6">
      <w:pPr>
        <w:pStyle w:val="5"/>
        <w:numPr>
          <w:ilvl w:val="0"/>
          <w:numId w:val="15"/>
        </w:numPr>
        <w:ind w:firstLineChars="0"/>
        <w:rPr>
          <w:rFonts w:hint="eastAsia"/>
          <w:color w:val="auto"/>
          <w:szCs w:val="24"/>
          <w:highlight w:val="none"/>
          <w:lang w:val="en-US" w:eastAsia="zh-CN"/>
        </w:rPr>
      </w:pPr>
      <w:r>
        <w:rPr>
          <w:rFonts w:hint="eastAsia"/>
          <w:color w:val="auto"/>
          <w:szCs w:val="24"/>
          <w:highlight w:val="none"/>
          <w:lang w:val="en-US" w:eastAsia="zh-CN"/>
        </w:rPr>
        <w:t>其他技术要求</w:t>
      </w:r>
    </w:p>
    <w:p w14:paraId="0A29B271">
      <w:pPr>
        <w:rPr>
          <w:rFonts w:hint="eastAsia"/>
          <w:color w:val="auto"/>
          <w:highlight w:val="none"/>
          <w:lang w:val="en-US" w:eastAsia="zh-CN"/>
        </w:rPr>
      </w:pPr>
      <w:r>
        <w:rPr>
          <w:rFonts w:hint="eastAsia"/>
          <w:color w:val="auto"/>
          <w:highlight w:val="none"/>
          <w:lang w:val="en-US" w:eastAsia="zh-CN"/>
        </w:rPr>
        <w:t>- 开发环境基于J2EE轻量级框架，支持JDK版本：JDK1.8及以上版本。</w:t>
      </w:r>
    </w:p>
    <w:p w14:paraId="0A5E5C59">
      <w:pPr>
        <w:rPr>
          <w:rFonts w:hint="eastAsia"/>
          <w:color w:val="auto"/>
          <w:highlight w:val="none"/>
          <w:lang w:val="en-US" w:eastAsia="zh-CN"/>
        </w:rPr>
      </w:pPr>
      <w:r>
        <w:rPr>
          <w:rFonts w:hint="eastAsia"/>
          <w:color w:val="auto"/>
          <w:highlight w:val="none"/>
          <w:lang w:val="en-US" w:eastAsia="zh-CN"/>
        </w:rPr>
        <w:t>- 操作系统、数据库和中间件满足以下要求：服务端操作系统支持Linux（RHEL 7.9），支持Oracle（19C）数据库（支持rac），支持Weblogic（12.2.1.4及以上）中间件及Tomcat中间件。</w:t>
      </w:r>
    </w:p>
    <w:p w14:paraId="21A9E8E6">
      <w:pPr>
        <w:rPr>
          <w:rFonts w:hint="eastAsia"/>
          <w:color w:val="auto"/>
          <w:highlight w:val="none"/>
          <w:lang w:val="en-US" w:eastAsia="zh-CN"/>
        </w:rPr>
      </w:pPr>
      <w:r>
        <w:rPr>
          <w:rFonts w:hint="eastAsia"/>
          <w:color w:val="auto"/>
          <w:highlight w:val="none"/>
          <w:lang w:val="en-US" w:eastAsia="zh-CN"/>
        </w:rPr>
        <w:t>- 必须支持Windows全系操作系统，即WinXP/Win7/Win8/Win10，支持谷歌、360、IE6及以上版本浏览器使用。</w:t>
      </w:r>
    </w:p>
    <w:p w14:paraId="0563A7B6">
      <w:pPr>
        <w:rPr>
          <w:rFonts w:hint="eastAsia"/>
          <w:color w:val="auto"/>
          <w:highlight w:val="none"/>
          <w:lang w:val="en-US" w:eastAsia="zh-CN"/>
        </w:rPr>
      </w:pPr>
      <w:r>
        <w:rPr>
          <w:rFonts w:hint="eastAsia"/>
          <w:color w:val="auto"/>
          <w:highlight w:val="none"/>
          <w:lang w:val="en-US" w:eastAsia="zh-CN"/>
        </w:rPr>
        <w:t>- 系统基础架构和底层数据库具备灵活性。</w:t>
      </w:r>
    </w:p>
    <w:p w14:paraId="4A691B30">
      <w:pPr>
        <w:rPr>
          <w:rFonts w:hint="eastAsia"/>
          <w:color w:val="auto"/>
          <w:highlight w:val="none"/>
          <w:lang w:val="en-US" w:eastAsia="zh-CN"/>
        </w:rPr>
      </w:pPr>
      <w:r>
        <w:rPr>
          <w:rFonts w:hint="eastAsia"/>
          <w:color w:val="auto"/>
          <w:highlight w:val="none"/>
          <w:lang w:val="en-US" w:eastAsia="zh-CN"/>
        </w:rPr>
        <w:t>- 系统可集群部署，支持负载均衡，具备横向可扩展性。</w:t>
      </w:r>
    </w:p>
    <w:p w14:paraId="762772AB">
      <w:pPr>
        <w:rPr>
          <w:rFonts w:hint="eastAsia"/>
          <w:color w:val="auto"/>
          <w:highlight w:val="none"/>
          <w:lang w:val="en-US" w:eastAsia="zh-CN"/>
        </w:rPr>
      </w:pPr>
      <w:r>
        <w:rPr>
          <w:rFonts w:hint="eastAsia"/>
          <w:color w:val="auto"/>
          <w:highlight w:val="none"/>
          <w:lang w:val="en-US" w:eastAsia="zh-CN"/>
        </w:rPr>
        <w:t>- 系统处理能力能够满足现有业务数据以及未来三年可能发展的业务数据量。</w:t>
      </w:r>
    </w:p>
    <w:p w14:paraId="5833E6F7">
      <w:pPr>
        <w:rPr>
          <w:rFonts w:hint="eastAsia"/>
          <w:color w:val="auto"/>
          <w:highlight w:val="none"/>
          <w:lang w:val="en-US" w:eastAsia="zh-CN"/>
        </w:rPr>
      </w:pPr>
      <w:r>
        <w:rPr>
          <w:rFonts w:hint="eastAsia"/>
          <w:color w:val="auto"/>
          <w:highlight w:val="none"/>
          <w:lang w:val="en-US" w:eastAsia="zh-CN"/>
        </w:rPr>
        <w:t>- 系统开发需要符合采购人开发规范和整体框架要求。</w:t>
      </w:r>
    </w:p>
    <w:p w14:paraId="3DBFF234">
      <w:pPr>
        <w:rPr>
          <w:rFonts w:hint="eastAsia"/>
          <w:color w:val="auto"/>
          <w:highlight w:val="none"/>
          <w:lang w:val="en-US" w:eastAsia="zh-CN"/>
        </w:rPr>
      </w:pPr>
      <w:r>
        <w:rPr>
          <w:rFonts w:hint="eastAsia"/>
          <w:color w:val="auto"/>
          <w:highlight w:val="none"/>
          <w:lang w:val="en-US" w:eastAsia="zh-CN"/>
        </w:rPr>
        <w:t>- 系统需支持dns方式连接数据库以及应用。</w:t>
      </w:r>
    </w:p>
    <w:p w14:paraId="2D01B683">
      <w:pPr>
        <w:rPr>
          <w:rFonts w:hint="eastAsia"/>
          <w:color w:val="auto"/>
          <w:highlight w:val="none"/>
          <w:lang w:val="en-US" w:eastAsia="zh-CN"/>
        </w:rPr>
      </w:pPr>
      <w:r>
        <w:rPr>
          <w:rFonts w:hint="eastAsia"/>
          <w:color w:val="auto"/>
          <w:highlight w:val="none"/>
          <w:lang w:val="en-US" w:eastAsia="zh-CN"/>
        </w:rPr>
        <w:t>- 响应人需提供完善的数据备份方案及备份机制。</w:t>
      </w:r>
    </w:p>
    <w:p w14:paraId="10B7E7F8">
      <w:pPr>
        <w:rPr>
          <w:rFonts w:hint="eastAsia"/>
          <w:color w:val="auto"/>
          <w:highlight w:val="none"/>
          <w:lang w:val="en-US" w:eastAsia="zh-CN"/>
        </w:rPr>
      </w:pPr>
      <w:r>
        <w:rPr>
          <w:rFonts w:hint="eastAsia"/>
          <w:color w:val="auto"/>
          <w:highlight w:val="none"/>
          <w:lang w:val="en-US" w:eastAsia="zh-CN"/>
        </w:rPr>
        <w:t>- 技术RTO（恢复时间目标）：24小时；技术RPO（恢复时间点目标）：0.5小时。</w:t>
      </w:r>
    </w:p>
    <w:p w14:paraId="07FA89A3">
      <w:pPr>
        <w:rPr>
          <w:rFonts w:hint="eastAsia"/>
          <w:color w:val="auto"/>
          <w:highlight w:val="none"/>
          <w:lang w:val="en-US" w:eastAsia="zh-CN"/>
        </w:rPr>
      </w:pPr>
      <w:r>
        <w:rPr>
          <w:rFonts w:hint="eastAsia"/>
          <w:color w:val="auto"/>
          <w:highlight w:val="none"/>
          <w:lang w:val="en-US" w:eastAsia="zh-CN"/>
        </w:rPr>
        <w:t>- 需支持IPV6协议。</w:t>
      </w:r>
    </w:p>
    <w:p w14:paraId="0346BCC3">
      <w:pPr>
        <w:rPr>
          <w:rFonts w:hint="eastAsia"/>
          <w:color w:val="auto"/>
          <w:highlight w:val="none"/>
          <w:lang w:val="en-US" w:eastAsia="zh-CN"/>
        </w:rPr>
      </w:pPr>
      <w:r>
        <w:rPr>
          <w:rFonts w:hint="eastAsia"/>
          <w:color w:val="auto"/>
          <w:highlight w:val="none"/>
          <w:lang w:val="en-US" w:eastAsia="zh-CN"/>
        </w:rPr>
        <w:t>- 禁止应用软件部署使用的安装码或授权码与其运行的基础环境（如：硬盘序列号、CPU序列号或网卡序列号等）进行绑定。</w:t>
      </w:r>
    </w:p>
    <w:p w14:paraId="244102E5">
      <w:pPr>
        <w:rPr>
          <w:rFonts w:hint="eastAsia"/>
          <w:color w:val="auto"/>
          <w:highlight w:val="none"/>
          <w:lang w:val="en-US" w:eastAsia="zh-CN"/>
        </w:rPr>
      </w:pPr>
      <w:r>
        <w:rPr>
          <w:rFonts w:hint="eastAsia"/>
          <w:color w:val="auto"/>
          <w:highlight w:val="none"/>
          <w:lang w:val="en-US" w:eastAsia="zh-CN"/>
        </w:rPr>
        <w:t>- 系统在集群部署共享文件访问时使用对象存储（不得使用NAS）。</w:t>
      </w:r>
    </w:p>
    <w:p w14:paraId="51A9CB8C">
      <w:pPr>
        <w:rPr>
          <w:color w:val="auto"/>
          <w:highlight w:val="none"/>
          <w:lang w:val="en-US" w:eastAsia="zh-CN"/>
        </w:rPr>
      </w:pPr>
      <w:r>
        <w:rPr>
          <w:rFonts w:hint="eastAsia"/>
          <w:color w:val="auto"/>
          <w:highlight w:val="none"/>
          <w:lang w:val="en-US" w:eastAsia="zh-CN"/>
        </w:rPr>
        <w:t>- 系统应按照采购人研发运维标准完成采购人DevOps效能研发平台和AiOps智能运维平台的对接，满足《重庆三峡银行配置文件管理规范》和《重庆三峡银行应用日志规范》要求。</w:t>
      </w:r>
    </w:p>
    <w:p w14:paraId="03D91D24">
      <w:pPr>
        <w:rPr>
          <w:rFonts w:hint="eastAsia"/>
          <w:color w:val="auto"/>
          <w:highlight w:val="none"/>
          <w:lang w:val="en-US" w:eastAsia="zh-CN"/>
        </w:rPr>
      </w:pPr>
      <w:r>
        <w:rPr>
          <w:rFonts w:hint="eastAsia"/>
          <w:color w:val="auto"/>
          <w:highlight w:val="none"/>
          <w:lang w:val="en-US" w:eastAsia="zh-CN"/>
        </w:rPr>
        <w:t>- 满足国家保密标准及要求。</w:t>
      </w:r>
    </w:p>
    <w:p w14:paraId="3B24D081">
      <w:pPr>
        <w:rPr>
          <w:rFonts w:hint="eastAsia"/>
          <w:bCs/>
          <w:highlight w:val="none"/>
        </w:rPr>
      </w:pPr>
      <w:r>
        <w:rPr>
          <w:rFonts w:hint="eastAsia"/>
          <w:bCs/>
          <w:highlight w:val="none"/>
        </w:rPr>
        <w:t>- 不对系统许可（license）做使用时长限制，包含测试环境和生产环境。</w:t>
      </w:r>
    </w:p>
    <w:p w14:paraId="35F11042">
      <w:pPr>
        <w:rPr>
          <w:rFonts w:hint="eastAsia"/>
          <w:bCs/>
          <w:highlight w:val="none"/>
        </w:rPr>
      </w:pPr>
      <w:r>
        <w:rPr>
          <w:rFonts w:hint="eastAsia"/>
          <w:bCs/>
          <w:highlight w:val="none"/>
        </w:rPr>
        <w:t>- 不对部署套数，部署节点数做限制，包含测试环境和生产环境。</w:t>
      </w:r>
    </w:p>
    <w:p w14:paraId="46AEC66D">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测试要求</w:t>
      </w:r>
    </w:p>
    <w:p w14:paraId="43D56007">
      <w:pPr>
        <w:numPr>
          <w:ilvl w:val="0"/>
          <w:numId w:val="23"/>
        </w:numPr>
        <w:ind w:firstLineChars="0"/>
        <w:rPr>
          <w:rFonts w:hint="eastAsia"/>
          <w:color w:val="auto"/>
          <w:highlight w:val="none"/>
          <w:lang w:val="en-US" w:eastAsia="zh-CN"/>
        </w:rPr>
      </w:pPr>
      <w:r>
        <w:rPr>
          <w:rFonts w:hint="eastAsia"/>
          <w:color w:val="auto"/>
          <w:highlight w:val="none"/>
          <w:lang w:val="en-US" w:eastAsia="zh-CN"/>
        </w:rPr>
        <w:t>响应人应负责系统的单元、集成和系统测试，提交完整的测试案例及达到准出标准的单元、集成和系统测试报告。</w:t>
      </w:r>
    </w:p>
    <w:p w14:paraId="55F4CEF7">
      <w:pPr>
        <w:numPr>
          <w:ilvl w:val="0"/>
          <w:numId w:val="23"/>
        </w:numPr>
        <w:ind w:firstLineChars="0"/>
        <w:rPr>
          <w:rFonts w:hint="eastAsia"/>
          <w:color w:val="auto"/>
          <w:highlight w:val="none"/>
          <w:lang w:val="en-US" w:eastAsia="zh-CN"/>
        </w:rPr>
      </w:pPr>
      <w:r>
        <w:rPr>
          <w:rFonts w:hint="eastAsia"/>
          <w:color w:val="auto"/>
          <w:highlight w:val="none"/>
          <w:lang w:val="en-US" w:eastAsia="zh-CN"/>
        </w:rPr>
        <w:t>响应人应提供专职的性能测试负责人及性能测试人员进行系统的性能测试，提交满足系统性能指标的性能测试报告。</w:t>
      </w:r>
    </w:p>
    <w:p w14:paraId="632BB87F">
      <w:pPr>
        <w:numPr>
          <w:ilvl w:val="0"/>
          <w:numId w:val="23"/>
        </w:numPr>
        <w:ind w:firstLineChars="0"/>
        <w:rPr>
          <w:rFonts w:hint="eastAsia"/>
          <w:color w:val="auto"/>
          <w:highlight w:val="none"/>
          <w:lang w:val="en-US" w:eastAsia="zh-CN"/>
        </w:rPr>
      </w:pPr>
      <w:r>
        <w:rPr>
          <w:rFonts w:hint="eastAsia"/>
          <w:color w:val="auto"/>
          <w:highlight w:val="none"/>
          <w:lang w:val="en-US" w:eastAsia="zh-CN"/>
        </w:rPr>
        <w:t>响应人应指派专职的测试项目经理及项目成员进行系统测试，参照采购人系统测试准入准出标准。</w:t>
      </w:r>
    </w:p>
    <w:tbl>
      <w:tblPr>
        <w:tblStyle w:val="21"/>
        <w:tblW w:w="8200"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8"/>
        <w:gridCol w:w="6902"/>
      </w:tblGrid>
      <w:tr w14:paraId="3B04E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7" w:hRule="atLeast"/>
        </w:trPr>
        <w:tc>
          <w:tcPr>
            <w:tcW w:w="8200" w:type="dxa"/>
            <w:gridSpan w:val="2"/>
            <w:shd w:val="clear" w:color="auto" w:fill="auto"/>
            <w:vAlign w:val="center"/>
          </w:tcPr>
          <w:p w14:paraId="7767F89F">
            <w:pPr>
              <w:spacing w:line="240" w:lineRule="auto"/>
              <w:ind w:firstLine="0" w:firstLineChars="0"/>
              <w:jc w:val="center"/>
              <w:rPr>
                <w:b/>
                <w:color w:val="auto"/>
                <w:szCs w:val="24"/>
                <w:highlight w:val="none"/>
              </w:rPr>
            </w:pPr>
            <w:r>
              <w:rPr>
                <w:rFonts w:hint="eastAsia"/>
                <w:b/>
                <w:color w:val="auto"/>
                <w:szCs w:val="24"/>
                <w:highlight w:val="none"/>
              </w:rPr>
              <w:t>系统测试准入准出标准</w:t>
            </w:r>
          </w:p>
        </w:tc>
      </w:tr>
      <w:tr w14:paraId="3E300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auto"/>
            <w:vAlign w:val="center"/>
          </w:tcPr>
          <w:p w14:paraId="34C58443">
            <w:pPr>
              <w:spacing w:line="240" w:lineRule="auto"/>
              <w:ind w:firstLine="0" w:firstLineChars="0"/>
              <w:rPr>
                <w:b/>
                <w:color w:val="auto"/>
                <w:szCs w:val="24"/>
                <w:highlight w:val="none"/>
              </w:rPr>
            </w:pPr>
            <w:r>
              <w:rPr>
                <w:rFonts w:hint="eastAsia"/>
                <w:b/>
                <w:color w:val="auto"/>
                <w:szCs w:val="24"/>
                <w:highlight w:val="none"/>
              </w:rPr>
              <w:t>一、系统测试准入标准</w:t>
            </w:r>
          </w:p>
        </w:tc>
      </w:tr>
      <w:tr w14:paraId="35AE4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5B6DC4A3">
            <w:pPr>
              <w:spacing w:line="240" w:lineRule="auto"/>
              <w:ind w:firstLine="0" w:firstLineChars="0"/>
              <w:jc w:val="center"/>
              <w:rPr>
                <w:b/>
                <w:color w:val="auto"/>
                <w:szCs w:val="24"/>
                <w:highlight w:val="none"/>
              </w:rPr>
            </w:pPr>
            <w:r>
              <w:rPr>
                <w:rFonts w:hint="eastAsia"/>
                <w:b/>
                <w:color w:val="auto"/>
                <w:szCs w:val="24"/>
                <w:highlight w:val="none"/>
              </w:rPr>
              <w:t>阶段</w:t>
            </w:r>
          </w:p>
        </w:tc>
        <w:tc>
          <w:tcPr>
            <w:tcW w:w="6902" w:type="dxa"/>
            <w:tcBorders>
              <w:left w:val="single" w:color="auto" w:sz="6" w:space="0"/>
            </w:tcBorders>
            <w:shd w:val="clear" w:color="auto" w:fill="auto"/>
            <w:vAlign w:val="center"/>
          </w:tcPr>
          <w:p w14:paraId="4648FEE5">
            <w:pPr>
              <w:spacing w:line="240" w:lineRule="auto"/>
              <w:ind w:firstLine="0" w:firstLineChars="0"/>
              <w:jc w:val="center"/>
              <w:rPr>
                <w:b/>
                <w:color w:val="auto"/>
                <w:szCs w:val="24"/>
                <w:highlight w:val="none"/>
              </w:rPr>
            </w:pPr>
            <w:r>
              <w:rPr>
                <w:rFonts w:hint="eastAsia"/>
                <w:b/>
                <w:color w:val="auto"/>
                <w:szCs w:val="24"/>
                <w:highlight w:val="none"/>
              </w:rPr>
              <w:t>准入条件</w:t>
            </w:r>
          </w:p>
        </w:tc>
      </w:tr>
      <w:tr w14:paraId="4CD88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restart"/>
            <w:shd w:val="clear" w:color="auto" w:fill="auto"/>
            <w:vAlign w:val="center"/>
          </w:tcPr>
          <w:p w14:paraId="5CE13B18">
            <w:pPr>
              <w:spacing w:line="240" w:lineRule="auto"/>
              <w:ind w:firstLine="0" w:firstLineChars="0"/>
              <w:jc w:val="center"/>
              <w:rPr>
                <w:color w:val="auto"/>
                <w:szCs w:val="24"/>
                <w:highlight w:val="none"/>
              </w:rPr>
            </w:pPr>
            <w:r>
              <w:rPr>
                <w:rFonts w:hint="eastAsia"/>
                <w:color w:val="auto"/>
                <w:szCs w:val="24"/>
                <w:highlight w:val="none"/>
              </w:rPr>
              <w:t>计划阶段</w:t>
            </w:r>
          </w:p>
        </w:tc>
        <w:tc>
          <w:tcPr>
            <w:tcW w:w="6902" w:type="dxa"/>
            <w:tcBorders>
              <w:left w:val="single" w:color="auto" w:sz="6" w:space="0"/>
            </w:tcBorders>
            <w:shd w:val="clear" w:color="auto" w:fill="auto"/>
            <w:vAlign w:val="center"/>
          </w:tcPr>
          <w:p w14:paraId="184C048E">
            <w:pPr>
              <w:spacing w:line="240" w:lineRule="auto"/>
              <w:ind w:firstLine="0" w:firstLineChars="0"/>
              <w:rPr>
                <w:color w:val="auto"/>
                <w:szCs w:val="24"/>
                <w:highlight w:val="none"/>
              </w:rPr>
            </w:pPr>
            <w:r>
              <w:rPr>
                <w:rFonts w:hint="eastAsia"/>
                <w:color w:val="auto"/>
                <w:szCs w:val="24"/>
                <w:highlight w:val="none"/>
              </w:rPr>
              <w:t>开发项目在立项之初应提交纸质测试服务申请单给测试负责人</w:t>
            </w:r>
          </w:p>
        </w:tc>
      </w:tr>
      <w:tr w14:paraId="6456C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auto"/>
            <w:vAlign w:val="center"/>
          </w:tcPr>
          <w:p w14:paraId="62076B19"/>
        </w:tc>
        <w:tc>
          <w:tcPr>
            <w:tcW w:w="6902" w:type="dxa"/>
            <w:tcBorders>
              <w:left w:val="single" w:color="auto" w:sz="6" w:space="0"/>
            </w:tcBorders>
            <w:shd w:val="clear" w:color="auto" w:fill="auto"/>
            <w:vAlign w:val="center"/>
          </w:tcPr>
          <w:p w14:paraId="6E2355F5">
            <w:pPr>
              <w:spacing w:line="240" w:lineRule="auto"/>
              <w:ind w:firstLine="0" w:firstLineChars="0"/>
              <w:rPr>
                <w:color w:val="auto"/>
                <w:szCs w:val="24"/>
                <w:highlight w:val="none"/>
              </w:rPr>
            </w:pPr>
            <w:r>
              <w:rPr>
                <w:rFonts w:hint="eastAsia"/>
                <w:color w:val="auto"/>
                <w:szCs w:val="24"/>
                <w:highlight w:val="none"/>
              </w:rPr>
              <w:t>开发项目整体项目计划必须包含系统测试计划或系统测试计划时间</w:t>
            </w:r>
          </w:p>
        </w:tc>
      </w:tr>
      <w:tr w14:paraId="03B87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1298" w:type="dxa"/>
            <w:vMerge w:val="continue"/>
            <w:shd w:val="clear" w:color="auto" w:fill="auto"/>
            <w:vAlign w:val="center"/>
          </w:tcPr>
          <w:p w14:paraId="19BF1F43"/>
        </w:tc>
        <w:tc>
          <w:tcPr>
            <w:tcW w:w="6902" w:type="dxa"/>
            <w:tcBorders>
              <w:left w:val="single" w:color="auto" w:sz="6" w:space="0"/>
            </w:tcBorders>
            <w:shd w:val="clear" w:color="auto" w:fill="auto"/>
            <w:vAlign w:val="center"/>
          </w:tcPr>
          <w:p w14:paraId="542A0DE2">
            <w:pPr>
              <w:spacing w:line="240" w:lineRule="auto"/>
              <w:ind w:firstLine="0" w:firstLineChars="0"/>
              <w:rPr>
                <w:color w:val="auto"/>
                <w:szCs w:val="24"/>
                <w:highlight w:val="none"/>
              </w:rPr>
            </w:pPr>
            <w:r>
              <w:rPr>
                <w:rFonts w:hint="eastAsia"/>
                <w:color w:val="auto"/>
                <w:szCs w:val="24"/>
                <w:highlight w:val="none"/>
              </w:rPr>
              <w:t>测试方要求的需求说明书及相关说明书已经通过评审，并形成终稿；文档包括但不限于：业务需求、需求说明书、系统原型、概要设计（可选）、用户手册（可选）</w:t>
            </w:r>
          </w:p>
        </w:tc>
      </w:tr>
      <w:tr w14:paraId="22CEA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auto"/>
            <w:vAlign w:val="center"/>
          </w:tcPr>
          <w:p w14:paraId="2C908454"/>
        </w:tc>
        <w:tc>
          <w:tcPr>
            <w:tcW w:w="6902" w:type="dxa"/>
            <w:tcBorders>
              <w:left w:val="single" w:color="auto" w:sz="6" w:space="0"/>
            </w:tcBorders>
            <w:shd w:val="clear" w:color="auto" w:fill="auto"/>
            <w:vAlign w:val="center"/>
          </w:tcPr>
          <w:p w14:paraId="648AD5E2">
            <w:pPr>
              <w:spacing w:line="240" w:lineRule="auto"/>
              <w:ind w:firstLine="0" w:firstLineChars="0"/>
              <w:rPr>
                <w:color w:val="auto"/>
                <w:szCs w:val="24"/>
                <w:highlight w:val="none"/>
              </w:rPr>
            </w:pPr>
            <w:r>
              <w:rPr>
                <w:rFonts w:hint="eastAsia"/>
                <w:color w:val="auto"/>
                <w:szCs w:val="24"/>
                <w:highlight w:val="none"/>
              </w:rPr>
              <w:t>变更影响范围是否提供</w:t>
            </w:r>
          </w:p>
        </w:tc>
      </w:tr>
      <w:tr w14:paraId="249EE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1298" w:type="dxa"/>
            <w:vMerge w:val="restart"/>
            <w:shd w:val="clear" w:color="auto" w:fill="auto"/>
            <w:vAlign w:val="center"/>
          </w:tcPr>
          <w:p w14:paraId="09254F1D">
            <w:pPr>
              <w:spacing w:line="240" w:lineRule="auto"/>
              <w:ind w:firstLine="0" w:firstLineChars="0"/>
              <w:jc w:val="center"/>
              <w:rPr>
                <w:color w:val="auto"/>
                <w:szCs w:val="24"/>
                <w:highlight w:val="none"/>
              </w:rPr>
            </w:pPr>
            <w:r>
              <w:rPr>
                <w:rFonts w:hint="eastAsia"/>
                <w:color w:val="auto"/>
                <w:szCs w:val="24"/>
                <w:highlight w:val="none"/>
              </w:rPr>
              <w:t>执行阶段</w:t>
            </w:r>
          </w:p>
        </w:tc>
        <w:tc>
          <w:tcPr>
            <w:tcW w:w="6902" w:type="dxa"/>
            <w:tcBorders>
              <w:left w:val="single" w:color="auto" w:sz="6" w:space="0"/>
            </w:tcBorders>
            <w:shd w:val="clear" w:color="auto" w:fill="auto"/>
            <w:vAlign w:val="center"/>
          </w:tcPr>
          <w:p w14:paraId="01A8E1EB">
            <w:pPr>
              <w:spacing w:line="240" w:lineRule="auto"/>
              <w:ind w:firstLine="0" w:firstLineChars="0"/>
              <w:rPr>
                <w:color w:val="auto"/>
                <w:szCs w:val="24"/>
                <w:highlight w:val="none"/>
              </w:rPr>
            </w:pPr>
            <w:r>
              <w:rPr>
                <w:rFonts w:hint="eastAsia"/>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9D47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auto"/>
            <w:vAlign w:val="center"/>
          </w:tcPr>
          <w:p w14:paraId="7C6F3C07"/>
        </w:tc>
        <w:tc>
          <w:tcPr>
            <w:tcW w:w="6902" w:type="dxa"/>
            <w:tcBorders>
              <w:left w:val="single" w:color="auto" w:sz="6" w:space="0"/>
            </w:tcBorders>
            <w:shd w:val="clear" w:color="auto" w:fill="auto"/>
            <w:vAlign w:val="center"/>
          </w:tcPr>
          <w:p w14:paraId="05FA512E">
            <w:pPr>
              <w:spacing w:line="240" w:lineRule="auto"/>
              <w:ind w:firstLine="0" w:firstLineChars="0"/>
              <w:rPr>
                <w:color w:val="auto"/>
                <w:szCs w:val="24"/>
                <w:highlight w:val="none"/>
              </w:rPr>
            </w:pPr>
            <w:r>
              <w:rPr>
                <w:rFonts w:hint="eastAsia"/>
                <w:color w:val="auto"/>
                <w:szCs w:val="24"/>
                <w:highlight w:val="none"/>
              </w:rPr>
              <w:t>系统测试案例准备就绪（案例密度为35条/每功能点）</w:t>
            </w:r>
          </w:p>
        </w:tc>
      </w:tr>
      <w:tr w14:paraId="5EFC0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auto"/>
            <w:vAlign w:val="center"/>
          </w:tcPr>
          <w:p w14:paraId="33144A1B"/>
        </w:tc>
        <w:tc>
          <w:tcPr>
            <w:tcW w:w="6902" w:type="dxa"/>
            <w:tcBorders>
              <w:left w:val="single" w:color="auto" w:sz="6" w:space="0"/>
            </w:tcBorders>
            <w:shd w:val="clear" w:color="auto" w:fill="auto"/>
            <w:vAlign w:val="center"/>
          </w:tcPr>
          <w:p w14:paraId="7F5B25DD">
            <w:pPr>
              <w:spacing w:line="240" w:lineRule="auto"/>
              <w:ind w:firstLine="0" w:firstLineChars="0"/>
              <w:rPr>
                <w:color w:val="auto"/>
                <w:szCs w:val="24"/>
                <w:highlight w:val="none"/>
              </w:rPr>
            </w:pPr>
            <w:r>
              <w:rPr>
                <w:rFonts w:hint="eastAsia"/>
                <w:color w:val="auto"/>
                <w:szCs w:val="24"/>
                <w:highlight w:val="none"/>
              </w:rPr>
              <w:t>测试环境准备就绪</w:t>
            </w:r>
          </w:p>
        </w:tc>
      </w:tr>
      <w:tr w14:paraId="0AD11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vMerge w:val="continue"/>
            <w:shd w:val="clear" w:color="auto" w:fill="auto"/>
            <w:vAlign w:val="center"/>
          </w:tcPr>
          <w:p w14:paraId="464D73A7"/>
        </w:tc>
        <w:tc>
          <w:tcPr>
            <w:tcW w:w="6902" w:type="dxa"/>
            <w:tcBorders>
              <w:left w:val="single" w:color="auto" w:sz="6" w:space="0"/>
            </w:tcBorders>
            <w:shd w:val="clear" w:color="auto" w:fill="auto"/>
            <w:vAlign w:val="center"/>
          </w:tcPr>
          <w:p w14:paraId="44C09FEF">
            <w:pPr>
              <w:spacing w:line="240" w:lineRule="auto"/>
              <w:ind w:firstLine="0" w:firstLineChars="0"/>
              <w:rPr>
                <w:color w:val="auto"/>
                <w:szCs w:val="24"/>
                <w:highlight w:val="none"/>
              </w:rPr>
            </w:pPr>
            <w:r>
              <w:rPr>
                <w:rFonts w:hint="eastAsia"/>
                <w:color w:val="auto"/>
                <w:szCs w:val="24"/>
                <w:highlight w:val="none"/>
              </w:rPr>
              <w:t>测试版本能够成功部署到测试环境。（如果测试和开发处于同一环境，则在系统测试开始前应该按照开发提交的版本重新部署）</w:t>
            </w:r>
          </w:p>
        </w:tc>
      </w:tr>
      <w:tr w14:paraId="1EE7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vMerge w:val="continue"/>
            <w:shd w:val="clear" w:color="auto" w:fill="auto"/>
            <w:vAlign w:val="center"/>
          </w:tcPr>
          <w:p w14:paraId="0FEBBAF6"/>
        </w:tc>
        <w:tc>
          <w:tcPr>
            <w:tcW w:w="6902" w:type="dxa"/>
            <w:tcBorders>
              <w:left w:val="single" w:color="auto" w:sz="6" w:space="0"/>
            </w:tcBorders>
            <w:shd w:val="clear" w:color="auto" w:fill="auto"/>
            <w:vAlign w:val="center"/>
          </w:tcPr>
          <w:p w14:paraId="37B1E23F">
            <w:pPr>
              <w:spacing w:line="240" w:lineRule="auto"/>
              <w:ind w:firstLine="0" w:firstLineChars="0"/>
              <w:rPr>
                <w:color w:val="auto"/>
                <w:szCs w:val="24"/>
                <w:highlight w:val="none"/>
              </w:rPr>
            </w:pPr>
            <w:r>
              <w:rPr>
                <w:rFonts w:hint="eastAsia"/>
                <w:color w:val="auto"/>
                <w:szCs w:val="24"/>
                <w:highlight w:val="none"/>
              </w:rPr>
              <w:t>冒烟测试达到通过标准（冒烟测试案例通过率大于90%，有效缺陷率不高于10%）</w:t>
            </w:r>
          </w:p>
        </w:tc>
      </w:tr>
      <w:tr w14:paraId="5738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auto"/>
            <w:vAlign w:val="center"/>
          </w:tcPr>
          <w:p w14:paraId="23922102">
            <w:pPr>
              <w:spacing w:line="240" w:lineRule="auto"/>
              <w:ind w:firstLine="0" w:firstLineChars="0"/>
              <w:rPr>
                <w:b/>
                <w:color w:val="auto"/>
                <w:szCs w:val="24"/>
                <w:highlight w:val="none"/>
              </w:rPr>
            </w:pPr>
            <w:r>
              <w:rPr>
                <w:rFonts w:hint="eastAsia"/>
                <w:b/>
                <w:color w:val="auto"/>
                <w:szCs w:val="24"/>
                <w:highlight w:val="none"/>
              </w:rPr>
              <w:t>二、暂停/继续标准：满足下列之一的条件并由项目组审核同意，测试可以暂停</w:t>
            </w:r>
          </w:p>
        </w:tc>
      </w:tr>
      <w:tr w14:paraId="6D63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0FB5E774">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902" w:type="dxa"/>
            <w:tcBorders>
              <w:left w:val="single" w:color="auto" w:sz="6" w:space="0"/>
            </w:tcBorders>
            <w:shd w:val="clear" w:color="auto" w:fill="auto"/>
            <w:vAlign w:val="center"/>
          </w:tcPr>
          <w:p w14:paraId="153E3083">
            <w:pPr>
              <w:spacing w:line="240" w:lineRule="auto"/>
              <w:ind w:firstLine="0" w:firstLineChars="0"/>
              <w:jc w:val="center"/>
              <w:rPr>
                <w:b/>
                <w:color w:val="auto"/>
                <w:szCs w:val="24"/>
                <w:highlight w:val="none"/>
              </w:rPr>
            </w:pPr>
            <w:r>
              <w:rPr>
                <w:rFonts w:hint="eastAsia"/>
                <w:b/>
                <w:color w:val="auto"/>
                <w:szCs w:val="24"/>
                <w:highlight w:val="none"/>
              </w:rPr>
              <w:t>暂停条件</w:t>
            </w:r>
          </w:p>
        </w:tc>
      </w:tr>
      <w:tr w14:paraId="144CD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3783E189">
            <w:pPr>
              <w:spacing w:line="240" w:lineRule="auto"/>
              <w:ind w:firstLine="0" w:firstLineChars="0"/>
              <w:jc w:val="center"/>
              <w:rPr>
                <w:color w:val="auto"/>
                <w:szCs w:val="24"/>
                <w:highlight w:val="none"/>
              </w:rPr>
            </w:pPr>
            <w:r>
              <w:rPr>
                <w:rFonts w:hint="eastAsia"/>
                <w:color w:val="auto"/>
                <w:szCs w:val="24"/>
                <w:highlight w:val="none"/>
              </w:rPr>
              <w:t>1</w:t>
            </w:r>
          </w:p>
        </w:tc>
        <w:tc>
          <w:tcPr>
            <w:tcW w:w="6902" w:type="dxa"/>
            <w:tcBorders>
              <w:left w:val="single" w:color="auto" w:sz="6" w:space="0"/>
            </w:tcBorders>
            <w:shd w:val="clear" w:color="auto" w:fill="auto"/>
            <w:vAlign w:val="center"/>
          </w:tcPr>
          <w:p w14:paraId="28EDE859">
            <w:pPr>
              <w:spacing w:line="240" w:lineRule="auto"/>
              <w:ind w:firstLine="0" w:firstLineChars="0"/>
              <w:rPr>
                <w:color w:val="auto"/>
                <w:szCs w:val="24"/>
                <w:highlight w:val="none"/>
              </w:rPr>
            </w:pPr>
            <w:r>
              <w:rPr>
                <w:rFonts w:hint="eastAsia"/>
                <w:color w:val="auto"/>
                <w:szCs w:val="24"/>
                <w:highlight w:val="none"/>
              </w:rPr>
              <w:t>由于程序、环境原因导致测试无法进行</w:t>
            </w:r>
          </w:p>
        </w:tc>
      </w:tr>
      <w:tr w14:paraId="471BF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789BC2C3">
            <w:pPr>
              <w:spacing w:line="240" w:lineRule="auto"/>
              <w:ind w:firstLine="0" w:firstLineChars="0"/>
              <w:jc w:val="center"/>
              <w:rPr>
                <w:color w:val="auto"/>
                <w:szCs w:val="24"/>
                <w:highlight w:val="none"/>
              </w:rPr>
            </w:pPr>
            <w:r>
              <w:rPr>
                <w:rFonts w:hint="eastAsia"/>
                <w:color w:val="auto"/>
                <w:szCs w:val="24"/>
                <w:highlight w:val="none"/>
              </w:rPr>
              <w:t>2</w:t>
            </w:r>
          </w:p>
        </w:tc>
        <w:tc>
          <w:tcPr>
            <w:tcW w:w="6902" w:type="dxa"/>
            <w:tcBorders>
              <w:left w:val="single" w:color="auto" w:sz="6" w:space="0"/>
            </w:tcBorders>
            <w:shd w:val="clear" w:color="auto" w:fill="auto"/>
            <w:vAlign w:val="center"/>
          </w:tcPr>
          <w:p w14:paraId="7AD85D70">
            <w:pPr>
              <w:spacing w:line="240" w:lineRule="auto"/>
              <w:ind w:firstLine="0" w:firstLineChars="0"/>
              <w:rPr>
                <w:color w:val="auto"/>
                <w:szCs w:val="24"/>
                <w:highlight w:val="none"/>
              </w:rPr>
            </w:pPr>
            <w:r>
              <w:rPr>
                <w:rFonts w:hint="eastAsia"/>
                <w:color w:val="auto"/>
                <w:szCs w:val="24"/>
                <w:highlight w:val="none"/>
              </w:rPr>
              <w:t>项目暂停，已无测试必要</w:t>
            </w:r>
          </w:p>
        </w:tc>
      </w:tr>
      <w:tr w14:paraId="6AAA6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6A95BBA3">
            <w:pPr>
              <w:spacing w:line="240" w:lineRule="auto"/>
              <w:ind w:firstLine="0" w:firstLineChars="0"/>
              <w:jc w:val="center"/>
              <w:rPr>
                <w:color w:val="auto"/>
                <w:szCs w:val="24"/>
                <w:highlight w:val="none"/>
              </w:rPr>
            </w:pPr>
            <w:r>
              <w:rPr>
                <w:rFonts w:hint="eastAsia"/>
                <w:color w:val="auto"/>
                <w:szCs w:val="24"/>
                <w:highlight w:val="none"/>
              </w:rPr>
              <w:t>4</w:t>
            </w:r>
          </w:p>
        </w:tc>
        <w:tc>
          <w:tcPr>
            <w:tcW w:w="6902" w:type="dxa"/>
            <w:tcBorders>
              <w:left w:val="single" w:color="auto" w:sz="6" w:space="0"/>
            </w:tcBorders>
            <w:shd w:val="clear" w:color="auto" w:fill="auto"/>
            <w:vAlign w:val="center"/>
          </w:tcPr>
          <w:p w14:paraId="3FA0ED94">
            <w:pPr>
              <w:spacing w:line="240" w:lineRule="auto"/>
              <w:ind w:firstLine="0" w:firstLineChars="0"/>
              <w:rPr>
                <w:color w:val="auto"/>
                <w:szCs w:val="24"/>
                <w:highlight w:val="none"/>
              </w:rPr>
            </w:pPr>
            <w:r>
              <w:rPr>
                <w:rFonts w:hint="eastAsia"/>
                <w:color w:val="auto"/>
                <w:szCs w:val="24"/>
                <w:highlight w:val="none"/>
              </w:rPr>
              <w:t>测试需求稳定指数小于70%，则暂停测试执行</w:t>
            </w:r>
          </w:p>
        </w:tc>
      </w:tr>
      <w:tr w14:paraId="0E6E5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790B875E">
            <w:pPr>
              <w:spacing w:line="240" w:lineRule="auto"/>
              <w:ind w:firstLine="0" w:firstLineChars="0"/>
              <w:jc w:val="center"/>
              <w:rPr>
                <w:color w:val="auto"/>
                <w:szCs w:val="24"/>
                <w:highlight w:val="none"/>
              </w:rPr>
            </w:pPr>
            <w:r>
              <w:rPr>
                <w:rFonts w:hint="eastAsia"/>
                <w:color w:val="auto"/>
                <w:szCs w:val="24"/>
                <w:highlight w:val="none"/>
              </w:rPr>
              <w:t>5</w:t>
            </w:r>
          </w:p>
        </w:tc>
        <w:tc>
          <w:tcPr>
            <w:tcW w:w="6902" w:type="dxa"/>
            <w:tcBorders>
              <w:left w:val="single" w:color="auto" w:sz="6" w:space="0"/>
            </w:tcBorders>
            <w:shd w:val="clear" w:color="auto" w:fill="auto"/>
            <w:vAlign w:val="center"/>
          </w:tcPr>
          <w:p w14:paraId="7C4686CA">
            <w:pPr>
              <w:spacing w:line="240" w:lineRule="auto"/>
              <w:ind w:firstLine="0" w:firstLineChars="0"/>
              <w:rPr>
                <w:color w:val="auto"/>
                <w:szCs w:val="24"/>
                <w:highlight w:val="none"/>
              </w:rPr>
            </w:pPr>
            <w:r>
              <w:rPr>
                <w:rFonts w:hint="eastAsia"/>
                <w:color w:val="auto"/>
                <w:szCs w:val="24"/>
                <w:highlight w:val="none"/>
              </w:rPr>
              <w:t>每个里程碑节点或执行轮次案例执行通过率低于60%，则暂停测试执行</w:t>
            </w:r>
          </w:p>
        </w:tc>
      </w:tr>
      <w:tr w14:paraId="31CDA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6AFFBDD6">
            <w:pPr>
              <w:spacing w:line="240" w:lineRule="auto"/>
              <w:ind w:firstLine="0" w:firstLineChars="0"/>
              <w:jc w:val="center"/>
              <w:rPr>
                <w:color w:val="auto"/>
                <w:szCs w:val="24"/>
                <w:highlight w:val="none"/>
              </w:rPr>
            </w:pPr>
            <w:r>
              <w:rPr>
                <w:rFonts w:hint="eastAsia"/>
                <w:color w:val="auto"/>
                <w:szCs w:val="24"/>
                <w:highlight w:val="none"/>
              </w:rPr>
              <w:t>6</w:t>
            </w:r>
          </w:p>
        </w:tc>
        <w:tc>
          <w:tcPr>
            <w:tcW w:w="6902" w:type="dxa"/>
            <w:tcBorders>
              <w:left w:val="single" w:color="auto" w:sz="6" w:space="0"/>
            </w:tcBorders>
            <w:shd w:val="clear" w:color="auto" w:fill="auto"/>
            <w:vAlign w:val="center"/>
          </w:tcPr>
          <w:p w14:paraId="7EE98ACF">
            <w:pPr>
              <w:spacing w:line="240" w:lineRule="auto"/>
              <w:ind w:firstLine="0" w:firstLineChars="0"/>
              <w:rPr>
                <w:color w:val="auto"/>
                <w:szCs w:val="24"/>
                <w:highlight w:val="none"/>
              </w:rPr>
            </w:pPr>
            <w:r>
              <w:rPr>
                <w:rFonts w:hint="eastAsia"/>
                <w:color w:val="auto"/>
                <w:szCs w:val="24"/>
                <w:highlight w:val="none"/>
              </w:rPr>
              <w:t>每个里程碑节点或执行轮次缺陷解决率低于50%，则暂停测试执行</w:t>
            </w:r>
          </w:p>
        </w:tc>
      </w:tr>
      <w:tr w14:paraId="3D7F4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61BC30E5">
            <w:pPr>
              <w:spacing w:line="240" w:lineRule="auto"/>
              <w:ind w:firstLine="0" w:firstLineChars="0"/>
              <w:jc w:val="center"/>
              <w:rPr>
                <w:color w:val="auto"/>
                <w:szCs w:val="24"/>
                <w:highlight w:val="none"/>
              </w:rPr>
            </w:pPr>
            <w:r>
              <w:rPr>
                <w:rFonts w:hint="eastAsia"/>
                <w:color w:val="auto"/>
                <w:szCs w:val="24"/>
                <w:highlight w:val="none"/>
              </w:rPr>
              <w:t>7</w:t>
            </w:r>
          </w:p>
        </w:tc>
        <w:tc>
          <w:tcPr>
            <w:tcW w:w="6902" w:type="dxa"/>
            <w:tcBorders>
              <w:left w:val="single" w:color="auto" w:sz="6" w:space="0"/>
            </w:tcBorders>
            <w:shd w:val="clear" w:color="auto" w:fill="auto"/>
            <w:vAlign w:val="center"/>
          </w:tcPr>
          <w:p w14:paraId="0F8C9D32">
            <w:pPr>
              <w:spacing w:line="240" w:lineRule="auto"/>
              <w:ind w:firstLine="0" w:firstLineChars="0"/>
              <w:rPr>
                <w:color w:val="auto"/>
                <w:szCs w:val="24"/>
                <w:highlight w:val="none"/>
              </w:rPr>
            </w:pPr>
            <w:r>
              <w:rPr>
                <w:rFonts w:hint="eastAsia"/>
                <w:color w:val="auto"/>
                <w:szCs w:val="24"/>
                <w:highlight w:val="none"/>
              </w:rPr>
              <w:t>每个里程碑节点或执行轮次缺陷的案例命中率大于25%，则暂停测试执行</w:t>
            </w:r>
          </w:p>
        </w:tc>
      </w:tr>
      <w:tr w14:paraId="137A2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2878EB44">
            <w:pPr>
              <w:spacing w:line="240" w:lineRule="auto"/>
              <w:ind w:firstLine="0" w:firstLineChars="0"/>
              <w:jc w:val="center"/>
              <w:rPr>
                <w:color w:val="auto"/>
                <w:szCs w:val="24"/>
                <w:highlight w:val="none"/>
              </w:rPr>
            </w:pPr>
            <w:r>
              <w:rPr>
                <w:rFonts w:hint="eastAsia"/>
                <w:color w:val="auto"/>
                <w:szCs w:val="24"/>
                <w:highlight w:val="none"/>
              </w:rPr>
              <w:t>8</w:t>
            </w:r>
          </w:p>
        </w:tc>
        <w:tc>
          <w:tcPr>
            <w:tcW w:w="6902" w:type="dxa"/>
            <w:tcBorders>
              <w:left w:val="single" w:color="auto" w:sz="6" w:space="0"/>
            </w:tcBorders>
            <w:shd w:val="clear" w:color="auto" w:fill="auto"/>
            <w:vAlign w:val="center"/>
          </w:tcPr>
          <w:p w14:paraId="43EA57A5">
            <w:pPr>
              <w:spacing w:line="240" w:lineRule="auto"/>
              <w:ind w:firstLine="0" w:firstLineChars="0"/>
              <w:rPr>
                <w:color w:val="auto"/>
                <w:szCs w:val="24"/>
                <w:highlight w:val="none"/>
              </w:rPr>
            </w:pPr>
            <w:r>
              <w:rPr>
                <w:rFonts w:hint="eastAsia"/>
                <w:color w:val="auto"/>
                <w:szCs w:val="24"/>
                <w:highlight w:val="none"/>
              </w:rPr>
              <w:t>每个里程碑节点或执行轮次严重以上缺陷占比大于35%，则暂停测试执行</w:t>
            </w:r>
          </w:p>
        </w:tc>
      </w:tr>
      <w:tr w14:paraId="6A26D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1F81B5A1">
            <w:pPr>
              <w:spacing w:line="240" w:lineRule="auto"/>
              <w:ind w:firstLine="0" w:firstLineChars="0"/>
              <w:jc w:val="center"/>
              <w:rPr>
                <w:color w:val="auto"/>
                <w:szCs w:val="24"/>
                <w:highlight w:val="none"/>
              </w:rPr>
            </w:pPr>
            <w:r>
              <w:rPr>
                <w:rFonts w:hint="eastAsia"/>
                <w:color w:val="auto"/>
                <w:szCs w:val="24"/>
                <w:highlight w:val="none"/>
              </w:rPr>
              <w:t>9</w:t>
            </w:r>
          </w:p>
        </w:tc>
        <w:tc>
          <w:tcPr>
            <w:tcW w:w="6902" w:type="dxa"/>
            <w:tcBorders>
              <w:left w:val="single" w:color="auto" w:sz="6" w:space="0"/>
            </w:tcBorders>
            <w:shd w:val="clear" w:color="auto" w:fill="auto"/>
            <w:vAlign w:val="center"/>
          </w:tcPr>
          <w:p w14:paraId="097A4D4D">
            <w:pPr>
              <w:spacing w:line="240" w:lineRule="auto"/>
              <w:ind w:firstLine="0" w:firstLineChars="0"/>
              <w:rPr>
                <w:color w:val="auto"/>
                <w:szCs w:val="24"/>
                <w:highlight w:val="none"/>
              </w:rPr>
            </w:pPr>
            <w:r>
              <w:rPr>
                <w:rFonts w:hint="eastAsia"/>
                <w:color w:val="auto"/>
                <w:szCs w:val="24"/>
                <w:highlight w:val="none"/>
              </w:rPr>
              <w:t>测试环境、测试数据、测试人员等等测试必备条件不再具备或发生变化导致测试不能进行，则暂停测试执行</w:t>
            </w:r>
          </w:p>
        </w:tc>
      </w:tr>
      <w:tr w14:paraId="447A5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392ACCAF">
            <w:pPr>
              <w:spacing w:line="240" w:lineRule="auto"/>
              <w:ind w:firstLine="0" w:firstLineChars="0"/>
              <w:jc w:val="center"/>
              <w:rPr>
                <w:color w:val="auto"/>
                <w:szCs w:val="24"/>
                <w:highlight w:val="none"/>
              </w:rPr>
            </w:pPr>
            <w:r>
              <w:rPr>
                <w:rFonts w:hint="eastAsia"/>
                <w:color w:val="auto"/>
                <w:szCs w:val="24"/>
                <w:highlight w:val="none"/>
              </w:rPr>
              <w:t>10</w:t>
            </w:r>
          </w:p>
        </w:tc>
        <w:tc>
          <w:tcPr>
            <w:tcW w:w="6902" w:type="dxa"/>
            <w:tcBorders>
              <w:left w:val="single" w:color="auto" w:sz="6" w:space="0"/>
            </w:tcBorders>
            <w:shd w:val="clear" w:color="auto" w:fill="auto"/>
            <w:vAlign w:val="center"/>
          </w:tcPr>
          <w:p w14:paraId="6C9A1589">
            <w:pPr>
              <w:spacing w:line="240" w:lineRule="auto"/>
              <w:ind w:firstLine="0" w:firstLineChars="0"/>
              <w:rPr>
                <w:color w:val="auto"/>
                <w:szCs w:val="24"/>
                <w:highlight w:val="none"/>
              </w:rPr>
            </w:pPr>
            <w:r>
              <w:rPr>
                <w:rFonts w:hint="eastAsia"/>
                <w:color w:val="auto"/>
                <w:szCs w:val="24"/>
                <w:highlight w:val="none"/>
              </w:rPr>
              <w:t>项目组确定的可以暂停的其他条件</w:t>
            </w:r>
          </w:p>
        </w:tc>
      </w:tr>
      <w:tr w14:paraId="2ACA1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5D094247">
            <w:pPr>
              <w:spacing w:line="240" w:lineRule="auto"/>
              <w:ind w:firstLine="0" w:firstLineChars="0"/>
              <w:jc w:val="center"/>
              <w:rPr>
                <w:color w:val="auto"/>
                <w:szCs w:val="24"/>
                <w:highlight w:val="none"/>
              </w:rPr>
            </w:pPr>
            <w:r>
              <w:rPr>
                <w:rFonts w:hint="eastAsia"/>
                <w:color w:val="auto"/>
                <w:szCs w:val="24"/>
                <w:highlight w:val="none"/>
              </w:rPr>
              <w:t>11</w:t>
            </w:r>
          </w:p>
        </w:tc>
        <w:tc>
          <w:tcPr>
            <w:tcW w:w="6902" w:type="dxa"/>
            <w:tcBorders>
              <w:left w:val="single" w:color="auto" w:sz="6" w:space="0"/>
            </w:tcBorders>
            <w:shd w:val="clear" w:color="auto" w:fill="auto"/>
            <w:vAlign w:val="center"/>
          </w:tcPr>
          <w:p w14:paraId="1C416780">
            <w:pPr>
              <w:spacing w:line="240" w:lineRule="auto"/>
              <w:ind w:firstLine="0" w:firstLineChars="0"/>
              <w:rPr>
                <w:color w:val="auto"/>
                <w:szCs w:val="24"/>
                <w:highlight w:val="none"/>
              </w:rPr>
            </w:pPr>
            <w:r>
              <w:rPr>
                <w:rFonts w:hint="eastAsia"/>
                <w:color w:val="auto"/>
                <w:szCs w:val="24"/>
                <w:highlight w:val="none"/>
              </w:rPr>
              <w:t>恢复以上的条件并由项目组审核同意，测试可以继续</w:t>
            </w:r>
          </w:p>
        </w:tc>
      </w:tr>
      <w:tr w14:paraId="0134C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auto"/>
            <w:vAlign w:val="center"/>
          </w:tcPr>
          <w:p w14:paraId="465D228B">
            <w:pPr>
              <w:spacing w:line="240" w:lineRule="auto"/>
              <w:ind w:firstLine="0" w:firstLineChars="0"/>
              <w:rPr>
                <w:b/>
                <w:color w:val="auto"/>
                <w:szCs w:val="24"/>
                <w:highlight w:val="none"/>
              </w:rPr>
            </w:pPr>
            <w:r>
              <w:rPr>
                <w:rFonts w:hint="eastAsia"/>
                <w:b/>
                <w:color w:val="auto"/>
                <w:szCs w:val="24"/>
                <w:highlight w:val="none"/>
              </w:rPr>
              <w:t>三、系统测试准出标准：同时满足以下条件，系统测试完成</w:t>
            </w:r>
          </w:p>
        </w:tc>
      </w:tr>
      <w:tr w14:paraId="58F5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2493185A">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902" w:type="dxa"/>
            <w:tcBorders>
              <w:left w:val="single" w:color="auto" w:sz="6" w:space="0"/>
            </w:tcBorders>
            <w:shd w:val="clear" w:color="auto" w:fill="auto"/>
            <w:vAlign w:val="center"/>
          </w:tcPr>
          <w:p w14:paraId="45168283">
            <w:pPr>
              <w:spacing w:line="240" w:lineRule="auto"/>
              <w:ind w:firstLine="0" w:firstLineChars="0"/>
              <w:jc w:val="center"/>
              <w:rPr>
                <w:b/>
                <w:color w:val="auto"/>
                <w:szCs w:val="24"/>
                <w:highlight w:val="none"/>
              </w:rPr>
            </w:pPr>
            <w:r>
              <w:rPr>
                <w:rFonts w:hint="eastAsia"/>
                <w:b/>
                <w:color w:val="auto"/>
                <w:szCs w:val="24"/>
                <w:highlight w:val="none"/>
              </w:rPr>
              <w:t>准出条件</w:t>
            </w:r>
          </w:p>
        </w:tc>
      </w:tr>
      <w:tr w14:paraId="2E6A4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13428D38">
            <w:pPr>
              <w:spacing w:line="240" w:lineRule="auto"/>
              <w:ind w:firstLine="0" w:firstLineChars="0"/>
              <w:jc w:val="center"/>
              <w:rPr>
                <w:color w:val="auto"/>
                <w:szCs w:val="24"/>
                <w:highlight w:val="none"/>
              </w:rPr>
            </w:pPr>
            <w:r>
              <w:rPr>
                <w:rFonts w:hint="eastAsia"/>
                <w:color w:val="auto"/>
                <w:szCs w:val="24"/>
                <w:highlight w:val="none"/>
              </w:rPr>
              <w:t>1</w:t>
            </w:r>
          </w:p>
        </w:tc>
        <w:tc>
          <w:tcPr>
            <w:tcW w:w="6902" w:type="dxa"/>
            <w:tcBorders>
              <w:left w:val="single" w:color="auto" w:sz="6" w:space="0"/>
            </w:tcBorders>
            <w:shd w:val="clear" w:color="auto" w:fill="auto"/>
            <w:vAlign w:val="center"/>
          </w:tcPr>
          <w:p w14:paraId="64780BF9">
            <w:pPr>
              <w:spacing w:line="240" w:lineRule="auto"/>
              <w:ind w:firstLine="0" w:firstLineChars="0"/>
              <w:rPr>
                <w:color w:val="auto"/>
                <w:szCs w:val="24"/>
                <w:highlight w:val="none"/>
              </w:rPr>
            </w:pPr>
            <w:r>
              <w:rPr>
                <w:rFonts w:hint="eastAsia"/>
                <w:color w:val="auto"/>
                <w:szCs w:val="24"/>
                <w:highlight w:val="none"/>
              </w:rPr>
              <w:t>测试需求覆盖率达到100%，测试案例覆盖度100%</w:t>
            </w:r>
          </w:p>
        </w:tc>
      </w:tr>
      <w:tr w14:paraId="7F933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76CE99D8">
            <w:pPr>
              <w:spacing w:line="240" w:lineRule="auto"/>
              <w:ind w:firstLine="0" w:firstLineChars="0"/>
              <w:jc w:val="center"/>
              <w:rPr>
                <w:color w:val="auto"/>
                <w:szCs w:val="24"/>
                <w:highlight w:val="none"/>
              </w:rPr>
            </w:pPr>
            <w:r>
              <w:rPr>
                <w:rFonts w:hint="eastAsia"/>
                <w:color w:val="auto"/>
                <w:szCs w:val="24"/>
                <w:highlight w:val="none"/>
              </w:rPr>
              <w:t>2</w:t>
            </w:r>
          </w:p>
        </w:tc>
        <w:tc>
          <w:tcPr>
            <w:tcW w:w="6902" w:type="dxa"/>
            <w:tcBorders>
              <w:left w:val="single" w:color="auto" w:sz="6" w:space="0"/>
            </w:tcBorders>
            <w:shd w:val="clear" w:color="auto" w:fill="auto"/>
            <w:vAlign w:val="center"/>
          </w:tcPr>
          <w:p w14:paraId="419CC208">
            <w:pPr>
              <w:spacing w:line="240" w:lineRule="auto"/>
              <w:ind w:firstLine="0" w:firstLineChars="0"/>
              <w:rPr>
                <w:color w:val="auto"/>
                <w:szCs w:val="24"/>
                <w:highlight w:val="none"/>
              </w:rPr>
            </w:pPr>
            <w:r>
              <w:rPr>
                <w:rFonts w:hint="eastAsia"/>
                <w:color w:val="auto"/>
                <w:szCs w:val="24"/>
                <w:highlight w:val="none"/>
              </w:rPr>
              <w:t>测试案例执行率达到100%，测试通过率95%</w:t>
            </w:r>
          </w:p>
        </w:tc>
      </w:tr>
      <w:tr w14:paraId="67BD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3A3FDCBA">
            <w:pPr>
              <w:spacing w:line="240" w:lineRule="auto"/>
              <w:ind w:firstLine="0" w:firstLineChars="0"/>
              <w:jc w:val="center"/>
              <w:rPr>
                <w:color w:val="auto"/>
                <w:szCs w:val="24"/>
                <w:highlight w:val="none"/>
              </w:rPr>
            </w:pPr>
            <w:r>
              <w:rPr>
                <w:rFonts w:hint="eastAsia"/>
                <w:color w:val="auto"/>
                <w:szCs w:val="24"/>
                <w:highlight w:val="none"/>
              </w:rPr>
              <w:t>3</w:t>
            </w:r>
          </w:p>
        </w:tc>
        <w:tc>
          <w:tcPr>
            <w:tcW w:w="6902" w:type="dxa"/>
            <w:tcBorders>
              <w:left w:val="single" w:color="auto" w:sz="6" w:space="0"/>
            </w:tcBorders>
            <w:shd w:val="clear" w:color="auto" w:fill="auto"/>
            <w:vAlign w:val="center"/>
          </w:tcPr>
          <w:p w14:paraId="1351DF4E">
            <w:pPr>
              <w:spacing w:line="240" w:lineRule="auto"/>
              <w:ind w:firstLine="0" w:firstLineChars="0"/>
              <w:rPr>
                <w:color w:val="auto"/>
                <w:szCs w:val="24"/>
                <w:highlight w:val="none"/>
              </w:rPr>
            </w:pPr>
            <w:r>
              <w:rPr>
                <w:rFonts w:hint="eastAsia"/>
                <w:color w:val="auto"/>
                <w:szCs w:val="24"/>
                <w:highlight w:val="none"/>
              </w:rPr>
              <w:t>缺陷修复率达到95%</w:t>
            </w:r>
          </w:p>
        </w:tc>
      </w:tr>
      <w:tr w14:paraId="78AD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06E44AAA">
            <w:pPr>
              <w:spacing w:line="240" w:lineRule="auto"/>
              <w:ind w:firstLine="0" w:firstLineChars="0"/>
              <w:jc w:val="center"/>
              <w:rPr>
                <w:color w:val="auto"/>
                <w:szCs w:val="24"/>
                <w:highlight w:val="none"/>
              </w:rPr>
            </w:pPr>
            <w:r>
              <w:rPr>
                <w:rFonts w:hint="eastAsia"/>
                <w:color w:val="auto"/>
                <w:szCs w:val="24"/>
                <w:highlight w:val="none"/>
              </w:rPr>
              <w:t>4</w:t>
            </w:r>
          </w:p>
        </w:tc>
        <w:tc>
          <w:tcPr>
            <w:tcW w:w="6902" w:type="dxa"/>
            <w:tcBorders>
              <w:left w:val="single" w:color="auto" w:sz="6" w:space="0"/>
            </w:tcBorders>
            <w:shd w:val="clear" w:color="auto" w:fill="auto"/>
            <w:vAlign w:val="center"/>
          </w:tcPr>
          <w:p w14:paraId="2816C2AC">
            <w:pPr>
              <w:spacing w:line="240" w:lineRule="auto"/>
              <w:ind w:firstLine="0" w:firstLineChars="0"/>
              <w:rPr>
                <w:color w:val="auto"/>
                <w:szCs w:val="24"/>
                <w:highlight w:val="none"/>
              </w:rPr>
            </w:pPr>
            <w:r>
              <w:rPr>
                <w:rFonts w:hint="eastAsia"/>
                <w:color w:val="auto"/>
                <w:szCs w:val="24"/>
                <w:highlight w:val="none"/>
              </w:rPr>
              <w:t>致命缺陷、严重缺陷解决率达到100%</w:t>
            </w:r>
          </w:p>
        </w:tc>
      </w:tr>
      <w:tr w14:paraId="53FBB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7D931036">
            <w:pPr>
              <w:spacing w:line="240" w:lineRule="auto"/>
              <w:ind w:firstLine="0" w:firstLineChars="0"/>
              <w:jc w:val="center"/>
              <w:rPr>
                <w:color w:val="auto"/>
                <w:szCs w:val="24"/>
                <w:highlight w:val="none"/>
              </w:rPr>
            </w:pPr>
            <w:r>
              <w:rPr>
                <w:rFonts w:hint="eastAsia"/>
                <w:color w:val="auto"/>
                <w:szCs w:val="24"/>
                <w:highlight w:val="none"/>
              </w:rPr>
              <w:t>5</w:t>
            </w:r>
          </w:p>
        </w:tc>
        <w:tc>
          <w:tcPr>
            <w:tcW w:w="6902" w:type="dxa"/>
            <w:tcBorders>
              <w:left w:val="single" w:color="auto" w:sz="6" w:space="0"/>
            </w:tcBorders>
            <w:shd w:val="clear" w:color="auto" w:fill="auto"/>
            <w:vAlign w:val="center"/>
          </w:tcPr>
          <w:p w14:paraId="5543953E">
            <w:pPr>
              <w:spacing w:line="240" w:lineRule="auto"/>
              <w:ind w:firstLine="0" w:firstLineChars="0"/>
              <w:rPr>
                <w:color w:val="auto"/>
                <w:szCs w:val="24"/>
                <w:highlight w:val="none"/>
              </w:rPr>
            </w:pPr>
            <w:r>
              <w:rPr>
                <w:rFonts w:hint="eastAsia"/>
                <w:color w:val="auto"/>
                <w:szCs w:val="24"/>
                <w:highlight w:val="none"/>
              </w:rPr>
              <w:t>一般缺陷、微小缺陷解决率达到90%以上，建议缺陷解决率达到80%以上，且未解决缺陷得项目组认可</w:t>
            </w:r>
          </w:p>
        </w:tc>
      </w:tr>
      <w:tr w14:paraId="1E02B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329C836C">
            <w:pPr>
              <w:spacing w:line="240" w:lineRule="auto"/>
              <w:ind w:firstLine="0" w:firstLineChars="0"/>
              <w:jc w:val="center"/>
              <w:rPr>
                <w:color w:val="auto"/>
                <w:szCs w:val="24"/>
                <w:highlight w:val="none"/>
              </w:rPr>
            </w:pPr>
            <w:r>
              <w:rPr>
                <w:rFonts w:hint="eastAsia"/>
                <w:color w:val="auto"/>
                <w:szCs w:val="24"/>
                <w:highlight w:val="none"/>
              </w:rPr>
              <w:t>6</w:t>
            </w:r>
          </w:p>
        </w:tc>
        <w:tc>
          <w:tcPr>
            <w:tcW w:w="6902" w:type="dxa"/>
            <w:tcBorders>
              <w:left w:val="single" w:color="auto" w:sz="6" w:space="0"/>
            </w:tcBorders>
            <w:shd w:val="clear" w:color="auto" w:fill="auto"/>
            <w:vAlign w:val="center"/>
          </w:tcPr>
          <w:p w14:paraId="1FDF9D64">
            <w:pPr>
              <w:spacing w:line="240" w:lineRule="auto"/>
              <w:ind w:firstLine="0" w:firstLineChars="0"/>
              <w:rPr>
                <w:color w:val="auto"/>
                <w:szCs w:val="24"/>
                <w:highlight w:val="none"/>
              </w:rPr>
            </w:pPr>
            <w:r>
              <w:rPr>
                <w:rFonts w:hint="eastAsia"/>
                <w:color w:val="auto"/>
                <w:szCs w:val="24"/>
                <w:highlight w:val="none"/>
              </w:rPr>
              <w:t>提交系统测试报告及通过评审</w:t>
            </w:r>
          </w:p>
        </w:tc>
      </w:tr>
      <w:tr w14:paraId="4350C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auto"/>
            <w:vAlign w:val="center"/>
          </w:tcPr>
          <w:p w14:paraId="65104907">
            <w:pPr>
              <w:spacing w:line="240" w:lineRule="auto"/>
              <w:ind w:firstLine="0" w:firstLineChars="0"/>
              <w:rPr>
                <w:b/>
                <w:color w:val="auto"/>
                <w:szCs w:val="24"/>
                <w:highlight w:val="none"/>
              </w:rPr>
            </w:pPr>
            <w:r>
              <w:rPr>
                <w:rFonts w:hint="eastAsia"/>
                <w:b/>
                <w:color w:val="auto"/>
                <w:szCs w:val="24"/>
                <w:highlight w:val="none"/>
              </w:rPr>
              <w:t>四、测试指标公式附录</w:t>
            </w:r>
          </w:p>
        </w:tc>
      </w:tr>
      <w:tr w14:paraId="24E36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7AE15E7B">
            <w:pPr>
              <w:spacing w:line="240" w:lineRule="auto"/>
              <w:ind w:firstLine="0" w:firstLineChars="0"/>
              <w:jc w:val="center"/>
              <w:rPr>
                <w:b/>
                <w:color w:val="auto"/>
                <w:szCs w:val="24"/>
                <w:highlight w:val="none"/>
              </w:rPr>
            </w:pPr>
            <w:r>
              <w:rPr>
                <w:rFonts w:hint="eastAsia"/>
                <w:b/>
                <w:color w:val="auto"/>
                <w:szCs w:val="24"/>
                <w:highlight w:val="none"/>
              </w:rPr>
              <w:t>TPI</w:t>
            </w:r>
          </w:p>
        </w:tc>
        <w:tc>
          <w:tcPr>
            <w:tcW w:w="6902" w:type="dxa"/>
            <w:tcBorders>
              <w:left w:val="single" w:color="auto" w:sz="6" w:space="0"/>
            </w:tcBorders>
            <w:shd w:val="clear" w:color="auto" w:fill="auto"/>
            <w:vAlign w:val="center"/>
          </w:tcPr>
          <w:p w14:paraId="365D09D8">
            <w:pPr>
              <w:spacing w:line="240" w:lineRule="auto"/>
              <w:ind w:firstLine="0" w:firstLineChars="0"/>
              <w:jc w:val="center"/>
              <w:rPr>
                <w:b/>
                <w:color w:val="auto"/>
                <w:szCs w:val="24"/>
                <w:highlight w:val="none"/>
              </w:rPr>
            </w:pPr>
            <w:r>
              <w:rPr>
                <w:rFonts w:hint="eastAsia"/>
                <w:b/>
                <w:color w:val="auto"/>
                <w:szCs w:val="24"/>
                <w:highlight w:val="none"/>
              </w:rPr>
              <w:t>公式</w:t>
            </w:r>
          </w:p>
        </w:tc>
      </w:tr>
      <w:tr w14:paraId="681BE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35A640C6">
            <w:pPr>
              <w:spacing w:line="240" w:lineRule="auto"/>
              <w:ind w:firstLine="0" w:firstLineChars="0"/>
              <w:rPr>
                <w:color w:val="auto"/>
                <w:szCs w:val="24"/>
                <w:highlight w:val="none"/>
              </w:rPr>
            </w:pPr>
            <w:r>
              <w:rPr>
                <w:rFonts w:hint="eastAsia"/>
                <w:color w:val="auto"/>
                <w:szCs w:val="24"/>
                <w:highlight w:val="none"/>
              </w:rPr>
              <w:t>测试需求覆盖率</w:t>
            </w:r>
          </w:p>
        </w:tc>
        <w:tc>
          <w:tcPr>
            <w:tcW w:w="6902" w:type="dxa"/>
            <w:tcBorders>
              <w:left w:val="single" w:color="auto" w:sz="6" w:space="0"/>
            </w:tcBorders>
            <w:shd w:val="clear" w:color="auto" w:fill="auto"/>
            <w:vAlign w:val="center"/>
          </w:tcPr>
          <w:p w14:paraId="0C548D8E">
            <w:pPr>
              <w:spacing w:line="240" w:lineRule="auto"/>
              <w:ind w:firstLine="0" w:firstLineChars="0"/>
              <w:rPr>
                <w:color w:val="auto"/>
                <w:szCs w:val="24"/>
                <w:highlight w:val="none"/>
              </w:rPr>
            </w:pPr>
            <w:r>
              <w:rPr>
                <w:rFonts w:hint="eastAsia"/>
                <w:color w:val="auto"/>
                <w:szCs w:val="24"/>
                <w:highlight w:val="none"/>
              </w:rPr>
              <w:t>测试需求覆盖点/软件需求功能点</w:t>
            </w:r>
          </w:p>
        </w:tc>
      </w:tr>
      <w:tr w14:paraId="28AAB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56D8D1C3">
            <w:pPr>
              <w:spacing w:line="240" w:lineRule="auto"/>
              <w:ind w:firstLine="0" w:firstLineChars="0"/>
              <w:rPr>
                <w:color w:val="auto"/>
                <w:szCs w:val="24"/>
                <w:highlight w:val="none"/>
              </w:rPr>
            </w:pPr>
            <w:r>
              <w:rPr>
                <w:rFonts w:hint="eastAsia"/>
                <w:color w:val="auto"/>
                <w:szCs w:val="24"/>
                <w:highlight w:val="none"/>
              </w:rPr>
              <w:t>有效案例总数</w:t>
            </w:r>
          </w:p>
        </w:tc>
        <w:tc>
          <w:tcPr>
            <w:tcW w:w="6902" w:type="dxa"/>
            <w:tcBorders>
              <w:left w:val="single" w:color="auto" w:sz="6" w:space="0"/>
            </w:tcBorders>
            <w:shd w:val="clear" w:color="auto" w:fill="auto"/>
            <w:vAlign w:val="center"/>
          </w:tcPr>
          <w:p w14:paraId="253587B4">
            <w:pPr>
              <w:spacing w:line="240" w:lineRule="auto"/>
              <w:ind w:firstLine="0" w:firstLineChars="0"/>
              <w:rPr>
                <w:color w:val="auto"/>
                <w:szCs w:val="24"/>
                <w:highlight w:val="none"/>
              </w:rPr>
            </w:pPr>
            <w:r>
              <w:rPr>
                <w:rFonts w:hint="eastAsia"/>
                <w:color w:val="auto"/>
                <w:szCs w:val="24"/>
                <w:highlight w:val="none"/>
              </w:rPr>
              <w:t>案例总数-无效案例总数</w:t>
            </w:r>
          </w:p>
        </w:tc>
      </w:tr>
      <w:tr w14:paraId="182EC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4698EF8C">
            <w:pPr>
              <w:spacing w:line="240" w:lineRule="auto"/>
              <w:ind w:firstLine="0" w:firstLineChars="0"/>
              <w:rPr>
                <w:color w:val="auto"/>
                <w:szCs w:val="24"/>
                <w:highlight w:val="none"/>
              </w:rPr>
            </w:pPr>
            <w:r>
              <w:rPr>
                <w:rFonts w:hint="eastAsia"/>
                <w:color w:val="auto"/>
                <w:szCs w:val="24"/>
                <w:highlight w:val="none"/>
              </w:rPr>
              <w:t>有效缺陷总数</w:t>
            </w:r>
          </w:p>
        </w:tc>
        <w:tc>
          <w:tcPr>
            <w:tcW w:w="6902" w:type="dxa"/>
            <w:tcBorders>
              <w:left w:val="single" w:color="auto" w:sz="6" w:space="0"/>
            </w:tcBorders>
            <w:shd w:val="clear" w:color="auto" w:fill="auto"/>
            <w:vAlign w:val="center"/>
          </w:tcPr>
          <w:p w14:paraId="02195FBC">
            <w:pPr>
              <w:spacing w:line="240" w:lineRule="auto"/>
              <w:ind w:firstLine="0" w:firstLineChars="0"/>
              <w:rPr>
                <w:color w:val="auto"/>
                <w:szCs w:val="24"/>
                <w:highlight w:val="none"/>
              </w:rPr>
            </w:pPr>
            <w:r>
              <w:rPr>
                <w:rFonts w:hint="eastAsia"/>
                <w:color w:val="auto"/>
                <w:szCs w:val="24"/>
                <w:highlight w:val="none"/>
              </w:rPr>
              <w:t>缺陷总数-无效缺陷总数-伪缺陷总数</w:t>
            </w:r>
          </w:p>
        </w:tc>
      </w:tr>
      <w:tr w14:paraId="326C9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512ED00A">
            <w:pPr>
              <w:spacing w:line="240" w:lineRule="auto"/>
              <w:ind w:firstLine="0" w:firstLineChars="0"/>
              <w:rPr>
                <w:color w:val="auto"/>
                <w:szCs w:val="24"/>
                <w:highlight w:val="none"/>
              </w:rPr>
            </w:pPr>
            <w:r>
              <w:rPr>
                <w:rFonts w:hint="eastAsia"/>
                <w:color w:val="auto"/>
                <w:szCs w:val="24"/>
                <w:highlight w:val="none"/>
              </w:rPr>
              <w:t>严重以上缺陷总数</w:t>
            </w:r>
          </w:p>
        </w:tc>
        <w:tc>
          <w:tcPr>
            <w:tcW w:w="6902" w:type="dxa"/>
            <w:tcBorders>
              <w:left w:val="single" w:color="auto" w:sz="6" w:space="0"/>
            </w:tcBorders>
            <w:shd w:val="clear" w:color="auto" w:fill="auto"/>
            <w:vAlign w:val="center"/>
          </w:tcPr>
          <w:p w14:paraId="168B1872">
            <w:pPr>
              <w:spacing w:line="240" w:lineRule="auto"/>
              <w:ind w:firstLine="0" w:firstLineChars="0"/>
              <w:rPr>
                <w:color w:val="auto"/>
                <w:szCs w:val="24"/>
                <w:highlight w:val="none"/>
              </w:rPr>
            </w:pPr>
            <w:r>
              <w:rPr>
                <w:rFonts w:hint="eastAsia"/>
                <w:color w:val="auto"/>
                <w:szCs w:val="24"/>
                <w:highlight w:val="none"/>
              </w:rPr>
              <w:t>严重及致命缺陷总数-无效的严重及致命缺陷总数</w:t>
            </w:r>
          </w:p>
        </w:tc>
      </w:tr>
      <w:tr w14:paraId="4B4A5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auto"/>
            <w:vAlign w:val="center"/>
          </w:tcPr>
          <w:p w14:paraId="71AF2FC3">
            <w:pPr>
              <w:spacing w:line="240" w:lineRule="auto"/>
              <w:ind w:firstLine="0" w:firstLineChars="0"/>
              <w:rPr>
                <w:color w:val="auto"/>
                <w:szCs w:val="24"/>
                <w:highlight w:val="none"/>
              </w:rPr>
            </w:pPr>
            <w:r>
              <w:rPr>
                <w:rFonts w:hint="eastAsia"/>
                <w:color w:val="auto"/>
                <w:szCs w:val="24"/>
                <w:highlight w:val="none"/>
              </w:rPr>
              <w:t>案例执行率</w:t>
            </w:r>
          </w:p>
        </w:tc>
        <w:tc>
          <w:tcPr>
            <w:tcW w:w="6902" w:type="dxa"/>
            <w:tcBorders>
              <w:left w:val="single" w:color="auto" w:sz="6" w:space="0"/>
            </w:tcBorders>
            <w:shd w:val="clear" w:color="auto" w:fill="auto"/>
            <w:vAlign w:val="center"/>
          </w:tcPr>
          <w:p w14:paraId="040B2339">
            <w:pPr>
              <w:spacing w:line="240" w:lineRule="auto"/>
              <w:ind w:firstLine="0" w:firstLineChars="0"/>
              <w:rPr>
                <w:color w:val="auto"/>
                <w:szCs w:val="24"/>
                <w:highlight w:val="none"/>
              </w:rPr>
            </w:pPr>
            <w:r>
              <w:rPr>
                <w:rFonts w:hint="eastAsia"/>
                <w:color w:val="auto"/>
                <w:szCs w:val="24"/>
                <w:highlight w:val="none"/>
              </w:rPr>
              <w:t>每轮执行案例数/每轮计划执行的案例个数</w:t>
            </w:r>
          </w:p>
        </w:tc>
      </w:tr>
      <w:tr w14:paraId="1DF78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6C40B992">
            <w:pPr>
              <w:spacing w:line="240" w:lineRule="auto"/>
              <w:ind w:firstLine="0" w:firstLineChars="0"/>
              <w:rPr>
                <w:color w:val="auto"/>
                <w:szCs w:val="24"/>
                <w:highlight w:val="none"/>
              </w:rPr>
            </w:pPr>
            <w:r>
              <w:rPr>
                <w:rFonts w:hint="eastAsia"/>
                <w:color w:val="auto"/>
                <w:szCs w:val="24"/>
                <w:highlight w:val="none"/>
              </w:rPr>
              <w:t>需求稳定指数</w:t>
            </w:r>
          </w:p>
        </w:tc>
        <w:tc>
          <w:tcPr>
            <w:tcW w:w="6902" w:type="dxa"/>
            <w:tcBorders>
              <w:left w:val="single" w:color="auto" w:sz="6" w:space="0"/>
            </w:tcBorders>
            <w:shd w:val="clear" w:color="auto" w:fill="auto"/>
            <w:vAlign w:val="center"/>
          </w:tcPr>
          <w:p w14:paraId="4FC80E77">
            <w:pPr>
              <w:spacing w:line="240" w:lineRule="auto"/>
              <w:ind w:firstLine="0" w:firstLineChars="0"/>
              <w:rPr>
                <w:color w:val="auto"/>
                <w:szCs w:val="24"/>
                <w:highlight w:val="none"/>
              </w:rPr>
            </w:pPr>
            <w:r>
              <w:rPr>
                <w:rFonts w:hint="eastAsia"/>
                <w:color w:val="auto"/>
                <w:szCs w:val="24"/>
                <w:highlight w:val="none"/>
              </w:rPr>
              <w:t>（测试需求分析中规则数量-业务需求因素引起变更的测试需求规则数-开发因素引起变更的测试需求规则数）/测试需求分析中规则数量</w:t>
            </w:r>
          </w:p>
        </w:tc>
      </w:tr>
      <w:tr w14:paraId="7C6FA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center"/>
          </w:tcPr>
          <w:p w14:paraId="38EBFB34">
            <w:pPr>
              <w:spacing w:line="240" w:lineRule="auto"/>
              <w:ind w:firstLine="0" w:firstLineChars="0"/>
              <w:rPr>
                <w:color w:val="auto"/>
                <w:szCs w:val="24"/>
                <w:highlight w:val="none"/>
              </w:rPr>
            </w:pPr>
            <w:r>
              <w:rPr>
                <w:rFonts w:hint="eastAsia"/>
                <w:color w:val="auto"/>
                <w:szCs w:val="24"/>
                <w:highlight w:val="none"/>
              </w:rPr>
              <w:t>案例执行通过率</w:t>
            </w:r>
          </w:p>
        </w:tc>
        <w:tc>
          <w:tcPr>
            <w:tcW w:w="6902" w:type="dxa"/>
            <w:tcBorders>
              <w:left w:val="single" w:color="auto" w:sz="6" w:space="0"/>
            </w:tcBorders>
            <w:shd w:val="clear" w:color="auto" w:fill="auto"/>
            <w:vAlign w:val="center"/>
          </w:tcPr>
          <w:p w14:paraId="1E38EB4B">
            <w:pPr>
              <w:spacing w:line="240" w:lineRule="auto"/>
              <w:ind w:firstLine="0" w:firstLineChars="0"/>
              <w:rPr>
                <w:color w:val="auto"/>
                <w:szCs w:val="24"/>
                <w:highlight w:val="none"/>
              </w:rPr>
            </w:pPr>
            <w:r>
              <w:rPr>
                <w:rFonts w:hint="eastAsia"/>
                <w:color w:val="auto"/>
                <w:szCs w:val="24"/>
                <w:highlight w:val="none"/>
              </w:rPr>
              <w:t>每轮执行通过的案例个数/每轮执行案例数</w:t>
            </w:r>
          </w:p>
        </w:tc>
      </w:tr>
      <w:tr w14:paraId="7849A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bottom"/>
          </w:tcPr>
          <w:p w14:paraId="1F585C7F">
            <w:pPr>
              <w:spacing w:line="240" w:lineRule="auto"/>
              <w:ind w:firstLine="0" w:firstLineChars="0"/>
              <w:rPr>
                <w:color w:val="auto"/>
                <w:szCs w:val="24"/>
                <w:highlight w:val="none"/>
              </w:rPr>
            </w:pPr>
            <w:r>
              <w:rPr>
                <w:rFonts w:hint="eastAsia"/>
                <w:color w:val="auto"/>
                <w:szCs w:val="24"/>
                <w:highlight w:val="none"/>
              </w:rPr>
              <w:t>缺陷的案例命中率</w:t>
            </w:r>
          </w:p>
        </w:tc>
        <w:tc>
          <w:tcPr>
            <w:tcW w:w="6902" w:type="dxa"/>
            <w:tcBorders>
              <w:left w:val="single" w:color="auto" w:sz="6" w:space="0"/>
            </w:tcBorders>
            <w:shd w:val="clear" w:color="auto" w:fill="auto"/>
            <w:vAlign w:val="bottom"/>
          </w:tcPr>
          <w:p w14:paraId="37792A00">
            <w:pPr>
              <w:spacing w:line="240" w:lineRule="auto"/>
              <w:ind w:firstLine="0" w:firstLineChars="0"/>
              <w:rPr>
                <w:color w:val="auto"/>
                <w:szCs w:val="24"/>
                <w:highlight w:val="none"/>
              </w:rPr>
            </w:pPr>
            <w:r>
              <w:rPr>
                <w:rFonts w:hint="eastAsia"/>
                <w:color w:val="auto"/>
                <w:szCs w:val="24"/>
                <w:highlight w:val="none"/>
              </w:rPr>
              <w:t>有效缺陷总数/有效案例总数</w:t>
            </w:r>
          </w:p>
        </w:tc>
      </w:tr>
      <w:tr w14:paraId="40D3B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auto"/>
            <w:vAlign w:val="bottom"/>
          </w:tcPr>
          <w:p w14:paraId="29BAAAE6">
            <w:pPr>
              <w:spacing w:line="240" w:lineRule="auto"/>
              <w:ind w:firstLine="0" w:firstLineChars="0"/>
              <w:rPr>
                <w:color w:val="auto"/>
                <w:szCs w:val="24"/>
                <w:highlight w:val="none"/>
              </w:rPr>
            </w:pPr>
            <w:r>
              <w:rPr>
                <w:rFonts w:hint="eastAsia"/>
                <w:color w:val="auto"/>
                <w:szCs w:val="24"/>
                <w:highlight w:val="none"/>
              </w:rPr>
              <w:t>严重以上缺陷占比</w:t>
            </w:r>
          </w:p>
        </w:tc>
        <w:tc>
          <w:tcPr>
            <w:tcW w:w="6902" w:type="dxa"/>
            <w:tcBorders>
              <w:left w:val="single" w:color="auto" w:sz="6" w:space="0"/>
            </w:tcBorders>
            <w:shd w:val="clear" w:color="auto" w:fill="auto"/>
            <w:vAlign w:val="bottom"/>
          </w:tcPr>
          <w:p w14:paraId="05F47F8D">
            <w:pPr>
              <w:spacing w:line="240" w:lineRule="auto"/>
              <w:ind w:firstLine="0" w:firstLineChars="0"/>
              <w:rPr>
                <w:color w:val="auto"/>
                <w:szCs w:val="24"/>
                <w:highlight w:val="none"/>
              </w:rPr>
            </w:pPr>
            <w:r>
              <w:rPr>
                <w:rFonts w:hint="eastAsia"/>
                <w:color w:val="auto"/>
                <w:szCs w:val="24"/>
                <w:highlight w:val="none"/>
              </w:rPr>
              <w:t>严重以上缺陷总数/有效缺陷总数</w:t>
            </w:r>
          </w:p>
        </w:tc>
      </w:tr>
      <w:tr w14:paraId="6517C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298" w:type="dxa"/>
            <w:shd w:val="clear" w:color="auto" w:fill="auto"/>
            <w:vAlign w:val="bottom"/>
          </w:tcPr>
          <w:p w14:paraId="73702AED">
            <w:pPr>
              <w:spacing w:line="240" w:lineRule="auto"/>
              <w:ind w:firstLine="0" w:firstLineChars="0"/>
              <w:rPr>
                <w:color w:val="auto"/>
                <w:szCs w:val="24"/>
                <w:highlight w:val="none"/>
              </w:rPr>
            </w:pPr>
            <w:r>
              <w:rPr>
                <w:rFonts w:hint="eastAsia"/>
                <w:color w:val="auto"/>
                <w:szCs w:val="24"/>
                <w:highlight w:val="none"/>
              </w:rPr>
              <w:t>缺陷解决率</w:t>
            </w:r>
          </w:p>
        </w:tc>
        <w:tc>
          <w:tcPr>
            <w:tcW w:w="6902" w:type="dxa"/>
            <w:tcBorders>
              <w:left w:val="single" w:color="auto" w:sz="6" w:space="0"/>
            </w:tcBorders>
            <w:shd w:val="clear" w:color="auto" w:fill="auto"/>
            <w:vAlign w:val="bottom"/>
          </w:tcPr>
          <w:p w14:paraId="4CF93514">
            <w:pPr>
              <w:spacing w:line="240" w:lineRule="auto"/>
              <w:ind w:firstLine="0" w:firstLineChars="0"/>
              <w:rPr>
                <w:color w:val="auto"/>
                <w:szCs w:val="24"/>
                <w:highlight w:val="none"/>
              </w:rPr>
            </w:pPr>
            <w:r>
              <w:rPr>
                <w:rFonts w:hint="eastAsia"/>
                <w:color w:val="auto"/>
                <w:szCs w:val="24"/>
                <w:highlight w:val="none"/>
              </w:rPr>
              <w:t>关闭缺陷总数/有效缺陷总数</w:t>
            </w:r>
          </w:p>
        </w:tc>
      </w:tr>
    </w:tbl>
    <w:p w14:paraId="236FA081">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人员要求</w:t>
      </w:r>
    </w:p>
    <w:p w14:paraId="7BD9E81A">
      <w:pPr>
        <w:numPr>
          <w:ilvl w:val="0"/>
          <w:numId w:val="24"/>
        </w:numPr>
        <w:ind w:firstLineChars="0"/>
        <w:rPr>
          <w:rFonts w:hint="eastAsia"/>
          <w:color w:val="auto"/>
          <w:highlight w:val="none"/>
          <w:lang w:val="en-US" w:eastAsia="zh-CN"/>
        </w:rPr>
      </w:pPr>
      <w:bookmarkStart w:id="51" w:name="_Toc89675142"/>
      <w:r>
        <w:rPr>
          <w:rFonts w:hint="eastAsia"/>
          <w:color w:val="auto"/>
          <w:highlight w:val="none"/>
          <w:lang w:val="en-US" w:eastAsia="zh-CN"/>
        </w:rPr>
        <w:t>响应人应承诺未征得采购人书面同意的情况下不得更换项目成员</w:t>
      </w:r>
      <w:bookmarkEnd w:id="51"/>
      <w:r>
        <w:rPr>
          <w:rFonts w:hint="eastAsia"/>
          <w:color w:val="auto"/>
          <w:highlight w:val="none"/>
          <w:lang w:val="en-US" w:eastAsia="zh-CN"/>
        </w:rPr>
        <w:t>，项目组成员必须与响应资料中提供的人员一致，否则视为丧失响应资格。若后续实施过程中发现响应人提供的人员信息存在虚假并低于人员使用要求，将视为合同违约，将以合同违约终止合同，并要求响应人按照合同进行赔偿。【提供响应承诺函，并对该条单独响应】</w:t>
      </w:r>
    </w:p>
    <w:p w14:paraId="7608D9C4">
      <w:pPr>
        <w:numPr>
          <w:ilvl w:val="0"/>
          <w:numId w:val="24"/>
        </w:numPr>
        <w:ind w:firstLineChars="0"/>
        <w:rPr>
          <w:rFonts w:hint="eastAsia"/>
          <w:color w:val="auto"/>
          <w:highlight w:val="none"/>
          <w:lang w:val="en-US" w:eastAsia="zh-CN"/>
        </w:rPr>
      </w:pPr>
      <w:r>
        <w:rPr>
          <w:rFonts w:hint="eastAsia"/>
          <w:color w:val="auto"/>
          <w:highlight w:val="none"/>
          <w:lang w:val="en-US" w:eastAsia="zh-CN"/>
        </w:rPr>
        <w:t>所有成员必须为响应人单位员工，响应人项目组成员须提供近半年公司为其缴纳社保的证明材料，不得外包其他单位员工。（员工参保单位为响应人或委托第三方公司代缴，均认定有效；若员工社保委托第三方公司代缴，需提供代缴材料证明与第三方签订的合同或协议。）【提供近半年公司为项目组成员缴纳社保的证明材料】</w:t>
      </w:r>
    </w:p>
    <w:p w14:paraId="35643E2E">
      <w:pPr>
        <w:numPr>
          <w:ilvl w:val="0"/>
          <w:numId w:val="24"/>
        </w:numPr>
        <w:ind w:firstLineChars="0"/>
        <w:rPr>
          <w:rFonts w:hint="eastAsia"/>
          <w:color w:val="auto"/>
          <w:highlight w:val="none"/>
          <w:lang w:val="en-US" w:eastAsia="zh-CN"/>
        </w:rPr>
      </w:pPr>
      <w:r>
        <w:rPr>
          <w:rFonts w:hint="eastAsia"/>
          <w:color w:val="auto"/>
          <w:highlight w:val="none"/>
          <w:lang w:val="en-US" w:eastAsia="zh-CN"/>
        </w:rPr>
        <w:t>需提供人员简历信息，同时，采购人将对所提供的人员进行审核，达不到采购人要求的将要求替换。【提供实施团队信息】</w:t>
      </w:r>
    </w:p>
    <w:p w14:paraId="4FEDFF15">
      <w:pPr>
        <w:numPr>
          <w:ilvl w:val="0"/>
          <w:numId w:val="24"/>
        </w:numPr>
        <w:ind w:firstLineChars="0"/>
        <w:rPr>
          <w:rFonts w:hint="eastAsia"/>
          <w:color w:val="auto"/>
          <w:highlight w:val="none"/>
          <w:lang w:val="en-US" w:eastAsia="zh-CN"/>
        </w:rPr>
      </w:pPr>
      <w:r>
        <w:rPr>
          <w:rFonts w:hint="eastAsia"/>
          <w:color w:val="auto"/>
          <w:highlight w:val="none"/>
          <w:lang w:val="en-US" w:eastAsia="zh-CN"/>
        </w:rPr>
        <w:t>项目组成员均需到现场工作。</w:t>
      </w:r>
    </w:p>
    <w:p w14:paraId="3F5E5DCB">
      <w:pPr>
        <w:numPr>
          <w:ilvl w:val="0"/>
          <w:numId w:val="24"/>
        </w:numPr>
        <w:ind w:firstLineChars="0"/>
        <w:rPr>
          <w:rFonts w:hint="eastAsia"/>
          <w:color w:val="auto"/>
          <w:highlight w:val="none"/>
          <w:lang w:val="en-US" w:eastAsia="zh-CN"/>
        </w:rPr>
      </w:pPr>
      <w:r>
        <w:rPr>
          <w:rFonts w:hint="eastAsia"/>
          <w:color w:val="auto"/>
          <w:highlight w:val="none"/>
          <w:lang w:val="en-US" w:eastAsia="zh-CN"/>
        </w:rPr>
        <w:t>项目组成员若有违约违规行为将由响应人承担责任。</w:t>
      </w:r>
    </w:p>
    <w:tbl>
      <w:tblPr>
        <w:tblStyle w:val="21"/>
        <w:tblW w:w="7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5777"/>
      </w:tblGrid>
      <w:tr w14:paraId="76DD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tcBorders>
              <w:top w:val="single" w:color="auto" w:sz="4" w:space="0"/>
              <w:left w:val="single" w:color="auto" w:sz="4" w:space="0"/>
              <w:bottom w:val="single" w:color="auto" w:sz="4" w:space="0"/>
              <w:right w:val="single" w:color="auto" w:sz="4" w:space="0"/>
            </w:tcBorders>
            <w:vAlign w:val="center"/>
          </w:tcPr>
          <w:p w14:paraId="44314B9D">
            <w:pPr>
              <w:snapToGrid w:val="0"/>
              <w:spacing w:line="240" w:lineRule="auto"/>
              <w:ind w:firstLine="0" w:firstLineChars="0"/>
              <w:jc w:val="center"/>
              <w:rPr>
                <w:rFonts w:hint="eastAsia" w:eastAsia="宋体"/>
                <w:b/>
                <w:bCs/>
                <w:color w:val="auto"/>
                <w:szCs w:val="28"/>
                <w:highlight w:val="none"/>
                <w:lang w:val="en-US" w:eastAsia="zh-CN"/>
              </w:rPr>
            </w:pPr>
            <w:r>
              <w:rPr>
                <w:rFonts w:hint="eastAsia"/>
                <w:b/>
                <w:bCs/>
                <w:color w:val="auto"/>
                <w:szCs w:val="28"/>
                <w:highlight w:val="none"/>
                <w:lang w:val="en-US" w:eastAsia="zh-CN"/>
              </w:rPr>
              <w:t>角色</w:t>
            </w:r>
          </w:p>
        </w:tc>
        <w:tc>
          <w:tcPr>
            <w:tcW w:w="5777" w:type="dxa"/>
            <w:tcBorders>
              <w:top w:val="single" w:color="auto" w:sz="4" w:space="0"/>
              <w:left w:val="single" w:color="auto" w:sz="4" w:space="0"/>
              <w:bottom w:val="single" w:color="auto" w:sz="4" w:space="0"/>
              <w:right w:val="single" w:color="auto" w:sz="4" w:space="0"/>
            </w:tcBorders>
            <w:vAlign w:val="center"/>
          </w:tcPr>
          <w:p w14:paraId="067EA7CF">
            <w:pPr>
              <w:spacing w:line="240" w:lineRule="auto"/>
              <w:ind w:firstLine="0" w:firstLineChars="0"/>
              <w:jc w:val="center"/>
              <w:rPr>
                <w:rFonts w:hint="eastAsia" w:eastAsia="宋体" w:cs="Cambria"/>
                <w:b/>
                <w:bCs/>
                <w:color w:val="auto"/>
                <w:kern w:val="0"/>
                <w:highlight w:val="none"/>
                <w:lang w:val="en-US" w:eastAsia="zh-CN"/>
              </w:rPr>
            </w:pPr>
            <w:r>
              <w:rPr>
                <w:rFonts w:hint="eastAsia" w:cs="Cambria"/>
                <w:b/>
                <w:bCs/>
                <w:color w:val="auto"/>
                <w:kern w:val="0"/>
                <w:highlight w:val="none"/>
                <w:lang w:val="en-US" w:eastAsia="zh-CN"/>
              </w:rPr>
              <w:t>资质要求</w:t>
            </w:r>
          </w:p>
        </w:tc>
      </w:tr>
      <w:tr w14:paraId="53D6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501D22B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项目经理</w:t>
            </w:r>
          </w:p>
          <w:p w14:paraId="74652A3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（1人）</w:t>
            </w:r>
          </w:p>
        </w:tc>
        <w:tc>
          <w:tcPr>
            <w:tcW w:w="5777" w:type="dxa"/>
            <w:tcBorders>
              <w:top w:val="single" w:color="auto" w:sz="4" w:space="0"/>
              <w:left w:val="single" w:color="auto" w:sz="4" w:space="0"/>
              <w:bottom w:val="single" w:color="auto" w:sz="4" w:space="0"/>
              <w:right w:val="single" w:color="auto" w:sz="4" w:space="0"/>
            </w:tcBorders>
            <w:vAlign w:val="center"/>
          </w:tcPr>
          <w:p w14:paraId="73583DCF">
            <w:pPr>
              <w:spacing w:line="240" w:lineRule="auto"/>
              <w:ind w:firstLine="0" w:firstLineChars="0"/>
              <w:jc w:val="both"/>
              <w:rPr>
                <w:rFonts w:hint="eastAsia"/>
                <w:color w:val="auto"/>
                <w:highlight w:val="none"/>
                <w:lang w:val="en-US" w:eastAsia="zh-CN"/>
              </w:rPr>
            </w:pPr>
            <w:r>
              <w:rPr>
                <w:rFonts w:hint="eastAsia"/>
                <w:color w:val="auto"/>
                <w:highlight w:val="none"/>
                <w:lang w:val="en-US" w:eastAsia="zh-CN"/>
              </w:rPr>
              <w:t>- 项目经理需具备10年（含）以上工作经验；</w:t>
            </w:r>
          </w:p>
          <w:p w14:paraId="52FC2151">
            <w:pPr>
              <w:spacing w:line="240" w:lineRule="auto"/>
              <w:ind w:firstLine="0" w:firstLineChars="0"/>
              <w:jc w:val="both"/>
              <w:rPr>
                <w:color w:val="auto"/>
                <w:highlight w:val="none"/>
                <w:lang w:val="en-US"/>
              </w:rPr>
            </w:pPr>
            <w:r>
              <w:rPr>
                <w:rFonts w:hint="eastAsia"/>
                <w:color w:val="auto"/>
                <w:highlight w:val="none"/>
                <w:lang w:val="en-US" w:eastAsia="zh-CN"/>
              </w:rPr>
              <w:t>- 具备3个（含）以上银行业数据治理或数据资产相关项目项目管理经验；</w:t>
            </w:r>
          </w:p>
          <w:p w14:paraId="4CAC2B35">
            <w:pPr>
              <w:spacing w:line="240" w:lineRule="auto"/>
              <w:ind w:firstLine="0" w:firstLineChars="0"/>
              <w:jc w:val="both"/>
              <w:rPr>
                <w:color w:val="auto"/>
                <w:highlight w:val="none"/>
              </w:rPr>
            </w:pPr>
            <w:r>
              <w:rPr>
                <w:rFonts w:hint="eastAsia"/>
                <w:color w:val="auto"/>
                <w:highlight w:val="none"/>
                <w:lang w:val="en-US" w:eastAsia="zh-CN"/>
              </w:rPr>
              <w:t xml:space="preserve">- </w:t>
            </w:r>
            <w:r>
              <w:rPr>
                <w:rFonts w:hint="eastAsia"/>
                <w:color w:val="auto"/>
                <w:highlight w:val="none"/>
              </w:rPr>
              <w:t>直接对项目的实施负责，通过对工期、成本、质量的控制（包括总体制定、执行、跟踪、调整相关计划，协调项目可用资源），确保项目按要求完成。</w:t>
            </w:r>
          </w:p>
        </w:tc>
      </w:tr>
      <w:tr w14:paraId="69B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43BA365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咨询顾问</w:t>
            </w:r>
          </w:p>
          <w:p w14:paraId="19A9CB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（至少1人）</w:t>
            </w:r>
          </w:p>
        </w:tc>
        <w:tc>
          <w:tcPr>
            <w:tcW w:w="5777" w:type="dxa"/>
            <w:tcBorders>
              <w:top w:val="single" w:color="auto" w:sz="4" w:space="0"/>
              <w:left w:val="single" w:color="auto" w:sz="4" w:space="0"/>
              <w:bottom w:val="single" w:color="auto" w:sz="4" w:space="0"/>
              <w:right w:val="single" w:color="auto" w:sz="4" w:space="0"/>
            </w:tcBorders>
            <w:vAlign w:val="center"/>
          </w:tcPr>
          <w:p w14:paraId="3C1C87A4">
            <w:pPr>
              <w:spacing w:line="240" w:lineRule="auto"/>
              <w:ind w:firstLine="0" w:firstLineChars="0"/>
              <w:jc w:val="both"/>
              <w:rPr>
                <w:rFonts w:hint="eastAsia"/>
                <w:color w:val="auto"/>
                <w:highlight w:val="none"/>
                <w:lang w:val="en-US" w:eastAsia="zh-CN"/>
              </w:rPr>
            </w:pPr>
            <w:r>
              <w:rPr>
                <w:rFonts w:hint="eastAsia"/>
                <w:color w:val="auto"/>
                <w:highlight w:val="none"/>
                <w:lang w:val="en-US" w:eastAsia="zh-CN"/>
              </w:rPr>
              <w:t>- 咨询顾问需具备10年（含）以上工作经验；</w:t>
            </w:r>
          </w:p>
          <w:p w14:paraId="1625FBAF">
            <w:pPr>
              <w:spacing w:line="240" w:lineRule="auto"/>
              <w:ind w:firstLine="0" w:firstLineChars="0"/>
              <w:jc w:val="both"/>
              <w:rPr>
                <w:color w:val="auto"/>
                <w:highlight w:val="none"/>
                <w:lang w:val="en-US" w:eastAsia="zh-CN"/>
              </w:rPr>
            </w:pPr>
            <w:r>
              <w:rPr>
                <w:rFonts w:hint="eastAsia"/>
                <w:color w:val="auto"/>
                <w:highlight w:val="none"/>
                <w:lang w:val="en-US" w:eastAsia="zh-CN"/>
              </w:rPr>
              <w:t>- 具备3个（含）以上银行业数据治理或数据资产项目咨询案例。</w:t>
            </w:r>
          </w:p>
        </w:tc>
      </w:tr>
      <w:tr w14:paraId="0F7F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3285B1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数据治理工程师</w:t>
            </w:r>
          </w:p>
          <w:p w14:paraId="6D7C61C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（至少2人）</w:t>
            </w:r>
          </w:p>
        </w:tc>
        <w:tc>
          <w:tcPr>
            <w:tcW w:w="5777" w:type="dxa"/>
            <w:tcBorders>
              <w:top w:val="single" w:color="auto" w:sz="4" w:space="0"/>
              <w:left w:val="single" w:color="auto" w:sz="4" w:space="0"/>
              <w:bottom w:val="single" w:color="auto" w:sz="4" w:space="0"/>
              <w:right w:val="single" w:color="auto" w:sz="4" w:space="0"/>
            </w:tcBorders>
            <w:vAlign w:val="center"/>
          </w:tcPr>
          <w:p w14:paraId="35682DA1">
            <w:pPr>
              <w:spacing w:line="240" w:lineRule="auto"/>
              <w:ind w:firstLine="0" w:firstLineChars="0"/>
              <w:jc w:val="both"/>
              <w:rPr>
                <w:rFonts w:hint="eastAsia"/>
                <w:color w:val="auto"/>
                <w:highlight w:val="none"/>
                <w:lang w:val="en-US" w:eastAsia="zh-CN"/>
              </w:rPr>
            </w:pPr>
            <w:r>
              <w:rPr>
                <w:rFonts w:hint="eastAsia"/>
                <w:color w:val="auto"/>
                <w:highlight w:val="none"/>
                <w:lang w:val="en-US" w:eastAsia="zh-CN"/>
              </w:rPr>
              <w:t>- 数据治理工程师需具备5年（含）以上工作经验；</w:t>
            </w:r>
          </w:p>
          <w:p w14:paraId="571803B8">
            <w:pPr>
              <w:spacing w:line="240" w:lineRule="auto"/>
              <w:ind w:firstLine="0" w:firstLineChars="0"/>
              <w:jc w:val="both"/>
              <w:rPr>
                <w:color w:val="auto"/>
                <w:highlight w:val="none"/>
                <w:lang w:val="en-US" w:eastAsia="zh-CN"/>
              </w:rPr>
            </w:pPr>
            <w:r>
              <w:rPr>
                <w:rFonts w:hint="eastAsia"/>
                <w:color w:val="auto"/>
                <w:highlight w:val="none"/>
                <w:lang w:val="en-US" w:eastAsia="zh-CN"/>
              </w:rPr>
              <w:t>- 具备3个（含）以上银行业数据治理或数据资产项目实施案例。</w:t>
            </w:r>
          </w:p>
        </w:tc>
      </w:tr>
      <w:tr w14:paraId="2159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5EA8A26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技术及开发人员</w:t>
            </w:r>
          </w:p>
          <w:p w14:paraId="33EFB90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（至少7人）</w:t>
            </w:r>
          </w:p>
        </w:tc>
        <w:tc>
          <w:tcPr>
            <w:tcW w:w="5777" w:type="dxa"/>
            <w:tcBorders>
              <w:top w:val="single" w:color="auto" w:sz="4" w:space="0"/>
              <w:left w:val="single" w:color="auto" w:sz="4" w:space="0"/>
              <w:bottom w:val="single" w:color="auto" w:sz="4" w:space="0"/>
              <w:right w:val="single" w:color="auto" w:sz="4" w:space="0"/>
            </w:tcBorders>
            <w:vAlign w:val="center"/>
          </w:tcPr>
          <w:p w14:paraId="268020B7">
            <w:pPr>
              <w:spacing w:line="240" w:lineRule="auto"/>
              <w:ind w:firstLine="0" w:firstLineChars="0"/>
              <w:jc w:val="both"/>
              <w:rPr>
                <w:rFonts w:hint="eastAsia"/>
                <w:color w:val="auto"/>
                <w:highlight w:val="none"/>
                <w:lang w:val="en-US" w:eastAsia="zh-CN"/>
              </w:rPr>
            </w:pPr>
            <w:r>
              <w:rPr>
                <w:rFonts w:hint="eastAsia"/>
                <w:color w:val="auto"/>
                <w:highlight w:val="none"/>
                <w:lang w:val="en-US" w:eastAsia="zh-CN"/>
              </w:rPr>
              <w:t>- 具备3个（含）以上银行业项目开发、部署或架构管理等技术工作经验；</w:t>
            </w:r>
          </w:p>
          <w:p w14:paraId="386166E1">
            <w:pPr>
              <w:spacing w:line="240" w:lineRule="auto"/>
              <w:ind w:firstLine="0" w:firstLineChars="0"/>
              <w:jc w:val="both"/>
              <w:rPr>
                <w:color w:val="auto"/>
                <w:highlight w:val="none"/>
                <w:lang w:val="en-US" w:eastAsia="zh-CN"/>
              </w:rPr>
            </w:pPr>
            <w:r>
              <w:rPr>
                <w:rFonts w:hint="eastAsia"/>
                <w:color w:val="auto"/>
                <w:highlight w:val="none"/>
                <w:lang w:val="en-US" w:eastAsia="zh-CN"/>
              </w:rPr>
              <w:t>- 具备银行业数据治理或数据资产项目实施案例。</w:t>
            </w:r>
          </w:p>
        </w:tc>
      </w:tr>
      <w:tr w14:paraId="1E4A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46DB091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测试人员</w:t>
            </w:r>
          </w:p>
          <w:p w14:paraId="33B6345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（至少</w:t>
            </w:r>
            <w:r>
              <w:rPr>
                <w:rFonts w:ascii="Times New Roman" w:hAnsi="Times New Roman" w:eastAsia="宋体" w:cs="Times New Roman"/>
                <w:snapToGrid w:val="0"/>
                <w:color w:val="auto"/>
                <w:kern w:val="0"/>
                <w:sz w:val="21"/>
                <w:szCs w:val="21"/>
                <w:highlight w:val="none"/>
                <w:lang w:val="en-US" w:eastAsia="zh-CN"/>
              </w:rPr>
              <w:t>2</w:t>
            </w:r>
            <w:r>
              <w:rPr>
                <w:rFonts w:hint="eastAsia" w:ascii="Times New Roman" w:hAnsi="Times New Roman" w:eastAsia="宋体" w:cs="Times New Roman"/>
                <w:snapToGrid w:val="0"/>
                <w:color w:val="auto"/>
                <w:kern w:val="0"/>
                <w:sz w:val="21"/>
                <w:szCs w:val="21"/>
                <w:highlight w:val="none"/>
                <w:lang w:val="en-US" w:eastAsia="zh-CN"/>
              </w:rPr>
              <w:t>人）</w:t>
            </w:r>
          </w:p>
        </w:tc>
        <w:tc>
          <w:tcPr>
            <w:tcW w:w="5777" w:type="dxa"/>
            <w:tcBorders>
              <w:top w:val="single" w:color="auto" w:sz="4" w:space="0"/>
              <w:left w:val="single" w:color="auto" w:sz="4" w:space="0"/>
              <w:bottom w:val="single" w:color="auto" w:sz="4" w:space="0"/>
              <w:right w:val="single" w:color="auto" w:sz="4" w:space="0"/>
            </w:tcBorders>
            <w:vAlign w:val="center"/>
          </w:tcPr>
          <w:p w14:paraId="421C8CBF">
            <w:pPr>
              <w:spacing w:line="240" w:lineRule="auto"/>
              <w:ind w:firstLine="0" w:firstLineChars="0"/>
              <w:jc w:val="both"/>
              <w:rPr>
                <w:rFonts w:hint="eastAsia"/>
                <w:color w:val="auto"/>
                <w:highlight w:val="none"/>
                <w:lang w:val="en-US" w:eastAsia="zh-CN"/>
              </w:rPr>
            </w:pPr>
            <w:r>
              <w:rPr>
                <w:rFonts w:hint="eastAsia"/>
                <w:color w:val="auto"/>
                <w:highlight w:val="none"/>
                <w:lang w:val="en-US" w:eastAsia="zh-CN"/>
              </w:rPr>
              <w:t>- 具备3个（含）以上银行业项目测试工作经验；</w:t>
            </w:r>
          </w:p>
          <w:p w14:paraId="4FF7AD2D">
            <w:pPr>
              <w:spacing w:line="240" w:lineRule="auto"/>
              <w:ind w:firstLine="0" w:firstLineChars="0"/>
              <w:jc w:val="both"/>
              <w:rPr>
                <w:color w:val="auto"/>
                <w:highlight w:val="none"/>
                <w:lang w:val="en-US" w:eastAsia="zh-CN"/>
              </w:rPr>
            </w:pPr>
            <w:r>
              <w:rPr>
                <w:rFonts w:hint="eastAsia"/>
                <w:color w:val="auto"/>
                <w:highlight w:val="none"/>
                <w:lang w:val="en-US" w:eastAsia="zh-CN"/>
              </w:rPr>
              <w:t>- 具备银行业数据治理或数据资产项目实施案例。</w:t>
            </w:r>
          </w:p>
        </w:tc>
      </w:tr>
    </w:tbl>
    <w:p w14:paraId="1D779C60">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项目实施要求</w:t>
      </w:r>
    </w:p>
    <w:p w14:paraId="7057D8A5">
      <w:pPr>
        <w:rPr>
          <w:rFonts w:hint="eastAsia"/>
          <w:color w:val="auto"/>
          <w:highlight w:val="none"/>
          <w:lang w:val="en-US" w:eastAsia="zh-CN"/>
        </w:rPr>
      </w:pPr>
      <w:r>
        <w:rPr>
          <w:rFonts w:hint="eastAsia"/>
          <w:color w:val="auto"/>
          <w:highlight w:val="none"/>
        </w:rPr>
        <w:t>在本项目实施周期内，如遇到</w:t>
      </w:r>
      <w:r>
        <w:rPr>
          <w:rFonts w:hint="eastAsia"/>
          <w:color w:val="auto"/>
          <w:highlight w:val="none"/>
          <w:lang w:val="en-US" w:eastAsia="zh-CN"/>
        </w:rPr>
        <w:t>产品</w:t>
      </w:r>
      <w:r>
        <w:rPr>
          <w:rFonts w:hint="eastAsia"/>
          <w:color w:val="auto"/>
          <w:highlight w:val="none"/>
        </w:rPr>
        <w:t>功能与需求不符，需要及时调整实施方案，满足采购人的要求，并征得采购人同意方可变更。</w:t>
      </w:r>
    </w:p>
    <w:p w14:paraId="202B6F42">
      <w:pPr>
        <w:rPr>
          <w:rFonts w:hint="eastAsia"/>
          <w:color w:val="auto"/>
          <w:highlight w:val="none"/>
          <w:lang w:val="en-US" w:eastAsia="zh-CN"/>
        </w:rPr>
      </w:pPr>
      <w:r>
        <w:rPr>
          <w:rFonts w:hint="eastAsia"/>
          <w:color w:val="auto"/>
          <w:highlight w:val="none"/>
          <w:lang w:val="en-US" w:eastAsia="zh-CN"/>
        </w:rPr>
        <w:t>响应人在项目实施过程中，需按照采购人项目管理规范提供相应文档（所有提交文档必须为中文）。</w:t>
      </w:r>
    </w:p>
    <w:p w14:paraId="0C3E39E0">
      <w:pPr>
        <w:rPr>
          <w:rFonts w:hint="eastAsia"/>
          <w:color w:val="auto"/>
          <w:highlight w:val="none"/>
          <w:lang w:val="en-US" w:eastAsia="zh-CN"/>
        </w:rPr>
      </w:pPr>
      <w:r>
        <w:rPr>
          <w:rFonts w:hint="eastAsia"/>
          <w:color w:val="auto"/>
          <w:highlight w:val="none"/>
          <w:lang w:val="en-US" w:eastAsia="zh-CN"/>
        </w:rPr>
        <w:t>本项目为现场开发，原则上不允许远程开发模式，除非得到采购人的明确认可和授权。</w:t>
      </w:r>
    </w:p>
    <w:p w14:paraId="3FDF46A0">
      <w:pPr>
        <w:pStyle w:val="13"/>
        <w:rPr>
          <w:color w:val="auto"/>
          <w:highlight w:val="none"/>
          <w:lang w:val="en-US" w:eastAsia="zh-CN"/>
        </w:rPr>
      </w:pPr>
      <w:r>
        <w:rPr>
          <w:rFonts w:hint="eastAsia"/>
          <w:color w:val="auto"/>
          <w:highlight w:val="none"/>
          <w:lang w:val="en-US" w:eastAsia="zh-CN"/>
        </w:rPr>
        <w:t>本项目需配合新一代数据中台项目（一期）上线支持。</w:t>
      </w:r>
    </w:p>
    <w:p w14:paraId="3242F358">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项目源代码要求</w:t>
      </w:r>
    </w:p>
    <w:p w14:paraId="2A645FA8">
      <w:pPr>
        <w:rPr>
          <w:rFonts w:hint="eastAsia"/>
          <w:color w:val="auto"/>
          <w:highlight w:val="none"/>
          <w:lang w:val="en-US" w:eastAsia="zh-CN"/>
        </w:rPr>
      </w:pPr>
      <w:r>
        <w:rPr>
          <w:rFonts w:hint="eastAsia"/>
          <w:color w:val="auto"/>
          <w:highlight w:val="none"/>
          <w:lang w:val="en-US" w:eastAsia="zh-CN"/>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归双方共有。针对共有部分，采购人拥有在采购人及其分支机构使用及后续开发的权利，响应人拥有在其公司和其他组织范围内使用的权利，但响应人使用时不得侵犯采购人利益。</w:t>
      </w:r>
    </w:p>
    <w:p w14:paraId="51A82703">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交付周期、地点</w:t>
      </w:r>
    </w:p>
    <w:p w14:paraId="1039B449">
      <w:pPr>
        <w:numPr>
          <w:ilvl w:val="0"/>
          <w:numId w:val="25"/>
        </w:numPr>
        <w:ind w:firstLineChars="0"/>
        <w:rPr>
          <w:rFonts w:hint="eastAsia"/>
          <w:color w:val="auto"/>
          <w:highlight w:val="none"/>
          <w:lang w:val="en-US" w:eastAsia="zh-CN"/>
        </w:rPr>
      </w:pPr>
      <w:r>
        <w:rPr>
          <w:rFonts w:hint="eastAsia"/>
          <w:color w:val="auto"/>
          <w:highlight w:val="none"/>
          <w:lang w:val="en-US" w:eastAsia="zh-CN"/>
        </w:rPr>
        <w:t>交付时间：合同签订后10个月内。</w:t>
      </w:r>
    </w:p>
    <w:p w14:paraId="4B506292">
      <w:pPr>
        <w:numPr>
          <w:ilvl w:val="0"/>
          <w:numId w:val="25"/>
        </w:numPr>
        <w:ind w:firstLineChars="0"/>
        <w:rPr>
          <w:rFonts w:hint="eastAsia"/>
          <w:color w:val="auto"/>
          <w:highlight w:val="none"/>
          <w:lang w:val="en-US" w:eastAsia="zh-CN"/>
        </w:rPr>
      </w:pPr>
      <w:r>
        <w:rPr>
          <w:rFonts w:hint="eastAsia"/>
          <w:color w:val="auto"/>
          <w:highlight w:val="none"/>
          <w:lang w:val="en-US" w:eastAsia="zh-CN"/>
        </w:rPr>
        <w:t>实施及交付地点：采购人指定地点</w:t>
      </w:r>
      <w:r>
        <w:rPr>
          <w:rFonts w:hint="eastAsia" w:ascii="Times New Roman" w:hAnsi="Times New Roman" w:eastAsia="宋体" w:cs="Cambria Math"/>
          <w:b w:val="0"/>
          <w:bCs w:val="0"/>
          <w:color w:val="auto"/>
          <w:kern w:val="2"/>
          <w:sz w:val="21"/>
          <w:szCs w:val="20"/>
          <w:highlight w:val="none"/>
          <w:lang w:val="en-US" w:eastAsia="zh-CN" w:bidi="ar-SA"/>
        </w:rPr>
        <w:t>。</w:t>
      </w:r>
    </w:p>
    <w:p w14:paraId="6606E7B3">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验收测试</w:t>
      </w:r>
    </w:p>
    <w:p w14:paraId="6351FFCC">
      <w:pPr>
        <w:numPr>
          <w:ilvl w:val="0"/>
          <w:numId w:val="26"/>
        </w:numPr>
        <w:ind w:firstLineChars="0"/>
        <w:rPr>
          <w:rFonts w:hint="eastAsia"/>
          <w:color w:val="auto"/>
          <w:highlight w:val="none"/>
          <w:lang w:val="en-US" w:eastAsia="zh-CN"/>
        </w:rPr>
      </w:pPr>
      <w:r>
        <w:rPr>
          <w:rFonts w:hint="eastAsia"/>
          <w:color w:val="auto"/>
          <w:highlight w:val="none"/>
          <w:lang w:val="en-US" w:eastAsia="zh-CN"/>
        </w:rPr>
        <w:t>验收测试的范围</w:t>
      </w:r>
    </w:p>
    <w:p w14:paraId="260E307E">
      <w:pPr>
        <w:rPr>
          <w:rFonts w:hint="eastAsia"/>
          <w:color w:val="auto"/>
          <w:highlight w:val="none"/>
          <w:lang w:val="en-US" w:eastAsia="zh-CN"/>
        </w:rPr>
      </w:pPr>
      <w:r>
        <w:rPr>
          <w:rFonts w:hint="eastAsia"/>
          <w:color w:val="auto"/>
          <w:highlight w:val="none"/>
          <w:lang w:val="en-US" w:eastAsia="zh-CN"/>
        </w:rPr>
        <w:t>验收测试的范围为项目实施完毕，上线前最终确认的所有需求。</w:t>
      </w:r>
    </w:p>
    <w:p w14:paraId="30A99D9C">
      <w:pPr>
        <w:numPr>
          <w:ilvl w:val="0"/>
          <w:numId w:val="26"/>
        </w:numPr>
        <w:ind w:firstLineChars="0"/>
        <w:rPr>
          <w:rFonts w:hint="eastAsia"/>
          <w:color w:val="auto"/>
          <w:highlight w:val="none"/>
          <w:lang w:val="en-US" w:eastAsia="zh-CN"/>
        </w:rPr>
      </w:pPr>
      <w:r>
        <w:rPr>
          <w:rFonts w:hint="eastAsia"/>
          <w:color w:val="auto"/>
          <w:highlight w:val="none"/>
          <w:lang w:val="en-US" w:eastAsia="zh-CN"/>
        </w:rPr>
        <w:t>验收测试的组织</w:t>
      </w:r>
    </w:p>
    <w:p w14:paraId="49DC0591">
      <w:pPr>
        <w:rPr>
          <w:rFonts w:hint="eastAsia"/>
          <w:color w:val="auto"/>
          <w:highlight w:val="none"/>
          <w:lang w:val="en-US" w:eastAsia="zh-CN"/>
        </w:rPr>
      </w:pPr>
      <w:r>
        <w:rPr>
          <w:rFonts w:hint="eastAsia"/>
          <w:color w:val="auto"/>
          <w:highlight w:val="none"/>
          <w:lang w:val="en-US" w:eastAsia="zh-CN"/>
        </w:rPr>
        <w:t>- 验收测试小组由采购人、成交供应商等有关人员组成，负责对项目建设进行验收测试。</w:t>
      </w:r>
    </w:p>
    <w:p w14:paraId="20DFE0B7">
      <w:pPr>
        <w:rPr>
          <w:rFonts w:hint="eastAsia"/>
          <w:color w:val="auto"/>
          <w:highlight w:val="none"/>
          <w:lang w:val="en-US" w:eastAsia="zh-CN"/>
        </w:rPr>
      </w:pPr>
      <w:r>
        <w:rPr>
          <w:rFonts w:hint="eastAsia"/>
          <w:color w:val="auto"/>
          <w:highlight w:val="none"/>
          <w:lang w:val="en-US" w:eastAsia="zh-CN"/>
        </w:rPr>
        <w:t>- 成交供应商编制测试手册，经验收小组确认后，由验收小组负责验收测试。</w:t>
      </w:r>
    </w:p>
    <w:p w14:paraId="67DD46A7">
      <w:pPr>
        <w:rPr>
          <w:rFonts w:hint="eastAsia"/>
          <w:color w:val="auto"/>
          <w:highlight w:val="none"/>
          <w:lang w:val="en-US" w:eastAsia="zh-CN"/>
        </w:rPr>
      </w:pPr>
      <w:r>
        <w:rPr>
          <w:rFonts w:hint="eastAsia"/>
          <w:color w:val="auto"/>
          <w:highlight w:val="none"/>
          <w:lang w:val="en-US" w:eastAsia="zh-CN"/>
        </w:rPr>
        <w:t>- 在验收测试过程中，出现严重缺陷或质量问题时，验收小组可以决定暂停所有测试，直至缺陷和问题得到纠正。</w:t>
      </w:r>
    </w:p>
    <w:p w14:paraId="0954930D">
      <w:pPr>
        <w:numPr>
          <w:ilvl w:val="0"/>
          <w:numId w:val="26"/>
        </w:numPr>
        <w:ind w:firstLineChars="0"/>
        <w:rPr>
          <w:rFonts w:hint="eastAsia"/>
          <w:color w:val="auto"/>
          <w:highlight w:val="none"/>
          <w:lang w:val="en-US" w:eastAsia="zh-CN"/>
        </w:rPr>
      </w:pPr>
      <w:r>
        <w:rPr>
          <w:rFonts w:hint="eastAsia"/>
          <w:color w:val="auto"/>
          <w:highlight w:val="none"/>
          <w:lang w:val="en-US" w:eastAsia="zh-CN"/>
        </w:rPr>
        <w:t>验收测试的程序</w:t>
      </w:r>
    </w:p>
    <w:p w14:paraId="03289ADF">
      <w:pPr>
        <w:rPr>
          <w:rFonts w:hint="eastAsia"/>
          <w:color w:val="auto"/>
          <w:highlight w:val="none"/>
          <w:lang w:val="en-US" w:eastAsia="zh-CN"/>
        </w:rPr>
      </w:pPr>
      <w:r>
        <w:rPr>
          <w:rFonts w:hint="eastAsia"/>
          <w:color w:val="auto"/>
          <w:highlight w:val="none"/>
          <w:lang w:val="en-US" w:eastAsia="zh-CN"/>
        </w:rPr>
        <w:t>- 对各功能模块进行测试。</w:t>
      </w:r>
    </w:p>
    <w:p w14:paraId="3F0FBD6E">
      <w:pPr>
        <w:rPr>
          <w:rFonts w:hint="eastAsia"/>
          <w:color w:val="auto"/>
          <w:highlight w:val="none"/>
          <w:lang w:val="en-US" w:eastAsia="zh-CN"/>
        </w:rPr>
      </w:pPr>
      <w:r>
        <w:rPr>
          <w:rFonts w:hint="eastAsia"/>
          <w:color w:val="auto"/>
          <w:highlight w:val="none"/>
          <w:lang w:val="en-US" w:eastAsia="zh-CN"/>
        </w:rPr>
        <w:t>- 在各功能模块测试合格的前提下，对系统进行全面初验。</w:t>
      </w:r>
    </w:p>
    <w:p w14:paraId="27C45164">
      <w:pPr>
        <w:rPr>
          <w:rFonts w:hint="eastAsia"/>
          <w:color w:val="auto"/>
          <w:highlight w:val="none"/>
          <w:lang w:val="en-US" w:eastAsia="zh-CN"/>
        </w:rPr>
      </w:pPr>
      <w:r>
        <w:rPr>
          <w:rFonts w:hint="eastAsia"/>
          <w:color w:val="auto"/>
          <w:highlight w:val="none"/>
          <w:lang w:val="en-US" w:eastAsia="zh-CN"/>
        </w:rPr>
        <w:t>- 系统验收测试合格后，进入试运行阶段。</w:t>
      </w:r>
    </w:p>
    <w:p w14:paraId="162306C1">
      <w:pPr>
        <w:rPr>
          <w:rFonts w:hint="eastAsia" w:eastAsia="宋体"/>
          <w:color w:val="auto"/>
          <w:highlight w:val="none"/>
          <w:lang w:val="en-US" w:eastAsia="zh-CN"/>
        </w:rPr>
      </w:pPr>
      <w:r>
        <w:rPr>
          <w:rFonts w:hint="eastAsia"/>
          <w:color w:val="auto"/>
          <w:highlight w:val="none"/>
          <w:lang w:val="en-US" w:eastAsia="zh-CN"/>
        </w:rPr>
        <w:t xml:space="preserve">- </w:t>
      </w:r>
      <w:r>
        <w:rPr>
          <w:rFonts w:hint="eastAsia"/>
          <w:color w:val="auto"/>
          <w:highlight w:val="none"/>
        </w:rPr>
        <w:t>系统</w:t>
      </w:r>
      <w:r>
        <w:rPr>
          <w:color w:val="auto"/>
          <w:highlight w:val="none"/>
        </w:rPr>
        <w:t>（包含合同约定全部功能）</w:t>
      </w:r>
      <w:r>
        <w:rPr>
          <w:rFonts w:hint="eastAsia"/>
          <w:color w:val="auto"/>
          <w:highlight w:val="none"/>
        </w:rPr>
        <w:t>在全行上线试运行三个月后，进行项目终验收</w:t>
      </w:r>
      <w:r>
        <w:rPr>
          <w:rFonts w:hint="eastAsia"/>
          <w:color w:val="auto"/>
          <w:highlight w:val="none"/>
          <w:lang w:eastAsia="zh-CN"/>
        </w:rPr>
        <w:t>。</w:t>
      </w:r>
    </w:p>
    <w:p w14:paraId="030AFB47">
      <w:pPr>
        <w:numPr>
          <w:ilvl w:val="0"/>
          <w:numId w:val="26"/>
        </w:numPr>
        <w:ind w:firstLineChars="0"/>
        <w:rPr>
          <w:rFonts w:hint="eastAsia"/>
          <w:color w:val="auto"/>
          <w:highlight w:val="none"/>
          <w:lang w:val="en-US" w:eastAsia="zh-CN"/>
        </w:rPr>
      </w:pPr>
      <w:r>
        <w:rPr>
          <w:rFonts w:hint="eastAsia"/>
          <w:color w:val="auto"/>
          <w:highlight w:val="none"/>
          <w:lang w:val="en-US" w:eastAsia="zh-CN"/>
        </w:rPr>
        <w:t>验收测试的评定</w:t>
      </w:r>
    </w:p>
    <w:p w14:paraId="28823F92">
      <w:pPr>
        <w:rPr>
          <w:rFonts w:hint="eastAsia"/>
          <w:color w:val="auto"/>
          <w:highlight w:val="none"/>
          <w:lang w:val="en-US" w:eastAsia="zh-CN"/>
        </w:rPr>
      </w:pPr>
      <w:r>
        <w:rPr>
          <w:rFonts w:hint="eastAsia"/>
          <w:color w:val="auto"/>
          <w:highlight w:val="none"/>
          <w:lang w:val="en-US" w:eastAsia="zh-CN"/>
        </w:rPr>
        <w:t>测试结果按下列级别评定，并经验收小组签字认可：</w:t>
      </w:r>
    </w:p>
    <w:p w14:paraId="75B69E8E">
      <w:pPr>
        <w:rPr>
          <w:rFonts w:hint="eastAsia"/>
          <w:color w:val="auto"/>
          <w:highlight w:val="none"/>
          <w:lang w:val="en-US" w:eastAsia="zh-CN"/>
        </w:rPr>
      </w:pPr>
      <w:r>
        <w:rPr>
          <w:rFonts w:hint="eastAsia"/>
          <w:color w:val="auto"/>
          <w:highlight w:val="none"/>
          <w:lang w:val="en-US" w:eastAsia="zh-CN"/>
        </w:rPr>
        <w:t>- 优良：功能和质量达到预期目的。</w:t>
      </w:r>
    </w:p>
    <w:p w14:paraId="4F566D05">
      <w:pPr>
        <w:rPr>
          <w:rFonts w:hint="eastAsia"/>
          <w:color w:val="auto"/>
          <w:highlight w:val="none"/>
          <w:lang w:val="en-US" w:eastAsia="zh-CN"/>
        </w:rPr>
      </w:pPr>
      <w:r>
        <w:rPr>
          <w:rFonts w:hint="eastAsia"/>
          <w:color w:val="auto"/>
          <w:highlight w:val="none"/>
          <w:lang w:val="en-US" w:eastAsia="zh-CN"/>
        </w:rPr>
        <w:t>- 合格：部分功能和质量不能满足采购人的要求，但成交供应商（集成商）采取了改正措施，使测试结果达到预期目的。</w:t>
      </w:r>
    </w:p>
    <w:p w14:paraId="654B14EC">
      <w:pPr>
        <w:rPr>
          <w:rFonts w:hint="eastAsia"/>
          <w:color w:val="auto"/>
          <w:highlight w:val="none"/>
          <w:lang w:val="en-US" w:eastAsia="zh-CN"/>
        </w:rPr>
      </w:pPr>
      <w:r>
        <w:rPr>
          <w:rFonts w:hint="eastAsia"/>
          <w:color w:val="auto"/>
          <w:highlight w:val="none"/>
          <w:lang w:val="en-US" w:eastAsia="zh-CN"/>
        </w:rPr>
        <w:t>- 不合格：功能和质量不能满足采购人的要求。</w:t>
      </w:r>
    </w:p>
    <w:p w14:paraId="76F6E086">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售后服务和支持</w:t>
      </w:r>
    </w:p>
    <w:p w14:paraId="3EC8F457">
      <w:pPr>
        <w:rPr>
          <w:rFonts w:hint="eastAsia"/>
          <w:color w:val="auto"/>
          <w:highlight w:val="none"/>
          <w:lang w:val="en-US" w:eastAsia="zh-CN"/>
        </w:rPr>
      </w:pPr>
      <w:r>
        <w:rPr>
          <w:rFonts w:hint="eastAsia"/>
          <w:color w:val="auto"/>
          <w:highlight w:val="none"/>
          <w:lang w:val="en-US" w:eastAsia="zh-CN"/>
        </w:rPr>
        <w:t>- 系统的安装、部署和调试。</w:t>
      </w:r>
    </w:p>
    <w:p w14:paraId="4DB8DEE9">
      <w:pPr>
        <w:rPr>
          <w:rFonts w:hint="eastAsia"/>
          <w:color w:val="auto"/>
          <w:highlight w:val="none"/>
          <w:lang w:val="en-US" w:eastAsia="zh-CN"/>
        </w:rPr>
      </w:pPr>
      <w:r>
        <w:rPr>
          <w:rFonts w:hint="eastAsia"/>
          <w:color w:val="auto"/>
          <w:highlight w:val="none"/>
          <w:lang w:val="en-US" w:eastAsia="zh-CN"/>
        </w:rPr>
        <w:t>- 项目的验收测试。</w:t>
      </w:r>
    </w:p>
    <w:p w14:paraId="7EF320B6">
      <w:pPr>
        <w:rPr>
          <w:rFonts w:hint="eastAsia"/>
          <w:color w:val="auto"/>
          <w:highlight w:val="none"/>
          <w:lang w:val="en-US" w:eastAsia="zh-CN"/>
        </w:rPr>
      </w:pPr>
      <w:r>
        <w:rPr>
          <w:rFonts w:hint="eastAsia"/>
          <w:color w:val="auto"/>
          <w:highlight w:val="none"/>
          <w:lang w:val="en-US" w:eastAsia="zh-CN"/>
        </w:rPr>
        <w:t>- 项目的数据转换、数据迁移、模拟运行和试运行。</w:t>
      </w:r>
    </w:p>
    <w:p w14:paraId="4B8DC1FA">
      <w:pPr>
        <w:rPr>
          <w:rFonts w:hint="eastAsia"/>
          <w:color w:val="auto"/>
          <w:highlight w:val="none"/>
          <w:lang w:val="en-US" w:eastAsia="zh-CN"/>
        </w:rPr>
      </w:pPr>
      <w:r>
        <w:rPr>
          <w:rFonts w:hint="eastAsia"/>
          <w:color w:val="auto"/>
          <w:highlight w:val="none"/>
          <w:lang w:val="en-US" w:eastAsia="zh-CN"/>
        </w:rPr>
        <w:t>- 解答与系统运行有关的技术问题（含操作系统、数据库、应用系统的整体性能调优等）。</w:t>
      </w:r>
    </w:p>
    <w:p w14:paraId="72260D9E">
      <w:pPr>
        <w:rPr>
          <w:rFonts w:hint="eastAsia"/>
          <w:color w:val="auto"/>
          <w:highlight w:val="none"/>
          <w:lang w:val="en-US" w:eastAsia="zh-CN"/>
        </w:rPr>
      </w:pPr>
      <w:r>
        <w:rPr>
          <w:rFonts w:hint="eastAsia"/>
          <w:color w:val="auto"/>
          <w:highlight w:val="none"/>
          <w:lang w:val="en-US" w:eastAsia="zh-CN"/>
        </w:rPr>
        <w:t>- 系统上线后，不得出现以license数量和license使用期限，限制本项目采购的平台使用行为。</w:t>
      </w:r>
    </w:p>
    <w:p w14:paraId="20D7A970">
      <w:pPr>
        <w:rPr>
          <w:color w:val="auto"/>
          <w:highlight w:val="none"/>
          <w:lang w:val="en-US" w:eastAsia="zh-CN"/>
        </w:rPr>
      </w:pPr>
      <w:r>
        <w:rPr>
          <w:rFonts w:hint="eastAsia"/>
          <w:color w:val="auto"/>
          <w:highlight w:val="none"/>
          <w:lang w:val="en-US" w:eastAsia="zh-CN"/>
        </w:rPr>
        <w:t>- 不得出现以部署套数、部署节点数限制使用本项目采购的平台使用行为。</w:t>
      </w:r>
    </w:p>
    <w:p w14:paraId="095539D9">
      <w:pPr>
        <w:rPr>
          <w:rFonts w:hint="eastAsia"/>
          <w:color w:val="auto"/>
          <w:highlight w:val="none"/>
          <w:lang w:val="en-US" w:eastAsia="zh-CN"/>
        </w:rPr>
      </w:pPr>
      <w:r>
        <w:rPr>
          <w:rFonts w:hint="eastAsia"/>
          <w:color w:val="auto"/>
          <w:highlight w:val="none"/>
          <w:lang w:val="en-US" w:eastAsia="zh-CN"/>
        </w:rPr>
        <w:t>- 相关技术及业务培训（其中在项目实施前必须组织技术人员进行平台二次开发培训，并提供平台的所有技术文档等），项目终验前针对本系统的操作、使用、运维等方面的技术培训，并提供平台的所有技术文档等）。</w:t>
      </w:r>
    </w:p>
    <w:p w14:paraId="1558B753">
      <w:pPr>
        <w:rPr>
          <w:rFonts w:hint="eastAsia"/>
          <w:color w:val="auto"/>
          <w:highlight w:val="none"/>
          <w:lang w:val="en-US" w:eastAsia="zh-CN"/>
        </w:rPr>
      </w:pPr>
      <w:r>
        <w:rPr>
          <w:rFonts w:hint="eastAsia"/>
          <w:color w:val="auto"/>
          <w:highlight w:val="none"/>
          <w:lang w:val="en-US" w:eastAsia="zh-CN"/>
        </w:rPr>
        <w:t>- 系统上线后两年内，针对本项目的完善性需求（影响用户使用的问题修复）以及监管提出的安全性需求，成交供应商需免费进行开发。</w:t>
      </w:r>
    </w:p>
    <w:p w14:paraId="2D7061C1">
      <w:pPr>
        <w:rPr>
          <w:rFonts w:hint="eastAsia"/>
          <w:color w:val="auto"/>
          <w:highlight w:val="none"/>
          <w:lang w:val="en-US" w:eastAsia="zh-CN"/>
        </w:rPr>
      </w:pPr>
      <w:r>
        <w:rPr>
          <w:rFonts w:hint="eastAsia"/>
          <w:color w:val="auto"/>
          <w:highlight w:val="none"/>
          <w:lang w:val="en-US" w:eastAsia="zh-CN"/>
        </w:rPr>
        <w:t>- 系统上线后两年内，免费提供上云实施服务（如有需求）。</w:t>
      </w:r>
    </w:p>
    <w:p w14:paraId="0239A71D">
      <w:pPr>
        <w:rPr>
          <w:color w:val="auto"/>
          <w:highlight w:val="none"/>
          <w:lang w:val="en-US" w:eastAsia="zh-CN"/>
        </w:rPr>
      </w:pPr>
      <w:r>
        <w:rPr>
          <w:rFonts w:hint="eastAsia"/>
          <w:color w:val="auto"/>
          <w:highlight w:val="none"/>
          <w:lang w:val="en-US" w:eastAsia="zh-CN"/>
        </w:rPr>
        <w:t>- 系统上线后两年内，免费提供新数据库适配支持（如有需求）。</w:t>
      </w:r>
    </w:p>
    <w:p w14:paraId="23A2AED3">
      <w:pPr>
        <w:rPr>
          <w:rFonts w:hint="eastAsia"/>
          <w:color w:val="auto"/>
          <w:highlight w:val="none"/>
          <w:lang w:val="en-US" w:eastAsia="zh-CN"/>
        </w:rPr>
      </w:pPr>
      <w:r>
        <w:rPr>
          <w:rFonts w:hint="eastAsia"/>
          <w:color w:val="auto"/>
          <w:highlight w:val="none"/>
          <w:lang w:val="en-US" w:eastAsia="zh-CN"/>
        </w:rPr>
        <w:t>- 维护期以年度计算，应至少提供2年免费维护期，免费维护期起始日为验收后次日，免费维护期结束日需延期至到期当年的6月30日或12月31日中较近日期（即免费维护期延期最长不超过半年）</w:t>
      </w:r>
      <w:r>
        <w:rPr>
          <w:color w:val="auto"/>
          <w:highlight w:val="none"/>
          <w:lang w:val="en-US" w:eastAsia="zh-CN"/>
        </w:rPr>
        <w:t>，维保服务期内每年系统升级改造工作量2人月内不收费</w:t>
      </w:r>
      <w:r>
        <w:rPr>
          <w:rFonts w:hint="eastAsia"/>
          <w:color w:val="auto"/>
          <w:highlight w:val="none"/>
          <w:lang w:val="en-US" w:eastAsia="zh-CN"/>
        </w:rPr>
        <w:t>。</w:t>
      </w:r>
    </w:p>
    <w:p w14:paraId="3D5E90F4">
      <w:pPr>
        <w:rPr>
          <w:rFonts w:hint="eastAsia" w:eastAsia="宋体"/>
          <w:color w:val="auto"/>
          <w:highlight w:val="none"/>
          <w:lang w:eastAsia="zh-CN"/>
        </w:rPr>
      </w:pPr>
      <w:r>
        <w:rPr>
          <w:rFonts w:hint="eastAsia"/>
          <w:color w:val="auto"/>
          <w:highlight w:val="none"/>
          <w:lang w:val="en-US" w:eastAsia="zh-CN"/>
        </w:rPr>
        <w:t xml:space="preserve">- </w:t>
      </w:r>
      <w:r>
        <w:rPr>
          <w:rFonts w:hint="eastAsia"/>
          <w:color w:val="auto"/>
          <w:highlight w:val="none"/>
        </w:rPr>
        <w:t>响应人在响应文件中详细说明在系统免费维护期的具体服务内容，系统免费维护期过后有偿维护的内容、价格及收取方式，若按开发量评估收取，应说明每人/月价格</w:t>
      </w:r>
      <w:r>
        <w:rPr>
          <w:rFonts w:hint="eastAsia"/>
          <w:color w:val="auto"/>
          <w:highlight w:val="none"/>
          <w:lang w:eastAsia="zh-CN"/>
        </w:rPr>
        <w:t>。</w:t>
      </w:r>
    </w:p>
    <w:p w14:paraId="363E2675">
      <w:pPr>
        <w:rPr>
          <w:rFonts w:hint="eastAsia"/>
          <w:color w:val="auto"/>
          <w:highlight w:val="none"/>
          <w:lang w:val="en-US" w:eastAsia="zh-CN"/>
        </w:rPr>
      </w:pPr>
      <w:r>
        <w:rPr>
          <w:rFonts w:hint="eastAsia"/>
          <w:color w:val="auto"/>
          <w:highlight w:val="none"/>
        </w:rPr>
        <w:t>响应人在响应文件中需对以上相关内容中进行阐述并作出相应承诺。【提供售后服务和支持方案】</w:t>
      </w:r>
    </w:p>
    <w:p w14:paraId="5072EC38">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系统维保费用</w:t>
      </w:r>
    </w:p>
    <w:p w14:paraId="163FC283">
      <w:pPr>
        <w:rPr>
          <w:rFonts w:hint="eastAsia"/>
          <w:color w:val="auto"/>
          <w:highlight w:val="none"/>
        </w:rPr>
      </w:pPr>
      <w:r>
        <w:rPr>
          <w:rFonts w:hint="eastAsia"/>
          <w:color w:val="auto"/>
          <w:highlight w:val="none"/>
          <w:lang w:val="en-US" w:eastAsia="zh-CN"/>
        </w:rPr>
        <w:t>免费</w:t>
      </w:r>
      <w:r>
        <w:rPr>
          <w:rFonts w:hint="eastAsia"/>
          <w:color w:val="auto"/>
          <w:highlight w:val="none"/>
        </w:rPr>
        <w:t>维护期满后，每年维护费用不高于合同价8%，且每年系统升级改造工作量2个人月内不收费</w:t>
      </w:r>
      <w:r>
        <w:rPr>
          <w:color w:val="auto"/>
          <w:highlight w:val="none"/>
        </w:rPr>
        <w:t>（工作量以</w:t>
      </w:r>
      <w:r>
        <w:rPr>
          <w:rFonts w:hint="eastAsia"/>
          <w:color w:val="auto"/>
          <w:highlight w:val="none"/>
        </w:rPr>
        <w:t>采购人</w:t>
      </w:r>
      <w:r>
        <w:rPr>
          <w:color w:val="auto"/>
          <w:highlight w:val="none"/>
        </w:rPr>
        <w:t>的最终评估为准）</w:t>
      </w:r>
      <w:r>
        <w:rPr>
          <w:rFonts w:hint="eastAsia"/>
          <w:color w:val="auto"/>
          <w:highlight w:val="none"/>
        </w:rPr>
        <w:t>，具体维保费用以合同约定为准。</w:t>
      </w:r>
      <w:r>
        <w:rPr>
          <w:color w:val="auto"/>
          <w:highlight w:val="none"/>
        </w:rPr>
        <w:t>如</w:t>
      </w:r>
      <w:r>
        <w:rPr>
          <w:rFonts w:hint="eastAsia"/>
          <w:color w:val="auto"/>
          <w:highlight w:val="none"/>
        </w:rPr>
        <w:t>采购人</w:t>
      </w:r>
      <w:r>
        <w:rPr>
          <w:color w:val="auto"/>
          <w:highlight w:val="none"/>
        </w:rPr>
        <w:t>每年购买</w:t>
      </w:r>
      <w:r>
        <w:rPr>
          <w:rFonts w:hint="eastAsia"/>
          <w:color w:val="auto"/>
          <w:highlight w:val="none"/>
        </w:rPr>
        <w:t>成交供应商</w:t>
      </w:r>
      <w:r>
        <w:rPr>
          <w:color w:val="auto"/>
          <w:highlight w:val="none"/>
        </w:rPr>
        <w:t>的驻场实施服务费用高于系统维保费用的，</w:t>
      </w:r>
      <w:r>
        <w:rPr>
          <w:rFonts w:hint="eastAsia"/>
          <w:color w:val="auto"/>
          <w:highlight w:val="none"/>
        </w:rPr>
        <w:t>成交供应商</w:t>
      </w:r>
      <w:r>
        <w:rPr>
          <w:color w:val="auto"/>
          <w:highlight w:val="none"/>
        </w:rPr>
        <w:t>不再收取维保费用。在安全加固、BUG修复等方面应免费开展，不得另行收费。</w:t>
      </w:r>
    </w:p>
    <w:p w14:paraId="4BC17500">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文档和培训</w:t>
      </w:r>
    </w:p>
    <w:p w14:paraId="7F45D130">
      <w:pPr>
        <w:pStyle w:val="5"/>
        <w:numPr>
          <w:ilvl w:val="0"/>
          <w:numId w:val="27"/>
        </w:numPr>
        <w:ind w:firstLineChars="0"/>
        <w:rPr>
          <w:rFonts w:hint="eastAsia"/>
          <w:color w:val="auto"/>
          <w:szCs w:val="24"/>
          <w:highlight w:val="none"/>
          <w:lang w:val="en-US" w:eastAsia="zh-CN"/>
        </w:rPr>
      </w:pPr>
      <w:r>
        <w:rPr>
          <w:rFonts w:hint="eastAsia"/>
          <w:color w:val="auto"/>
          <w:szCs w:val="24"/>
          <w:highlight w:val="none"/>
          <w:lang w:val="en-US" w:eastAsia="zh-CN"/>
        </w:rPr>
        <w:t>文档</w:t>
      </w:r>
    </w:p>
    <w:p w14:paraId="3AB17C7C">
      <w:pPr>
        <w:numPr>
          <w:ilvl w:val="0"/>
          <w:numId w:val="28"/>
        </w:numPr>
        <w:ind w:firstLineChars="0"/>
        <w:rPr>
          <w:rFonts w:hint="eastAsia"/>
          <w:color w:val="auto"/>
          <w:highlight w:val="none"/>
          <w:lang w:val="en-US" w:eastAsia="zh-CN"/>
        </w:rPr>
      </w:pPr>
      <w:r>
        <w:rPr>
          <w:rFonts w:hint="eastAsia"/>
          <w:color w:val="auto"/>
          <w:highlight w:val="none"/>
          <w:lang w:val="en-US" w:eastAsia="zh-CN"/>
        </w:rPr>
        <w:t>文档范围</w:t>
      </w:r>
    </w:p>
    <w:p w14:paraId="303194B1">
      <w:pPr>
        <w:rPr>
          <w:rFonts w:hint="eastAsia"/>
          <w:color w:val="auto"/>
          <w:highlight w:val="none"/>
          <w:lang w:val="en-US" w:eastAsia="zh-CN"/>
        </w:rPr>
      </w:pPr>
      <w:r>
        <w:rPr>
          <w:rFonts w:hint="eastAsia"/>
          <w:color w:val="auto"/>
          <w:highlight w:val="none"/>
          <w:lang w:val="en-US" w:eastAsia="zh-CN"/>
        </w:rPr>
        <w:t>按照采购人项目管理制度和要求提供，包括成交供应商收集整理的系统建设中所形成的全部文字记载、录音和照片等，项目验收后由成交供应商向采购人提供。</w:t>
      </w:r>
    </w:p>
    <w:p w14:paraId="3CBA32EB">
      <w:pPr>
        <w:numPr>
          <w:ilvl w:val="0"/>
          <w:numId w:val="28"/>
        </w:numPr>
        <w:ind w:firstLineChars="0"/>
        <w:rPr>
          <w:rFonts w:hint="eastAsia"/>
          <w:b/>
          <w:bCs/>
          <w:color w:val="auto"/>
          <w:highlight w:val="none"/>
          <w:lang w:val="en-US" w:eastAsia="zh-CN"/>
        </w:rPr>
      </w:pPr>
      <w:r>
        <w:rPr>
          <w:rFonts w:hint="eastAsia"/>
          <w:b/>
          <w:bCs/>
          <w:color w:val="auto"/>
          <w:highlight w:val="none"/>
          <w:lang w:val="en-US" w:eastAsia="zh-CN"/>
        </w:rPr>
        <w:t>文档内容</w:t>
      </w:r>
    </w:p>
    <w:p w14:paraId="3C9C9F64">
      <w:pPr>
        <w:rPr>
          <w:rFonts w:hint="eastAsia"/>
          <w:color w:val="auto"/>
          <w:highlight w:val="none"/>
          <w:lang w:val="en-US" w:eastAsia="zh-CN"/>
        </w:rPr>
      </w:pPr>
      <w:r>
        <w:rPr>
          <w:rFonts w:hint="eastAsia"/>
          <w:color w:val="auto"/>
          <w:highlight w:val="none"/>
          <w:lang w:val="en-US" w:eastAsia="zh-CN"/>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636A0C26">
      <w:pPr>
        <w:numPr>
          <w:ilvl w:val="0"/>
          <w:numId w:val="28"/>
        </w:numPr>
        <w:ind w:firstLineChars="0"/>
        <w:rPr>
          <w:rFonts w:hint="eastAsia"/>
          <w:color w:val="auto"/>
          <w:highlight w:val="none"/>
          <w:lang w:val="en-US" w:eastAsia="zh-CN"/>
        </w:rPr>
      </w:pPr>
      <w:r>
        <w:rPr>
          <w:rFonts w:hint="eastAsia"/>
          <w:color w:val="auto"/>
          <w:highlight w:val="none"/>
          <w:lang w:val="en-US" w:eastAsia="zh-CN"/>
        </w:rPr>
        <w:t xml:space="preserve">要求 </w:t>
      </w:r>
    </w:p>
    <w:p w14:paraId="293C7EB1">
      <w:pPr>
        <w:rPr>
          <w:rFonts w:hint="eastAsia"/>
          <w:color w:val="auto"/>
          <w:highlight w:val="none"/>
          <w:lang w:val="en-US" w:eastAsia="zh-CN"/>
        </w:rPr>
      </w:pPr>
      <w:r>
        <w:rPr>
          <w:rFonts w:hint="eastAsia"/>
          <w:color w:val="auto"/>
          <w:highlight w:val="none"/>
          <w:lang w:val="en-US" w:eastAsia="zh-CN"/>
        </w:rPr>
        <w:t>响应人提供的文档要保持完整性和准确性。所有文档都采用简体中文（第三方产品出厂文件除外）。</w:t>
      </w:r>
    </w:p>
    <w:p w14:paraId="124C4CA3">
      <w:pPr>
        <w:pStyle w:val="5"/>
        <w:numPr>
          <w:ilvl w:val="0"/>
          <w:numId w:val="27"/>
        </w:numPr>
        <w:ind w:firstLineChars="0"/>
        <w:rPr>
          <w:rFonts w:hint="eastAsia"/>
          <w:color w:val="auto"/>
          <w:szCs w:val="24"/>
          <w:highlight w:val="none"/>
          <w:lang w:val="en-US" w:eastAsia="zh-CN"/>
        </w:rPr>
      </w:pPr>
      <w:r>
        <w:rPr>
          <w:rFonts w:hint="eastAsia"/>
          <w:color w:val="auto"/>
          <w:szCs w:val="24"/>
          <w:highlight w:val="none"/>
          <w:lang w:val="en-US" w:eastAsia="zh-CN"/>
        </w:rPr>
        <w:t>培训</w:t>
      </w:r>
    </w:p>
    <w:p w14:paraId="12E2ED97">
      <w:pPr>
        <w:rPr>
          <w:rFonts w:hint="eastAsia"/>
          <w:color w:val="auto"/>
          <w:highlight w:val="none"/>
          <w:lang w:val="en-US" w:eastAsia="zh-CN"/>
        </w:rPr>
      </w:pPr>
      <w:r>
        <w:rPr>
          <w:rStyle w:val="30"/>
          <w:rFonts w:hint="eastAsia" w:cs="Times New Roman"/>
          <w:b w:val="0"/>
          <w:bCs w:val="0"/>
          <w:color w:val="auto"/>
          <w:highlight w:val="none"/>
          <w:lang w:val="en-US" w:eastAsia="zh-CN"/>
        </w:rPr>
        <w:t>开展系统培训与知识转移，培训对象包含管理层、业务用户、技术用户；详细见下方表格。</w:t>
      </w:r>
      <w:r>
        <w:rPr>
          <w:rFonts w:hint="eastAsia"/>
          <w:color w:val="auto"/>
          <w:highlight w:val="none"/>
          <w:lang w:val="en-US" w:eastAsia="zh-CN"/>
        </w:rPr>
        <w:t>对所有的培训，响应人除提供完备的书面教材外，还应提交培训方案和计划。采购人要求所有的培训在采购人指定地点进行。</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92"/>
        <w:gridCol w:w="1393"/>
        <w:gridCol w:w="1118"/>
        <w:gridCol w:w="1120"/>
        <w:gridCol w:w="2714"/>
      </w:tblGrid>
      <w:tr w14:paraId="22C6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82" w:type="dxa"/>
            <w:vAlign w:val="center"/>
          </w:tcPr>
          <w:p w14:paraId="25420774">
            <w:pPr>
              <w:pStyle w:val="45"/>
              <w:jc w:val="center"/>
              <w:rPr>
                <w:rFonts w:hint="eastAsia" w:eastAsia="宋体"/>
                <w:color w:val="auto"/>
                <w:highlight w:val="none"/>
              </w:rPr>
            </w:pPr>
            <w:r>
              <w:rPr>
                <w:rFonts w:hint="eastAsia" w:eastAsia="宋体"/>
                <w:color w:val="auto"/>
                <w:highlight w:val="none"/>
              </w:rPr>
              <w:t>序号</w:t>
            </w:r>
          </w:p>
        </w:tc>
        <w:tc>
          <w:tcPr>
            <w:tcW w:w="1492" w:type="dxa"/>
            <w:vAlign w:val="center"/>
          </w:tcPr>
          <w:p w14:paraId="0B1068AA">
            <w:pPr>
              <w:pStyle w:val="45"/>
              <w:jc w:val="center"/>
              <w:rPr>
                <w:rFonts w:hint="eastAsia" w:eastAsia="宋体"/>
                <w:color w:val="auto"/>
                <w:highlight w:val="none"/>
              </w:rPr>
            </w:pPr>
            <w:r>
              <w:rPr>
                <w:rFonts w:hint="eastAsia" w:eastAsia="宋体"/>
                <w:color w:val="auto"/>
                <w:highlight w:val="none"/>
              </w:rPr>
              <w:t>培训主题</w:t>
            </w:r>
          </w:p>
        </w:tc>
        <w:tc>
          <w:tcPr>
            <w:tcW w:w="1393" w:type="dxa"/>
            <w:vAlign w:val="center"/>
          </w:tcPr>
          <w:p w14:paraId="40131409">
            <w:pPr>
              <w:pStyle w:val="45"/>
              <w:jc w:val="center"/>
              <w:rPr>
                <w:rFonts w:hint="eastAsia" w:eastAsia="宋体"/>
                <w:color w:val="auto"/>
                <w:highlight w:val="none"/>
              </w:rPr>
            </w:pPr>
            <w:r>
              <w:rPr>
                <w:rFonts w:hint="eastAsia" w:eastAsia="宋体"/>
                <w:color w:val="auto"/>
                <w:highlight w:val="none"/>
              </w:rPr>
              <w:t>培训</w:t>
            </w:r>
          </w:p>
          <w:p w14:paraId="63B85290">
            <w:pPr>
              <w:pStyle w:val="45"/>
              <w:jc w:val="center"/>
              <w:rPr>
                <w:rFonts w:hint="eastAsia" w:eastAsia="宋体"/>
                <w:color w:val="auto"/>
                <w:highlight w:val="none"/>
                <w:lang w:val="en-US" w:eastAsia="zh-CN"/>
              </w:rPr>
            </w:pPr>
            <w:r>
              <w:rPr>
                <w:rFonts w:hint="eastAsia" w:eastAsia="宋体"/>
                <w:color w:val="auto"/>
                <w:highlight w:val="none"/>
                <w:lang w:val="en-US" w:eastAsia="zh-CN"/>
              </w:rPr>
              <w:t>时长</w:t>
            </w:r>
            <w:r>
              <w:rPr>
                <w:rFonts w:hint="eastAsia"/>
                <w:color w:val="auto"/>
                <w:highlight w:val="none"/>
                <w:lang w:val="en-US" w:eastAsia="zh-CN"/>
              </w:rPr>
              <w:t>（天）</w:t>
            </w:r>
          </w:p>
        </w:tc>
        <w:tc>
          <w:tcPr>
            <w:tcW w:w="1118" w:type="dxa"/>
            <w:vAlign w:val="center"/>
          </w:tcPr>
          <w:p w14:paraId="549B743B">
            <w:pPr>
              <w:pStyle w:val="45"/>
              <w:jc w:val="center"/>
              <w:rPr>
                <w:rFonts w:hint="eastAsia" w:eastAsia="宋体"/>
                <w:color w:val="auto"/>
                <w:highlight w:val="none"/>
              </w:rPr>
            </w:pPr>
            <w:r>
              <w:rPr>
                <w:rFonts w:hint="eastAsia" w:eastAsia="宋体"/>
                <w:color w:val="auto"/>
                <w:highlight w:val="none"/>
              </w:rPr>
              <w:t>师资要求</w:t>
            </w:r>
          </w:p>
        </w:tc>
        <w:tc>
          <w:tcPr>
            <w:tcW w:w="1120" w:type="dxa"/>
            <w:vAlign w:val="center"/>
          </w:tcPr>
          <w:p w14:paraId="3B2D5FE1">
            <w:pPr>
              <w:pStyle w:val="45"/>
              <w:jc w:val="center"/>
              <w:rPr>
                <w:rFonts w:hint="eastAsia" w:eastAsia="宋体"/>
                <w:color w:val="auto"/>
                <w:highlight w:val="none"/>
              </w:rPr>
            </w:pPr>
            <w:r>
              <w:rPr>
                <w:rFonts w:hint="eastAsia" w:eastAsia="宋体"/>
                <w:color w:val="auto"/>
                <w:highlight w:val="none"/>
              </w:rPr>
              <w:t>培训对象</w:t>
            </w:r>
          </w:p>
        </w:tc>
        <w:tc>
          <w:tcPr>
            <w:tcW w:w="2714" w:type="dxa"/>
            <w:vAlign w:val="center"/>
          </w:tcPr>
          <w:p w14:paraId="7615E8E1">
            <w:pPr>
              <w:pStyle w:val="45"/>
              <w:jc w:val="center"/>
              <w:rPr>
                <w:rFonts w:hint="eastAsia" w:eastAsia="宋体"/>
                <w:color w:val="auto"/>
                <w:highlight w:val="none"/>
                <w:lang w:val="en-US" w:eastAsia="zh-CN"/>
              </w:rPr>
            </w:pPr>
            <w:r>
              <w:rPr>
                <w:rFonts w:hint="eastAsia" w:eastAsia="宋体"/>
                <w:color w:val="auto"/>
                <w:highlight w:val="none"/>
              </w:rPr>
              <w:t>培训</w:t>
            </w:r>
            <w:r>
              <w:rPr>
                <w:rFonts w:hint="eastAsia" w:eastAsia="宋体"/>
                <w:color w:val="auto"/>
                <w:highlight w:val="none"/>
                <w:lang w:val="en-US" w:eastAsia="zh-CN"/>
              </w:rPr>
              <w:t>内容</w:t>
            </w:r>
          </w:p>
        </w:tc>
      </w:tr>
      <w:tr w14:paraId="57A5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682" w:type="dxa"/>
            <w:vAlign w:val="center"/>
          </w:tcPr>
          <w:p w14:paraId="2209B9D2">
            <w:pPr>
              <w:pStyle w:val="45"/>
              <w:jc w:val="center"/>
              <w:rPr>
                <w:rFonts w:hint="eastAsia" w:eastAsia="宋体"/>
                <w:color w:val="auto"/>
                <w:highlight w:val="none"/>
              </w:rPr>
            </w:pPr>
            <w:r>
              <w:rPr>
                <w:rFonts w:hint="eastAsia" w:eastAsia="宋体"/>
                <w:color w:val="auto"/>
                <w:highlight w:val="none"/>
              </w:rPr>
              <w:t>1</w:t>
            </w:r>
          </w:p>
        </w:tc>
        <w:tc>
          <w:tcPr>
            <w:tcW w:w="1492" w:type="dxa"/>
            <w:tcBorders>
              <w:left w:val="single" w:color="auto" w:sz="4" w:space="0"/>
            </w:tcBorders>
            <w:vAlign w:val="center"/>
          </w:tcPr>
          <w:p w14:paraId="0F246F23">
            <w:pPr>
              <w:pStyle w:val="45"/>
              <w:rPr>
                <w:rFonts w:hint="eastAsia" w:eastAsia="宋体"/>
                <w:color w:val="auto"/>
                <w:highlight w:val="none"/>
              </w:rPr>
            </w:pPr>
            <w:r>
              <w:rPr>
                <w:rFonts w:hint="eastAsia" w:eastAsia="宋体"/>
                <w:color w:val="auto"/>
                <w:highlight w:val="none"/>
              </w:rPr>
              <w:t>同业数据资产管理平台</w:t>
            </w:r>
            <w:r>
              <w:rPr>
                <w:rFonts w:hint="eastAsia"/>
                <w:color w:val="auto"/>
                <w:highlight w:val="none"/>
                <w:lang w:val="en-US" w:eastAsia="zh-CN"/>
              </w:rPr>
              <w:t>建设</w:t>
            </w:r>
            <w:r>
              <w:rPr>
                <w:rFonts w:hint="eastAsia" w:eastAsia="宋体"/>
                <w:color w:val="auto"/>
                <w:highlight w:val="none"/>
              </w:rPr>
              <w:t>经验分享</w:t>
            </w:r>
          </w:p>
        </w:tc>
        <w:tc>
          <w:tcPr>
            <w:tcW w:w="1393" w:type="dxa"/>
            <w:tcBorders>
              <w:left w:val="single" w:color="auto" w:sz="4" w:space="0"/>
            </w:tcBorders>
            <w:vAlign w:val="center"/>
          </w:tcPr>
          <w:p w14:paraId="6758E6AE">
            <w:pPr>
              <w:pStyle w:val="45"/>
              <w:jc w:val="center"/>
              <w:rPr>
                <w:rFonts w:hint="eastAsia" w:eastAsia="宋体"/>
                <w:color w:val="auto"/>
                <w:highlight w:val="none"/>
              </w:rPr>
            </w:pPr>
            <w:r>
              <w:rPr>
                <w:rFonts w:eastAsia="宋体"/>
                <w:color w:val="auto"/>
                <w:highlight w:val="none"/>
              </w:rPr>
              <w:t>按需</w:t>
            </w:r>
          </w:p>
        </w:tc>
        <w:tc>
          <w:tcPr>
            <w:tcW w:w="1118" w:type="dxa"/>
            <w:tcBorders>
              <w:left w:val="single" w:color="auto" w:sz="4" w:space="0"/>
            </w:tcBorders>
            <w:vAlign w:val="center"/>
          </w:tcPr>
          <w:p w14:paraId="7BA26BDE">
            <w:pPr>
              <w:pStyle w:val="45"/>
              <w:rPr>
                <w:rFonts w:eastAsia="宋体"/>
                <w:color w:val="auto"/>
                <w:highlight w:val="none"/>
                <w:lang w:val="en-US" w:eastAsia="zh-CN"/>
              </w:rPr>
            </w:pPr>
            <w:r>
              <w:rPr>
                <w:rFonts w:hint="eastAsia" w:eastAsia="宋体"/>
                <w:color w:val="auto"/>
                <w:highlight w:val="none"/>
                <w:lang w:val="en-US" w:eastAsia="zh-CN"/>
              </w:rPr>
              <w:t>响应人咨询顾问</w:t>
            </w:r>
          </w:p>
        </w:tc>
        <w:tc>
          <w:tcPr>
            <w:tcW w:w="1120" w:type="dxa"/>
            <w:vMerge w:val="restart"/>
            <w:tcBorders>
              <w:left w:val="single" w:color="auto" w:sz="4" w:space="0"/>
            </w:tcBorders>
            <w:vAlign w:val="center"/>
          </w:tcPr>
          <w:p w14:paraId="7E1AFCFE">
            <w:pPr>
              <w:pStyle w:val="45"/>
              <w:rPr>
                <w:rFonts w:hint="eastAsia" w:eastAsia="宋体"/>
                <w:color w:val="auto"/>
                <w:highlight w:val="none"/>
              </w:rPr>
            </w:pPr>
            <w:r>
              <w:rPr>
                <w:rFonts w:hint="eastAsia" w:eastAsia="宋体"/>
                <w:color w:val="auto"/>
                <w:highlight w:val="none"/>
                <w:lang w:val="en-US" w:eastAsia="zh-CN"/>
              </w:rPr>
              <w:t>行方数据资产管理相关</w:t>
            </w:r>
            <w:r>
              <w:rPr>
                <w:rFonts w:hint="eastAsia" w:eastAsia="宋体"/>
                <w:color w:val="auto"/>
                <w:highlight w:val="none"/>
              </w:rPr>
              <w:t>业务人员、技术人员</w:t>
            </w:r>
          </w:p>
        </w:tc>
        <w:tc>
          <w:tcPr>
            <w:tcW w:w="2714" w:type="dxa"/>
            <w:tcBorders>
              <w:left w:val="single" w:color="auto" w:sz="4" w:space="0"/>
            </w:tcBorders>
            <w:vAlign w:val="center"/>
          </w:tcPr>
          <w:p w14:paraId="5EDCD6A4">
            <w:pPr>
              <w:pStyle w:val="45"/>
              <w:rPr>
                <w:rFonts w:hint="eastAsia" w:eastAsia="宋体"/>
                <w:color w:val="auto"/>
                <w:highlight w:val="none"/>
              </w:rPr>
            </w:pPr>
            <w:r>
              <w:rPr>
                <w:rFonts w:hint="eastAsia" w:eastAsia="宋体"/>
                <w:color w:val="auto"/>
                <w:highlight w:val="none"/>
              </w:rPr>
              <w:t>介绍</w:t>
            </w:r>
            <w:r>
              <w:rPr>
                <w:rFonts w:hint="eastAsia"/>
                <w:color w:val="auto"/>
                <w:highlight w:val="none"/>
                <w:lang w:val="en-US" w:eastAsia="zh-CN"/>
              </w:rPr>
              <w:t>同业</w:t>
            </w:r>
            <w:r>
              <w:rPr>
                <w:rFonts w:hint="eastAsia" w:eastAsia="宋体"/>
                <w:color w:val="auto"/>
                <w:highlight w:val="none"/>
              </w:rPr>
              <w:t>数据资产管理平台及数据治理平台等相关系统建设经验分享，总结优秀的建设思路</w:t>
            </w:r>
          </w:p>
        </w:tc>
      </w:tr>
      <w:tr w14:paraId="2475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82" w:type="dxa"/>
            <w:vAlign w:val="center"/>
          </w:tcPr>
          <w:p w14:paraId="78393918">
            <w:pPr>
              <w:pStyle w:val="45"/>
              <w:jc w:val="center"/>
              <w:rPr>
                <w:rFonts w:hint="eastAsia" w:eastAsia="宋体"/>
                <w:color w:val="auto"/>
                <w:highlight w:val="none"/>
              </w:rPr>
            </w:pPr>
            <w:r>
              <w:rPr>
                <w:rFonts w:hint="eastAsia" w:eastAsia="宋体"/>
                <w:color w:val="auto"/>
                <w:highlight w:val="none"/>
              </w:rPr>
              <w:t>2</w:t>
            </w:r>
          </w:p>
        </w:tc>
        <w:tc>
          <w:tcPr>
            <w:tcW w:w="1492" w:type="dxa"/>
            <w:tcBorders>
              <w:left w:val="single" w:color="auto" w:sz="4" w:space="0"/>
            </w:tcBorders>
            <w:vAlign w:val="center"/>
          </w:tcPr>
          <w:p w14:paraId="4472089D">
            <w:pPr>
              <w:pStyle w:val="45"/>
              <w:rPr>
                <w:rFonts w:hint="eastAsia" w:eastAsia="宋体"/>
                <w:color w:val="auto"/>
                <w:highlight w:val="none"/>
              </w:rPr>
            </w:pPr>
            <w:r>
              <w:rPr>
                <w:rFonts w:hint="eastAsia" w:eastAsia="宋体"/>
                <w:color w:val="auto"/>
                <w:highlight w:val="none"/>
              </w:rPr>
              <w:t>同业数据资产盘点及数据资产管理机制经验分享</w:t>
            </w:r>
          </w:p>
        </w:tc>
        <w:tc>
          <w:tcPr>
            <w:tcW w:w="1393" w:type="dxa"/>
            <w:tcBorders>
              <w:left w:val="single" w:color="auto" w:sz="4" w:space="0"/>
            </w:tcBorders>
            <w:vAlign w:val="center"/>
          </w:tcPr>
          <w:p w14:paraId="3F3820AC">
            <w:pPr>
              <w:pStyle w:val="45"/>
              <w:jc w:val="center"/>
              <w:rPr>
                <w:rFonts w:hint="eastAsia" w:eastAsia="宋体"/>
                <w:color w:val="auto"/>
                <w:highlight w:val="none"/>
              </w:rPr>
            </w:pPr>
            <w:r>
              <w:rPr>
                <w:rFonts w:eastAsia="宋体"/>
                <w:color w:val="auto"/>
                <w:highlight w:val="none"/>
              </w:rPr>
              <w:t>按需</w:t>
            </w:r>
          </w:p>
        </w:tc>
        <w:tc>
          <w:tcPr>
            <w:tcW w:w="1118" w:type="dxa"/>
            <w:tcBorders>
              <w:left w:val="single" w:color="auto" w:sz="4" w:space="0"/>
            </w:tcBorders>
            <w:vAlign w:val="center"/>
          </w:tcPr>
          <w:p w14:paraId="58B85907">
            <w:pPr>
              <w:pStyle w:val="45"/>
              <w:rPr>
                <w:rFonts w:hint="eastAsia" w:eastAsia="宋体"/>
                <w:color w:val="auto"/>
                <w:highlight w:val="none"/>
              </w:rPr>
            </w:pPr>
            <w:r>
              <w:rPr>
                <w:rFonts w:hint="eastAsia" w:eastAsia="宋体"/>
                <w:color w:val="auto"/>
                <w:highlight w:val="none"/>
                <w:lang w:val="en-US" w:eastAsia="zh-CN"/>
              </w:rPr>
              <w:t>响应人咨询顾问</w:t>
            </w:r>
          </w:p>
        </w:tc>
        <w:tc>
          <w:tcPr>
            <w:tcW w:w="1120" w:type="dxa"/>
            <w:vMerge w:val="continue"/>
            <w:tcBorders>
              <w:left w:val="single" w:color="auto" w:sz="4" w:space="0"/>
            </w:tcBorders>
            <w:vAlign w:val="center"/>
          </w:tcPr>
          <w:p w14:paraId="62FB3FB9"/>
        </w:tc>
        <w:tc>
          <w:tcPr>
            <w:tcW w:w="2714" w:type="dxa"/>
            <w:tcBorders>
              <w:left w:val="single" w:color="auto" w:sz="4" w:space="0"/>
            </w:tcBorders>
            <w:vAlign w:val="center"/>
          </w:tcPr>
          <w:p w14:paraId="1A07EEAE">
            <w:pPr>
              <w:pStyle w:val="45"/>
              <w:rPr>
                <w:rFonts w:hint="eastAsia" w:eastAsia="宋体"/>
                <w:color w:val="auto"/>
                <w:highlight w:val="none"/>
              </w:rPr>
            </w:pPr>
            <w:r>
              <w:rPr>
                <w:rFonts w:hint="eastAsia" w:eastAsia="宋体"/>
                <w:color w:val="auto"/>
                <w:highlight w:val="none"/>
              </w:rPr>
              <w:t>介绍</w:t>
            </w:r>
            <w:r>
              <w:rPr>
                <w:rFonts w:hint="eastAsia"/>
                <w:color w:val="auto"/>
                <w:highlight w:val="none"/>
                <w:lang w:val="en-US" w:eastAsia="zh-CN"/>
              </w:rPr>
              <w:t>同业</w:t>
            </w:r>
            <w:r>
              <w:rPr>
                <w:rFonts w:hint="eastAsia" w:eastAsia="宋体"/>
                <w:color w:val="auto"/>
                <w:highlight w:val="none"/>
              </w:rPr>
              <w:t>数据资产盘点、数据资产目录构建、数据资产管理机制等建设经验分享，总结优秀的建设思路</w:t>
            </w:r>
          </w:p>
        </w:tc>
      </w:tr>
      <w:tr w14:paraId="142D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682" w:type="dxa"/>
            <w:vAlign w:val="center"/>
          </w:tcPr>
          <w:p w14:paraId="45E6E28E">
            <w:pPr>
              <w:pStyle w:val="45"/>
              <w:jc w:val="center"/>
              <w:rPr>
                <w:rFonts w:eastAsia="宋体"/>
                <w:color w:val="auto"/>
                <w:highlight w:val="none"/>
                <w:lang w:val="en-US" w:eastAsia="zh-CN"/>
              </w:rPr>
            </w:pPr>
            <w:r>
              <w:rPr>
                <w:rFonts w:hint="eastAsia"/>
                <w:color w:val="auto"/>
                <w:highlight w:val="none"/>
                <w:lang w:val="en-US" w:eastAsia="zh-CN"/>
              </w:rPr>
              <w:t>3</w:t>
            </w:r>
          </w:p>
        </w:tc>
        <w:tc>
          <w:tcPr>
            <w:tcW w:w="1492" w:type="dxa"/>
            <w:tcBorders>
              <w:left w:val="single" w:color="auto" w:sz="4" w:space="0"/>
            </w:tcBorders>
            <w:vAlign w:val="center"/>
          </w:tcPr>
          <w:p w14:paraId="22914FEF">
            <w:pPr>
              <w:pStyle w:val="45"/>
              <w:rPr>
                <w:rFonts w:eastAsia="宋体"/>
                <w:color w:val="auto"/>
                <w:highlight w:val="none"/>
                <w:lang w:val="en-US" w:eastAsia="zh-CN"/>
              </w:rPr>
            </w:pPr>
            <w:r>
              <w:rPr>
                <w:rFonts w:hint="eastAsia"/>
                <w:color w:val="auto"/>
                <w:highlight w:val="none"/>
                <w:lang w:val="en-US" w:eastAsia="zh-CN"/>
              </w:rPr>
              <w:t>同业模型管理经验分享</w:t>
            </w:r>
          </w:p>
        </w:tc>
        <w:tc>
          <w:tcPr>
            <w:tcW w:w="1393" w:type="dxa"/>
            <w:tcBorders>
              <w:left w:val="single" w:color="auto" w:sz="4" w:space="0"/>
            </w:tcBorders>
            <w:vAlign w:val="center"/>
          </w:tcPr>
          <w:p w14:paraId="48440379">
            <w:pPr>
              <w:pStyle w:val="45"/>
              <w:jc w:val="center"/>
              <w:rPr>
                <w:rFonts w:eastAsia="宋体"/>
                <w:color w:val="auto"/>
                <w:highlight w:val="none"/>
                <w:lang w:val="en-US" w:eastAsia="zh-CN"/>
              </w:rPr>
            </w:pPr>
            <w:r>
              <w:rPr>
                <w:rFonts w:eastAsia="宋体"/>
                <w:color w:val="auto"/>
                <w:highlight w:val="none"/>
              </w:rPr>
              <w:t>按需</w:t>
            </w:r>
          </w:p>
        </w:tc>
        <w:tc>
          <w:tcPr>
            <w:tcW w:w="1118" w:type="dxa"/>
            <w:vMerge w:val="restart"/>
            <w:tcBorders>
              <w:left w:val="single" w:color="auto" w:sz="4" w:space="0"/>
            </w:tcBorders>
            <w:vAlign w:val="center"/>
          </w:tcPr>
          <w:p w14:paraId="1FC35442">
            <w:pPr>
              <w:pStyle w:val="45"/>
              <w:rPr>
                <w:rFonts w:hint="eastAsia" w:eastAsia="宋体"/>
                <w:color w:val="auto"/>
                <w:highlight w:val="none"/>
              </w:rPr>
            </w:pPr>
            <w:r>
              <w:rPr>
                <w:rFonts w:hint="eastAsia" w:eastAsia="宋体"/>
                <w:color w:val="auto"/>
                <w:highlight w:val="none"/>
                <w:lang w:val="en-US" w:eastAsia="zh-CN"/>
              </w:rPr>
              <w:t>响应人</w:t>
            </w:r>
            <w:r>
              <w:rPr>
                <w:rFonts w:hint="eastAsia" w:eastAsia="宋体"/>
                <w:color w:val="auto"/>
                <w:highlight w:val="none"/>
              </w:rPr>
              <w:t>技术骨干</w:t>
            </w:r>
          </w:p>
        </w:tc>
        <w:tc>
          <w:tcPr>
            <w:tcW w:w="1120" w:type="dxa"/>
            <w:vMerge w:val="continue"/>
            <w:tcBorders>
              <w:left w:val="single" w:color="auto" w:sz="4" w:space="0"/>
            </w:tcBorders>
            <w:vAlign w:val="center"/>
          </w:tcPr>
          <w:p w14:paraId="0CCA52AC"/>
        </w:tc>
        <w:tc>
          <w:tcPr>
            <w:tcW w:w="2714" w:type="dxa"/>
            <w:tcBorders>
              <w:left w:val="single" w:color="auto" w:sz="4" w:space="0"/>
            </w:tcBorders>
            <w:vAlign w:val="center"/>
          </w:tcPr>
          <w:p w14:paraId="6ECBDA35">
            <w:pPr>
              <w:pStyle w:val="45"/>
              <w:rPr>
                <w:rFonts w:eastAsia="宋体"/>
                <w:color w:val="auto"/>
                <w:highlight w:val="none"/>
                <w:lang w:val="en-US" w:eastAsia="zh-CN"/>
              </w:rPr>
            </w:pPr>
            <w:r>
              <w:rPr>
                <w:rFonts w:hint="eastAsia"/>
                <w:color w:val="auto"/>
                <w:highlight w:val="none"/>
                <w:lang w:val="en-US" w:eastAsia="zh-CN"/>
              </w:rPr>
              <w:t>介绍同业模型管理经验，数据开发流程管理经验</w:t>
            </w:r>
          </w:p>
        </w:tc>
      </w:tr>
      <w:tr w14:paraId="3D2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682" w:type="dxa"/>
            <w:vAlign w:val="center"/>
          </w:tcPr>
          <w:p w14:paraId="0025BC82">
            <w:pPr>
              <w:pStyle w:val="45"/>
              <w:jc w:val="center"/>
              <w:rPr>
                <w:rFonts w:hint="eastAsia" w:eastAsia="宋体"/>
                <w:color w:val="auto"/>
                <w:highlight w:val="none"/>
                <w:lang w:val="en-US" w:eastAsia="zh-CN"/>
              </w:rPr>
            </w:pPr>
            <w:r>
              <w:rPr>
                <w:rFonts w:hint="eastAsia"/>
                <w:color w:val="auto"/>
                <w:highlight w:val="none"/>
                <w:lang w:val="en-US" w:eastAsia="zh-CN"/>
              </w:rPr>
              <w:t>4</w:t>
            </w:r>
          </w:p>
        </w:tc>
        <w:tc>
          <w:tcPr>
            <w:tcW w:w="1492" w:type="dxa"/>
            <w:tcBorders>
              <w:left w:val="single" w:color="auto" w:sz="4" w:space="0"/>
            </w:tcBorders>
            <w:vAlign w:val="center"/>
          </w:tcPr>
          <w:p w14:paraId="2C436A12">
            <w:pPr>
              <w:pStyle w:val="45"/>
              <w:rPr>
                <w:rFonts w:hint="eastAsia" w:eastAsia="宋体"/>
                <w:color w:val="auto"/>
                <w:highlight w:val="none"/>
              </w:rPr>
            </w:pPr>
            <w:r>
              <w:rPr>
                <w:rFonts w:hint="eastAsia" w:eastAsia="宋体"/>
                <w:color w:val="auto"/>
                <w:highlight w:val="none"/>
              </w:rPr>
              <w:t>软件需求规格说明书讲解</w:t>
            </w:r>
          </w:p>
        </w:tc>
        <w:tc>
          <w:tcPr>
            <w:tcW w:w="1393" w:type="dxa"/>
            <w:tcBorders>
              <w:left w:val="single" w:color="auto" w:sz="4" w:space="0"/>
            </w:tcBorders>
            <w:vAlign w:val="center"/>
          </w:tcPr>
          <w:p w14:paraId="2020B4A2">
            <w:pPr>
              <w:pStyle w:val="45"/>
              <w:jc w:val="center"/>
              <w:rPr>
                <w:rFonts w:hint="eastAsia" w:eastAsia="宋体"/>
                <w:color w:val="auto"/>
                <w:highlight w:val="none"/>
              </w:rPr>
            </w:pPr>
            <w:r>
              <w:rPr>
                <w:rFonts w:eastAsia="宋体"/>
                <w:color w:val="auto"/>
                <w:highlight w:val="none"/>
              </w:rPr>
              <w:t>按需</w:t>
            </w:r>
          </w:p>
        </w:tc>
        <w:tc>
          <w:tcPr>
            <w:tcW w:w="1118" w:type="dxa"/>
            <w:vMerge w:val="continue"/>
            <w:tcBorders>
              <w:left w:val="single" w:color="auto" w:sz="4" w:space="0"/>
            </w:tcBorders>
            <w:vAlign w:val="center"/>
          </w:tcPr>
          <w:p w14:paraId="781AC60E"/>
        </w:tc>
        <w:tc>
          <w:tcPr>
            <w:tcW w:w="1120" w:type="dxa"/>
            <w:vMerge w:val="continue"/>
            <w:tcBorders>
              <w:left w:val="single" w:color="auto" w:sz="4" w:space="0"/>
            </w:tcBorders>
            <w:vAlign w:val="center"/>
          </w:tcPr>
          <w:p w14:paraId="0D8325A5"/>
        </w:tc>
        <w:tc>
          <w:tcPr>
            <w:tcW w:w="2714" w:type="dxa"/>
            <w:tcBorders>
              <w:left w:val="single" w:color="auto" w:sz="4" w:space="0"/>
            </w:tcBorders>
            <w:vAlign w:val="center"/>
          </w:tcPr>
          <w:p w14:paraId="22A69B04">
            <w:pPr>
              <w:pStyle w:val="45"/>
              <w:rPr>
                <w:rFonts w:hint="eastAsia" w:eastAsia="宋体"/>
                <w:color w:val="auto"/>
                <w:highlight w:val="none"/>
              </w:rPr>
            </w:pPr>
            <w:r>
              <w:rPr>
                <w:rFonts w:hint="eastAsia" w:eastAsia="宋体"/>
                <w:color w:val="auto"/>
                <w:highlight w:val="none"/>
              </w:rPr>
              <w:t>根据业务场景讲解，并清晰描述功能间业务逻辑与依赖关系</w:t>
            </w:r>
          </w:p>
        </w:tc>
      </w:tr>
      <w:tr w14:paraId="4E82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682" w:type="dxa"/>
            <w:vAlign w:val="center"/>
          </w:tcPr>
          <w:p w14:paraId="2832344C">
            <w:pPr>
              <w:pStyle w:val="45"/>
              <w:jc w:val="center"/>
              <w:rPr>
                <w:rFonts w:hint="eastAsia" w:eastAsia="宋体"/>
                <w:color w:val="auto"/>
                <w:highlight w:val="none"/>
                <w:lang w:val="en-US" w:eastAsia="zh-CN"/>
              </w:rPr>
            </w:pPr>
            <w:r>
              <w:rPr>
                <w:rFonts w:hint="eastAsia"/>
                <w:color w:val="auto"/>
                <w:highlight w:val="none"/>
                <w:lang w:val="en-US" w:eastAsia="zh-CN"/>
              </w:rPr>
              <w:t>5</w:t>
            </w:r>
          </w:p>
        </w:tc>
        <w:tc>
          <w:tcPr>
            <w:tcW w:w="1492" w:type="dxa"/>
            <w:tcBorders>
              <w:left w:val="single" w:color="auto" w:sz="4" w:space="0"/>
            </w:tcBorders>
            <w:vAlign w:val="center"/>
          </w:tcPr>
          <w:p w14:paraId="40FE64B3">
            <w:pPr>
              <w:pStyle w:val="45"/>
              <w:rPr>
                <w:rFonts w:hint="eastAsia" w:eastAsia="宋体"/>
                <w:color w:val="auto"/>
                <w:highlight w:val="none"/>
              </w:rPr>
            </w:pPr>
            <w:r>
              <w:rPr>
                <w:rFonts w:hint="eastAsia" w:eastAsia="宋体"/>
                <w:color w:val="auto"/>
                <w:highlight w:val="none"/>
              </w:rPr>
              <w:t>前端核心功能技术培训</w:t>
            </w:r>
          </w:p>
        </w:tc>
        <w:tc>
          <w:tcPr>
            <w:tcW w:w="1393" w:type="dxa"/>
            <w:tcBorders>
              <w:left w:val="single" w:color="auto" w:sz="4" w:space="0"/>
            </w:tcBorders>
            <w:vAlign w:val="center"/>
          </w:tcPr>
          <w:p w14:paraId="3734161B">
            <w:pPr>
              <w:pStyle w:val="45"/>
              <w:jc w:val="center"/>
              <w:rPr>
                <w:rFonts w:hint="eastAsia" w:eastAsia="宋体"/>
                <w:color w:val="auto"/>
                <w:highlight w:val="none"/>
              </w:rPr>
            </w:pPr>
            <w:r>
              <w:rPr>
                <w:rFonts w:eastAsia="宋体"/>
                <w:color w:val="auto"/>
                <w:highlight w:val="none"/>
              </w:rPr>
              <w:t>按需</w:t>
            </w:r>
          </w:p>
        </w:tc>
        <w:tc>
          <w:tcPr>
            <w:tcW w:w="1118" w:type="dxa"/>
            <w:vMerge w:val="continue"/>
            <w:tcBorders>
              <w:left w:val="single" w:color="auto" w:sz="4" w:space="0"/>
            </w:tcBorders>
            <w:vAlign w:val="center"/>
          </w:tcPr>
          <w:p w14:paraId="44BF1706"/>
        </w:tc>
        <w:tc>
          <w:tcPr>
            <w:tcW w:w="1120" w:type="dxa"/>
            <w:vMerge w:val="restart"/>
            <w:tcBorders>
              <w:left w:val="single" w:color="auto" w:sz="4" w:space="0"/>
            </w:tcBorders>
            <w:vAlign w:val="center"/>
          </w:tcPr>
          <w:p w14:paraId="6A0C294C">
            <w:pPr>
              <w:pStyle w:val="45"/>
              <w:rPr>
                <w:rFonts w:eastAsia="宋体"/>
                <w:color w:val="auto"/>
                <w:highlight w:val="none"/>
                <w:lang w:val="en-US" w:eastAsia="zh-CN"/>
              </w:rPr>
            </w:pPr>
            <w:r>
              <w:rPr>
                <w:rFonts w:hint="eastAsia" w:eastAsia="宋体"/>
                <w:color w:val="auto"/>
                <w:highlight w:val="none"/>
                <w:lang w:val="en-US" w:eastAsia="zh-CN"/>
              </w:rPr>
              <w:t>行方技术人员</w:t>
            </w:r>
          </w:p>
        </w:tc>
        <w:tc>
          <w:tcPr>
            <w:tcW w:w="2714" w:type="dxa"/>
            <w:tcBorders>
              <w:left w:val="single" w:color="auto" w:sz="4" w:space="0"/>
            </w:tcBorders>
            <w:vAlign w:val="center"/>
          </w:tcPr>
          <w:p w14:paraId="1B47E50F">
            <w:pPr>
              <w:pStyle w:val="45"/>
              <w:rPr>
                <w:rFonts w:hint="eastAsia" w:eastAsia="宋体"/>
                <w:color w:val="auto"/>
                <w:highlight w:val="none"/>
              </w:rPr>
            </w:pPr>
            <w:r>
              <w:rPr>
                <w:rFonts w:hint="eastAsia" w:eastAsia="宋体"/>
                <w:color w:val="auto"/>
                <w:highlight w:val="none"/>
              </w:rPr>
              <w:t>根据甲方前端技术基线要求讲解</w:t>
            </w:r>
          </w:p>
        </w:tc>
      </w:tr>
      <w:tr w14:paraId="229E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82" w:type="dxa"/>
            <w:vAlign w:val="center"/>
          </w:tcPr>
          <w:p w14:paraId="2CC33B76">
            <w:pPr>
              <w:pStyle w:val="45"/>
              <w:jc w:val="center"/>
              <w:rPr>
                <w:rFonts w:hint="eastAsia" w:eastAsia="宋体"/>
                <w:color w:val="auto"/>
                <w:highlight w:val="none"/>
                <w:lang w:val="en-US" w:eastAsia="zh-CN"/>
              </w:rPr>
            </w:pPr>
            <w:r>
              <w:rPr>
                <w:rFonts w:hint="eastAsia"/>
                <w:color w:val="auto"/>
                <w:highlight w:val="none"/>
                <w:lang w:val="en-US" w:eastAsia="zh-CN"/>
              </w:rPr>
              <w:t>6</w:t>
            </w:r>
          </w:p>
        </w:tc>
        <w:tc>
          <w:tcPr>
            <w:tcW w:w="1492" w:type="dxa"/>
            <w:tcBorders>
              <w:left w:val="single" w:color="auto" w:sz="4" w:space="0"/>
            </w:tcBorders>
            <w:vAlign w:val="center"/>
          </w:tcPr>
          <w:p w14:paraId="661D8FA2">
            <w:pPr>
              <w:pStyle w:val="45"/>
              <w:rPr>
                <w:rFonts w:hint="eastAsia" w:eastAsia="宋体"/>
                <w:color w:val="auto"/>
                <w:highlight w:val="none"/>
              </w:rPr>
            </w:pPr>
            <w:r>
              <w:rPr>
                <w:rFonts w:hint="eastAsia" w:eastAsia="宋体"/>
                <w:color w:val="auto"/>
                <w:highlight w:val="none"/>
              </w:rPr>
              <w:t>后端核心功能技术培训</w:t>
            </w:r>
          </w:p>
        </w:tc>
        <w:tc>
          <w:tcPr>
            <w:tcW w:w="1393" w:type="dxa"/>
            <w:tcBorders>
              <w:left w:val="single" w:color="auto" w:sz="4" w:space="0"/>
            </w:tcBorders>
            <w:vAlign w:val="center"/>
          </w:tcPr>
          <w:p w14:paraId="6184C91D">
            <w:pPr>
              <w:pStyle w:val="45"/>
              <w:jc w:val="center"/>
              <w:rPr>
                <w:rFonts w:hint="eastAsia" w:eastAsia="宋体"/>
                <w:color w:val="auto"/>
                <w:highlight w:val="none"/>
              </w:rPr>
            </w:pPr>
            <w:r>
              <w:rPr>
                <w:rFonts w:eastAsia="宋体"/>
                <w:color w:val="auto"/>
                <w:highlight w:val="none"/>
              </w:rPr>
              <w:t>按需</w:t>
            </w:r>
          </w:p>
        </w:tc>
        <w:tc>
          <w:tcPr>
            <w:tcW w:w="1118" w:type="dxa"/>
            <w:vMerge w:val="continue"/>
            <w:tcBorders>
              <w:left w:val="single" w:color="auto" w:sz="4" w:space="0"/>
            </w:tcBorders>
            <w:vAlign w:val="center"/>
          </w:tcPr>
          <w:p w14:paraId="67383E50"/>
        </w:tc>
        <w:tc>
          <w:tcPr>
            <w:tcW w:w="1120" w:type="dxa"/>
            <w:vMerge w:val="continue"/>
            <w:tcBorders>
              <w:left w:val="single" w:color="auto" w:sz="4" w:space="0"/>
            </w:tcBorders>
            <w:vAlign w:val="center"/>
          </w:tcPr>
          <w:p w14:paraId="3FF0B325"/>
        </w:tc>
        <w:tc>
          <w:tcPr>
            <w:tcW w:w="2714" w:type="dxa"/>
            <w:tcBorders>
              <w:left w:val="single" w:color="auto" w:sz="4" w:space="0"/>
            </w:tcBorders>
            <w:vAlign w:val="center"/>
          </w:tcPr>
          <w:p w14:paraId="2BF2818B">
            <w:pPr>
              <w:pStyle w:val="45"/>
              <w:rPr>
                <w:rFonts w:hint="eastAsia" w:eastAsia="宋体"/>
                <w:color w:val="auto"/>
                <w:highlight w:val="none"/>
              </w:rPr>
            </w:pPr>
            <w:r>
              <w:rPr>
                <w:rFonts w:hint="eastAsia" w:eastAsia="宋体"/>
                <w:color w:val="auto"/>
                <w:highlight w:val="none"/>
              </w:rPr>
              <w:t>根据甲方技术架构讲解</w:t>
            </w:r>
          </w:p>
        </w:tc>
      </w:tr>
      <w:tr w14:paraId="4A0E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82" w:type="dxa"/>
            <w:vAlign w:val="center"/>
          </w:tcPr>
          <w:p w14:paraId="2704830F">
            <w:pPr>
              <w:pStyle w:val="45"/>
              <w:jc w:val="center"/>
              <w:rPr>
                <w:rFonts w:hint="eastAsia" w:eastAsia="宋体"/>
                <w:color w:val="auto"/>
                <w:highlight w:val="none"/>
                <w:lang w:val="en-US" w:eastAsia="zh-CN"/>
              </w:rPr>
            </w:pPr>
            <w:r>
              <w:rPr>
                <w:rFonts w:hint="eastAsia"/>
                <w:color w:val="auto"/>
                <w:highlight w:val="none"/>
                <w:lang w:val="en-US" w:eastAsia="zh-CN"/>
              </w:rPr>
              <w:t>7</w:t>
            </w:r>
          </w:p>
        </w:tc>
        <w:tc>
          <w:tcPr>
            <w:tcW w:w="1492" w:type="dxa"/>
            <w:tcBorders>
              <w:left w:val="single" w:color="auto" w:sz="4" w:space="0"/>
            </w:tcBorders>
            <w:vAlign w:val="center"/>
          </w:tcPr>
          <w:p w14:paraId="757F6012">
            <w:pPr>
              <w:pStyle w:val="45"/>
              <w:rPr>
                <w:rFonts w:hint="eastAsia" w:eastAsia="宋体"/>
                <w:color w:val="auto"/>
                <w:highlight w:val="none"/>
              </w:rPr>
            </w:pPr>
            <w:r>
              <w:rPr>
                <w:rFonts w:hint="eastAsia" w:eastAsia="宋体"/>
                <w:color w:val="auto"/>
                <w:highlight w:val="none"/>
              </w:rPr>
              <w:t>关键模块技术培训</w:t>
            </w:r>
          </w:p>
        </w:tc>
        <w:tc>
          <w:tcPr>
            <w:tcW w:w="1393" w:type="dxa"/>
            <w:tcBorders>
              <w:left w:val="single" w:color="auto" w:sz="4" w:space="0"/>
            </w:tcBorders>
            <w:vAlign w:val="center"/>
          </w:tcPr>
          <w:p w14:paraId="36FB93D9">
            <w:pPr>
              <w:pStyle w:val="45"/>
              <w:jc w:val="center"/>
              <w:rPr>
                <w:rFonts w:hint="eastAsia" w:eastAsia="宋体"/>
                <w:color w:val="auto"/>
                <w:highlight w:val="none"/>
              </w:rPr>
            </w:pPr>
            <w:r>
              <w:rPr>
                <w:rFonts w:eastAsia="宋体"/>
                <w:color w:val="auto"/>
                <w:highlight w:val="none"/>
              </w:rPr>
              <w:t>按需</w:t>
            </w:r>
          </w:p>
        </w:tc>
        <w:tc>
          <w:tcPr>
            <w:tcW w:w="1118" w:type="dxa"/>
            <w:vMerge w:val="continue"/>
            <w:tcBorders>
              <w:left w:val="single" w:color="auto" w:sz="4" w:space="0"/>
            </w:tcBorders>
            <w:vAlign w:val="center"/>
          </w:tcPr>
          <w:p w14:paraId="48B006B0"/>
        </w:tc>
        <w:tc>
          <w:tcPr>
            <w:tcW w:w="1120" w:type="dxa"/>
            <w:vMerge w:val="continue"/>
            <w:tcBorders>
              <w:left w:val="single" w:color="auto" w:sz="4" w:space="0"/>
            </w:tcBorders>
            <w:vAlign w:val="center"/>
          </w:tcPr>
          <w:p w14:paraId="2C8D4DDE"/>
        </w:tc>
        <w:tc>
          <w:tcPr>
            <w:tcW w:w="2714" w:type="dxa"/>
            <w:tcBorders>
              <w:left w:val="single" w:color="auto" w:sz="4" w:space="0"/>
            </w:tcBorders>
            <w:vAlign w:val="center"/>
          </w:tcPr>
          <w:p w14:paraId="500B7B8F">
            <w:pPr>
              <w:pStyle w:val="45"/>
              <w:rPr>
                <w:rFonts w:hint="eastAsia" w:eastAsia="宋体"/>
                <w:color w:val="auto"/>
                <w:highlight w:val="none"/>
              </w:rPr>
            </w:pPr>
            <w:r>
              <w:rPr>
                <w:rFonts w:hint="eastAsia" w:eastAsia="宋体"/>
                <w:color w:val="auto"/>
                <w:highlight w:val="none"/>
              </w:rPr>
              <w:t>系统核心关键模块讲解</w:t>
            </w:r>
          </w:p>
        </w:tc>
      </w:tr>
      <w:tr w14:paraId="0C4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82" w:type="dxa"/>
            <w:vAlign w:val="center"/>
          </w:tcPr>
          <w:p w14:paraId="371E076E">
            <w:pPr>
              <w:pStyle w:val="45"/>
              <w:jc w:val="center"/>
              <w:rPr>
                <w:rFonts w:hint="eastAsia" w:eastAsia="宋体"/>
                <w:color w:val="auto"/>
                <w:highlight w:val="none"/>
                <w:lang w:val="en-US" w:eastAsia="zh-CN"/>
              </w:rPr>
            </w:pPr>
            <w:r>
              <w:rPr>
                <w:rFonts w:hint="eastAsia"/>
                <w:color w:val="auto"/>
                <w:highlight w:val="none"/>
                <w:lang w:val="en-US" w:eastAsia="zh-CN"/>
              </w:rPr>
              <w:t>8</w:t>
            </w:r>
          </w:p>
        </w:tc>
        <w:tc>
          <w:tcPr>
            <w:tcW w:w="1492" w:type="dxa"/>
            <w:tcBorders>
              <w:left w:val="single" w:color="auto" w:sz="4" w:space="0"/>
            </w:tcBorders>
            <w:vAlign w:val="center"/>
          </w:tcPr>
          <w:p w14:paraId="2F37709D">
            <w:pPr>
              <w:pStyle w:val="45"/>
              <w:rPr>
                <w:rFonts w:hint="eastAsia" w:eastAsia="宋体"/>
                <w:color w:val="auto"/>
                <w:highlight w:val="none"/>
              </w:rPr>
            </w:pPr>
            <w:r>
              <w:rPr>
                <w:rFonts w:hint="eastAsia" w:eastAsia="宋体"/>
                <w:color w:val="auto"/>
                <w:highlight w:val="none"/>
              </w:rPr>
              <w:t>系统运维工作讲解</w:t>
            </w:r>
          </w:p>
        </w:tc>
        <w:tc>
          <w:tcPr>
            <w:tcW w:w="1393" w:type="dxa"/>
            <w:tcBorders>
              <w:left w:val="single" w:color="auto" w:sz="4" w:space="0"/>
            </w:tcBorders>
            <w:vAlign w:val="center"/>
          </w:tcPr>
          <w:p w14:paraId="7CFA9F94">
            <w:pPr>
              <w:pStyle w:val="45"/>
              <w:jc w:val="center"/>
              <w:rPr>
                <w:rFonts w:hint="eastAsia" w:eastAsia="宋体"/>
                <w:color w:val="auto"/>
                <w:highlight w:val="none"/>
              </w:rPr>
            </w:pPr>
            <w:r>
              <w:rPr>
                <w:rFonts w:eastAsia="宋体"/>
                <w:color w:val="auto"/>
                <w:highlight w:val="none"/>
              </w:rPr>
              <w:t>按需</w:t>
            </w:r>
          </w:p>
        </w:tc>
        <w:tc>
          <w:tcPr>
            <w:tcW w:w="1118" w:type="dxa"/>
            <w:vMerge w:val="continue"/>
            <w:tcBorders>
              <w:left w:val="single" w:color="auto" w:sz="4" w:space="0"/>
            </w:tcBorders>
            <w:vAlign w:val="center"/>
          </w:tcPr>
          <w:p w14:paraId="719C0960"/>
        </w:tc>
        <w:tc>
          <w:tcPr>
            <w:tcW w:w="1120" w:type="dxa"/>
            <w:vMerge w:val="continue"/>
            <w:tcBorders>
              <w:left w:val="single" w:color="auto" w:sz="4" w:space="0"/>
            </w:tcBorders>
            <w:vAlign w:val="center"/>
          </w:tcPr>
          <w:p w14:paraId="0E6FB94B"/>
        </w:tc>
        <w:tc>
          <w:tcPr>
            <w:tcW w:w="2714" w:type="dxa"/>
            <w:tcBorders>
              <w:left w:val="single" w:color="auto" w:sz="4" w:space="0"/>
            </w:tcBorders>
            <w:vAlign w:val="center"/>
          </w:tcPr>
          <w:p w14:paraId="104D0947">
            <w:pPr>
              <w:pStyle w:val="45"/>
              <w:rPr>
                <w:rFonts w:hint="eastAsia" w:eastAsia="宋体"/>
                <w:color w:val="auto"/>
                <w:highlight w:val="none"/>
              </w:rPr>
            </w:pPr>
            <w:r>
              <w:rPr>
                <w:rFonts w:hint="eastAsia" w:eastAsia="宋体"/>
                <w:color w:val="auto"/>
                <w:highlight w:val="none"/>
              </w:rPr>
              <w:t>培训系统日常运维方案、应急预案</w:t>
            </w:r>
          </w:p>
        </w:tc>
      </w:tr>
    </w:tbl>
    <w:p w14:paraId="59CAAB1A">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服务连续性预案</w:t>
      </w:r>
    </w:p>
    <w:p w14:paraId="349283D7">
      <w:pPr>
        <w:rPr>
          <w:rFonts w:hint="eastAsia"/>
          <w:b w:val="0"/>
          <w:bCs w:val="0"/>
          <w:color w:val="auto"/>
          <w:highlight w:val="none"/>
          <w:lang w:val="en-US" w:eastAsia="zh-CN"/>
        </w:rPr>
      </w:pPr>
      <w:r>
        <w:rPr>
          <w:rFonts w:hint="eastAsia"/>
          <w:color w:val="auto"/>
          <w:highlight w:val="none"/>
          <w:lang w:val="en-US" w:eastAsia="zh-CN"/>
        </w:rPr>
        <w:t>在本次询比中，响应人应在响应文件中提供服务连续性预案供采购人查看，服务连续性预案应考虑供应链风险产生的影响。</w:t>
      </w:r>
      <w:r>
        <w:rPr>
          <w:rFonts w:hint="eastAsia"/>
          <w:b w:val="0"/>
          <w:bCs w:val="0"/>
          <w:color w:val="auto"/>
          <w:highlight w:val="none"/>
          <w:lang w:val="en-US" w:eastAsia="zh-CN"/>
        </w:rPr>
        <w:t>【提供服务连续性预案】</w:t>
      </w:r>
    </w:p>
    <w:p w14:paraId="66EF8310">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项目实施方案</w:t>
      </w:r>
    </w:p>
    <w:p w14:paraId="0DB99D12">
      <w:pPr>
        <w:rPr>
          <w:rFonts w:hint="eastAsia"/>
          <w:color w:val="auto"/>
          <w:highlight w:val="none"/>
          <w:lang w:val="en-US" w:eastAsia="zh-CN"/>
        </w:rPr>
      </w:pPr>
      <w:r>
        <w:rPr>
          <w:rFonts w:hint="eastAsia"/>
          <w:color w:val="auto"/>
          <w:highlight w:val="none"/>
          <w:lang w:val="en-US" w:eastAsia="zh-CN"/>
        </w:rPr>
        <w:t>在本次询比中，响应人应在响应文件中提供项目实施方案供采购人查看，方案应包括项目实施时间计划、提交资料、人员安排等内容。</w:t>
      </w:r>
      <w:r>
        <w:rPr>
          <w:rFonts w:hint="eastAsia"/>
          <w:b w:val="0"/>
          <w:bCs w:val="0"/>
          <w:color w:val="auto"/>
          <w:highlight w:val="none"/>
          <w:lang w:val="en-US" w:eastAsia="zh-CN"/>
        </w:rPr>
        <w:t>【提供项目实施方案】</w:t>
      </w:r>
    </w:p>
    <w:p w14:paraId="5D747972">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付款方式</w:t>
      </w:r>
    </w:p>
    <w:p w14:paraId="338BB03A">
      <w:pPr>
        <w:rPr>
          <w:color w:val="auto"/>
          <w:highlight w:val="none"/>
        </w:rPr>
      </w:pPr>
      <w:r>
        <w:rPr>
          <w:rFonts w:hint="eastAsia"/>
          <w:color w:val="auto"/>
          <w:highlight w:val="none"/>
        </w:rPr>
        <w:t>原则上不预付款项，本合同款项采用分期付款：</w:t>
      </w:r>
    </w:p>
    <w:p w14:paraId="2FE4A2CC">
      <w:pPr>
        <w:pStyle w:val="5"/>
        <w:numPr>
          <w:ilvl w:val="0"/>
          <w:numId w:val="29"/>
        </w:numPr>
        <w:ind w:firstLineChars="0"/>
        <w:rPr>
          <w:color w:val="auto"/>
          <w:szCs w:val="24"/>
          <w:highlight w:val="none"/>
          <w:lang w:val="en-US" w:eastAsia="zh-CN"/>
        </w:rPr>
      </w:pPr>
      <w:r>
        <w:rPr>
          <w:rFonts w:hint="eastAsia"/>
          <w:color w:val="auto"/>
          <w:szCs w:val="24"/>
          <w:highlight w:val="none"/>
          <w:lang w:val="en-US" w:eastAsia="zh-CN"/>
        </w:rPr>
        <w:t>第一次付款</w:t>
      </w:r>
    </w:p>
    <w:p w14:paraId="7AA7C581">
      <w:pPr>
        <w:rPr>
          <w:color w:val="auto"/>
          <w:highlight w:val="none"/>
        </w:rPr>
      </w:pPr>
      <w:r>
        <w:rPr>
          <w:rFonts w:hint="eastAsia"/>
          <w:color w:val="auto"/>
          <w:highlight w:val="none"/>
        </w:rPr>
        <w:t>项目在安装、调试并投入试运行后30个工作日内，乙方向甲方提供合法足额的增值税专用发票，甲方向乙方支付合同总额</w:t>
      </w:r>
      <w:r>
        <w:rPr>
          <w:color w:val="auto"/>
          <w:highlight w:val="none"/>
        </w:rPr>
        <w:t>6</w:t>
      </w:r>
      <w:r>
        <w:rPr>
          <w:rFonts w:hint="eastAsia"/>
          <w:color w:val="auto"/>
          <w:highlight w:val="none"/>
        </w:rPr>
        <w:t>0％。</w:t>
      </w:r>
    </w:p>
    <w:p w14:paraId="238B8785">
      <w:pPr>
        <w:pStyle w:val="5"/>
        <w:numPr>
          <w:ilvl w:val="0"/>
          <w:numId w:val="29"/>
        </w:numPr>
        <w:ind w:firstLineChars="0"/>
        <w:rPr>
          <w:color w:val="auto"/>
          <w:szCs w:val="24"/>
          <w:highlight w:val="none"/>
          <w:lang w:val="en-US" w:eastAsia="zh-CN"/>
        </w:rPr>
      </w:pPr>
      <w:r>
        <w:rPr>
          <w:rFonts w:hint="eastAsia"/>
          <w:color w:val="auto"/>
          <w:szCs w:val="24"/>
          <w:highlight w:val="none"/>
          <w:lang w:val="en-US" w:eastAsia="zh-CN"/>
        </w:rPr>
        <w:t>第二次付款</w:t>
      </w:r>
    </w:p>
    <w:p w14:paraId="5491D267">
      <w:pPr>
        <w:rPr>
          <w:color w:val="auto"/>
          <w:highlight w:val="none"/>
        </w:rPr>
      </w:pPr>
      <w:r>
        <w:rPr>
          <w:rFonts w:hint="eastAsia"/>
          <w:color w:val="auto"/>
          <w:highlight w:val="none"/>
        </w:rPr>
        <w:t>项目在正式验收合格后30个工作日内,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0B13FCDB">
      <w:pPr>
        <w:pStyle w:val="5"/>
        <w:numPr>
          <w:ilvl w:val="0"/>
          <w:numId w:val="29"/>
        </w:numPr>
        <w:ind w:firstLineChars="0"/>
        <w:rPr>
          <w:color w:val="auto"/>
          <w:szCs w:val="24"/>
          <w:highlight w:val="none"/>
          <w:lang w:val="en-US" w:eastAsia="zh-CN"/>
        </w:rPr>
      </w:pPr>
      <w:r>
        <w:rPr>
          <w:rFonts w:hint="eastAsia"/>
          <w:color w:val="auto"/>
          <w:szCs w:val="24"/>
          <w:highlight w:val="none"/>
          <w:lang w:val="en-US" w:eastAsia="zh-CN"/>
        </w:rPr>
        <w:t>第三次付款</w:t>
      </w:r>
    </w:p>
    <w:p w14:paraId="38A206FF">
      <w:pPr>
        <w:rPr>
          <w:rFonts w:hint="eastAsia"/>
          <w:color w:val="auto"/>
          <w:highlight w:val="none"/>
          <w:lang w:val="en-US" w:eastAsia="zh-CN"/>
        </w:rPr>
      </w:pPr>
      <w:r>
        <w:rPr>
          <w:rFonts w:hint="eastAsia"/>
          <w:color w:val="auto"/>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709C935E">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保密条款</w:t>
      </w:r>
    </w:p>
    <w:p w14:paraId="687C76FA">
      <w:pPr>
        <w:numPr>
          <w:ilvl w:val="0"/>
          <w:numId w:val="30"/>
        </w:numPr>
        <w:ind w:firstLineChars="0"/>
        <w:rPr>
          <w:rFonts w:hint="eastAsia"/>
          <w:color w:val="auto"/>
          <w:highlight w:val="none"/>
          <w:lang w:val="en-US" w:eastAsia="zh-CN"/>
        </w:rPr>
      </w:pPr>
      <w:r>
        <w:rPr>
          <w:rFonts w:hint="eastAsia"/>
          <w:color w:val="auto"/>
          <w:highlight w:val="none"/>
          <w:lang w:val="en-US" w:eastAsia="zh-CN"/>
        </w:rPr>
        <w:t>保密范围</w:t>
      </w:r>
    </w:p>
    <w:p w14:paraId="2846E1C1">
      <w:pPr>
        <w:rPr>
          <w:rFonts w:hint="eastAsia"/>
          <w:color w:val="auto"/>
          <w:highlight w:val="none"/>
          <w:lang w:val="en-US" w:eastAsia="zh-CN"/>
        </w:rPr>
      </w:pPr>
      <w:r>
        <w:rPr>
          <w:rFonts w:hint="eastAsia"/>
          <w:color w:val="auto"/>
          <w:highlight w:val="none"/>
          <w:lang w:val="en-US" w:eastAsia="zh-CN"/>
        </w:rPr>
        <w:t>成交供应商在实施过程中接触到的采购人知识产权、经营信息等。</w:t>
      </w:r>
    </w:p>
    <w:p w14:paraId="6E9B82EA">
      <w:pPr>
        <w:numPr>
          <w:ilvl w:val="0"/>
          <w:numId w:val="30"/>
        </w:numPr>
        <w:ind w:firstLineChars="0"/>
        <w:rPr>
          <w:rFonts w:hint="eastAsia"/>
          <w:color w:val="auto"/>
          <w:highlight w:val="none"/>
          <w:lang w:val="en-US" w:eastAsia="zh-CN"/>
        </w:rPr>
      </w:pPr>
      <w:r>
        <w:rPr>
          <w:rFonts w:hint="eastAsia"/>
          <w:color w:val="auto"/>
          <w:highlight w:val="none"/>
          <w:lang w:val="en-US" w:eastAsia="zh-CN"/>
        </w:rPr>
        <w:t>保密责任</w:t>
      </w:r>
    </w:p>
    <w:p w14:paraId="3DA81AF5">
      <w:pPr>
        <w:rPr>
          <w:rFonts w:hint="eastAsia"/>
          <w:color w:val="auto"/>
          <w:highlight w:val="none"/>
          <w:lang w:val="en-US" w:eastAsia="zh-CN"/>
        </w:rPr>
      </w:pPr>
      <w:r>
        <w:rPr>
          <w:rFonts w:hint="eastAsia"/>
          <w:color w:val="auto"/>
          <w:highlight w:val="none"/>
          <w:lang w:val="en-US" w:eastAsia="zh-CN"/>
        </w:rPr>
        <w:t>双方互为保密资料的提供方和接受方，负有保密义务，承担保密责任。除经过双方书面同意，任何一方不得将有关内容提供给合同以外的第三人。</w:t>
      </w:r>
    </w:p>
    <w:p w14:paraId="28F453A4">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报价要求</w:t>
      </w:r>
    </w:p>
    <w:p w14:paraId="4904BAD3">
      <w:pPr>
        <w:rPr>
          <w:color w:val="auto"/>
          <w:highlight w:val="none"/>
        </w:rPr>
      </w:pPr>
      <w:r>
        <w:rPr>
          <w:rFonts w:hint="eastAsia"/>
          <w:color w:val="auto"/>
          <w:highlight w:val="none"/>
        </w:rPr>
        <w:t>响应人应严格按照《响应文件格式》</w:t>
      </w:r>
      <w:r>
        <w:rPr>
          <w:color w:val="auto"/>
          <w:highlight w:val="none"/>
        </w:rPr>
        <w:t>的</w:t>
      </w:r>
      <w:r>
        <w:rPr>
          <w:rFonts w:hint="eastAsia"/>
          <w:color w:val="auto"/>
          <w:highlight w:val="none"/>
          <w:lang w:eastAsia="zh-CN"/>
        </w:rPr>
        <w:t>“</w:t>
      </w:r>
      <w:r>
        <w:rPr>
          <w:color w:val="auto"/>
          <w:highlight w:val="none"/>
        </w:rPr>
        <w:t>报价一览表</w:t>
      </w:r>
      <w:r>
        <w:rPr>
          <w:rFonts w:hint="eastAsia"/>
          <w:color w:val="auto"/>
          <w:highlight w:val="none"/>
          <w:lang w:eastAsia="zh-CN"/>
        </w:rPr>
        <w:t>”</w:t>
      </w:r>
      <w:r>
        <w:rPr>
          <w:rFonts w:hint="eastAsia"/>
          <w:color w:val="auto"/>
          <w:highlight w:val="none"/>
        </w:rPr>
        <w:t>的格式认真填写。</w:t>
      </w:r>
    </w:p>
    <w:p w14:paraId="5F040F39">
      <w:pPr>
        <w:pStyle w:val="4"/>
        <w:numPr>
          <w:ilvl w:val="0"/>
          <w:numId w:val="2"/>
        </w:numPr>
        <w:ind w:left="0" w:firstLine="0"/>
        <w:rPr>
          <w:rFonts w:hint="eastAsia"/>
          <w:color w:val="auto"/>
          <w:highlight w:val="none"/>
          <w:lang w:val="en-US" w:eastAsia="zh-CN"/>
        </w:rPr>
      </w:pPr>
      <w:bookmarkStart w:id="52" w:name="_Toc89675153"/>
      <w:bookmarkStart w:id="53" w:name="_Toc15059427"/>
      <w:r>
        <w:rPr>
          <w:rFonts w:hint="eastAsia"/>
          <w:color w:val="auto"/>
          <w:highlight w:val="none"/>
          <w:lang w:val="en-US" w:eastAsia="zh-CN"/>
        </w:rPr>
        <w:t>知识产权</w:t>
      </w:r>
    </w:p>
    <w:p w14:paraId="72238074">
      <w:pPr>
        <w:rPr>
          <w:rFonts w:hint="eastAsia"/>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860C74B">
      <w:pPr>
        <w:rPr>
          <w:rFonts w:hint="eastAsia"/>
          <w:color w:val="auto"/>
          <w:highlight w:val="none"/>
          <w:lang w:val="en-US" w:eastAsia="zh-CN"/>
        </w:rPr>
      </w:pPr>
      <w:r>
        <w:rPr>
          <w:rFonts w:hint="eastAsia"/>
          <w:color w:val="auto"/>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38A8D118">
      <w:pPr>
        <w:pStyle w:val="4"/>
        <w:numPr>
          <w:ilvl w:val="0"/>
          <w:numId w:val="2"/>
        </w:numPr>
        <w:ind w:left="0" w:firstLine="0"/>
        <w:rPr>
          <w:rFonts w:hint="eastAsia"/>
          <w:color w:val="auto"/>
          <w:highlight w:val="none"/>
          <w:lang w:val="en-US" w:eastAsia="zh-CN"/>
        </w:rPr>
      </w:pPr>
      <w:r>
        <w:rPr>
          <w:rFonts w:hint="eastAsia"/>
          <w:color w:val="auto"/>
          <w:highlight w:val="none"/>
          <w:lang w:val="en-US" w:eastAsia="zh-CN"/>
        </w:rPr>
        <w:t>其他</w:t>
      </w:r>
      <w:bookmarkEnd w:id="52"/>
      <w:bookmarkEnd w:id="53"/>
    </w:p>
    <w:p w14:paraId="34D7577C">
      <w:pPr>
        <w:numPr>
          <w:ilvl w:val="0"/>
          <w:numId w:val="31"/>
        </w:numPr>
        <w:ind w:firstLineChars="0"/>
        <w:rPr>
          <w:rFonts w:hint="eastAsia"/>
          <w:color w:val="auto"/>
          <w:highlight w:val="none"/>
          <w:lang w:val="en-US" w:eastAsia="zh-CN"/>
        </w:rPr>
      </w:pPr>
      <w:r>
        <w:rPr>
          <w:rFonts w:hint="eastAsia"/>
          <w:color w:val="auto"/>
          <w:highlight w:val="none"/>
          <w:lang w:val="en-US" w:eastAsia="zh-CN"/>
        </w:rPr>
        <w:t>响应人必须在响应承诺函中对本章内容做出整体性响应和承诺，承诺内容必须达到本章及询比文件其他条款的要求。</w:t>
      </w:r>
    </w:p>
    <w:p w14:paraId="1F2E4CB3">
      <w:pPr>
        <w:numPr>
          <w:ilvl w:val="0"/>
          <w:numId w:val="31"/>
        </w:numPr>
        <w:ind w:firstLineChars="0"/>
        <w:rPr>
          <w:rFonts w:hint="eastAsia"/>
          <w:color w:val="auto"/>
          <w:highlight w:val="none"/>
          <w:lang w:val="en-US" w:eastAsia="zh-CN"/>
        </w:rPr>
      </w:pPr>
      <w:r>
        <w:rPr>
          <w:rFonts w:hint="eastAsia"/>
          <w:color w:val="auto"/>
          <w:highlight w:val="none"/>
          <w:lang w:val="en-US" w:eastAsia="zh-CN"/>
        </w:rPr>
        <w:t>响应人应根据本章内容和要求，提供对应资料，无遗漏。</w:t>
      </w:r>
    </w:p>
    <w:p w14:paraId="333CD266">
      <w:pPr>
        <w:numPr>
          <w:ilvl w:val="0"/>
          <w:numId w:val="31"/>
        </w:numPr>
        <w:ind w:firstLineChars="0"/>
        <w:rPr>
          <w:rFonts w:hint="eastAsia"/>
          <w:color w:val="auto"/>
          <w:highlight w:val="none"/>
          <w:lang w:val="en-US" w:eastAsia="zh-CN"/>
        </w:rPr>
      </w:pPr>
      <w:r>
        <w:rPr>
          <w:rFonts w:hint="eastAsia"/>
          <w:color w:val="auto"/>
          <w:highlight w:val="none"/>
          <w:lang w:val="en-US" w:eastAsia="zh-CN"/>
        </w:rPr>
        <w:t>其他未尽事宜由供需双方在合同中详细约定。</w:t>
      </w:r>
    </w:p>
    <w:p w14:paraId="38BB86E4">
      <w:pPr>
        <w:pStyle w:val="13"/>
        <w:ind w:left="0" w:firstLine="0" w:firstLineChars="0"/>
        <w:rPr>
          <w:rFonts w:hint="eastAsia"/>
          <w:color w:val="auto"/>
          <w:highlight w:val="none"/>
          <w:lang w:val="en-US" w:eastAsia="zh-CN"/>
        </w:rPr>
      </w:pPr>
    </w:p>
    <w:p w14:paraId="1BEC44B1">
      <w:pPr>
        <w:pStyle w:val="13"/>
        <w:rPr>
          <w:rFonts w:hint="eastAsia"/>
          <w:color w:val="auto"/>
          <w:highlight w:val="none"/>
          <w:lang w:val="en-US" w:eastAsia="zh-CN"/>
        </w:rPr>
      </w:pPr>
    </w:p>
    <w:p w14:paraId="1B79C945">
      <w:pPr>
        <w:rPr>
          <w:color w:val="auto"/>
          <w:highlight w:val="none"/>
        </w:rPr>
      </w:pPr>
    </w:p>
    <w:p w14:paraId="2D9AB5E3">
      <w:pPr>
        <w:rPr>
          <w:color w:val="auto"/>
          <w:highlight w:val="none"/>
        </w:rPr>
      </w:pPr>
      <w:r>
        <w:rPr>
          <w:rFonts w:hint="eastAsia"/>
          <w:color w:val="auto"/>
          <w:highlight w:val="none"/>
        </w:rPr>
        <w:br w:type="page"/>
      </w:r>
    </w:p>
    <w:p w14:paraId="1029F215">
      <w:pPr>
        <w:pStyle w:val="3"/>
        <w:rPr>
          <w:color w:val="auto"/>
          <w:highlight w:val="none"/>
        </w:rPr>
      </w:pPr>
      <w:bookmarkStart w:id="54" w:name="_Toc29189"/>
      <w:bookmarkStart w:id="55" w:name="_Toc10788"/>
      <w:bookmarkStart w:id="56" w:name="_Toc15913"/>
      <w:r>
        <w:rPr>
          <w:rFonts w:hint="eastAsia"/>
          <w:color w:val="auto"/>
          <w:highlight w:val="none"/>
        </w:rPr>
        <w:t>第四章 评审办法（综合评估法）</w:t>
      </w:r>
      <w:bookmarkEnd w:id="54"/>
      <w:bookmarkEnd w:id="55"/>
      <w:bookmarkEnd w:id="56"/>
    </w:p>
    <w:p w14:paraId="7BADCBCA">
      <w:pPr>
        <w:pStyle w:val="4"/>
        <w:rPr>
          <w:color w:val="auto"/>
          <w:highlight w:val="none"/>
        </w:rPr>
      </w:pPr>
      <w:bookmarkStart w:id="57" w:name="_Toc14810"/>
      <w:bookmarkStart w:id="58" w:name="_Toc27076"/>
      <w:bookmarkStart w:id="59" w:name="_Toc11471"/>
      <w:bookmarkStart w:id="60" w:name="_Toc2028"/>
      <w:r>
        <w:rPr>
          <w:rFonts w:hint="eastAsia"/>
          <w:color w:val="auto"/>
          <w:highlight w:val="none"/>
        </w:rPr>
        <w:t>评审办法前附表</w:t>
      </w:r>
      <w:bookmarkEnd w:id="57"/>
      <w:bookmarkEnd w:id="58"/>
      <w:bookmarkEnd w:id="59"/>
      <w:bookmarkEnd w:id="60"/>
    </w:p>
    <w:p w14:paraId="558336AD">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10"/>
        <w:gridCol w:w="1382"/>
        <w:gridCol w:w="372"/>
        <w:gridCol w:w="5651"/>
      </w:tblGrid>
      <w:tr w14:paraId="1136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2AF0CF02">
            <w:pPr>
              <w:pStyle w:val="46"/>
              <w:rPr>
                <w:rFonts w:hint="eastAsia" w:ascii="宋体" w:hAnsi="宋体" w:eastAsia="宋体" w:cs="宋体"/>
                <w:color w:val="auto"/>
                <w:sz w:val="21"/>
                <w:szCs w:val="21"/>
                <w:highlight w:val="none"/>
              </w:rPr>
            </w:pPr>
            <w:bookmarkStart w:id="61" w:name="CQZH1_07"/>
            <w:r>
              <w:rPr>
                <w:rFonts w:hint="eastAsia" w:ascii="宋体" w:hAnsi="宋体" w:eastAsia="宋体" w:cs="宋体"/>
                <w:color w:val="auto"/>
                <w:sz w:val="21"/>
                <w:szCs w:val="21"/>
                <w:highlight w:val="none"/>
              </w:rPr>
              <w:t>条款号</w:t>
            </w:r>
          </w:p>
        </w:tc>
        <w:tc>
          <w:tcPr>
            <w:tcW w:w="1210" w:type="dxa"/>
            <w:vAlign w:val="center"/>
          </w:tcPr>
          <w:p w14:paraId="4CB00875">
            <w:pPr>
              <w:pStyle w:val="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405" w:type="dxa"/>
            <w:gridSpan w:val="3"/>
            <w:vAlign w:val="center"/>
          </w:tcPr>
          <w:p w14:paraId="1E679D47">
            <w:pPr>
              <w:pStyle w:val="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088C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277C2ED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0" w:type="dxa"/>
            <w:tcBorders>
              <w:left w:val="single" w:color="auto" w:sz="4" w:space="0"/>
            </w:tcBorders>
            <w:vAlign w:val="center"/>
          </w:tcPr>
          <w:p w14:paraId="5D2F1DEF">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405" w:type="dxa"/>
            <w:gridSpan w:val="3"/>
            <w:tcBorders>
              <w:left w:val="single" w:color="auto" w:sz="4" w:space="0"/>
            </w:tcBorders>
            <w:vAlign w:val="center"/>
          </w:tcPr>
          <w:p w14:paraId="790E094C">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本次评审采用综合评估法。评审委员会按照评审办法前附表第2.1 条规定的标准进行初步评审，初步评审合格的响应人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评审委员会按照评审办法前附表第2.2 条规定的评分标准进行打分，按得分由高到低顺序</w:t>
            </w:r>
            <w:r>
              <w:rPr>
                <w:rFonts w:hint="eastAsia" w:ascii="宋体" w:hAnsi="宋体" w:cs="宋体"/>
                <w:color w:val="auto"/>
                <w:sz w:val="21"/>
                <w:szCs w:val="21"/>
                <w:highlight w:val="none"/>
                <w:lang w:val="en-US" w:eastAsia="zh-CN"/>
              </w:rPr>
              <w:t>排序</w:t>
            </w:r>
            <w:r>
              <w:rPr>
                <w:rFonts w:hint="eastAsia" w:ascii="宋体" w:hAnsi="宋体" w:eastAsia="宋体" w:cs="宋体"/>
                <w:color w:val="auto"/>
                <w:sz w:val="21"/>
                <w:szCs w:val="21"/>
                <w:highlight w:val="none"/>
              </w:rPr>
              <w:t>，但响应报价低于其成本的除外。综合评分相等时，以响应报价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低的优先；响应报价也相等的，由评审委员会按照</w:t>
            </w:r>
            <w:r>
              <w:rPr>
                <w:rFonts w:hint="eastAsia" w:ascii="宋体" w:hAnsi="宋体" w:eastAsia="宋体" w:cs="宋体"/>
                <w:color w:val="auto"/>
                <w:sz w:val="21"/>
                <w:szCs w:val="21"/>
                <w:highlight w:val="none"/>
                <w:lang w:val="en-US" w:eastAsia="zh-CN"/>
              </w:rPr>
              <w:t>响应人实施案例得分由高到低的</w:t>
            </w:r>
            <w:r>
              <w:rPr>
                <w:rFonts w:hint="eastAsia" w:ascii="宋体" w:hAnsi="宋体" w:eastAsia="宋体" w:cs="宋体"/>
                <w:color w:val="auto"/>
                <w:sz w:val="21"/>
                <w:szCs w:val="21"/>
                <w:highlight w:val="none"/>
              </w:rPr>
              <w:t>原则</w:t>
            </w:r>
            <w:r>
              <w:rPr>
                <w:rFonts w:hint="eastAsia"/>
                <w:lang w:val="en-US" w:eastAsia="zh-CN"/>
              </w:rPr>
              <w:t>确定排名</w:t>
            </w:r>
            <w:r>
              <w:rPr>
                <w:rFonts w:hint="eastAsia"/>
              </w:rPr>
              <w:t>。</w:t>
            </w:r>
            <w:r>
              <w:rPr>
                <w:rFonts w:hint="eastAsia"/>
                <w:highlight w:val="none"/>
                <w:lang w:val="en-US" w:eastAsia="zh-CN"/>
              </w:rPr>
              <w:t>根据项目所需成交供应商数量，按照排名顺序确定成交供应商。</w:t>
            </w:r>
          </w:p>
        </w:tc>
      </w:tr>
      <w:tr w14:paraId="7AAF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5EF8F77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210" w:type="dxa"/>
            <w:tcBorders>
              <w:left w:val="single" w:color="auto" w:sz="4" w:space="0"/>
            </w:tcBorders>
            <w:vAlign w:val="center"/>
          </w:tcPr>
          <w:p w14:paraId="2633D65D">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初步评审标准</w:t>
            </w:r>
          </w:p>
        </w:tc>
        <w:tc>
          <w:tcPr>
            <w:tcW w:w="7405" w:type="dxa"/>
            <w:gridSpan w:val="3"/>
            <w:tcBorders>
              <w:left w:val="single" w:color="auto" w:sz="4" w:space="0"/>
            </w:tcBorders>
            <w:vAlign w:val="center"/>
          </w:tcPr>
          <w:p w14:paraId="0B80486F">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所有响应单位进行初步评审。初步评审内容：资格评审、形式评审、响应性评审。</w:t>
            </w:r>
          </w:p>
        </w:tc>
      </w:tr>
      <w:tr w14:paraId="3D24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17E9BA09">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210" w:type="dxa"/>
            <w:tcBorders>
              <w:left w:val="single" w:color="auto" w:sz="4" w:space="0"/>
            </w:tcBorders>
            <w:vAlign w:val="center"/>
          </w:tcPr>
          <w:p w14:paraId="474E9140">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382" w:type="dxa"/>
            <w:tcBorders>
              <w:left w:val="single" w:color="auto" w:sz="4" w:space="0"/>
            </w:tcBorders>
            <w:vAlign w:val="center"/>
          </w:tcPr>
          <w:p w14:paraId="2BBD06F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资格条件要求</w:t>
            </w:r>
          </w:p>
        </w:tc>
        <w:tc>
          <w:tcPr>
            <w:tcW w:w="6023" w:type="dxa"/>
            <w:gridSpan w:val="2"/>
            <w:tcBorders>
              <w:left w:val="single" w:color="auto" w:sz="4" w:space="0"/>
            </w:tcBorders>
            <w:vAlign w:val="center"/>
          </w:tcPr>
          <w:p w14:paraId="15C84FB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符合第一章“2. 响应人资格要求”规定</w:t>
            </w:r>
          </w:p>
        </w:tc>
      </w:tr>
      <w:tr w14:paraId="4327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restart"/>
            <w:vAlign w:val="center"/>
          </w:tcPr>
          <w:p w14:paraId="6D4D6F13">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210" w:type="dxa"/>
            <w:vMerge w:val="restart"/>
            <w:tcBorders>
              <w:left w:val="single" w:color="auto" w:sz="4" w:space="0"/>
            </w:tcBorders>
            <w:vAlign w:val="center"/>
          </w:tcPr>
          <w:p w14:paraId="1FB8A66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382" w:type="dxa"/>
            <w:tcBorders>
              <w:left w:val="single" w:color="auto" w:sz="4" w:space="0"/>
            </w:tcBorders>
            <w:vAlign w:val="center"/>
          </w:tcPr>
          <w:p w14:paraId="73DFDCE9">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响应人名称</w:t>
            </w:r>
          </w:p>
        </w:tc>
        <w:tc>
          <w:tcPr>
            <w:tcW w:w="6023" w:type="dxa"/>
            <w:gridSpan w:val="2"/>
            <w:tcBorders>
              <w:left w:val="single" w:color="auto" w:sz="4" w:space="0"/>
            </w:tcBorders>
            <w:vAlign w:val="center"/>
          </w:tcPr>
          <w:p w14:paraId="3971C91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与营业执照、资格证明材料一致</w:t>
            </w:r>
          </w:p>
        </w:tc>
      </w:tr>
      <w:tr w14:paraId="73B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1388FBE7"/>
        </w:tc>
        <w:tc>
          <w:tcPr>
            <w:tcW w:w="1210" w:type="dxa"/>
            <w:vMerge w:val="continue"/>
            <w:tcBorders>
              <w:left w:val="single" w:color="auto" w:sz="4" w:space="0"/>
            </w:tcBorders>
            <w:textDirection w:val="tbRlV"/>
            <w:vAlign w:val="center"/>
          </w:tcPr>
          <w:p w14:paraId="2792ECDF"/>
        </w:tc>
        <w:tc>
          <w:tcPr>
            <w:tcW w:w="1382" w:type="dxa"/>
            <w:tcBorders>
              <w:left w:val="single" w:color="auto" w:sz="4" w:space="0"/>
            </w:tcBorders>
            <w:vAlign w:val="center"/>
          </w:tcPr>
          <w:p w14:paraId="76BD7BFA">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响应文件的签字盖章</w:t>
            </w:r>
          </w:p>
        </w:tc>
        <w:tc>
          <w:tcPr>
            <w:tcW w:w="6023" w:type="dxa"/>
            <w:gridSpan w:val="2"/>
            <w:tcBorders>
              <w:left w:val="single" w:color="auto" w:sz="4" w:space="0"/>
            </w:tcBorders>
            <w:vAlign w:val="center"/>
          </w:tcPr>
          <w:p w14:paraId="24D1BED2">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符合第二章“响应人须知”4.6 条规定</w:t>
            </w:r>
          </w:p>
        </w:tc>
      </w:tr>
      <w:tr w14:paraId="595A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2189DA27"/>
        </w:tc>
        <w:tc>
          <w:tcPr>
            <w:tcW w:w="1210" w:type="dxa"/>
            <w:vMerge w:val="continue"/>
            <w:tcBorders>
              <w:left w:val="single" w:color="auto" w:sz="4" w:space="0"/>
            </w:tcBorders>
            <w:textDirection w:val="tbRlV"/>
            <w:vAlign w:val="center"/>
          </w:tcPr>
          <w:p w14:paraId="6075E033"/>
        </w:tc>
        <w:tc>
          <w:tcPr>
            <w:tcW w:w="1382" w:type="dxa"/>
            <w:tcBorders>
              <w:left w:val="single" w:color="auto" w:sz="4" w:space="0"/>
            </w:tcBorders>
            <w:vAlign w:val="center"/>
          </w:tcPr>
          <w:p w14:paraId="5702D64F">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响应文件的密封</w:t>
            </w:r>
          </w:p>
        </w:tc>
        <w:tc>
          <w:tcPr>
            <w:tcW w:w="6023" w:type="dxa"/>
            <w:gridSpan w:val="2"/>
            <w:tcBorders>
              <w:left w:val="single" w:color="auto" w:sz="4" w:space="0"/>
            </w:tcBorders>
            <w:vAlign w:val="center"/>
          </w:tcPr>
          <w:p w14:paraId="0CF38924">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符合第二章“响应人须知”4.7 条规定</w:t>
            </w:r>
          </w:p>
        </w:tc>
      </w:tr>
      <w:tr w14:paraId="3147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7247153B"/>
        </w:tc>
        <w:tc>
          <w:tcPr>
            <w:tcW w:w="1210" w:type="dxa"/>
            <w:vMerge w:val="continue"/>
            <w:tcBorders>
              <w:left w:val="single" w:color="auto" w:sz="4" w:space="0"/>
            </w:tcBorders>
            <w:textDirection w:val="tbRlV"/>
            <w:vAlign w:val="center"/>
          </w:tcPr>
          <w:p w14:paraId="38EDC7E7"/>
        </w:tc>
        <w:tc>
          <w:tcPr>
            <w:tcW w:w="1382" w:type="dxa"/>
            <w:tcBorders>
              <w:left w:val="single" w:color="auto" w:sz="4" w:space="0"/>
            </w:tcBorders>
            <w:vAlign w:val="center"/>
          </w:tcPr>
          <w:p w14:paraId="17CD39B9">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响应文件格式</w:t>
            </w:r>
          </w:p>
        </w:tc>
        <w:tc>
          <w:tcPr>
            <w:tcW w:w="6023" w:type="dxa"/>
            <w:gridSpan w:val="2"/>
            <w:tcBorders>
              <w:left w:val="single" w:color="auto" w:sz="4" w:space="0"/>
            </w:tcBorders>
            <w:vAlign w:val="center"/>
          </w:tcPr>
          <w:p w14:paraId="405CDEA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符合第六章“响应文件格式”的要求</w:t>
            </w:r>
          </w:p>
        </w:tc>
      </w:tr>
      <w:tr w14:paraId="491D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2F841AE3"/>
        </w:tc>
        <w:tc>
          <w:tcPr>
            <w:tcW w:w="1210" w:type="dxa"/>
            <w:vMerge w:val="continue"/>
            <w:tcBorders>
              <w:left w:val="single" w:color="auto" w:sz="4" w:space="0"/>
            </w:tcBorders>
            <w:textDirection w:val="tbRlV"/>
            <w:vAlign w:val="center"/>
          </w:tcPr>
          <w:p w14:paraId="1160EDD4"/>
        </w:tc>
        <w:tc>
          <w:tcPr>
            <w:tcW w:w="1382" w:type="dxa"/>
            <w:tcBorders>
              <w:left w:val="single" w:color="auto" w:sz="4" w:space="0"/>
            </w:tcBorders>
            <w:vAlign w:val="center"/>
          </w:tcPr>
          <w:p w14:paraId="6466EF1C">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w:t>
            </w:r>
          </w:p>
        </w:tc>
        <w:tc>
          <w:tcPr>
            <w:tcW w:w="6023" w:type="dxa"/>
            <w:gridSpan w:val="2"/>
            <w:tcBorders>
              <w:left w:val="single" w:color="auto" w:sz="4" w:space="0"/>
            </w:tcBorders>
            <w:vAlign w:val="center"/>
          </w:tcPr>
          <w:p w14:paraId="62320251">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符合第二章“响应人须知”4.2 条规定，内容齐全、无遗漏</w:t>
            </w:r>
          </w:p>
        </w:tc>
      </w:tr>
      <w:tr w14:paraId="1826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68D9C60C"/>
        </w:tc>
        <w:tc>
          <w:tcPr>
            <w:tcW w:w="1210" w:type="dxa"/>
            <w:vMerge w:val="continue"/>
            <w:tcBorders>
              <w:left w:val="single" w:color="auto" w:sz="4" w:space="0"/>
            </w:tcBorders>
            <w:textDirection w:val="tbRlV"/>
            <w:vAlign w:val="center"/>
          </w:tcPr>
          <w:p w14:paraId="36EF6245"/>
        </w:tc>
        <w:tc>
          <w:tcPr>
            <w:tcW w:w="1382" w:type="dxa"/>
            <w:tcBorders>
              <w:left w:val="single" w:color="auto" w:sz="4" w:space="0"/>
            </w:tcBorders>
            <w:vAlign w:val="center"/>
          </w:tcPr>
          <w:p w14:paraId="1A9CC210">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联合体响应</w:t>
            </w:r>
          </w:p>
        </w:tc>
        <w:tc>
          <w:tcPr>
            <w:tcW w:w="6023" w:type="dxa"/>
            <w:gridSpan w:val="2"/>
            <w:tcBorders>
              <w:left w:val="single" w:color="auto" w:sz="4" w:space="0"/>
            </w:tcBorders>
            <w:vAlign w:val="center"/>
          </w:tcPr>
          <w:p w14:paraId="50F1268B">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符合第一章“2. 响应人资格要求”2.5 条的要求</w:t>
            </w:r>
          </w:p>
        </w:tc>
      </w:tr>
      <w:tr w14:paraId="6D07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49" w:type="dxa"/>
            <w:vMerge w:val="restart"/>
            <w:vAlign w:val="center"/>
          </w:tcPr>
          <w:p w14:paraId="6DD49604">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210" w:type="dxa"/>
            <w:vMerge w:val="restart"/>
            <w:tcBorders>
              <w:left w:val="single" w:color="auto" w:sz="4" w:space="0"/>
            </w:tcBorders>
            <w:vAlign w:val="center"/>
          </w:tcPr>
          <w:p w14:paraId="3427FC5F">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382" w:type="dxa"/>
            <w:tcBorders>
              <w:left w:val="single" w:color="auto" w:sz="4" w:space="0"/>
            </w:tcBorders>
            <w:vAlign w:val="center"/>
          </w:tcPr>
          <w:p w14:paraId="3A11E744">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响应内容</w:t>
            </w:r>
          </w:p>
        </w:tc>
        <w:tc>
          <w:tcPr>
            <w:tcW w:w="6023" w:type="dxa"/>
            <w:gridSpan w:val="2"/>
            <w:tcBorders>
              <w:left w:val="single" w:color="auto" w:sz="4" w:space="0"/>
            </w:tcBorders>
            <w:vAlign w:val="center"/>
          </w:tcPr>
          <w:p w14:paraId="5CEE3679">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在响应承诺函中对第三章“项目要求”内容做出整体承诺；</w:t>
            </w:r>
          </w:p>
          <w:p w14:paraId="1F90BC8E">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根据第一章“2. 响应人资格要求”和第三章“项目要求”的要求规定，提供对应资料，内容齐全、无遗漏。</w:t>
            </w:r>
          </w:p>
        </w:tc>
      </w:tr>
      <w:tr w14:paraId="5CE9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07BEEDA6"/>
        </w:tc>
        <w:tc>
          <w:tcPr>
            <w:tcW w:w="1210" w:type="dxa"/>
            <w:vMerge w:val="continue"/>
            <w:tcBorders>
              <w:left w:val="single" w:color="auto" w:sz="4" w:space="0"/>
            </w:tcBorders>
          </w:tcPr>
          <w:p w14:paraId="1FF3EC49"/>
        </w:tc>
        <w:tc>
          <w:tcPr>
            <w:tcW w:w="1382" w:type="dxa"/>
            <w:tcBorders>
              <w:left w:val="single" w:color="auto" w:sz="4" w:space="0"/>
            </w:tcBorders>
            <w:vAlign w:val="center"/>
          </w:tcPr>
          <w:p w14:paraId="4DABB0F8">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6023" w:type="dxa"/>
            <w:gridSpan w:val="2"/>
            <w:tcBorders>
              <w:left w:val="single" w:color="auto" w:sz="4" w:space="0"/>
            </w:tcBorders>
            <w:vAlign w:val="center"/>
          </w:tcPr>
          <w:p w14:paraId="393F6C5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符合第二章“响应人须知”4.6 条规定</w:t>
            </w:r>
          </w:p>
        </w:tc>
      </w:tr>
      <w:tr w14:paraId="5DE9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428FBCE6"/>
        </w:tc>
        <w:tc>
          <w:tcPr>
            <w:tcW w:w="1210" w:type="dxa"/>
            <w:vMerge w:val="continue"/>
            <w:tcBorders>
              <w:left w:val="single" w:color="auto" w:sz="4" w:space="0"/>
            </w:tcBorders>
          </w:tcPr>
          <w:p w14:paraId="09B6B9BB"/>
        </w:tc>
        <w:tc>
          <w:tcPr>
            <w:tcW w:w="1382" w:type="dxa"/>
            <w:tcBorders>
              <w:left w:val="single" w:color="auto" w:sz="4" w:space="0"/>
            </w:tcBorders>
            <w:vAlign w:val="center"/>
          </w:tcPr>
          <w:p w14:paraId="22B6146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响应方案唯一</w:t>
            </w:r>
          </w:p>
        </w:tc>
        <w:tc>
          <w:tcPr>
            <w:tcW w:w="6023" w:type="dxa"/>
            <w:gridSpan w:val="2"/>
            <w:tcBorders>
              <w:left w:val="single" w:color="auto" w:sz="4" w:space="0"/>
            </w:tcBorders>
            <w:vAlign w:val="center"/>
          </w:tcPr>
          <w:p w14:paraId="592F7B15">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只能有一个方案响应。</w:t>
            </w:r>
          </w:p>
        </w:tc>
      </w:tr>
      <w:tr w14:paraId="276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16278873"/>
        </w:tc>
        <w:tc>
          <w:tcPr>
            <w:tcW w:w="1210" w:type="dxa"/>
            <w:vMerge w:val="continue"/>
            <w:tcBorders>
              <w:left w:val="single" w:color="auto" w:sz="4" w:space="0"/>
            </w:tcBorders>
          </w:tcPr>
          <w:p w14:paraId="25BABF8A"/>
        </w:tc>
        <w:tc>
          <w:tcPr>
            <w:tcW w:w="1382" w:type="dxa"/>
            <w:tcBorders>
              <w:left w:val="single" w:color="auto" w:sz="4" w:space="0"/>
            </w:tcBorders>
            <w:vAlign w:val="center"/>
          </w:tcPr>
          <w:p w14:paraId="7B6D4583">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w:t>
            </w:r>
          </w:p>
        </w:tc>
        <w:tc>
          <w:tcPr>
            <w:tcW w:w="6023" w:type="dxa"/>
            <w:gridSpan w:val="2"/>
            <w:tcBorders>
              <w:left w:val="single" w:color="auto" w:sz="4" w:space="0"/>
            </w:tcBorders>
            <w:vAlign w:val="center"/>
          </w:tcPr>
          <w:p w14:paraId="45300CAC">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符合第二章“响应人须知”4.8 条规定</w:t>
            </w:r>
          </w:p>
        </w:tc>
      </w:tr>
      <w:tr w14:paraId="19AE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5ECBD843"/>
        </w:tc>
        <w:tc>
          <w:tcPr>
            <w:tcW w:w="1210" w:type="dxa"/>
            <w:vMerge w:val="continue"/>
            <w:tcBorders>
              <w:left w:val="single" w:color="auto" w:sz="4" w:space="0"/>
            </w:tcBorders>
          </w:tcPr>
          <w:p w14:paraId="140DCF1D"/>
        </w:tc>
        <w:tc>
          <w:tcPr>
            <w:tcW w:w="1382" w:type="dxa"/>
            <w:tcBorders>
              <w:left w:val="single" w:color="auto" w:sz="4" w:space="0"/>
            </w:tcBorders>
            <w:vAlign w:val="center"/>
          </w:tcPr>
          <w:p w14:paraId="77A3D81A">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响应有效期</w:t>
            </w:r>
          </w:p>
        </w:tc>
        <w:tc>
          <w:tcPr>
            <w:tcW w:w="6023" w:type="dxa"/>
            <w:gridSpan w:val="2"/>
            <w:tcBorders>
              <w:left w:val="single" w:color="auto" w:sz="4" w:space="0"/>
            </w:tcBorders>
          </w:tcPr>
          <w:p w14:paraId="6E54081F">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符合第二章“响应人须知”4.4 条规定</w:t>
            </w:r>
          </w:p>
        </w:tc>
      </w:tr>
      <w:tr w14:paraId="0CE5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5EDDEADF"/>
        </w:tc>
        <w:tc>
          <w:tcPr>
            <w:tcW w:w="1210" w:type="dxa"/>
            <w:vMerge w:val="continue"/>
            <w:tcBorders>
              <w:left w:val="single" w:color="auto" w:sz="4" w:space="0"/>
            </w:tcBorders>
          </w:tcPr>
          <w:p w14:paraId="4F11AE34"/>
        </w:tc>
        <w:tc>
          <w:tcPr>
            <w:tcW w:w="1382" w:type="dxa"/>
            <w:tcBorders>
              <w:left w:val="single" w:color="auto" w:sz="4" w:space="0"/>
            </w:tcBorders>
            <w:vAlign w:val="center"/>
          </w:tcPr>
          <w:p w14:paraId="06ABC512">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响应保证金</w:t>
            </w:r>
          </w:p>
        </w:tc>
        <w:tc>
          <w:tcPr>
            <w:tcW w:w="6023" w:type="dxa"/>
            <w:gridSpan w:val="2"/>
            <w:tcBorders>
              <w:left w:val="single" w:color="auto" w:sz="4" w:space="0"/>
            </w:tcBorders>
          </w:tcPr>
          <w:p w14:paraId="3B357FA7">
            <w:pPr>
              <w:pStyle w:val="45"/>
              <w:rPr>
                <w:rFonts w:hint="eastAsia" w:ascii="宋体" w:hAnsi="宋体" w:eastAsia="宋体" w:cs="宋体"/>
                <w:color w:val="auto"/>
                <w:sz w:val="21"/>
                <w:szCs w:val="21"/>
                <w:highlight w:val="none"/>
              </w:rPr>
            </w:pPr>
            <w:r>
              <w:rPr>
                <w:rFonts w:hint="eastAsia"/>
              </w:rPr>
              <w:t>按时足额缴纳响应保证金，以重庆市公共资源交易中心《投标保证金交纳情况一览表》为准。</w:t>
            </w:r>
          </w:p>
        </w:tc>
      </w:tr>
      <w:tr w14:paraId="7AF1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8" w:hRule="atLeast"/>
          <w:jc w:val="center"/>
        </w:trPr>
        <w:tc>
          <w:tcPr>
            <w:tcW w:w="849" w:type="dxa"/>
            <w:vMerge w:val="restart"/>
            <w:vAlign w:val="center"/>
          </w:tcPr>
          <w:p w14:paraId="56514C53">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10" w:type="dxa"/>
            <w:vMerge w:val="restart"/>
            <w:tcBorders>
              <w:left w:val="single" w:color="auto" w:sz="4" w:space="0"/>
            </w:tcBorders>
            <w:vAlign w:val="center"/>
          </w:tcPr>
          <w:p w14:paraId="36A1024B">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1382" w:type="dxa"/>
            <w:vMerge w:val="restart"/>
            <w:tcBorders>
              <w:left w:val="single" w:color="auto" w:sz="4" w:space="0"/>
            </w:tcBorders>
            <w:vAlign w:val="center"/>
          </w:tcPr>
          <w:p w14:paraId="1B108D1B">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分值构成与评分标准</w:t>
            </w:r>
          </w:p>
          <w:p w14:paraId="143AFD7D">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c>
          <w:tcPr>
            <w:tcW w:w="6023" w:type="dxa"/>
            <w:gridSpan w:val="2"/>
            <w:tcBorders>
              <w:left w:val="single" w:color="auto" w:sz="4" w:space="0"/>
            </w:tcBorders>
            <w:vAlign w:val="center"/>
          </w:tcPr>
          <w:p w14:paraId="3E841490">
            <w:pPr>
              <w:pStyle w:val="45"/>
              <w:numPr>
                <w:ilvl w:val="0"/>
                <w:numId w:val="32"/>
              </w:num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响应报价评分规则（分值：</w:t>
            </w:r>
            <w:r>
              <w:rPr>
                <w:rFonts w:hint="eastAsia" w:ascii="宋体" w:hAnsi="宋体" w:eastAsia="宋体" w:cs="宋体"/>
                <w:b/>
                <w:bCs w:val="0"/>
                <w:color w:val="auto"/>
                <w:sz w:val="21"/>
                <w:szCs w:val="21"/>
                <w:highlight w:val="none"/>
                <w:lang w:val="en-US" w:eastAsia="zh-CN"/>
              </w:rPr>
              <w:t>40</w:t>
            </w:r>
            <w:r>
              <w:rPr>
                <w:rFonts w:hint="eastAsia" w:ascii="宋体" w:hAnsi="宋体" w:eastAsia="宋体" w:cs="宋体"/>
                <w:b/>
                <w:bCs w:val="0"/>
                <w:color w:val="auto"/>
                <w:sz w:val="21"/>
                <w:szCs w:val="21"/>
                <w:highlight w:val="none"/>
              </w:rPr>
              <w:t>分）</w:t>
            </w:r>
          </w:p>
          <w:p w14:paraId="63A3E82A">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 以各有效报价之和的平均价格作为</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基准价，基准分为40分；</w:t>
            </w:r>
          </w:p>
          <w:p w14:paraId="40CA6647">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 计算各响应人报价与</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基准价的偏离度。偏离度=（有效报价/</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基准价-1）*100%；</w:t>
            </w:r>
          </w:p>
          <w:p w14:paraId="10BD733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 报价每向上偏离基准价的1%扣1分；扣完为止，不足1%的不予扣减；</w:t>
            </w:r>
          </w:p>
          <w:p w14:paraId="5B1A754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向下偏离基准价10%以内的，不扣分；向下偏离基准价超过10%的，在向下偏离基准价10%的基础上，向下偏离每多超过1%扣0.5分，扣完为止，不足1%的不予扣减</w:t>
            </w:r>
            <w:r>
              <w:rPr>
                <w:rFonts w:hint="eastAsia" w:ascii="宋体" w:hAnsi="宋体" w:eastAsia="宋体" w:cs="宋体"/>
                <w:color w:val="auto"/>
                <w:kern w:val="0"/>
                <w:sz w:val="21"/>
                <w:szCs w:val="21"/>
                <w:highlight w:val="none"/>
                <w:lang w:eastAsia="zh-CN"/>
              </w:rPr>
              <w:t>；</w:t>
            </w:r>
          </w:p>
          <w:p w14:paraId="4FB06257">
            <w:pPr>
              <w:pStyle w:val="2"/>
              <w:ind w:left="0" w:firstLine="0" w:firstLineChars="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 向下偏离基准价超过30%的，在以上规则计分得分基础上，额外扣减5分。</w:t>
            </w:r>
          </w:p>
          <w:p w14:paraId="505BE6D8">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52068BF4">
            <w:pPr>
              <w:keepNext w:val="0"/>
              <w:keepLines w:val="0"/>
              <w:pageBreakBefore w:val="0"/>
              <w:widowControl w:val="0"/>
              <w:numPr>
                <w:ilvl w:val="0"/>
                <w:numId w:val="33"/>
              </w:numPr>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b w:val="0"/>
                <w:color w:val="auto"/>
                <w:spacing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价格使用</w:t>
            </w:r>
            <w:r>
              <w:rPr>
                <w:rFonts w:hint="eastAsia" w:ascii="宋体" w:hAnsi="宋体" w:eastAsia="宋体" w:cs="宋体"/>
                <w:b w:val="0"/>
                <w:color w:val="auto"/>
                <w:spacing w:val="0"/>
                <w:sz w:val="21"/>
                <w:szCs w:val="21"/>
                <w:highlight w:val="none"/>
              </w:rPr>
              <w:t>含税</w:t>
            </w:r>
            <w:r>
              <w:rPr>
                <w:rFonts w:hint="eastAsia" w:ascii="宋体" w:hAnsi="宋体" w:eastAsia="宋体" w:cs="宋体"/>
                <w:b w:val="0"/>
                <w:color w:val="auto"/>
                <w:spacing w:val="0"/>
                <w:sz w:val="21"/>
                <w:szCs w:val="21"/>
                <w:highlight w:val="none"/>
                <w:lang w:val="en-US" w:eastAsia="zh-CN"/>
              </w:rPr>
              <w:t>响应报价进行计算；</w:t>
            </w:r>
          </w:p>
          <w:p w14:paraId="4237AA4C">
            <w:pPr>
              <w:keepNext w:val="0"/>
              <w:keepLines w:val="0"/>
              <w:pageBreakBefore w:val="0"/>
              <w:widowControl w:val="0"/>
              <w:numPr>
                <w:ilvl w:val="0"/>
                <w:numId w:val="33"/>
              </w:numPr>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有效供应商超过5家时，去掉一个最高价和一个最低价进行平均值计算；</w:t>
            </w:r>
          </w:p>
        </w:tc>
      </w:tr>
      <w:tr w14:paraId="508F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jc w:val="center"/>
        </w:trPr>
        <w:tc>
          <w:tcPr>
            <w:tcW w:w="849" w:type="dxa"/>
            <w:vMerge w:val="continue"/>
            <w:vAlign w:val="center"/>
          </w:tcPr>
          <w:p w14:paraId="0ACAB3A4"/>
        </w:tc>
        <w:tc>
          <w:tcPr>
            <w:tcW w:w="1210" w:type="dxa"/>
            <w:vMerge w:val="continue"/>
            <w:tcBorders>
              <w:left w:val="single" w:color="auto" w:sz="4" w:space="0"/>
            </w:tcBorders>
            <w:vAlign w:val="center"/>
          </w:tcPr>
          <w:p w14:paraId="1CC560CE"/>
        </w:tc>
        <w:tc>
          <w:tcPr>
            <w:tcW w:w="1382" w:type="dxa"/>
            <w:vMerge w:val="continue"/>
            <w:tcBorders>
              <w:left w:val="single" w:color="auto" w:sz="4" w:space="0"/>
            </w:tcBorders>
            <w:vAlign w:val="center"/>
          </w:tcPr>
          <w:p w14:paraId="70D3011E"/>
        </w:tc>
        <w:tc>
          <w:tcPr>
            <w:tcW w:w="6023" w:type="dxa"/>
            <w:gridSpan w:val="2"/>
            <w:tcBorders>
              <w:left w:val="single" w:color="auto" w:sz="4" w:space="0"/>
            </w:tcBorders>
            <w:vAlign w:val="center"/>
          </w:tcPr>
          <w:p w14:paraId="4D7B2438">
            <w:pPr>
              <w:pStyle w:val="45"/>
              <w:numPr>
                <w:ilvl w:val="0"/>
                <w:numId w:val="34"/>
              </w:num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商务部分评分规则（分值：30）</w:t>
            </w:r>
          </w:p>
          <w:p w14:paraId="557AAA36">
            <w:pPr>
              <w:pStyle w:val="45"/>
              <w:numPr>
                <w:ilvl w:val="0"/>
                <w:numId w:val="35"/>
              </w:num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实施案例（15分）</w:t>
            </w:r>
          </w:p>
          <w:p w14:paraId="55A86034">
            <w:pPr>
              <w:pStyle w:val="45"/>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根据响应人提供的【项目案例和业绩证明文件】进行评分</w:t>
            </w:r>
          </w:p>
          <w:p w14:paraId="6449ADCF">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left="0" w:firstLine="0" w:firstLineChars="0"/>
              <w:jc w:val="left"/>
              <w:textAlignment w:val="auto"/>
              <w:rPr>
                <w:rFonts w:hint="eastAsia"/>
                <w:b w:val="0"/>
                <w:bCs w:val="0"/>
                <w:color w:val="auto"/>
                <w:highlight w:val="none"/>
                <w:lang w:val="en-US" w:eastAsia="zh-CN"/>
              </w:rPr>
            </w:pPr>
            <w:r>
              <w:rPr>
                <w:rFonts w:hint="eastAsia" w:ascii="宋体" w:hAnsi="宋体" w:eastAsia="宋体" w:cs="宋体"/>
                <w:b w:val="0"/>
                <w:bCs w:val="0"/>
                <w:color w:val="auto"/>
                <w:kern w:val="0"/>
                <w:sz w:val="21"/>
                <w:szCs w:val="21"/>
                <w:highlight w:val="none"/>
                <w:lang w:val="en-US" w:eastAsia="zh-CN"/>
              </w:rPr>
              <w:t>数据治理板块：响应人每提供一个银行业数据治理（数据管控）平台实施案例，得1分；合同名称包含数据治理平台、数据管控平台关键字</w:t>
            </w:r>
            <w:r>
              <w:rPr>
                <w:rFonts w:hint="eastAsia"/>
                <w:color w:val="auto"/>
                <w:highlight w:val="none"/>
                <w:lang w:val="en-US" w:eastAsia="zh-CN"/>
              </w:rPr>
              <w:t>之一</w:t>
            </w:r>
            <w:r>
              <w:rPr>
                <w:rFonts w:hint="eastAsia" w:ascii="宋体" w:hAnsi="宋体" w:eastAsia="宋体" w:cs="宋体"/>
                <w:b w:val="0"/>
                <w:bCs w:val="0"/>
                <w:color w:val="auto"/>
                <w:kern w:val="0"/>
                <w:sz w:val="21"/>
                <w:szCs w:val="21"/>
                <w:highlight w:val="none"/>
                <w:lang w:val="en-US" w:eastAsia="zh-CN"/>
              </w:rPr>
              <w:t>或服务范围同时包含元数据、数据质量、数据标准三个模块计为1个有效案例。</w:t>
            </w:r>
          </w:p>
          <w:p w14:paraId="6566FA84">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数据资产管理板块：响应人每提供一个银行业数据资产管理平台（系统）实施案例，得1分；</w:t>
            </w:r>
            <w:r>
              <w:rPr>
                <w:rFonts w:hint="eastAsia" w:ascii="宋体" w:hAnsi="宋体" w:eastAsia="宋体" w:cs="宋体"/>
                <w:b w:val="0"/>
                <w:bCs w:val="0"/>
                <w:color w:val="auto"/>
                <w:sz w:val="21"/>
                <w:szCs w:val="21"/>
                <w:highlight w:val="none"/>
                <w:lang w:val="en-US" w:eastAsia="zh-CN"/>
              </w:rPr>
              <w:t>合同名称包含数据资产</w:t>
            </w:r>
            <w:r>
              <w:rPr>
                <w:rFonts w:hint="eastAsia"/>
                <w:color w:val="auto"/>
                <w:highlight w:val="none"/>
                <w:lang w:val="en-US" w:eastAsia="zh-CN"/>
              </w:rPr>
              <w:t>管理</w:t>
            </w:r>
            <w:r>
              <w:rPr>
                <w:rFonts w:hint="eastAsia" w:ascii="宋体" w:hAnsi="宋体" w:eastAsia="宋体" w:cs="宋体"/>
                <w:b w:val="0"/>
                <w:bCs w:val="0"/>
                <w:color w:val="auto"/>
                <w:sz w:val="21"/>
                <w:szCs w:val="21"/>
                <w:highlight w:val="none"/>
                <w:lang w:val="en-US" w:eastAsia="zh-CN"/>
              </w:rPr>
              <w:t>平台(系统)或服务范围包含数据资产</w:t>
            </w:r>
            <w:r>
              <w:rPr>
                <w:rFonts w:hint="eastAsia"/>
                <w:color w:val="auto"/>
                <w:highlight w:val="none"/>
                <w:lang w:val="en-US" w:eastAsia="zh-CN"/>
              </w:rPr>
              <w:t>管理</w:t>
            </w:r>
            <w:r>
              <w:rPr>
                <w:rFonts w:hint="eastAsia" w:ascii="宋体" w:hAnsi="宋体" w:eastAsia="宋体" w:cs="宋体"/>
                <w:b w:val="0"/>
                <w:bCs w:val="0"/>
                <w:color w:val="auto"/>
                <w:sz w:val="21"/>
                <w:szCs w:val="21"/>
                <w:highlight w:val="none"/>
                <w:lang w:val="en-US" w:eastAsia="zh-CN"/>
              </w:rPr>
              <w:t>平台(系统)计为1个有效案例</w:t>
            </w:r>
            <w:r>
              <w:rPr>
                <w:rFonts w:hint="eastAsia" w:ascii="宋体" w:hAnsi="宋体" w:eastAsia="宋体" w:cs="宋体"/>
                <w:b w:val="0"/>
                <w:bCs w:val="0"/>
                <w:color w:val="auto"/>
                <w:kern w:val="0"/>
                <w:sz w:val="21"/>
                <w:szCs w:val="21"/>
                <w:highlight w:val="none"/>
                <w:lang w:val="en-US" w:eastAsia="zh-CN"/>
              </w:rPr>
              <w:t>。</w:t>
            </w:r>
          </w:p>
          <w:p w14:paraId="095E4971">
            <w:pPr>
              <w:pStyle w:val="13"/>
              <w:ind w:left="0" w:firstLine="0" w:firstLineChars="0"/>
              <w:rPr>
                <w:rFonts w:hint="eastAsia"/>
                <w:b w:val="0"/>
                <w:bCs w:val="0"/>
                <w:color w:val="auto"/>
                <w:highlight w:val="none"/>
                <w:lang w:val="en-US" w:eastAsia="zh-CN"/>
              </w:rPr>
            </w:pPr>
            <w:r>
              <w:rPr>
                <w:rFonts w:hint="eastAsia" w:ascii="宋体" w:hAnsi="宋体" w:eastAsia="宋体" w:cs="宋体"/>
                <w:b w:val="0"/>
                <w:bCs w:val="0"/>
                <w:color w:val="auto"/>
                <w:kern w:val="0"/>
                <w:sz w:val="21"/>
                <w:szCs w:val="21"/>
                <w:highlight w:val="none"/>
                <w:lang w:val="en-US" w:eastAsia="zh-CN"/>
              </w:rPr>
              <w:t>若案例为国有大行或全国性股份制银行（总行级）案例，则每个案例得2分。</w:t>
            </w:r>
          </w:p>
          <w:p w14:paraId="3D186884">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据安全分类分级板块：响应人每提供一个银行业数据安全分类分级实施案例，得1分；合同名称包含分类分级关键字或服务范围包含数据安全分类分级计为1个有效案例。（分类分级案例和数据治理、数据资产管理可以在同一个案例中）</w:t>
            </w:r>
          </w:p>
          <w:p w14:paraId="1CF5F68A">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数据门户板块：每提供一个银行业数据门户实施案例，得</w:t>
            </w:r>
            <w:r>
              <w:rPr>
                <w:rFonts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分；合同名称或实施内容包含数据门户计为1个有效案例。（数据门户案例和数据治理、数据资产管理可以在同一个案例中）</w:t>
            </w:r>
          </w:p>
          <w:p w14:paraId="21FB5817">
            <w:pPr>
              <w:keepNext w:val="0"/>
              <w:keepLines w:val="0"/>
              <w:pageBreakBefore w:val="0"/>
              <w:widowControl w:val="0"/>
              <w:numPr>
                <w:ilvl w:val="0"/>
                <w:numId w:val="36"/>
              </w:numPr>
              <w:kinsoku/>
              <w:wordWrap/>
              <w:overflowPunct/>
              <w:topLinePunct w:val="0"/>
              <w:autoSpaceDE w:val="0"/>
              <w:autoSpaceDN w:val="0"/>
              <w:bidi w:val="0"/>
              <w:adjustRightInd/>
              <w:snapToGrid/>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所有提供的案例中若包含信创建设案例，额外得1分。信创案例需在合同中体现适配国产数据库、中间件和国产操作系统等。此处信创案例需为数据治理平台或数据资产管理平台相关案例。</w:t>
            </w:r>
          </w:p>
          <w:p w14:paraId="4BA567AB">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实施案例部分最高得15分。</w:t>
            </w:r>
          </w:p>
          <w:p w14:paraId="277B2539">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0ED74E50">
            <w:pPr>
              <w:keepNext w:val="0"/>
              <w:keepLines w:val="0"/>
              <w:pageBreakBefore w:val="0"/>
              <w:widowControl w:val="0"/>
              <w:numPr>
                <w:ilvl w:val="0"/>
                <w:numId w:val="37"/>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案例时间以合同签订时间为准；计算案例的时间区间为</w:t>
            </w:r>
            <w:r>
              <w:rPr>
                <w:rFonts w:hint="eastAsia" w:ascii="宋体" w:hAnsi="宋体" w:eastAsia="宋体" w:cs="宋体"/>
                <w:color w:val="auto"/>
                <w:sz w:val="21"/>
                <w:szCs w:val="21"/>
                <w:highlight w:val="none"/>
                <w:lang w:val="en-US" w:eastAsia="zh-CN"/>
              </w:rPr>
              <w:t>2023年1月1日至</w:t>
            </w:r>
            <w:r>
              <w:rPr>
                <w:rFonts w:hint="eastAsia"/>
                <w:color w:val="auto"/>
                <w:highlight w:val="none"/>
                <w:lang w:val="en-US" w:eastAsia="zh-CN"/>
              </w:rPr>
              <w:t>响应截止日</w:t>
            </w:r>
            <w:r>
              <w:rPr>
                <w:rFonts w:hint="eastAsia" w:ascii="宋体" w:hAnsi="宋体" w:eastAsia="宋体" w:cs="宋体"/>
                <w:color w:val="auto"/>
                <w:sz w:val="21"/>
                <w:szCs w:val="21"/>
                <w:highlight w:val="none"/>
                <w:lang w:val="en-US" w:eastAsia="zh-CN"/>
              </w:rPr>
              <w:t>；</w:t>
            </w:r>
          </w:p>
          <w:p w14:paraId="2AAAC759">
            <w:pPr>
              <w:keepNext w:val="0"/>
              <w:keepLines w:val="0"/>
              <w:pageBreakBefore w:val="0"/>
              <w:widowControl w:val="0"/>
              <w:numPr>
                <w:ilvl w:val="0"/>
                <w:numId w:val="37"/>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响应资格要求部分的案例纳入该部分案例计分；</w:t>
            </w:r>
          </w:p>
          <w:p w14:paraId="7F6A4AA8">
            <w:pPr>
              <w:keepNext w:val="0"/>
              <w:keepLines w:val="0"/>
              <w:pageBreakBefore w:val="0"/>
              <w:widowControl w:val="0"/>
              <w:numPr>
                <w:ilvl w:val="0"/>
                <w:numId w:val="37"/>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已计入到治理平台的案例，不再计入资产平台案例；已计入到数据资产平台的案例不再计入数据治理平台案例；</w:t>
            </w:r>
          </w:p>
          <w:p w14:paraId="76289679">
            <w:pPr>
              <w:keepNext w:val="0"/>
              <w:keepLines w:val="0"/>
              <w:pageBreakBefore w:val="0"/>
              <w:widowControl w:val="0"/>
              <w:numPr>
                <w:ilvl w:val="0"/>
                <w:numId w:val="37"/>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以上</w:t>
            </w:r>
            <w:r>
              <w:rPr>
                <w:rFonts w:hint="eastAsia" w:ascii="宋体" w:hAnsi="宋体" w:eastAsia="宋体" w:cs="宋体"/>
                <w:color w:val="auto"/>
                <w:sz w:val="21"/>
                <w:szCs w:val="21"/>
                <w:highlight w:val="none"/>
                <w:lang w:val="en-US" w:eastAsia="zh-CN"/>
              </w:rPr>
              <w:t>国有大行指：中国工商银行、中国农业银行、中国银行、中国建设银行、交通银行、中国邮政储蓄银行；</w:t>
            </w:r>
          </w:p>
          <w:p w14:paraId="6AD794B9">
            <w:pPr>
              <w:keepNext w:val="0"/>
              <w:keepLines w:val="0"/>
              <w:pageBreakBefore w:val="0"/>
              <w:widowControl w:val="0"/>
              <w:numPr>
                <w:ilvl w:val="0"/>
                <w:numId w:val="37"/>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以上全国性股份制银行指：招商银行、浦发银行、中信银行、光大银行、华夏银行、民生银行、广发银行、兴业银行、平安银行、浙商银行、恒丰银行和渤海银行；</w:t>
            </w:r>
          </w:p>
          <w:p w14:paraId="306E8288">
            <w:pPr>
              <w:keepNext w:val="0"/>
              <w:keepLines w:val="0"/>
              <w:pageBreakBefore w:val="0"/>
              <w:widowControl w:val="0"/>
              <w:numPr>
                <w:ilvl w:val="0"/>
                <w:numId w:val="37"/>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合同类型为维保类合同、人力外包类合同、二期及以上升级类合同、纯咨询类合同、分包转包，视为无效案例，不予计分。</w:t>
            </w:r>
          </w:p>
          <w:p w14:paraId="0FF17804">
            <w:pPr>
              <w:pStyle w:val="45"/>
              <w:rPr>
                <w:rFonts w:hint="eastAsia" w:ascii="宋体" w:hAnsi="宋体" w:eastAsia="宋体" w:cs="宋体"/>
                <w:b/>
                <w:bCs w:val="0"/>
                <w:color w:val="auto"/>
                <w:sz w:val="21"/>
                <w:szCs w:val="21"/>
                <w:highlight w:val="none"/>
                <w:lang w:val="en-US" w:eastAsia="zh-CN"/>
              </w:rPr>
            </w:pPr>
          </w:p>
          <w:p w14:paraId="42A0FE80">
            <w:pPr>
              <w:pStyle w:val="45"/>
              <w:numPr>
                <w:ilvl w:val="0"/>
                <w:numId w:val="35"/>
              </w:num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实施团队</w:t>
            </w:r>
            <w:r>
              <w:rPr>
                <w:rFonts w:hint="eastAsia" w:ascii="宋体" w:hAnsi="宋体" w:cs="宋体"/>
                <w:b/>
                <w:bCs w:val="0"/>
                <w:color w:val="auto"/>
                <w:sz w:val="21"/>
                <w:szCs w:val="21"/>
                <w:highlight w:val="none"/>
                <w:lang w:val="en-US" w:eastAsia="zh-CN"/>
              </w:rPr>
              <w:t>信息</w:t>
            </w:r>
            <w:r>
              <w:rPr>
                <w:rFonts w:hint="eastAsia" w:ascii="宋体" w:hAnsi="宋体" w:eastAsia="宋体" w:cs="宋体"/>
                <w:b/>
                <w:bCs w:val="0"/>
                <w:color w:val="auto"/>
                <w:sz w:val="21"/>
                <w:szCs w:val="21"/>
                <w:highlight w:val="none"/>
                <w:lang w:val="en-US" w:eastAsia="zh-CN"/>
              </w:rPr>
              <w:t>（5分）</w:t>
            </w:r>
          </w:p>
          <w:p w14:paraId="5B270433">
            <w:pPr>
              <w:pStyle w:val="4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根据响应人提供的【实施团队</w:t>
            </w:r>
            <w:r>
              <w:rPr>
                <w:rFonts w:hint="eastAsia" w:ascii="宋体" w:hAnsi="宋体" w:cs="宋体"/>
                <w:b w:val="0"/>
                <w:bCs/>
                <w:i w:val="0"/>
                <w:iCs w:val="0"/>
                <w:color w:val="auto"/>
                <w:sz w:val="21"/>
                <w:szCs w:val="21"/>
                <w:highlight w:val="none"/>
                <w:lang w:val="en-US" w:eastAsia="zh-CN"/>
              </w:rPr>
              <w:t>信息</w:t>
            </w:r>
            <w:r>
              <w:rPr>
                <w:rFonts w:hint="eastAsia" w:ascii="宋体" w:hAnsi="宋体" w:eastAsia="宋体" w:cs="宋体"/>
                <w:b w:val="0"/>
                <w:bCs/>
                <w:i w:val="0"/>
                <w:iCs w:val="0"/>
                <w:color w:val="auto"/>
                <w:sz w:val="21"/>
                <w:szCs w:val="21"/>
                <w:highlight w:val="none"/>
                <w:lang w:val="en-US" w:eastAsia="zh-CN"/>
              </w:rPr>
              <w:t>】进行评分</w:t>
            </w:r>
          </w:p>
          <w:p w14:paraId="65AA64A2">
            <w:pPr>
              <w:keepNext w:val="0"/>
              <w:keepLines w:val="0"/>
              <w:pageBreakBefore w:val="0"/>
              <w:widowControl w:val="0"/>
              <w:numPr>
                <w:ilvl w:val="0"/>
                <w:numId w:val="38"/>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咨询顾问具备国有大行或全国性股份制银行数据资产平台建设或咨询案例（总行级），得1分；</w:t>
            </w:r>
          </w:p>
          <w:p w14:paraId="3C3CF45E">
            <w:pPr>
              <w:keepNext w:val="0"/>
              <w:keepLines w:val="0"/>
              <w:pageBreakBefore w:val="0"/>
              <w:widowControl w:val="0"/>
              <w:numPr>
                <w:ilvl w:val="0"/>
                <w:numId w:val="38"/>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数据治理工程师具备国有大行或全国性股份制银行数据资产盘点或数据治理案例（总行级），得1分；</w:t>
            </w:r>
          </w:p>
          <w:p w14:paraId="3BCD42B6">
            <w:pPr>
              <w:keepNext w:val="0"/>
              <w:keepLines w:val="0"/>
              <w:pageBreakBefore w:val="0"/>
              <w:widowControl w:val="0"/>
              <w:numPr>
                <w:ilvl w:val="0"/>
                <w:numId w:val="38"/>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数据治理工程师具有CDGA或CDGP或CDMP认证</w:t>
            </w:r>
            <w:r>
              <w:rPr>
                <w:rFonts w:hint="eastAsia"/>
                <w:color w:val="auto"/>
                <w:highlight w:val="none"/>
                <w:lang w:val="en-US" w:eastAsia="zh-CN"/>
              </w:rPr>
              <w:t>之一</w:t>
            </w:r>
            <w:r>
              <w:rPr>
                <w:rFonts w:hint="eastAsia" w:ascii="宋体" w:hAnsi="宋体" w:eastAsia="宋体" w:cs="宋体"/>
                <w:color w:val="auto"/>
                <w:kern w:val="0"/>
                <w:sz w:val="21"/>
                <w:szCs w:val="21"/>
                <w:highlight w:val="none"/>
                <w:lang w:val="en-US" w:eastAsia="zh-CN"/>
              </w:rPr>
              <w:t>，得1分；</w:t>
            </w:r>
          </w:p>
          <w:p w14:paraId="082D577C">
            <w:pPr>
              <w:keepNext w:val="0"/>
              <w:keepLines w:val="0"/>
              <w:pageBreakBefore w:val="0"/>
              <w:widowControl w:val="0"/>
              <w:numPr>
                <w:ilvl w:val="0"/>
                <w:numId w:val="38"/>
              </w:numPr>
              <w:kinsoku/>
              <w:wordWrap/>
              <w:overflowPunct/>
              <w:topLinePunct w:val="0"/>
              <w:autoSpaceDE w:val="0"/>
              <w:autoSpaceDN w:val="0"/>
              <w:bidi w:val="0"/>
              <w:spacing w:line="400" w:lineRule="exact"/>
              <w:ind w:left="0" w:firstLine="0" w:firstLineChars="0"/>
              <w:jc w:val="left"/>
              <w:textAlignment w:val="auto"/>
              <w:rPr>
                <w:rFonts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项目经理具备PMP认证，得1分；</w:t>
            </w:r>
          </w:p>
          <w:p w14:paraId="19D0C6B5">
            <w:pPr>
              <w:keepNext w:val="0"/>
              <w:keepLines w:val="0"/>
              <w:pageBreakBefore w:val="0"/>
              <w:widowControl w:val="0"/>
              <w:numPr>
                <w:ilvl w:val="0"/>
                <w:numId w:val="38"/>
              </w:numPr>
              <w:kinsoku/>
              <w:wordWrap/>
              <w:overflowPunct/>
              <w:topLinePunct w:val="0"/>
              <w:autoSpaceDE w:val="0"/>
              <w:autoSpaceDN w:val="0"/>
              <w:spacing w:line="400" w:lineRule="exact"/>
              <w:ind w:left="0" w:firstLine="0" w:firstLineChars="0"/>
              <w:jc w:val="left"/>
              <w:rPr>
                <w:color w:val="auto"/>
                <w:highlight w:val="none"/>
                <w:lang w:val="en-US" w:eastAsia="zh-CN"/>
              </w:rPr>
            </w:pPr>
            <w:r>
              <w:rPr>
                <w:rFonts w:hint="eastAsia" w:ascii="宋体" w:hAnsi="宋体" w:eastAsia="宋体" w:cs="宋体"/>
                <w:color w:val="auto"/>
                <w:kern w:val="0"/>
                <w:sz w:val="21"/>
                <w:szCs w:val="21"/>
                <w:highlight w:val="none"/>
                <w:lang w:val="en-US" w:eastAsia="zh-CN"/>
              </w:rPr>
              <w:t>实施团队人员数量及结构，在响应人间横向比较</w:t>
            </w:r>
            <w:r>
              <w:rPr>
                <w:rFonts w:hint="eastAsia" w:ascii="宋体" w:hAnsi="宋体" w:eastAsia="宋体" w:cs="宋体"/>
                <w:b/>
                <w:bCs/>
                <w:color w:val="auto"/>
                <w:kern w:val="0"/>
                <w:sz w:val="21"/>
                <w:szCs w:val="21"/>
                <w:highlight w:val="none"/>
                <w:lang w:val="en-US" w:eastAsia="zh-CN"/>
              </w:rPr>
              <w:t>最优的</w:t>
            </w:r>
            <w:r>
              <w:rPr>
                <w:rFonts w:hint="eastAsia" w:ascii="宋体" w:hAnsi="宋体" w:eastAsia="宋体" w:cs="宋体"/>
                <w:color w:val="auto"/>
                <w:kern w:val="0"/>
                <w:sz w:val="21"/>
                <w:szCs w:val="21"/>
                <w:highlight w:val="none"/>
                <w:lang w:val="en-US" w:eastAsia="zh-CN"/>
              </w:rPr>
              <w:t>，得1分。</w:t>
            </w:r>
          </w:p>
          <w:p w14:paraId="06723DC4">
            <w:pPr>
              <w:pStyle w:val="45"/>
              <w:rPr>
                <w:rFonts w:hint="eastAsia" w:ascii="宋体" w:hAnsi="宋体" w:eastAsia="宋体" w:cs="宋体"/>
                <w:b/>
                <w:bCs w:val="0"/>
                <w:color w:val="auto"/>
                <w:sz w:val="21"/>
                <w:szCs w:val="21"/>
                <w:highlight w:val="none"/>
                <w:lang w:val="en-US" w:eastAsia="zh-CN"/>
              </w:rPr>
            </w:pPr>
          </w:p>
          <w:p w14:paraId="45950E4C">
            <w:pPr>
              <w:pStyle w:val="45"/>
              <w:numPr>
                <w:ilvl w:val="0"/>
                <w:numId w:val="35"/>
              </w:numP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售后服务和支持方案（10分）</w:t>
            </w:r>
          </w:p>
          <w:p w14:paraId="2303930A">
            <w:pPr>
              <w:pStyle w:val="45"/>
              <w:rPr>
                <w:color w:val="auto"/>
                <w:highlight w:val="none"/>
                <w:lang w:val="en-US" w:eastAsia="zh-CN"/>
              </w:rPr>
            </w:pPr>
            <w:r>
              <w:rPr>
                <w:rFonts w:hint="eastAsia" w:ascii="宋体" w:hAnsi="宋体" w:eastAsia="宋体" w:cs="宋体"/>
                <w:b w:val="0"/>
                <w:bCs/>
                <w:i w:val="0"/>
                <w:iCs w:val="0"/>
                <w:color w:val="auto"/>
                <w:sz w:val="21"/>
                <w:szCs w:val="21"/>
                <w:highlight w:val="none"/>
                <w:lang w:val="en-US" w:eastAsia="zh-CN"/>
              </w:rPr>
              <w:t>根据响应人提供的【售后服务和支持方案】进行评分</w:t>
            </w:r>
          </w:p>
          <w:p w14:paraId="08FF7A43">
            <w:pPr>
              <w:keepNext w:val="0"/>
              <w:keepLines w:val="0"/>
              <w:pageBreakBefore w:val="0"/>
              <w:widowControl w:val="0"/>
              <w:numPr>
                <w:ilvl w:val="0"/>
                <w:numId w:val="39"/>
              </w:numPr>
              <w:kinsoku/>
              <w:wordWrap/>
              <w:overflowPunct/>
              <w:topLinePunct w:val="0"/>
              <w:autoSpaceDE w:val="0"/>
              <w:autoSpaceDN w:val="0"/>
              <w:bidi w:val="0"/>
              <w:spacing w:line="400" w:lineRule="exact"/>
              <w:ind w:left="0" w:firstLine="0" w:firstLineChars="0"/>
              <w:jc w:val="left"/>
              <w:textAlignment w:val="auto"/>
              <w:rPr>
                <w:rFonts w:ascii="Times New Roman" w:hAnsi="Times New Roman" w:cs="Times New Roman"/>
                <w:color w:val="auto"/>
                <w:highlight w:val="none"/>
                <w:lang w:val="en-US" w:eastAsia="zh-CN"/>
              </w:rPr>
            </w:pPr>
            <w:r>
              <w:rPr>
                <w:rFonts w:ascii="Times New Roman" w:hAnsi="Times New Roman" w:eastAsia="宋体" w:cs="Times New Roman"/>
                <w:color w:val="auto"/>
                <w:kern w:val="0"/>
                <w:sz w:val="21"/>
                <w:szCs w:val="21"/>
                <w:highlight w:val="none"/>
                <w:lang w:val="en-US" w:eastAsia="zh-CN"/>
              </w:rPr>
              <w:t>免费维保期时长（2分）。在询比文件要求的2年产品免费维保期的基础上，增加免费维保期，每增加1年免费维保期得1分，最高得2分。</w:t>
            </w:r>
          </w:p>
          <w:p w14:paraId="48642C60">
            <w:pPr>
              <w:keepNext w:val="0"/>
              <w:keepLines w:val="0"/>
              <w:pageBreakBefore w:val="0"/>
              <w:widowControl w:val="0"/>
              <w:numPr>
                <w:ilvl w:val="0"/>
                <w:numId w:val="39"/>
              </w:numPr>
              <w:kinsoku/>
              <w:wordWrap/>
              <w:overflowPunct/>
              <w:topLinePunct w:val="0"/>
              <w:autoSpaceDE w:val="0"/>
              <w:autoSpaceDN w:val="0"/>
              <w:bidi w:val="0"/>
              <w:spacing w:line="400" w:lineRule="exact"/>
              <w:ind w:left="0" w:firstLine="0" w:firstLineChars="0"/>
              <w:jc w:val="left"/>
              <w:textAlignment w:val="auto"/>
              <w:rPr>
                <w:color w:val="auto"/>
                <w:highlight w:val="none"/>
                <w:lang w:val="en-US" w:eastAsia="zh-CN"/>
              </w:rPr>
            </w:pPr>
            <w:r>
              <w:rPr>
                <w:rFonts w:ascii="Times New Roman" w:hAnsi="Times New Roman" w:eastAsia="宋体" w:cs="Times New Roman"/>
                <w:color w:val="auto"/>
                <w:kern w:val="0"/>
                <w:sz w:val="21"/>
                <w:szCs w:val="21"/>
                <w:highlight w:val="none"/>
                <w:lang w:val="en-US" w:eastAsia="zh-CN"/>
              </w:rPr>
              <w:t>产品维保费用（2分）。在询比文件要求</w:t>
            </w:r>
            <w:r>
              <w:rPr>
                <w:rFonts w:ascii="Times New Roman" w:hAnsi="Times New Roman" w:cs="Times New Roman"/>
                <w:color w:val="auto"/>
                <w:highlight w:val="none"/>
              </w:rPr>
              <w:t>每年维护费用不高于合同价8%</w:t>
            </w:r>
            <w:r>
              <w:rPr>
                <w:rFonts w:ascii="Times New Roman" w:hAnsi="Times New Roman" w:cs="Times New Roman"/>
                <w:color w:val="auto"/>
                <w:highlight w:val="none"/>
                <w:lang w:val="en-US" w:eastAsia="zh-CN"/>
              </w:rPr>
              <w:t>基础上，每降低1%得1分，最高得2分。</w:t>
            </w:r>
          </w:p>
          <w:p w14:paraId="3352A8F9">
            <w:pPr>
              <w:keepNext w:val="0"/>
              <w:keepLines w:val="0"/>
              <w:pageBreakBefore w:val="0"/>
              <w:widowControl w:val="0"/>
              <w:numPr>
                <w:ilvl w:val="0"/>
                <w:numId w:val="39"/>
              </w:numPr>
              <w:kinsoku/>
              <w:wordWrap/>
              <w:overflowPunct/>
              <w:topLinePunct w:val="0"/>
              <w:autoSpaceDE w:val="0"/>
              <w:autoSpaceDN w:val="0"/>
              <w:bidi w:val="0"/>
              <w:spacing w:line="400" w:lineRule="exact"/>
              <w:ind w:left="0" w:firstLine="0" w:firstLineChars="0"/>
              <w:jc w:val="left"/>
              <w:textAlignment w:val="auto"/>
              <w:rPr>
                <w:rFonts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售后</w:t>
            </w:r>
            <w:r>
              <w:rPr>
                <w:rFonts w:ascii="Times New Roman" w:hAnsi="Times New Roman" w:cs="Times New Roman"/>
                <w:color w:val="auto"/>
                <w:highlight w:val="none"/>
                <w:lang w:val="en-US" w:eastAsia="zh-CN"/>
              </w:rPr>
              <w:t>服务内容（3分）。根据响应人提供的方案进行横向比较后评分。</w:t>
            </w:r>
          </w:p>
          <w:p w14:paraId="390C99C3">
            <w:pPr>
              <w:keepNext w:val="0"/>
              <w:keepLines w:val="0"/>
              <w:pageBreakBefore w:val="0"/>
              <w:widowControl w:val="0"/>
              <w:kinsoku/>
              <w:wordWrap/>
              <w:overflowPunct/>
              <w:topLinePunct w:val="0"/>
              <w:autoSpaceDE w:val="0"/>
              <w:autoSpaceDN w:val="0"/>
              <w:bidi w:val="0"/>
              <w:spacing w:line="400" w:lineRule="exact"/>
              <w:jc w:val="left"/>
              <w:textAlignment w:val="auto"/>
              <w:rPr>
                <w:rFonts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val="en-US" w:eastAsia="zh-CN"/>
              </w:rPr>
              <w:t>- 服务内容最优，得3分；</w:t>
            </w:r>
          </w:p>
          <w:p w14:paraId="5F689E8B">
            <w:pPr>
              <w:keepNext w:val="0"/>
              <w:keepLines w:val="0"/>
              <w:pageBreakBefore w:val="0"/>
              <w:widowControl w:val="0"/>
              <w:kinsoku/>
              <w:wordWrap/>
              <w:overflowPunct/>
              <w:topLinePunct w:val="0"/>
              <w:autoSpaceDE w:val="0"/>
              <w:autoSpaceDN w:val="0"/>
              <w:bidi w:val="0"/>
              <w:spacing w:line="400" w:lineRule="exact"/>
              <w:jc w:val="left"/>
              <w:textAlignment w:val="auto"/>
              <w:rPr>
                <w:rFonts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val="en-US" w:eastAsia="zh-CN"/>
              </w:rPr>
              <w:t>- 服务内容居中，得2分；</w:t>
            </w:r>
          </w:p>
          <w:p w14:paraId="590EF005">
            <w:pPr>
              <w:pStyle w:val="13"/>
              <w:ind w:left="0" w:firstLine="420" w:firstLineChars="200"/>
              <w:rPr>
                <w:rFonts w:ascii="Times New Roman" w:hAnsi="Times New Roman" w:cs="Times New Roman"/>
                <w:color w:val="auto"/>
                <w:highlight w:val="none"/>
                <w:lang w:val="en-US" w:eastAsia="zh-CN"/>
              </w:rPr>
            </w:pPr>
            <w:r>
              <w:rPr>
                <w:rFonts w:ascii="Times New Roman" w:hAnsi="Times New Roman" w:eastAsia="宋体" w:cs="Times New Roman"/>
                <w:color w:val="auto"/>
                <w:kern w:val="0"/>
                <w:sz w:val="21"/>
                <w:szCs w:val="21"/>
                <w:highlight w:val="none"/>
                <w:lang w:val="en-US" w:eastAsia="zh-CN"/>
              </w:rPr>
              <w:t>- 服务内容较差，得1分。</w:t>
            </w:r>
          </w:p>
          <w:p w14:paraId="31C05B89">
            <w:pPr>
              <w:keepNext w:val="0"/>
              <w:keepLines w:val="0"/>
              <w:pageBreakBefore w:val="0"/>
              <w:widowControl w:val="0"/>
              <w:numPr>
                <w:ilvl w:val="0"/>
                <w:numId w:val="39"/>
              </w:numPr>
              <w:kinsoku/>
              <w:wordWrap/>
              <w:overflowPunct/>
              <w:topLinePunct w:val="0"/>
              <w:autoSpaceDE w:val="0"/>
              <w:autoSpaceDN w:val="0"/>
              <w:bidi w:val="0"/>
              <w:spacing w:line="400" w:lineRule="exact"/>
              <w:ind w:left="0" w:firstLine="0" w:firstLineChars="0"/>
              <w:jc w:val="left"/>
              <w:textAlignment w:val="auto"/>
              <w:rPr>
                <w:rFonts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val="en-US" w:eastAsia="zh-CN"/>
              </w:rPr>
              <w:t>产品主版本升级费用（3分）。根据响应人升级产品主版本的费用进行横向比较后评分。</w:t>
            </w:r>
          </w:p>
          <w:p w14:paraId="75F8EEC6">
            <w:pPr>
              <w:keepNext w:val="0"/>
              <w:keepLines w:val="0"/>
              <w:pageBreakBefore w:val="0"/>
              <w:widowControl w:val="0"/>
              <w:kinsoku/>
              <w:wordWrap/>
              <w:overflowPunct/>
              <w:topLinePunct w:val="0"/>
              <w:autoSpaceDE w:val="0"/>
              <w:autoSpaceDN w:val="0"/>
              <w:bidi w:val="0"/>
              <w:spacing w:line="400" w:lineRule="exact"/>
              <w:jc w:val="left"/>
              <w:textAlignment w:val="auto"/>
              <w:rPr>
                <w:rFonts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val="en-US" w:eastAsia="zh-CN"/>
              </w:rPr>
              <w:t>- 免费升级，得3分；</w:t>
            </w:r>
          </w:p>
          <w:p w14:paraId="51349E7C">
            <w:pPr>
              <w:keepNext w:val="0"/>
              <w:keepLines w:val="0"/>
              <w:pageBreakBefore w:val="0"/>
              <w:widowControl w:val="0"/>
              <w:kinsoku/>
              <w:wordWrap/>
              <w:overflowPunct/>
              <w:topLinePunct w:val="0"/>
              <w:autoSpaceDE w:val="0"/>
              <w:autoSpaceDN w:val="0"/>
              <w:bidi w:val="0"/>
              <w:spacing w:line="400" w:lineRule="exact"/>
              <w:jc w:val="left"/>
              <w:textAlignment w:val="auto"/>
              <w:rPr>
                <w:rFonts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val="en-US" w:eastAsia="zh-CN"/>
              </w:rPr>
              <w:t>- 升级费用居中，得2分；</w:t>
            </w:r>
          </w:p>
          <w:p w14:paraId="1D54A9D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lang w:val="en-US" w:eastAsia="zh-CN"/>
              </w:rPr>
              <w:t>- 升级费用最高，得1分。</w:t>
            </w:r>
          </w:p>
        </w:tc>
      </w:tr>
      <w:tr w14:paraId="1F4F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849" w:type="dxa"/>
            <w:vMerge w:val="continue"/>
            <w:vAlign w:val="center"/>
          </w:tcPr>
          <w:p w14:paraId="3D9D76E4"/>
        </w:tc>
        <w:tc>
          <w:tcPr>
            <w:tcW w:w="1210" w:type="dxa"/>
            <w:vMerge w:val="continue"/>
            <w:tcBorders>
              <w:left w:val="single" w:color="auto" w:sz="4" w:space="0"/>
            </w:tcBorders>
            <w:vAlign w:val="center"/>
          </w:tcPr>
          <w:p w14:paraId="081535C8"/>
        </w:tc>
        <w:tc>
          <w:tcPr>
            <w:tcW w:w="1382" w:type="dxa"/>
            <w:vMerge w:val="continue"/>
            <w:tcBorders>
              <w:left w:val="single" w:color="auto" w:sz="4" w:space="0"/>
            </w:tcBorders>
            <w:vAlign w:val="center"/>
          </w:tcPr>
          <w:p w14:paraId="46742784"/>
        </w:tc>
        <w:tc>
          <w:tcPr>
            <w:tcW w:w="6023" w:type="dxa"/>
            <w:gridSpan w:val="2"/>
            <w:tcBorders>
              <w:left w:val="single" w:color="auto" w:sz="4" w:space="0"/>
            </w:tcBorders>
            <w:vAlign w:val="center"/>
          </w:tcPr>
          <w:p w14:paraId="32398F7C">
            <w:pPr>
              <w:pStyle w:val="45"/>
              <w:numPr>
                <w:ilvl w:val="0"/>
                <w:numId w:val="34"/>
              </w:numPr>
              <w:ind w:left="0" w:firstLine="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技术部分评分规则（分值：30）</w:t>
            </w:r>
          </w:p>
          <w:p w14:paraId="77F60C91">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根据响应人提供的【项目实施方案】进行评分</w:t>
            </w:r>
          </w:p>
          <w:p w14:paraId="793ADE7B">
            <w:pPr>
              <w:pStyle w:val="45"/>
              <w:ind w:left="0" w:firstLine="0"/>
              <w:rPr>
                <w:rFonts w:hint="eastAsia" w:ascii="宋体" w:hAnsi="宋体" w:eastAsia="宋体" w:cs="宋体"/>
                <w:b/>
                <w:bCs w:val="0"/>
                <w:color w:val="auto"/>
                <w:sz w:val="21"/>
                <w:szCs w:val="21"/>
                <w:highlight w:val="none"/>
                <w:lang w:val="en-US" w:eastAsia="zh-CN"/>
              </w:rPr>
            </w:pPr>
            <w:r>
              <w:rPr>
                <w:rFonts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bCs w:val="0"/>
                <w:color w:val="auto"/>
                <w:sz w:val="21"/>
                <w:szCs w:val="21"/>
                <w:highlight w:val="none"/>
                <w:lang w:val="en-US" w:eastAsia="zh-CN"/>
              </w:rPr>
              <w:t>规划咨询板块（5分）</w:t>
            </w:r>
          </w:p>
          <w:p w14:paraId="135DFD09">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响应人根据询比文件第三章要求提供本项目规划咨询方案，明确输出物清单，提供输出物样例等。</w:t>
            </w:r>
          </w:p>
          <w:p w14:paraId="47C8D85C">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根据以上内容，</w:t>
            </w:r>
            <w:r>
              <w:rPr>
                <w:rFonts w:hint="eastAsia" w:ascii="宋体" w:hAnsi="宋体" w:cs="宋体"/>
                <w:color w:val="auto"/>
                <w:kern w:val="0"/>
                <w:sz w:val="21"/>
                <w:szCs w:val="21"/>
                <w:highlight w:val="none"/>
                <w:u w:val="none"/>
                <w:lang w:val="en-US" w:eastAsia="zh-CN"/>
              </w:rPr>
              <w:t>评审</w:t>
            </w:r>
            <w:r>
              <w:rPr>
                <w:rFonts w:hint="eastAsia" w:ascii="宋体" w:hAnsi="宋体" w:eastAsia="宋体" w:cs="宋体"/>
                <w:color w:val="auto"/>
                <w:kern w:val="0"/>
                <w:sz w:val="21"/>
                <w:szCs w:val="21"/>
                <w:highlight w:val="none"/>
                <w:u w:val="none"/>
                <w:lang w:val="en-US" w:eastAsia="zh-CN"/>
              </w:rPr>
              <w:t>委员会成员根据响应人提供的</w:t>
            </w:r>
            <w:r>
              <w:rPr>
                <w:rFonts w:hint="eastAsia" w:ascii="宋体" w:hAnsi="宋体" w:eastAsia="宋体" w:cs="宋体"/>
                <w:b w:val="0"/>
                <w:bCs w:val="0"/>
                <w:color w:val="auto"/>
                <w:kern w:val="0"/>
                <w:sz w:val="21"/>
                <w:szCs w:val="21"/>
                <w:highlight w:val="none"/>
                <w:u w:val="none"/>
                <w:lang w:val="en-US" w:eastAsia="zh-CN"/>
              </w:rPr>
              <w:t>规划咨询方案的输出物、</w:t>
            </w:r>
            <w:r>
              <w:rPr>
                <w:rFonts w:hint="eastAsia" w:ascii="宋体" w:hAnsi="宋体" w:eastAsia="宋体" w:cs="宋体"/>
                <w:color w:val="auto"/>
                <w:kern w:val="0"/>
                <w:sz w:val="21"/>
                <w:szCs w:val="21"/>
                <w:highlight w:val="none"/>
                <w:lang w:val="en-US" w:eastAsia="zh-CN"/>
              </w:rPr>
              <w:t>全面性进行横向比较后综合打分。</w:t>
            </w:r>
          </w:p>
          <w:p w14:paraId="284BB7A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最优：得5分；</w:t>
            </w:r>
          </w:p>
          <w:p w14:paraId="17E3D09F">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居中：得3分；</w:t>
            </w:r>
          </w:p>
          <w:p w14:paraId="7EDCB3F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较差：得1分。</w:t>
            </w:r>
          </w:p>
          <w:p w14:paraId="4798E9F6">
            <w:pPr>
              <w:pStyle w:val="13"/>
              <w:ind w:lef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项目实施</w:t>
            </w:r>
            <w:r>
              <w:rPr>
                <w:rFonts w:hint="eastAsia" w:ascii="宋体" w:hAnsi="宋体" w:eastAsia="宋体" w:cs="宋体"/>
                <w:color w:val="auto"/>
                <w:kern w:val="0"/>
                <w:sz w:val="21"/>
                <w:szCs w:val="21"/>
                <w:highlight w:val="none"/>
                <w:lang w:val="en-US" w:eastAsia="zh-CN"/>
              </w:rPr>
              <w:t>方案未包含规划咨询板块方案得0分。</w:t>
            </w:r>
          </w:p>
        </w:tc>
      </w:tr>
      <w:tr w14:paraId="38B7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3" w:hRule="atLeast"/>
          <w:jc w:val="center"/>
        </w:trPr>
        <w:tc>
          <w:tcPr>
            <w:tcW w:w="849" w:type="dxa"/>
            <w:vMerge w:val="continue"/>
            <w:vAlign w:val="center"/>
          </w:tcPr>
          <w:p w14:paraId="384C11C1"/>
        </w:tc>
        <w:tc>
          <w:tcPr>
            <w:tcW w:w="1210" w:type="dxa"/>
            <w:vMerge w:val="continue"/>
            <w:tcBorders>
              <w:left w:val="single" w:color="auto" w:sz="4" w:space="0"/>
            </w:tcBorders>
            <w:vAlign w:val="center"/>
          </w:tcPr>
          <w:p w14:paraId="12BE0BF7"/>
        </w:tc>
        <w:tc>
          <w:tcPr>
            <w:tcW w:w="1382" w:type="dxa"/>
            <w:vMerge w:val="continue"/>
            <w:tcBorders>
              <w:left w:val="single" w:color="auto" w:sz="4" w:space="0"/>
            </w:tcBorders>
            <w:vAlign w:val="center"/>
          </w:tcPr>
          <w:p w14:paraId="33401FF1"/>
        </w:tc>
        <w:tc>
          <w:tcPr>
            <w:tcW w:w="6023" w:type="dxa"/>
            <w:gridSpan w:val="2"/>
            <w:tcBorders>
              <w:left w:val="single" w:color="auto" w:sz="4" w:space="0"/>
            </w:tcBorders>
            <w:vAlign w:val="center"/>
          </w:tcPr>
          <w:p w14:paraId="7F210EB3">
            <w:pPr>
              <w:pStyle w:val="45"/>
              <w:ind w:left="0" w:firstLine="0"/>
              <w:rPr>
                <w:rFonts w:hint="eastAsia" w:ascii="宋体" w:hAnsi="宋体" w:eastAsia="宋体" w:cs="宋体"/>
                <w:b/>
                <w:bCs w:val="0"/>
                <w:color w:val="auto"/>
                <w:sz w:val="21"/>
                <w:szCs w:val="21"/>
                <w:highlight w:val="none"/>
                <w:lang w:val="en-US" w:eastAsia="zh-CN"/>
              </w:rPr>
            </w:pPr>
            <w:r>
              <w:rPr>
                <w:rFonts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bCs w:val="0"/>
                <w:color w:val="auto"/>
                <w:sz w:val="21"/>
                <w:szCs w:val="21"/>
                <w:highlight w:val="none"/>
                <w:lang w:val="en-US" w:eastAsia="zh-CN"/>
              </w:rPr>
              <w:t>数据治理板块（5分）</w:t>
            </w:r>
          </w:p>
          <w:p w14:paraId="372B41CE">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响应人根据询比文件第三章要求，提供本项目数据治理功能板块产品方案和实施方案。</w:t>
            </w:r>
          </w:p>
          <w:p w14:paraId="009E2D5D">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委员会根据响应人提供的方案进行横向比较后综合评分。</w:t>
            </w:r>
          </w:p>
          <w:p w14:paraId="2D5EF9AE">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最优：得5分；</w:t>
            </w:r>
          </w:p>
          <w:p w14:paraId="0E9402F7">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居中：得3分；</w:t>
            </w:r>
          </w:p>
          <w:p w14:paraId="627EF2CF">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较差：得1分。</w:t>
            </w:r>
          </w:p>
          <w:p w14:paraId="7E4A1467">
            <w:pPr>
              <w:pStyle w:val="13"/>
              <w:ind w:left="0" w:firstLine="420" w:firstLineChars="200"/>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项目实施</w:t>
            </w:r>
            <w:r>
              <w:rPr>
                <w:rFonts w:hint="eastAsia" w:ascii="宋体" w:hAnsi="宋体" w:eastAsia="宋体" w:cs="宋体"/>
                <w:color w:val="auto"/>
                <w:kern w:val="0"/>
                <w:sz w:val="21"/>
                <w:szCs w:val="21"/>
                <w:highlight w:val="none"/>
                <w:lang w:val="en-US" w:eastAsia="zh-CN"/>
              </w:rPr>
              <w:t>方案未包含数据治理板块方案得0分。</w:t>
            </w:r>
          </w:p>
          <w:p w14:paraId="39E43FFD">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7DDD68C3">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评分可从以下方面进行： </w:t>
            </w:r>
          </w:p>
          <w:p w14:paraId="7E342E0F">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ascii="宋体" w:hAnsi="宋体" w:eastAsia="宋体" w:cs="宋体"/>
                <w:b w:val="0"/>
                <w:bCs w:val="0"/>
                <w:color w:val="auto"/>
                <w:kern w:val="0"/>
                <w:sz w:val="21"/>
                <w:szCs w:val="21"/>
                <w:highlight w:val="none"/>
                <w:lang w:val="en-US" w:eastAsia="zh-CN"/>
              </w:rPr>
            </w:pPr>
            <w:r>
              <w:rPr>
                <w:rFonts w:ascii="宋体" w:hAnsi="宋体" w:eastAsia="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rPr>
              <w:t>功能完整度：数据治理功能模块齐全度，至少覆盖元数据、数据质量、数据标准板块。关键功能点需包含 1）</w:t>
            </w:r>
            <w:r>
              <w:rPr>
                <w:rFonts w:ascii="宋体" w:hAnsi="宋体" w:eastAsia="宋体" w:cs="宋体"/>
                <w:b w:val="0"/>
                <w:bCs w:val="0"/>
                <w:color w:val="auto"/>
                <w:kern w:val="0"/>
                <w:sz w:val="21"/>
                <w:szCs w:val="21"/>
                <w:highlight w:val="none"/>
                <w:lang w:val="en-US" w:eastAsia="zh-CN"/>
              </w:rPr>
              <w:t>数据质量问题精准下发</w:t>
            </w:r>
            <w:r>
              <w:rPr>
                <w:rFonts w:hint="eastAsia" w:ascii="宋体" w:hAnsi="宋体" w:eastAsia="宋体" w:cs="宋体"/>
                <w:b w:val="0"/>
                <w:bCs w:val="0"/>
                <w:color w:val="auto"/>
                <w:kern w:val="0"/>
                <w:sz w:val="21"/>
                <w:szCs w:val="21"/>
                <w:highlight w:val="none"/>
                <w:lang w:val="en-US" w:eastAsia="zh-CN"/>
              </w:rPr>
              <w:t>；2）数据标准智能对标，数据标准聚合推荐；3）数据血缘文件采集、管理及数据血缘解析。</w:t>
            </w:r>
          </w:p>
          <w:p w14:paraId="138E786A">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u w:val="single"/>
                <w:lang w:val="en-US" w:eastAsia="zh-CN"/>
              </w:rPr>
              <w:t>如缺失以关键功能点中的任意一点，评分结果仅能为较差。</w:t>
            </w:r>
          </w:p>
          <w:p w14:paraId="69A01D7B">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ascii="宋体" w:hAnsi="宋体" w:eastAsia="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rPr>
              <w:t>实施方案完整度：实施方案需覆盖针对元数据、数据质量、数据标准板块的实施内容。</w:t>
            </w:r>
          </w:p>
        </w:tc>
      </w:tr>
      <w:tr w14:paraId="0DF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4" w:hRule="atLeast"/>
          <w:jc w:val="center"/>
        </w:trPr>
        <w:tc>
          <w:tcPr>
            <w:tcW w:w="849" w:type="dxa"/>
            <w:vMerge w:val="continue"/>
            <w:vAlign w:val="center"/>
          </w:tcPr>
          <w:p w14:paraId="22840F8E"/>
        </w:tc>
        <w:tc>
          <w:tcPr>
            <w:tcW w:w="1210" w:type="dxa"/>
            <w:vMerge w:val="continue"/>
            <w:tcBorders>
              <w:left w:val="single" w:color="auto" w:sz="4" w:space="0"/>
            </w:tcBorders>
            <w:vAlign w:val="center"/>
          </w:tcPr>
          <w:p w14:paraId="2DD0C928"/>
        </w:tc>
        <w:tc>
          <w:tcPr>
            <w:tcW w:w="1382" w:type="dxa"/>
            <w:vMerge w:val="continue"/>
            <w:tcBorders>
              <w:left w:val="single" w:color="auto" w:sz="4" w:space="0"/>
            </w:tcBorders>
            <w:vAlign w:val="center"/>
          </w:tcPr>
          <w:p w14:paraId="3DFB7D21"/>
        </w:tc>
        <w:tc>
          <w:tcPr>
            <w:tcW w:w="6023" w:type="dxa"/>
            <w:gridSpan w:val="2"/>
            <w:tcBorders>
              <w:left w:val="single" w:color="auto" w:sz="4" w:space="0"/>
            </w:tcBorders>
            <w:vAlign w:val="center"/>
          </w:tcPr>
          <w:p w14:paraId="5CB044A6">
            <w:pPr>
              <w:pStyle w:val="45"/>
              <w:ind w:left="0" w:firstLine="0"/>
              <w:rPr>
                <w:rFonts w:hint="eastAsia" w:ascii="宋体" w:hAnsi="宋体" w:eastAsia="宋体" w:cs="宋体"/>
                <w:b/>
                <w:bCs w:val="0"/>
                <w:color w:val="auto"/>
                <w:sz w:val="21"/>
                <w:szCs w:val="21"/>
                <w:highlight w:val="none"/>
                <w:lang w:val="en-US" w:eastAsia="zh-CN"/>
              </w:rPr>
            </w:pPr>
            <w:r>
              <w:rPr>
                <w:rFonts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bCs w:val="0"/>
                <w:color w:val="auto"/>
                <w:sz w:val="21"/>
                <w:szCs w:val="21"/>
                <w:highlight w:val="none"/>
                <w:lang w:val="en-US" w:eastAsia="zh-CN"/>
              </w:rPr>
              <w:t>数据资产板块（5分）</w:t>
            </w:r>
          </w:p>
          <w:p w14:paraId="0FE9EDE3">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响应人根据询比文件第三章要求，提供本项目数据资产板块产品方案和实施方案。</w:t>
            </w:r>
          </w:p>
          <w:p w14:paraId="5C8B2C71">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委员会根据响应人提供的方案进行横向比较后综合评分。</w:t>
            </w:r>
          </w:p>
          <w:p w14:paraId="5D0967C6">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最优：得5分；</w:t>
            </w:r>
          </w:p>
          <w:p w14:paraId="08B5BD7A">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居中：得3分；</w:t>
            </w:r>
          </w:p>
          <w:p w14:paraId="7E6575F3">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较差：得1分。</w:t>
            </w:r>
          </w:p>
          <w:p w14:paraId="75807367">
            <w:pPr>
              <w:pStyle w:val="13"/>
              <w:ind w:left="0" w:firstLine="420" w:firstLineChars="200"/>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项目实施</w:t>
            </w:r>
            <w:r>
              <w:rPr>
                <w:rFonts w:hint="eastAsia" w:ascii="宋体" w:hAnsi="宋体" w:eastAsia="宋体" w:cs="宋体"/>
                <w:color w:val="auto"/>
                <w:kern w:val="0"/>
                <w:sz w:val="21"/>
                <w:szCs w:val="21"/>
                <w:highlight w:val="none"/>
                <w:lang w:val="en-US" w:eastAsia="zh-CN"/>
              </w:rPr>
              <w:t>方案未包含数据资产板块方案得0分。</w:t>
            </w:r>
          </w:p>
          <w:p w14:paraId="2A290BDA">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2CA89215">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color w:val="auto"/>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评分可从以下方面进行： </w:t>
            </w:r>
          </w:p>
          <w:p w14:paraId="75797227">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ascii="宋体" w:hAnsi="宋体" w:eastAsia="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rPr>
              <w:t>功能完整度：评估产品功能对需求的支持程度。关键功能包含1）数据资产功能需包含数据资产管理端，提供数据资产管理能力；2）数据资产门户对于用户一站式用数支撑能力，菜单集成，用户集成能力。</w:t>
            </w:r>
          </w:p>
          <w:p w14:paraId="7EA7A2DC">
            <w:pPr>
              <w:pStyle w:val="13"/>
              <w:ind w:left="0" w:firstLine="0" w:firstLineChars="0"/>
              <w:rPr>
                <w:rFonts w:hint="eastAsia"/>
                <w:color w:val="auto"/>
                <w:highlight w:val="none"/>
                <w:lang w:val="en-US" w:eastAsia="zh-CN"/>
              </w:rPr>
            </w:pPr>
            <w:r>
              <w:rPr>
                <w:rFonts w:hint="eastAsia" w:ascii="宋体" w:hAnsi="宋体" w:eastAsia="宋体" w:cs="宋体"/>
                <w:b w:val="0"/>
                <w:bCs w:val="0"/>
                <w:color w:val="auto"/>
                <w:kern w:val="0"/>
                <w:sz w:val="21"/>
                <w:szCs w:val="21"/>
                <w:highlight w:val="none"/>
                <w:u w:val="single"/>
                <w:lang w:val="en-US" w:eastAsia="zh-CN"/>
              </w:rPr>
              <w:t>如缺失如上关键功能点，评分结果仅能为较差。</w:t>
            </w:r>
          </w:p>
          <w:p w14:paraId="41071961">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ascii="宋体" w:hAnsi="宋体" w:eastAsia="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rPr>
              <w:t>实施方案完整度：实施方案覆盖数据资产目录维护、数据资产梳理、数据资产挂接等实施服务，根据方案对需求的覆盖程度进行评分。</w:t>
            </w:r>
          </w:p>
        </w:tc>
      </w:tr>
      <w:tr w14:paraId="7DBD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9" w:type="dxa"/>
            <w:vMerge w:val="continue"/>
            <w:vAlign w:val="center"/>
          </w:tcPr>
          <w:p w14:paraId="551C90C8"/>
        </w:tc>
        <w:tc>
          <w:tcPr>
            <w:tcW w:w="1210" w:type="dxa"/>
            <w:vMerge w:val="continue"/>
            <w:tcBorders>
              <w:left w:val="single" w:color="auto" w:sz="4" w:space="0"/>
            </w:tcBorders>
            <w:vAlign w:val="center"/>
          </w:tcPr>
          <w:p w14:paraId="7F40030E"/>
        </w:tc>
        <w:tc>
          <w:tcPr>
            <w:tcW w:w="1382" w:type="dxa"/>
            <w:vMerge w:val="continue"/>
            <w:tcBorders>
              <w:left w:val="single" w:color="auto" w:sz="4" w:space="0"/>
            </w:tcBorders>
            <w:vAlign w:val="center"/>
          </w:tcPr>
          <w:p w14:paraId="3CECE7C1"/>
        </w:tc>
        <w:tc>
          <w:tcPr>
            <w:tcW w:w="6023" w:type="dxa"/>
            <w:gridSpan w:val="2"/>
            <w:tcBorders>
              <w:left w:val="single" w:color="auto" w:sz="4" w:space="0"/>
            </w:tcBorders>
            <w:vAlign w:val="center"/>
          </w:tcPr>
          <w:p w14:paraId="4BA044BA">
            <w:pPr>
              <w:pStyle w:val="45"/>
              <w:ind w:left="0" w:firstLine="0"/>
              <w:rPr>
                <w:rFonts w:hint="eastAsia" w:ascii="宋体" w:hAnsi="宋体" w:eastAsia="宋体" w:cs="宋体"/>
                <w:b/>
                <w:bCs w:val="0"/>
                <w:color w:val="auto"/>
                <w:sz w:val="21"/>
                <w:szCs w:val="21"/>
                <w:highlight w:val="none"/>
                <w:lang w:val="en-US" w:eastAsia="zh-CN"/>
              </w:rPr>
            </w:pPr>
            <w:r>
              <w:rPr>
                <w:rFonts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bCs w:val="0"/>
                <w:color w:val="auto"/>
                <w:sz w:val="21"/>
                <w:szCs w:val="21"/>
                <w:highlight w:val="none"/>
                <w:lang w:val="en-US" w:eastAsia="zh-CN"/>
              </w:rPr>
              <w:t>数据安全分类分级板块（5分）</w:t>
            </w:r>
          </w:p>
          <w:p w14:paraId="1817C87D">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响应人根据询比文件第三章要求，提供本项目数据安全分类分级产品方案和实施方案。</w:t>
            </w:r>
          </w:p>
          <w:p w14:paraId="30F0C998">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委员会根据响应人提供的方案进行横向比较后综合评分。</w:t>
            </w:r>
          </w:p>
          <w:p w14:paraId="62E18494">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最优：得5分；</w:t>
            </w:r>
          </w:p>
          <w:p w14:paraId="0A89E77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居中：得3分；</w:t>
            </w:r>
          </w:p>
          <w:p w14:paraId="4996F569">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较差：得1分。</w:t>
            </w:r>
          </w:p>
          <w:p w14:paraId="36FC2EC7">
            <w:pPr>
              <w:pStyle w:val="13"/>
              <w:ind w:left="0" w:firstLine="420" w:firstLineChars="200"/>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项目实施</w:t>
            </w:r>
            <w:r>
              <w:rPr>
                <w:rFonts w:hint="eastAsia" w:ascii="宋体" w:hAnsi="宋体" w:eastAsia="宋体" w:cs="宋体"/>
                <w:color w:val="auto"/>
                <w:kern w:val="0"/>
                <w:sz w:val="21"/>
                <w:szCs w:val="21"/>
                <w:highlight w:val="none"/>
                <w:lang w:val="en-US" w:eastAsia="zh-CN"/>
              </w:rPr>
              <w:t>方案未包含数据安全分类分级方案得0分。</w:t>
            </w:r>
          </w:p>
          <w:p w14:paraId="5807D084">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7ECBE269">
            <w:pPr>
              <w:keepNext w:val="0"/>
              <w:keepLines w:val="0"/>
              <w:pageBreakBefore w:val="0"/>
              <w:widowControl w:val="0"/>
              <w:numPr>
                <w:ilvl w:val="0"/>
                <w:numId w:val="40"/>
              </w:numPr>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功能完整度：数据安全分类分级功能如支持自动分类分级或AI等智能化分类分级功能可从优评分。</w:t>
            </w:r>
          </w:p>
          <w:p w14:paraId="46098C64">
            <w:pPr>
              <w:pStyle w:val="13"/>
              <w:ind w:left="0" w:firstLine="0" w:firstLineChars="0"/>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kern w:val="0"/>
                <w:sz w:val="21"/>
                <w:szCs w:val="21"/>
                <w:highlight w:val="none"/>
                <w:u w:val="single"/>
                <w:lang w:val="en-US" w:eastAsia="zh-CN"/>
              </w:rPr>
              <w:t>如不支持自动分类分级评分结果仅能在较差档次。</w:t>
            </w:r>
          </w:p>
          <w:p w14:paraId="0E88C293">
            <w:pPr>
              <w:pStyle w:val="13"/>
              <w:ind w:left="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u w:val="none"/>
                <w:lang w:val="en-US" w:eastAsia="zh-CN"/>
              </w:rPr>
              <w:t>（2）实施方案完整度：实施方案需覆盖对数据分类分级实施的范围和实施方式。</w:t>
            </w:r>
          </w:p>
        </w:tc>
      </w:tr>
      <w:tr w14:paraId="0D8E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jc w:val="center"/>
        </w:trPr>
        <w:tc>
          <w:tcPr>
            <w:tcW w:w="849" w:type="dxa"/>
            <w:vMerge w:val="continue"/>
            <w:vAlign w:val="center"/>
          </w:tcPr>
          <w:p w14:paraId="74970BF2"/>
        </w:tc>
        <w:tc>
          <w:tcPr>
            <w:tcW w:w="1210" w:type="dxa"/>
            <w:vMerge w:val="continue"/>
            <w:tcBorders>
              <w:left w:val="single" w:color="auto" w:sz="4" w:space="0"/>
            </w:tcBorders>
            <w:vAlign w:val="center"/>
          </w:tcPr>
          <w:p w14:paraId="06CF8599"/>
        </w:tc>
        <w:tc>
          <w:tcPr>
            <w:tcW w:w="1382" w:type="dxa"/>
            <w:vMerge w:val="continue"/>
            <w:tcBorders>
              <w:left w:val="single" w:color="auto" w:sz="4" w:space="0"/>
            </w:tcBorders>
            <w:vAlign w:val="center"/>
          </w:tcPr>
          <w:p w14:paraId="4B07F571"/>
        </w:tc>
        <w:tc>
          <w:tcPr>
            <w:tcW w:w="6023" w:type="dxa"/>
            <w:gridSpan w:val="2"/>
            <w:tcBorders>
              <w:left w:val="single" w:color="auto" w:sz="4" w:space="0"/>
            </w:tcBorders>
            <w:vAlign w:val="center"/>
          </w:tcPr>
          <w:p w14:paraId="53E64DAF">
            <w:pPr>
              <w:pStyle w:val="45"/>
              <w:ind w:left="0" w:firstLine="0"/>
              <w:rPr>
                <w:rFonts w:hint="eastAsia" w:ascii="宋体" w:hAnsi="宋体" w:eastAsia="宋体" w:cs="宋体"/>
                <w:b/>
                <w:bCs w:val="0"/>
                <w:color w:val="auto"/>
                <w:sz w:val="21"/>
                <w:szCs w:val="21"/>
                <w:highlight w:val="none"/>
                <w:lang w:val="en-US" w:eastAsia="zh-CN"/>
              </w:rPr>
            </w:pPr>
            <w:r>
              <w:rPr>
                <w:rFonts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bCs w:val="0"/>
                <w:color w:val="auto"/>
                <w:sz w:val="21"/>
                <w:szCs w:val="21"/>
                <w:highlight w:val="none"/>
                <w:lang w:val="en-US" w:eastAsia="zh-CN"/>
              </w:rPr>
              <w:t>技术架构方案（5分）</w:t>
            </w:r>
          </w:p>
          <w:p w14:paraId="00F8C02F">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技术架构方案包括系统总体架构设计、系统间关系、功能架构、数据架构、部署架构、技术架构、技术平台/技术栈。</w:t>
            </w:r>
          </w:p>
          <w:p w14:paraId="031A62B6">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color w:val="auto"/>
                <w:highlight w:val="none"/>
                <w:lang w:val="en-US" w:eastAsia="zh-CN"/>
              </w:rPr>
            </w:pPr>
            <w:r>
              <w:rPr>
                <w:rFonts w:hint="eastAsia" w:ascii="Times New Roman" w:hAnsi="Times New Roman" w:eastAsia="宋体" w:cs="Cambria Math"/>
                <w:color w:val="auto"/>
                <w:kern w:val="2"/>
                <w:sz w:val="21"/>
                <w:highlight w:val="none"/>
                <w:lang w:val="en-US" w:eastAsia="zh-CN" w:bidi="ar-SA"/>
              </w:rPr>
              <w:t>（2）</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委员会根据响应人提供的方案进行横向比较后综合评分。</w:t>
            </w:r>
          </w:p>
          <w:p w14:paraId="1DBC112E">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最优：得5分；</w:t>
            </w:r>
          </w:p>
          <w:p w14:paraId="6A3F3C7E">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居中：得3分；</w:t>
            </w:r>
          </w:p>
          <w:p w14:paraId="103D590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较差：得1分。</w:t>
            </w:r>
          </w:p>
          <w:p w14:paraId="75A612BB">
            <w:pPr>
              <w:pStyle w:val="13"/>
              <w:ind w:lef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项目实施</w:t>
            </w:r>
            <w:r>
              <w:rPr>
                <w:rFonts w:hint="eastAsia" w:ascii="宋体" w:hAnsi="宋体" w:eastAsia="宋体" w:cs="宋体"/>
                <w:color w:val="auto"/>
                <w:kern w:val="0"/>
                <w:sz w:val="21"/>
                <w:szCs w:val="21"/>
                <w:highlight w:val="none"/>
                <w:lang w:val="en-US" w:eastAsia="zh-CN"/>
              </w:rPr>
              <w:t>方案未包含技术架构方案得0分，架构方案有缺少项，评分仅能为较差。</w:t>
            </w:r>
          </w:p>
          <w:p w14:paraId="71B1C37F">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23FDA30B">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架构设计清晰合理，能</w:t>
            </w:r>
            <w:r>
              <w:rPr>
                <w:rFonts w:hint="eastAsia" w:ascii="宋体" w:hAnsi="宋体" w:eastAsia="宋体" w:cs="宋体"/>
                <w:b w:val="0"/>
                <w:bCs/>
                <w:color w:val="auto"/>
                <w:sz w:val="21"/>
                <w:szCs w:val="21"/>
                <w:highlight w:val="none"/>
                <w:lang w:val="en-US" w:eastAsia="zh-CN"/>
              </w:rPr>
              <w:t>够清晰表现系统的总体架构，与其他系统的关系，并对项目的关键点提出了良好的设计方案的，从优评分；</w:t>
            </w:r>
          </w:p>
        </w:tc>
      </w:tr>
      <w:tr w14:paraId="5AA1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849" w:type="dxa"/>
            <w:vMerge w:val="continue"/>
            <w:vAlign w:val="center"/>
          </w:tcPr>
          <w:p w14:paraId="6AF06871"/>
        </w:tc>
        <w:tc>
          <w:tcPr>
            <w:tcW w:w="1210" w:type="dxa"/>
            <w:vMerge w:val="continue"/>
            <w:tcBorders>
              <w:left w:val="single" w:color="auto" w:sz="4" w:space="0"/>
            </w:tcBorders>
            <w:vAlign w:val="center"/>
          </w:tcPr>
          <w:p w14:paraId="773EFB6A"/>
        </w:tc>
        <w:tc>
          <w:tcPr>
            <w:tcW w:w="1382" w:type="dxa"/>
            <w:vMerge w:val="continue"/>
            <w:tcBorders>
              <w:left w:val="single" w:color="auto" w:sz="4" w:space="0"/>
            </w:tcBorders>
            <w:vAlign w:val="center"/>
          </w:tcPr>
          <w:p w14:paraId="133F2D90"/>
        </w:tc>
        <w:tc>
          <w:tcPr>
            <w:tcW w:w="6023" w:type="dxa"/>
            <w:gridSpan w:val="2"/>
            <w:tcBorders>
              <w:left w:val="single" w:color="auto" w:sz="4" w:space="0"/>
            </w:tcBorders>
            <w:vAlign w:val="center"/>
          </w:tcPr>
          <w:p w14:paraId="4AD9975E">
            <w:pPr>
              <w:pStyle w:val="45"/>
              <w:ind w:left="0" w:firstLine="0"/>
              <w:rPr>
                <w:rFonts w:hint="eastAsia" w:ascii="宋体" w:hAnsi="宋体" w:eastAsia="宋体" w:cs="宋体"/>
                <w:b/>
                <w:bCs w:val="0"/>
                <w:color w:val="auto"/>
                <w:sz w:val="21"/>
                <w:szCs w:val="21"/>
                <w:highlight w:val="none"/>
                <w:lang w:val="en-US" w:eastAsia="zh-CN"/>
              </w:rPr>
            </w:pPr>
            <w:r>
              <w:rPr>
                <w:rFonts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bCs w:val="0"/>
                <w:color w:val="auto"/>
                <w:sz w:val="21"/>
                <w:szCs w:val="21"/>
                <w:highlight w:val="none"/>
                <w:lang w:val="en-US" w:eastAsia="zh-CN"/>
              </w:rPr>
              <w:t>增值服务（5分）</w:t>
            </w:r>
          </w:p>
          <w:p w14:paraId="3E93B1FE">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方案内容可包含：数据管理协会年度会议参会名额支持；数据管理协会、行业论坛等案例</w:t>
            </w:r>
            <w:r>
              <w:rPr>
                <w:rFonts w:ascii="宋体" w:hAnsi="宋体" w:eastAsia="宋体" w:cs="宋体"/>
                <w:color w:val="auto"/>
                <w:kern w:val="0"/>
                <w:sz w:val="21"/>
                <w:szCs w:val="21"/>
                <w:highlight w:val="none"/>
                <w:lang w:val="en-US" w:eastAsia="zh-CN"/>
              </w:rPr>
              <w:t>申报</w:t>
            </w:r>
            <w:r>
              <w:rPr>
                <w:rFonts w:hint="eastAsia" w:ascii="宋体" w:hAnsi="宋体" w:eastAsia="宋体" w:cs="宋体"/>
                <w:color w:val="auto"/>
                <w:kern w:val="0"/>
                <w:sz w:val="21"/>
                <w:szCs w:val="21"/>
                <w:highlight w:val="none"/>
                <w:lang w:val="en-US" w:eastAsia="zh-CN"/>
              </w:rPr>
              <w:t>支持；行业知识库支持（包含但不限于词根库、数据标准库；分类分级词库；分类分级管理策略；通用数据质量检核规则等）；数据建模、数据治理或数据资产管理领域专项培训名额支持等。</w:t>
            </w:r>
          </w:p>
          <w:p w14:paraId="1B4F88F1">
            <w:pPr>
              <w:keepNext w:val="0"/>
              <w:keepLines w:val="0"/>
              <w:pageBreakBefore w:val="0"/>
              <w:widowControl w:val="0"/>
              <w:kinsoku/>
              <w:wordWrap/>
              <w:overflowPunct/>
              <w:topLinePunct w:val="0"/>
              <w:autoSpaceDE w:val="0"/>
              <w:autoSpaceDN w:val="0"/>
              <w:bidi w:val="0"/>
              <w:spacing w:line="40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val="en-US" w:eastAsia="zh-CN"/>
              </w:rPr>
              <w:t>委员会根据响应人提供的方案进行横向比较后综合评分。</w:t>
            </w:r>
          </w:p>
          <w:p w14:paraId="2BA7E8F0">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最优：得5分；</w:t>
            </w:r>
          </w:p>
          <w:p w14:paraId="1FC69A23">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居中：得3分；</w:t>
            </w:r>
          </w:p>
          <w:p w14:paraId="201782C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较差：得1分。</w:t>
            </w:r>
          </w:p>
          <w:p w14:paraId="647E0944">
            <w:pPr>
              <w:pStyle w:val="13"/>
              <w:ind w:lef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项目实施</w:t>
            </w:r>
            <w:r>
              <w:rPr>
                <w:rFonts w:hint="eastAsia" w:ascii="宋体" w:hAnsi="宋体" w:eastAsia="宋体" w:cs="宋体"/>
                <w:color w:val="auto"/>
                <w:kern w:val="0"/>
                <w:sz w:val="21"/>
                <w:szCs w:val="21"/>
                <w:highlight w:val="none"/>
                <w:lang w:val="en-US" w:eastAsia="zh-CN"/>
              </w:rPr>
              <w:t>方案未包含增值服务方案得0分。</w:t>
            </w:r>
          </w:p>
        </w:tc>
      </w:tr>
      <w:tr w14:paraId="1FBB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49" w:type="dxa"/>
            <w:vAlign w:val="center"/>
          </w:tcPr>
          <w:p w14:paraId="35D5084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10" w:type="dxa"/>
            <w:tcBorders>
              <w:left w:val="single" w:color="auto" w:sz="4" w:space="0"/>
            </w:tcBorders>
            <w:vAlign w:val="center"/>
          </w:tcPr>
          <w:p w14:paraId="440A1A7A">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评审程序</w:t>
            </w:r>
          </w:p>
        </w:tc>
        <w:tc>
          <w:tcPr>
            <w:tcW w:w="7405" w:type="dxa"/>
            <w:gridSpan w:val="3"/>
            <w:tcBorders>
              <w:left w:val="single" w:color="auto" w:sz="4" w:space="0"/>
            </w:tcBorders>
          </w:tcPr>
          <w:p w14:paraId="21DC9A34">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1.初步评审前，按本章第3.1.3项的规定对响应报价有算术性错误的进行算术性错误修正。</w:t>
            </w:r>
          </w:p>
          <w:p w14:paraId="37CEB15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2.评审委员会对响应文件进行初步评审。</w:t>
            </w:r>
          </w:p>
          <w:p w14:paraId="4E590E64">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3.初步评审合格的响应文件进行详细评审。主观评审部分由各专家独立评审打分，最后取平均得分，保留2位小数。</w:t>
            </w:r>
          </w:p>
          <w:p w14:paraId="0F9A8225">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4.根据综合得分由高至低进行</w:t>
            </w:r>
            <w:r>
              <w:rPr>
                <w:rFonts w:hint="eastAsia"/>
                <w:highlight w:val="none"/>
                <w:lang w:val="en-US" w:eastAsia="zh-CN"/>
              </w:rPr>
              <w:t>排名</w:t>
            </w:r>
            <w:r>
              <w:rPr>
                <w:rFonts w:hint="eastAsia" w:ascii="宋体" w:hAnsi="宋体" w:eastAsia="宋体" w:cs="宋体"/>
                <w:color w:val="auto"/>
                <w:sz w:val="21"/>
                <w:szCs w:val="21"/>
                <w:highlight w:val="none"/>
              </w:rPr>
              <w:t>。</w:t>
            </w:r>
          </w:p>
        </w:tc>
      </w:tr>
      <w:tr w14:paraId="2841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059" w:type="dxa"/>
            <w:gridSpan w:val="2"/>
            <w:vAlign w:val="center"/>
          </w:tcPr>
          <w:p w14:paraId="15BAD87D">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754" w:type="dxa"/>
            <w:gridSpan w:val="2"/>
            <w:tcBorders>
              <w:left w:val="single" w:color="auto" w:sz="4" w:space="0"/>
            </w:tcBorders>
            <w:vAlign w:val="center"/>
          </w:tcPr>
          <w:p w14:paraId="53B37927">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响应人得分</w:t>
            </w:r>
          </w:p>
        </w:tc>
        <w:tc>
          <w:tcPr>
            <w:tcW w:w="5651" w:type="dxa"/>
            <w:tcBorders>
              <w:left w:val="single" w:color="auto" w:sz="4" w:space="0"/>
            </w:tcBorders>
            <w:vAlign w:val="center"/>
          </w:tcPr>
          <w:p w14:paraId="4EB03553">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响应人得分=响应报价得分+商务部分得分+技术部分得分</w:t>
            </w:r>
          </w:p>
        </w:tc>
      </w:tr>
      <w:bookmarkEnd w:id="61"/>
    </w:tbl>
    <w:p w14:paraId="625354BD">
      <w:pPr>
        <w:ind w:firstLine="0" w:firstLineChars="0"/>
        <w:rPr>
          <w:rFonts w:ascii="宋体" w:hAnsi="宋体" w:cs="宋体"/>
          <w:snapToGrid w:val="0"/>
          <w:color w:val="auto"/>
          <w:szCs w:val="21"/>
          <w:highlight w:val="none"/>
        </w:rPr>
        <w:sectPr>
          <w:footerReference r:id="rId6" w:type="default"/>
          <w:pgSz w:w="11906" w:h="16838"/>
          <w:pgMar w:top="1440" w:right="1800" w:bottom="1440" w:left="1800" w:header="851" w:footer="992" w:gutter="0"/>
          <w:pgNumType w:start="1"/>
          <w:cols w:space="720" w:num="1"/>
          <w:docGrid w:type="lines" w:linePitch="312" w:charSpace="0"/>
        </w:sectPr>
      </w:pPr>
      <w:bookmarkStart w:id="62" w:name="_Toc21111"/>
      <w:bookmarkStart w:id="63" w:name="_Toc636"/>
    </w:p>
    <w:p w14:paraId="00B1C935">
      <w:pPr>
        <w:pStyle w:val="4"/>
        <w:rPr>
          <w:color w:val="auto"/>
          <w:highlight w:val="none"/>
        </w:rPr>
      </w:pPr>
      <w:bookmarkStart w:id="64" w:name="_Toc28684"/>
      <w:bookmarkStart w:id="65" w:name="_Toc27234"/>
      <w:bookmarkStart w:id="66" w:name="_Toc18283"/>
      <w:r>
        <w:rPr>
          <w:rFonts w:hint="eastAsia"/>
          <w:color w:val="auto"/>
          <w:highlight w:val="none"/>
        </w:rPr>
        <w:t>1. 评审方法</w:t>
      </w:r>
      <w:bookmarkEnd w:id="62"/>
      <w:bookmarkEnd w:id="63"/>
      <w:bookmarkEnd w:id="64"/>
      <w:bookmarkEnd w:id="65"/>
      <w:bookmarkEnd w:id="66"/>
    </w:p>
    <w:p w14:paraId="6CC823F4">
      <w:pPr>
        <w:bidi w:val="0"/>
      </w:pPr>
      <w:bookmarkStart w:id="67" w:name="_Toc224103385"/>
      <w:bookmarkStart w:id="68" w:name="_Toc287620752"/>
      <w:bookmarkStart w:id="69" w:name="_Toc287607813"/>
      <w:bookmarkStart w:id="70" w:name="_Toc377067339"/>
      <w:bookmarkStart w:id="71" w:name="_Toc440022827"/>
      <w:bookmarkStart w:id="72" w:name="_Toc277082619"/>
      <w:bookmarkStart w:id="73" w:name="_Toc407195379"/>
      <w:bookmarkStart w:id="74" w:name="_Toc200513199"/>
      <w:bookmarkStart w:id="75" w:name="_Toc377115419"/>
      <w:bookmarkStart w:id="76" w:name="_Toc330569206"/>
      <w:bookmarkStart w:id="77" w:name="_Toc376114120"/>
      <w:r>
        <w:rPr>
          <w:rFonts w:hint="eastAsia"/>
        </w:rPr>
        <w:t>本次评审采用综合评估法。</w:t>
      </w:r>
      <w:r>
        <w:rPr>
          <w:rFonts w:hint="eastAsia"/>
          <w:lang w:eastAsia="zh-CN"/>
        </w:rPr>
        <w:t>评审委员会</w:t>
      </w:r>
      <w:r>
        <w:rPr>
          <w:rFonts w:hint="eastAsia"/>
        </w:rPr>
        <w:t>按照本章第2.2</w:t>
      </w:r>
      <w:r>
        <w:rPr>
          <w:rFonts w:hint="eastAsia"/>
          <w:lang w:val="en-US" w:eastAsia="zh-CN"/>
        </w:rPr>
        <w:t xml:space="preserve"> 条</w:t>
      </w:r>
      <w:r>
        <w:rPr>
          <w:rFonts w:hint="eastAsia"/>
        </w:rPr>
        <w:t>规定的评分标准进行打分，按得分由高到低顺序</w:t>
      </w:r>
      <w:r>
        <w:rPr>
          <w:rFonts w:hint="eastAsia"/>
          <w:lang w:val="en-US" w:eastAsia="zh-CN"/>
        </w:rPr>
        <w:t>排序</w:t>
      </w:r>
      <w:r>
        <w:rPr>
          <w:rFonts w:hint="eastAsia"/>
          <w:lang w:eastAsia="zh-CN"/>
        </w:rPr>
        <w:t>，</w:t>
      </w:r>
      <w:r>
        <w:rPr>
          <w:rFonts w:hint="eastAsia"/>
        </w:rPr>
        <w:t>但</w:t>
      </w:r>
      <w:r>
        <w:rPr>
          <w:rFonts w:hint="eastAsia"/>
          <w:lang w:eastAsia="zh-CN"/>
        </w:rPr>
        <w:t>响应报价</w:t>
      </w:r>
      <w:r>
        <w:rPr>
          <w:rFonts w:hint="eastAsia"/>
        </w:rPr>
        <w:t>低于其成本的除外。综合评分相等时，以</w:t>
      </w:r>
      <w:r>
        <w:rPr>
          <w:rFonts w:hint="eastAsia"/>
          <w:lang w:eastAsia="zh-CN"/>
        </w:rPr>
        <w:t>响应报价</w:t>
      </w:r>
      <w:r>
        <w:rPr>
          <w:rFonts w:hint="eastAsia"/>
        </w:rPr>
        <w:t>低的优先；</w:t>
      </w:r>
      <w:r>
        <w:rPr>
          <w:rFonts w:hint="eastAsia"/>
          <w:lang w:eastAsia="zh-CN"/>
        </w:rPr>
        <w:t>响应报价</w:t>
      </w:r>
      <w:r>
        <w:rPr>
          <w:rFonts w:hint="eastAsia"/>
        </w:rPr>
        <w:t>也相等的，由</w:t>
      </w:r>
      <w:r>
        <w:rPr>
          <w:rFonts w:hint="eastAsia"/>
          <w:lang w:eastAsia="zh-CN"/>
        </w:rPr>
        <w:t>评审委员会</w:t>
      </w:r>
      <w:r>
        <w:rPr>
          <w:rFonts w:hint="eastAsia"/>
        </w:rPr>
        <w:t>随机抽取确定。</w:t>
      </w:r>
    </w:p>
    <w:p w14:paraId="68989F49">
      <w:pPr>
        <w:pStyle w:val="4"/>
        <w:rPr>
          <w:color w:val="auto"/>
          <w:highlight w:val="none"/>
        </w:rPr>
      </w:pPr>
      <w:bookmarkStart w:id="78" w:name="_Toc27931"/>
      <w:bookmarkStart w:id="79" w:name="_Toc23969"/>
      <w:bookmarkStart w:id="80" w:name="_Toc444155968"/>
      <w:bookmarkStart w:id="81" w:name="_Toc16716"/>
      <w:bookmarkStart w:id="82" w:name="_Toc31615"/>
      <w:bookmarkStart w:id="83" w:name="_Toc27406"/>
      <w:bookmarkStart w:id="84" w:name="_Toc5950"/>
      <w:bookmarkStart w:id="85" w:name="_Toc2274"/>
      <w:bookmarkStart w:id="86" w:name="_Toc765"/>
      <w:r>
        <w:rPr>
          <w:rFonts w:hint="eastAsia"/>
          <w:color w:val="auto"/>
          <w:highlight w:val="none"/>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0BCA8C6">
      <w:pPr>
        <w:pStyle w:val="5"/>
        <w:rPr>
          <w:color w:val="auto"/>
          <w:highlight w:val="none"/>
        </w:rPr>
      </w:pPr>
      <w:bookmarkStart w:id="87" w:name="_Toc224103386"/>
      <w:bookmarkStart w:id="88" w:name="_Toc277082620"/>
      <w:bookmarkStart w:id="89" w:name="_Toc444155969"/>
      <w:bookmarkStart w:id="90" w:name="_Toc16537"/>
      <w:bookmarkStart w:id="91" w:name="_Toc21593"/>
      <w:bookmarkStart w:id="92" w:name="_Toc330569207"/>
      <w:bookmarkStart w:id="93" w:name="_Toc23425"/>
      <w:bookmarkStart w:id="94" w:name="_Toc11839"/>
      <w:bookmarkStart w:id="95" w:name="_Toc440022828"/>
      <w:bookmarkStart w:id="96" w:name="_Toc287620753"/>
      <w:bookmarkStart w:id="97" w:name="_Toc1358"/>
      <w:bookmarkStart w:id="98" w:name="_Toc377115420"/>
      <w:bookmarkStart w:id="99" w:name="_Toc287607814"/>
      <w:bookmarkStart w:id="100" w:name="_Toc376114121"/>
      <w:bookmarkStart w:id="101" w:name="_Toc7584"/>
      <w:bookmarkStart w:id="102" w:name="_Toc200513200"/>
      <w:bookmarkStart w:id="103" w:name="_Toc10533"/>
      <w:bookmarkStart w:id="104" w:name="_Toc377067340"/>
      <w:bookmarkStart w:id="105" w:name="_Toc407195380"/>
      <w:r>
        <w:rPr>
          <w:rFonts w:hint="eastAsia"/>
          <w:color w:val="auto"/>
          <w:highlight w:val="none"/>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5E39832">
      <w:pPr>
        <w:rPr>
          <w:color w:val="auto"/>
          <w:highlight w:val="none"/>
        </w:rPr>
      </w:pPr>
      <w:r>
        <w:rPr>
          <w:rFonts w:hint="eastAsia"/>
          <w:color w:val="auto"/>
          <w:highlight w:val="none"/>
        </w:rPr>
        <w:t>2.1.1 资格评审标准：见评审办法前附表。</w:t>
      </w:r>
    </w:p>
    <w:p w14:paraId="7F64670E">
      <w:pPr>
        <w:rPr>
          <w:color w:val="auto"/>
          <w:highlight w:val="none"/>
        </w:rPr>
      </w:pPr>
      <w:r>
        <w:rPr>
          <w:rFonts w:hint="eastAsia"/>
          <w:color w:val="auto"/>
          <w:highlight w:val="none"/>
        </w:rPr>
        <w:t>2.1.2 形式评审标准：见评审办法前附表。</w:t>
      </w:r>
    </w:p>
    <w:p w14:paraId="4EE72D14">
      <w:pPr>
        <w:rPr>
          <w:color w:val="auto"/>
          <w:highlight w:val="none"/>
        </w:rPr>
      </w:pPr>
      <w:r>
        <w:rPr>
          <w:rFonts w:hint="eastAsia"/>
          <w:color w:val="auto"/>
          <w:highlight w:val="none"/>
        </w:rPr>
        <w:t>2.1.3 响应性评审标准：见评审办法前附表。</w:t>
      </w:r>
    </w:p>
    <w:p w14:paraId="2DD47EC4">
      <w:pPr>
        <w:pStyle w:val="5"/>
        <w:rPr>
          <w:color w:val="auto"/>
          <w:highlight w:val="none"/>
        </w:rPr>
      </w:pPr>
      <w:bookmarkStart w:id="106" w:name="_Toc277082621"/>
      <w:bookmarkStart w:id="107" w:name="_Toc287620754"/>
      <w:bookmarkStart w:id="108" w:name="_Toc2340"/>
      <w:bookmarkStart w:id="109" w:name="_Toc200513201"/>
      <w:bookmarkStart w:id="110" w:name="_Toc9090"/>
      <w:bookmarkStart w:id="111" w:name="_Toc23296"/>
      <w:bookmarkStart w:id="112" w:name="_Toc377067341"/>
      <w:bookmarkStart w:id="113" w:name="_Toc287607815"/>
      <w:bookmarkStart w:id="114" w:name="_Toc20840"/>
      <w:bookmarkStart w:id="115" w:name="_Toc377115421"/>
      <w:bookmarkStart w:id="116" w:name="_Toc25129"/>
      <w:bookmarkStart w:id="117" w:name="_Toc6503"/>
      <w:bookmarkStart w:id="118" w:name="_Toc330569208"/>
      <w:bookmarkStart w:id="119" w:name="_Toc444155970"/>
      <w:bookmarkStart w:id="120" w:name="_Toc407195381"/>
      <w:bookmarkStart w:id="121" w:name="_Toc224103387"/>
      <w:bookmarkStart w:id="122" w:name="_Toc440022829"/>
      <w:bookmarkStart w:id="123" w:name="_Toc376114122"/>
      <w:bookmarkStart w:id="124" w:name="_Toc1387"/>
      <w:r>
        <w:rPr>
          <w:rFonts w:hint="eastAsia"/>
          <w:color w:val="auto"/>
          <w:highlight w:val="none"/>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878375">
      <w:pPr>
        <w:rPr>
          <w:color w:val="auto"/>
          <w:highlight w:val="none"/>
        </w:rPr>
      </w:pPr>
      <w:r>
        <w:rPr>
          <w:rFonts w:hint="eastAsia"/>
          <w:color w:val="auto"/>
          <w:highlight w:val="none"/>
        </w:rPr>
        <w:t xml:space="preserve">2.2.1 分值构成：见评审办法前附表。 </w:t>
      </w:r>
    </w:p>
    <w:p w14:paraId="59E9859B">
      <w:pPr>
        <w:rPr>
          <w:color w:val="auto"/>
          <w:highlight w:val="none"/>
        </w:rPr>
      </w:pPr>
      <w:r>
        <w:rPr>
          <w:rFonts w:hint="eastAsia"/>
          <w:color w:val="auto"/>
          <w:highlight w:val="none"/>
        </w:rPr>
        <w:t>2.2.2 评审基准价计算方法：见评审办法前附表。</w:t>
      </w:r>
    </w:p>
    <w:p w14:paraId="5B46ADBC">
      <w:pPr>
        <w:rPr>
          <w:color w:val="auto"/>
          <w:highlight w:val="none"/>
        </w:rPr>
      </w:pPr>
      <w:r>
        <w:rPr>
          <w:rFonts w:hint="eastAsia"/>
          <w:color w:val="auto"/>
          <w:highlight w:val="none"/>
        </w:rPr>
        <w:t>2.2.3 评分标准： （1）响应报价评分标准：见评审办法前附表；</w:t>
      </w:r>
    </w:p>
    <w:p w14:paraId="0F49D085">
      <w:pPr>
        <w:ind w:left="1680"/>
        <w:rPr>
          <w:color w:val="auto"/>
          <w:highlight w:val="none"/>
        </w:rPr>
      </w:pPr>
      <w:r>
        <w:rPr>
          <w:rFonts w:hint="eastAsia"/>
          <w:color w:val="auto"/>
          <w:highlight w:val="none"/>
        </w:rPr>
        <w:t>（2）商务部分评分标准：见评审办法前附表；</w:t>
      </w:r>
    </w:p>
    <w:p w14:paraId="1C6266D9">
      <w:pPr>
        <w:ind w:left="1680"/>
        <w:rPr>
          <w:color w:val="auto"/>
          <w:highlight w:val="none"/>
        </w:rPr>
      </w:pPr>
      <w:r>
        <w:rPr>
          <w:rFonts w:hint="eastAsia"/>
          <w:color w:val="auto"/>
          <w:highlight w:val="none"/>
        </w:rPr>
        <w:t>（3）技术部分评分标准：见评审办法前附表。</w:t>
      </w:r>
    </w:p>
    <w:p w14:paraId="63D43A18">
      <w:pPr>
        <w:pStyle w:val="4"/>
        <w:rPr>
          <w:color w:val="auto"/>
          <w:highlight w:val="none"/>
        </w:rPr>
      </w:pPr>
      <w:bookmarkStart w:id="125" w:name="_Toc8004"/>
      <w:bookmarkStart w:id="126" w:name="_Toc14353"/>
      <w:bookmarkStart w:id="127" w:name="_Toc287620755"/>
      <w:bookmarkStart w:id="128" w:name="_Toc9488"/>
      <w:bookmarkStart w:id="129" w:name="_Toc444155971"/>
      <w:bookmarkStart w:id="130" w:name="_Toc224103388"/>
      <w:bookmarkStart w:id="131" w:name="_Toc287607816"/>
      <w:bookmarkStart w:id="132" w:name="_Toc12538"/>
      <w:bookmarkStart w:id="133" w:name="_Toc376114123"/>
      <w:bookmarkStart w:id="134" w:name="_Toc440022830"/>
      <w:bookmarkStart w:id="135" w:name="_Toc23633"/>
      <w:bookmarkStart w:id="136" w:name="_Toc2982"/>
      <w:bookmarkStart w:id="137" w:name="_Toc15132"/>
      <w:bookmarkStart w:id="138" w:name="_Toc200513202"/>
      <w:bookmarkStart w:id="139" w:name="_Toc5546"/>
      <w:bookmarkStart w:id="140" w:name="_Toc377115422"/>
      <w:bookmarkStart w:id="141" w:name="_Toc277082622"/>
      <w:bookmarkStart w:id="142" w:name="_Toc330569209"/>
      <w:bookmarkStart w:id="143" w:name="_Toc407195382"/>
      <w:bookmarkStart w:id="144" w:name="_Toc377067342"/>
      <w:r>
        <w:rPr>
          <w:rFonts w:hint="eastAsia"/>
          <w:color w:val="auto"/>
          <w:highlight w:val="none"/>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83BBE73">
      <w:pPr>
        <w:pStyle w:val="5"/>
        <w:rPr>
          <w:color w:val="auto"/>
          <w:highlight w:val="none"/>
        </w:rPr>
      </w:pPr>
      <w:bookmarkStart w:id="145" w:name="_Toc32002"/>
      <w:bookmarkStart w:id="146" w:name="_Toc200513203"/>
      <w:bookmarkStart w:id="147" w:name="_Toc377115423"/>
      <w:bookmarkStart w:id="148" w:name="_Toc287620756"/>
      <w:bookmarkStart w:id="149" w:name="_Toc13851"/>
      <w:bookmarkStart w:id="150" w:name="_Toc22279"/>
      <w:bookmarkStart w:id="151" w:name="_Toc5462"/>
      <w:bookmarkStart w:id="152" w:name="_Toc376114124"/>
      <w:bookmarkStart w:id="153" w:name="_Toc277082623"/>
      <w:bookmarkStart w:id="154" w:name="_Toc444155972"/>
      <w:bookmarkStart w:id="155" w:name="_Toc287607817"/>
      <w:bookmarkStart w:id="156" w:name="_Toc6448"/>
      <w:bookmarkStart w:id="157" w:name="_Toc407195383"/>
      <w:bookmarkStart w:id="158" w:name="_Toc377067343"/>
      <w:bookmarkStart w:id="159" w:name="_Toc440022831"/>
      <w:bookmarkStart w:id="160" w:name="_Toc19840"/>
      <w:bookmarkStart w:id="161" w:name="_Toc9683"/>
      <w:bookmarkStart w:id="162" w:name="_Toc330569210"/>
      <w:bookmarkStart w:id="163" w:name="_Toc224103389"/>
      <w:r>
        <w:rPr>
          <w:rFonts w:hint="eastAsia"/>
          <w:color w:val="auto"/>
          <w:highlight w:val="none"/>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DECCCDB">
      <w:pPr>
        <w:rPr>
          <w:color w:val="auto"/>
          <w:highlight w:val="none"/>
        </w:rPr>
      </w:pPr>
      <w:bookmarkStart w:id="164" w:name="_Toc377067344"/>
      <w:bookmarkStart w:id="165" w:name="_Toc356484119"/>
      <w:bookmarkStart w:id="166" w:name="_Toc332380970"/>
      <w:bookmarkStart w:id="167" w:name="_Toc331232467"/>
      <w:bookmarkStart w:id="168" w:name="_Toc407195384"/>
      <w:bookmarkStart w:id="169" w:name="_Toc334002333"/>
      <w:bookmarkStart w:id="170" w:name="_Toc330569211"/>
      <w:bookmarkStart w:id="171" w:name="_Toc354387014"/>
      <w:bookmarkStart w:id="172" w:name="_Toc332028970"/>
      <w:bookmarkStart w:id="173" w:name="_Toc331232649"/>
      <w:bookmarkStart w:id="174" w:name="_Toc444155973"/>
      <w:bookmarkStart w:id="175" w:name="_Toc377115424"/>
      <w:bookmarkStart w:id="176" w:name="_Toc373264792"/>
      <w:bookmarkStart w:id="177" w:name="_Toc356243677"/>
      <w:bookmarkStart w:id="178" w:name="_Toc373172234"/>
      <w:bookmarkStart w:id="179" w:name="_Toc440022832"/>
      <w:bookmarkStart w:id="180" w:name="_Toc376114125"/>
      <w:bookmarkStart w:id="181" w:name="_Toc27164"/>
      <w:bookmarkStart w:id="182" w:name="_Toc332015984"/>
      <w:r>
        <w:rPr>
          <w:rFonts w:hint="eastAsia"/>
          <w:color w:val="auto"/>
          <w:highlight w:val="none"/>
        </w:rPr>
        <w:t>3.1.1 评审委员会依据本章第2.1 条规定的标准对响应文件进行初步评审。有一项不符合评审标准的，作否决响应处理。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F4441FF">
      <w:pPr>
        <w:rPr>
          <w:color w:val="auto"/>
          <w:highlight w:val="none"/>
        </w:rPr>
      </w:pPr>
      <w:r>
        <w:rPr>
          <w:rFonts w:hint="eastAsia"/>
          <w:color w:val="auto"/>
          <w:highlight w:val="none"/>
        </w:rPr>
        <w:t>3.1.2 响应人有以下情形之一的，其响应作否决响应处理：</w:t>
      </w:r>
    </w:p>
    <w:p w14:paraId="653AA272">
      <w:pPr>
        <w:rPr>
          <w:color w:val="auto"/>
          <w:highlight w:val="none"/>
        </w:rPr>
      </w:pPr>
      <w:r>
        <w:rPr>
          <w:rFonts w:hint="eastAsia"/>
          <w:color w:val="auto"/>
          <w:highlight w:val="none"/>
        </w:rPr>
        <w:t>3.1.2.1 有第二章“响应人须知”第9.条以及第11. 条规定的任何一种情形的；</w:t>
      </w:r>
    </w:p>
    <w:p w14:paraId="502A04BE">
      <w:pPr>
        <w:rPr>
          <w:color w:val="auto"/>
          <w:highlight w:val="none"/>
        </w:rPr>
      </w:pPr>
      <w:r>
        <w:rPr>
          <w:rFonts w:hint="eastAsia"/>
          <w:color w:val="auto"/>
          <w:highlight w:val="none"/>
        </w:rPr>
        <w:t>3.1.2.2 有串通响应、弄虚作假等其他违反相关法律、法规行为的；</w:t>
      </w:r>
    </w:p>
    <w:p w14:paraId="0714D490">
      <w:pPr>
        <w:rPr>
          <w:color w:val="auto"/>
          <w:highlight w:val="none"/>
        </w:rPr>
      </w:pPr>
      <w:r>
        <w:rPr>
          <w:rFonts w:hint="eastAsia"/>
          <w:color w:val="auto"/>
          <w:highlight w:val="none"/>
        </w:rPr>
        <w:t>3.1.2.3 不按评审委员会要求澄清、说明或补正的。</w:t>
      </w:r>
    </w:p>
    <w:p w14:paraId="7F4D71E5">
      <w:pPr>
        <w:rPr>
          <w:color w:val="auto"/>
          <w:highlight w:val="none"/>
        </w:rPr>
      </w:pPr>
      <w:r>
        <w:rPr>
          <w:rFonts w:hint="eastAsia"/>
          <w:color w:val="auto"/>
          <w:highlight w:val="none"/>
        </w:rPr>
        <w:t>3.1.2.4 本响应文件约定的其它情形。</w:t>
      </w:r>
    </w:p>
    <w:p w14:paraId="75B0E396">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4.9 条。</w:t>
      </w:r>
    </w:p>
    <w:p w14:paraId="60333341">
      <w:pPr>
        <w:pStyle w:val="5"/>
        <w:rPr>
          <w:color w:val="auto"/>
          <w:highlight w:val="none"/>
        </w:rPr>
      </w:pPr>
      <w:bookmarkStart w:id="183" w:name="_Toc10847"/>
      <w:bookmarkStart w:id="184" w:name="_Toc330569212"/>
      <w:bookmarkStart w:id="185" w:name="_Toc11246"/>
      <w:bookmarkStart w:id="186" w:name="_Toc22246"/>
      <w:bookmarkStart w:id="187" w:name="_Toc224103390"/>
      <w:bookmarkStart w:id="188" w:name="_Toc7832"/>
      <w:bookmarkStart w:id="189" w:name="_Toc407195385"/>
      <w:bookmarkStart w:id="190" w:name="_Toc29925"/>
      <w:bookmarkStart w:id="191" w:name="_Toc200513204"/>
      <w:bookmarkStart w:id="192" w:name="_Toc376114126"/>
      <w:bookmarkStart w:id="193" w:name="_Toc19604"/>
      <w:bookmarkStart w:id="194" w:name="_Toc440022833"/>
      <w:bookmarkStart w:id="195" w:name="_Toc377115425"/>
      <w:bookmarkStart w:id="196" w:name="_Toc277082624"/>
      <w:bookmarkStart w:id="197" w:name="_Toc287620757"/>
      <w:bookmarkStart w:id="198" w:name="_Toc444155974"/>
      <w:bookmarkStart w:id="199" w:name="_Toc287607818"/>
      <w:bookmarkStart w:id="200" w:name="_Toc377067345"/>
      <w:bookmarkStart w:id="201" w:name="_Toc22848"/>
      <w:r>
        <w:rPr>
          <w:rFonts w:hint="eastAsia"/>
          <w:color w:val="auto"/>
          <w:highlight w:val="none"/>
        </w:rPr>
        <w:t>3.2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D7EE858">
      <w:pPr>
        <w:rPr>
          <w:color w:val="auto"/>
          <w:highlight w:val="none"/>
        </w:rPr>
      </w:pPr>
      <w:r>
        <w:rPr>
          <w:rFonts w:hint="eastAsia"/>
          <w:color w:val="auto"/>
          <w:highlight w:val="none"/>
        </w:rPr>
        <w:t>3.2.1 评审委员会按本章第2.2 条规定的量化因素和分值进行打分，并计算出综合评估得分。</w:t>
      </w:r>
    </w:p>
    <w:p w14:paraId="4212AB59">
      <w:pPr>
        <w:rPr>
          <w:color w:val="auto"/>
          <w:highlight w:val="none"/>
        </w:rPr>
      </w:pPr>
      <w:r>
        <w:rPr>
          <w:rFonts w:hint="eastAsia"/>
          <w:color w:val="auto"/>
          <w:highlight w:val="none"/>
        </w:rPr>
        <w:t>3.2.1.1 按本章第2.2 条规定的评审因素和分值对响应报价计算出得分；</w:t>
      </w:r>
    </w:p>
    <w:p w14:paraId="12B36A53">
      <w:pPr>
        <w:rPr>
          <w:color w:val="auto"/>
          <w:highlight w:val="none"/>
        </w:rPr>
      </w:pPr>
      <w:r>
        <w:rPr>
          <w:rFonts w:hint="eastAsia"/>
          <w:color w:val="auto"/>
          <w:highlight w:val="none"/>
        </w:rPr>
        <w:t>3.2.1.2 按本章第2.2 条规定的评审因素和分值对商务部分计算出得分（评审委员会统一打分）；</w:t>
      </w:r>
    </w:p>
    <w:p w14:paraId="01F97AE3">
      <w:pPr>
        <w:rPr>
          <w:color w:val="auto"/>
          <w:highlight w:val="none"/>
        </w:rPr>
      </w:pPr>
      <w:r>
        <w:rPr>
          <w:rFonts w:hint="eastAsia"/>
          <w:color w:val="auto"/>
          <w:highlight w:val="none"/>
        </w:rPr>
        <w:t>3.2.2 评分分值计算保留小数点后两位，小数点后第三位“四舍五入”。</w:t>
      </w:r>
    </w:p>
    <w:p w14:paraId="296B0AA3">
      <w:pPr>
        <w:rPr>
          <w:color w:val="auto"/>
          <w:highlight w:val="none"/>
        </w:rPr>
      </w:pPr>
      <w:r>
        <w:rPr>
          <w:rFonts w:hint="eastAsia"/>
          <w:color w:val="auto"/>
          <w:highlight w:val="none"/>
        </w:rPr>
        <w:t>3.2.3 响应人得分=响应报价得分+商务部分得分+技术部分得分。</w:t>
      </w:r>
    </w:p>
    <w:p w14:paraId="66EF8F32">
      <w:pPr>
        <w:pStyle w:val="5"/>
        <w:rPr>
          <w:color w:val="auto"/>
          <w:highlight w:val="none"/>
        </w:rPr>
      </w:pPr>
      <w:bookmarkStart w:id="202" w:name="_Toc376114127"/>
      <w:bookmarkStart w:id="203" w:name="_Toc444155975"/>
      <w:bookmarkStart w:id="204" w:name="_Toc7176"/>
      <w:bookmarkStart w:id="205" w:name="_Toc20948"/>
      <w:bookmarkStart w:id="206" w:name="_Toc287607819"/>
      <w:bookmarkStart w:id="207" w:name="_Toc29261"/>
      <w:bookmarkStart w:id="208" w:name="_Toc440022834"/>
      <w:bookmarkStart w:id="209" w:name="_Toc277082625"/>
      <w:bookmarkStart w:id="210" w:name="_Toc2542"/>
      <w:bookmarkStart w:id="211" w:name="_Toc377067346"/>
      <w:bookmarkStart w:id="212" w:name="_Toc330569213"/>
      <w:bookmarkStart w:id="213" w:name="_Toc407195386"/>
      <w:bookmarkStart w:id="214" w:name="_Toc377115426"/>
      <w:bookmarkStart w:id="215" w:name="_Toc200513205"/>
      <w:bookmarkStart w:id="216" w:name="_Toc32039"/>
      <w:bookmarkStart w:id="217" w:name="_Toc18708"/>
      <w:bookmarkStart w:id="218" w:name="_Toc287620758"/>
      <w:bookmarkStart w:id="219" w:name="_Toc224103391"/>
      <w:bookmarkStart w:id="220" w:name="_Toc1080"/>
      <w:r>
        <w:rPr>
          <w:rFonts w:hint="eastAsia"/>
          <w:color w:val="auto"/>
          <w:highlight w:val="none"/>
        </w:rPr>
        <w:t>3.3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A1E9C23">
      <w:pPr>
        <w:rPr>
          <w:color w:val="auto"/>
          <w:highlight w:val="none"/>
        </w:rPr>
      </w:pPr>
      <w:r>
        <w:rPr>
          <w:rFonts w:hint="eastAsia"/>
          <w:color w:val="auto"/>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8DC8A14">
      <w:pPr>
        <w:rPr>
          <w:color w:val="auto"/>
          <w:highlight w:val="none"/>
        </w:rPr>
      </w:pPr>
      <w:r>
        <w:rPr>
          <w:rFonts w:hint="eastAsia"/>
          <w:color w:val="auto"/>
          <w:highlight w:val="none"/>
        </w:rPr>
        <w:t>3.3.2 澄清、说明和补正不得改变响应文件的实质性内容（算术性错误修正的除外）。响应人的书面澄清、说明和补正属于响应文件的组成部分。</w:t>
      </w:r>
    </w:p>
    <w:p w14:paraId="5707BC34">
      <w:pPr>
        <w:rPr>
          <w:color w:val="auto"/>
          <w:highlight w:val="none"/>
        </w:rPr>
      </w:pPr>
      <w:r>
        <w:rPr>
          <w:rFonts w:hint="eastAsia"/>
          <w:color w:val="auto"/>
          <w:highlight w:val="none"/>
        </w:rPr>
        <w:t>3.3.3 评审委员会对响应人提交的澄清、说明或补正有疑问的，可以要求响应人进一步澄清、说明或补正，直至满足评审委员会的要求。</w:t>
      </w:r>
    </w:p>
    <w:p w14:paraId="1D83637D">
      <w:pPr>
        <w:pStyle w:val="5"/>
        <w:rPr>
          <w:color w:val="auto"/>
          <w:highlight w:val="none"/>
        </w:rPr>
      </w:pPr>
      <w:bookmarkStart w:id="221" w:name="_Toc287620759"/>
      <w:bookmarkStart w:id="222" w:name="_Toc21450"/>
      <w:bookmarkStart w:id="223" w:name="_Toc6310"/>
      <w:bookmarkStart w:id="224" w:name="_Toc30672"/>
      <w:bookmarkStart w:id="225" w:name="_Toc444155976"/>
      <w:bookmarkStart w:id="226" w:name="_Toc14840"/>
      <w:bookmarkStart w:id="227" w:name="_Toc4814"/>
      <w:bookmarkStart w:id="228" w:name="_Toc376114128"/>
      <w:bookmarkStart w:id="229" w:name="_Toc377067347"/>
      <w:bookmarkStart w:id="230" w:name="_Toc277082626"/>
      <w:bookmarkStart w:id="231" w:name="_Toc287607820"/>
      <w:bookmarkStart w:id="232" w:name="_Toc377115427"/>
      <w:bookmarkStart w:id="233" w:name="_Toc200513206"/>
      <w:bookmarkStart w:id="234" w:name="_Toc224103392"/>
      <w:bookmarkStart w:id="235" w:name="_Toc330569214"/>
      <w:bookmarkStart w:id="236" w:name="_Toc19054"/>
      <w:bookmarkStart w:id="237" w:name="_Toc407195387"/>
      <w:bookmarkStart w:id="238" w:name="_Toc440022835"/>
      <w:bookmarkStart w:id="239" w:name="_Toc31270"/>
      <w:r>
        <w:rPr>
          <w:rFonts w:hint="eastAsia"/>
          <w:color w:val="auto"/>
          <w:highlight w:val="none"/>
        </w:rPr>
        <w:t>3.4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ABEEF7D">
      <w:pPr>
        <w:bidi w:val="0"/>
      </w:pPr>
      <w:r>
        <w:rPr>
          <w:rFonts w:hint="eastAsia"/>
        </w:rPr>
        <w:t>3.</w:t>
      </w:r>
      <w:r>
        <w:rPr>
          <w:rFonts w:hint="eastAsia"/>
          <w:lang w:val="en-US" w:eastAsia="zh-CN"/>
        </w:rPr>
        <w:t>4</w:t>
      </w:r>
      <w:r>
        <w:rPr>
          <w:rFonts w:hint="eastAsia"/>
        </w:rPr>
        <w:t xml:space="preserve">.1 </w:t>
      </w:r>
      <w:r>
        <w:rPr>
          <w:rFonts w:hint="eastAsia"/>
          <w:lang w:eastAsia="zh-CN"/>
        </w:rPr>
        <w:t>评审委员会</w:t>
      </w:r>
      <w:r>
        <w:rPr>
          <w:rFonts w:hint="eastAsia"/>
        </w:rPr>
        <w:t>按照得分由高到低的顺序</w:t>
      </w:r>
      <w:r>
        <w:rPr>
          <w:rFonts w:hint="eastAsia"/>
          <w:lang w:val="en-US" w:eastAsia="zh-CN"/>
        </w:rPr>
        <w:t>排序并确定排名</w:t>
      </w:r>
      <w:r>
        <w:rPr>
          <w:rFonts w:hint="eastAsia"/>
        </w:rPr>
        <w:t>。</w:t>
      </w:r>
    </w:p>
    <w:p w14:paraId="2F1EED3B">
      <w:pPr>
        <w:rPr>
          <w:color w:val="auto"/>
          <w:highlight w:val="none"/>
        </w:rPr>
      </w:pPr>
      <w:r>
        <w:rPr>
          <w:rFonts w:hint="eastAsia"/>
          <w:color w:val="auto"/>
          <w:highlight w:val="none"/>
        </w:rPr>
        <w:t>3.4.2 评审委员会完成评审后，应当向采购人提交书面评审报告。</w:t>
      </w:r>
    </w:p>
    <w:p w14:paraId="06195FAA">
      <w:pPr>
        <w:rPr>
          <w:color w:val="auto"/>
          <w:highlight w:val="none"/>
        </w:rPr>
      </w:pPr>
      <w:r>
        <w:rPr>
          <w:rFonts w:hint="eastAsia"/>
          <w:color w:val="auto"/>
          <w:highlight w:val="none"/>
        </w:rPr>
        <w:t>3.4.3 有效响应不足三个的，经评审委员会判定，响应人具有相对行业竞争力的，可继续进行评审并确定</w:t>
      </w:r>
      <w:r>
        <w:rPr>
          <w:rFonts w:hint="eastAsia"/>
          <w:lang w:val="en-US" w:eastAsia="zh-CN"/>
        </w:rPr>
        <w:t>排名</w:t>
      </w:r>
      <w:r>
        <w:rPr>
          <w:rFonts w:hint="eastAsia"/>
          <w:color w:val="auto"/>
          <w:highlight w:val="none"/>
        </w:rPr>
        <w:t>。</w:t>
      </w:r>
    </w:p>
    <w:p w14:paraId="1989163A">
      <w:pPr>
        <w:pStyle w:val="5"/>
        <w:rPr>
          <w:color w:val="auto"/>
          <w:highlight w:val="none"/>
        </w:rPr>
      </w:pPr>
      <w:r>
        <w:rPr>
          <w:rFonts w:hint="eastAsia"/>
          <w:color w:val="auto"/>
          <w:highlight w:val="none"/>
        </w:rPr>
        <w:t>3.5 对评审委员会成员的纪律要求</w:t>
      </w:r>
    </w:p>
    <w:p w14:paraId="04C5E31B">
      <w:pPr>
        <w:rPr>
          <w:color w:val="auto"/>
          <w:highlight w:val="none"/>
        </w:rPr>
      </w:pPr>
      <w:r>
        <w:rPr>
          <w:rFonts w:hint="eastAsia"/>
          <w:color w:val="auto"/>
          <w:highlight w:val="none"/>
        </w:rPr>
        <w:t>评审委员会成员不得收受他人的财物或者其它好处，不得向他人透露对响应文件的评审和比较、</w:t>
      </w:r>
      <w:r>
        <w:rPr>
          <w:rFonts w:hint="eastAsia"/>
          <w:lang w:val="en-US" w:eastAsia="zh-CN"/>
        </w:rPr>
        <w:t>排名</w:t>
      </w:r>
      <w:r>
        <w:rPr>
          <w:rFonts w:hint="eastAsia"/>
          <w:color w:val="auto"/>
          <w:highlight w:val="none"/>
        </w:rPr>
        <w:t>情况以及评审有关的其他情况。在评审活动中，评审委员会成员不得擅离职守，影响评审程序正常进行，不得使用本询比文件没有规定的评审因素进行评审。</w:t>
      </w:r>
    </w:p>
    <w:p w14:paraId="54A571FB">
      <w:pPr>
        <w:pStyle w:val="5"/>
        <w:rPr>
          <w:color w:val="auto"/>
          <w:highlight w:val="none"/>
        </w:rPr>
      </w:pPr>
      <w:r>
        <w:rPr>
          <w:rFonts w:hint="eastAsia"/>
          <w:color w:val="auto"/>
          <w:highlight w:val="none"/>
        </w:rPr>
        <w:t>3.6 对与评审活动有关的工作人员的纪律要求</w:t>
      </w:r>
    </w:p>
    <w:p w14:paraId="7614689D">
      <w:pPr>
        <w:rPr>
          <w:color w:val="auto"/>
          <w:highlight w:val="none"/>
        </w:rPr>
      </w:pPr>
      <w:r>
        <w:rPr>
          <w:rFonts w:hint="eastAsia"/>
          <w:color w:val="auto"/>
          <w:highlight w:val="none"/>
        </w:rPr>
        <w:t>与评审活动有关的工作人员不得收受他人的财物或者其他好处，不得向他人透漏对响应文件的评审和比较、</w:t>
      </w:r>
      <w:r>
        <w:rPr>
          <w:rFonts w:hint="eastAsia"/>
          <w:lang w:val="en-US" w:eastAsia="zh-CN"/>
        </w:rPr>
        <w:t>排名</w:t>
      </w:r>
      <w:r>
        <w:rPr>
          <w:rFonts w:hint="eastAsia"/>
          <w:color w:val="auto"/>
          <w:highlight w:val="none"/>
        </w:rPr>
        <w:t>情况以及与评审有关的其他情况。在评审活动中，与评审活动有关的工作人员不得擅离职守，影响评审程序正常进行。</w:t>
      </w:r>
    </w:p>
    <w:p w14:paraId="2FB8D69C">
      <w:pPr>
        <w:rPr>
          <w:color w:val="auto"/>
          <w:highlight w:val="none"/>
        </w:rPr>
      </w:pPr>
    </w:p>
    <w:p w14:paraId="3789F3CB">
      <w:pPr>
        <w:rPr>
          <w:color w:val="auto"/>
          <w:highlight w:val="none"/>
        </w:rPr>
        <w:sectPr>
          <w:pgSz w:w="11906" w:h="16838"/>
          <w:pgMar w:top="1440" w:right="1800" w:bottom="1440" w:left="1800" w:header="851" w:footer="992" w:gutter="0"/>
          <w:cols w:space="720" w:num="1"/>
          <w:docGrid w:type="lines" w:linePitch="312" w:charSpace="0"/>
        </w:sectPr>
      </w:pPr>
    </w:p>
    <w:p w14:paraId="4B04CDC0">
      <w:pPr>
        <w:pStyle w:val="3"/>
        <w:rPr>
          <w:color w:val="auto"/>
          <w:highlight w:val="none"/>
        </w:rPr>
      </w:pPr>
      <w:bookmarkStart w:id="240" w:name="_Toc150953074"/>
      <w:bookmarkStart w:id="241" w:name="_Toc17237"/>
      <w:bookmarkStart w:id="242" w:name="_Toc17358"/>
      <w:bookmarkStart w:id="243" w:name="_Toc89675170"/>
      <w:bookmarkStart w:id="244" w:name="_Toc303066034"/>
      <w:r>
        <w:rPr>
          <w:rFonts w:hint="eastAsia"/>
          <w:color w:val="auto"/>
          <w:highlight w:val="none"/>
        </w:rPr>
        <w:t>第五章 合同</w:t>
      </w:r>
      <w:r>
        <w:rPr>
          <w:color w:val="auto"/>
          <w:highlight w:val="none"/>
        </w:rPr>
        <w:t>模板</w:t>
      </w:r>
      <w:bookmarkEnd w:id="240"/>
      <w:bookmarkEnd w:id="241"/>
      <w:bookmarkEnd w:id="242"/>
    </w:p>
    <w:p w14:paraId="28454637">
      <w:pPr>
        <w:ind w:firstLine="0" w:firstLineChars="0"/>
        <w:jc w:val="center"/>
        <w:rPr>
          <w:color w:val="auto"/>
          <w:highlight w:val="none"/>
        </w:rPr>
      </w:pPr>
      <w:r>
        <w:rPr>
          <w:rFonts w:hint="eastAsia"/>
          <w:color w:val="auto"/>
          <w:highlight w:val="none"/>
        </w:rPr>
        <w:t>（本章节的合同条款及格式仅供参考，具体以合同签订时为准）</w:t>
      </w:r>
    </w:p>
    <w:p w14:paraId="66C53640">
      <w:pPr>
        <w:spacing w:line="360" w:lineRule="auto"/>
        <w:jc w:val="right"/>
        <w:rPr>
          <w:rStyle w:val="23"/>
          <w:rFonts w:ascii="宋体" w:eastAsia="宋体"/>
          <w:b w:val="0"/>
          <w:color w:val="auto"/>
          <w:spacing w:val="0"/>
          <w:sz w:val="28"/>
          <w:szCs w:val="28"/>
          <w:highlight w:val="none"/>
        </w:rPr>
      </w:pPr>
      <w:r>
        <w:rPr>
          <w:rStyle w:val="23"/>
          <w:rFonts w:hint="eastAsia" w:ascii="宋体" w:eastAsia="宋体"/>
          <w:b w:val="0"/>
          <w:color w:val="auto"/>
          <w:spacing w:val="0"/>
          <w:sz w:val="28"/>
          <w:szCs w:val="28"/>
          <w:highlight w:val="none"/>
        </w:rPr>
        <w:t>编号：</w:t>
      </w:r>
      <w:r>
        <w:rPr>
          <w:rStyle w:val="23"/>
          <w:rFonts w:ascii="宋体" w:eastAsia="宋体"/>
          <w:b w:val="0"/>
          <w:color w:val="auto"/>
          <w:spacing w:val="0"/>
          <w:sz w:val="28"/>
          <w:szCs w:val="28"/>
          <w:highlight w:val="none"/>
        </w:rPr>
        <w:t>SXYH</w:t>
      </w:r>
      <w:r>
        <w:rPr>
          <w:rStyle w:val="23"/>
          <w:rFonts w:hint="eastAsia" w:ascii="宋体" w:eastAsia="宋体"/>
          <w:b w:val="0"/>
          <w:color w:val="auto"/>
          <w:spacing w:val="0"/>
          <w:sz w:val="28"/>
          <w:szCs w:val="28"/>
          <w:highlight w:val="none"/>
          <w:lang w:val="en-US" w:eastAsia="zh-CN"/>
        </w:rPr>
        <w:t>SZJR</w:t>
      </w:r>
      <w:r>
        <w:rPr>
          <w:rStyle w:val="23"/>
          <w:rFonts w:ascii="宋体" w:eastAsia="宋体"/>
          <w:b w:val="0"/>
          <w:color w:val="auto"/>
          <w:spacing w:val="0"/>
          <w:sz w:val="28"/>
          <w:szCs w:val="28"/>
          <w:highlight w:val="none"/>
        </w:rPr>
        <w:t>202_____</w:t>
      </w:r>
    </w:p>
    <w:p w14:paraId="176CD03C">
      <w:pPr>
        <w:spacing w:line="360" w:lineRule="auto"/>
        <w:jc w:val="center"/>
        <w:rPr>
          <w:rStyle w:val="23"/>
          <w:color w:val="auto"/>
          <w:spacing w:val="0"/>
          <w:szCs w:val="21"/>
          <w:highlight w:val="none"/>
        </w:rPr>
      </w:pPr>
    </w:p>
    <w:p w14:paraId="17A1B1C1">
      <w:pPr>
        <w:spacing w:line="360" w:lineRule="auto"/>
        <w:jc w:val="center"/>
        <w:rPr>
          <w:rStyle w:val="23"/>
          <w:color w:val="auto"/>
          <w:spacing w:val="0"/>
          <w:szCs w:val="21"/>
          <w:highlight w:val="none"/>
        </w:rPr>
      </w:pPr>
    </w:p>
    <w:p w14:paraId="7AFA3003">
      <w:pPr>
        <w:spacing w:line="360" w:lineRule="auto"/>
        <w:jc w:val="center"/>
        <w:rPr>
          <w:rStyle w:val="23"/>
          <w:color w:val="auto"/>
          <w:spacing w:val="0"/>
          <w:szCs w:val="21"/>
          <w:highlight w:val="none"/>
        </w:rPr>
      </w:pPr>
    </w:p>
    <w:p w14:paraId="44E98253">
      <w:pPr>
        <w:spacing w:line="360" w:lineRule="auto"/>
        <w:jc w:val="center"/>
        <w:rPr>
          <w:rStyle w:val="23"/>
          <w:color w:val="auto"/>
          <w:spacing w:val="0"/>
          <w:szCs w:val="21"/>
          <w:highlight w:val="none"/>
        </w:rPr>
      </w:pPr>
    </w:p>
    <w:p w14:paraId="4CD92C96">
      <w:pPr>
        <w:spacing w:line="360" w:lineRule="auto"/>
        <w:jc w:val="center"/>
        <w:rPr>
          <w:rStyle w:val="23"/>
          <w:rFonts w:hint="eastAsia" w:ascii="宋体" w:eastAsia="宋体"/>
          <w:color w:val="auto"/>
          <w:spacing w:val="0"/>
          <w:sz w:val="52"/>
          <w:szCs w:val="52"/>
          <w:highlight w:val="none"/>
        </w:rPr>
      </w:pPr>
      <w:r>
        <w:rPr>
          <w:rStyle w:val="23"/>
          <w:rFonts w:hint="eastAsia" w:ascii="宋体" w:eastAsia="宋体"/>
          <w:color w:val="auto"/>
          <w:spacing w:val="0"/>
          <w:sz w:val="52"/>
          <w:szCs w:val="52"/>
          <w:highlight w:val="none"/>
        </w:rPr>
        <w:t>重庆三峡银行</w:t>
      </w:r>
    </w:p>
    <w:p w14:paraId="3AD2BC00">
      <w:pPr>
        <w:spacing w:line="360" w:lineRule="auto"/>
        <w:jc w:val="center"/>
        <w:rPr>
          <w:rStyle w:val="23"/>
          <w:rFonts w:hint="eastAsia" w:ascii="宋体" w:eastAsia="宋体"/>
          <w:color w:val="auto"/>
          <w:spacing w:val="0"/>
          <w:sz w:val="52"/>
          <w:szCs w:val="52"/>
          <w:highlight w:val="none"/>
        </w:rPr>
      </w:pPr>
      <w:r>
        <w:rPr>
          <w:rStyle w:val="23"/>
          <w:rFonts w:hint="eastAsia" w:ascii="宋体" w:eastAsia="宋体"/>
          <w:color w:val="auto"/>
          <w:spacing w:val="0"/>
          <w:sz w:val="52"/>
          <w:szCs w:val="52"/>
          <w:highlight w:val="none"/>
          <w:lang w:val="en-US" w:eastAsia="zh-CN"/>
        </w:rPr>
        <w:t>数据资产管理平台建设</w:t>
      </w:r>
      <w:r>
        <w:rPr>
          <w:rStyle w:val="23"/>
          <w:rFonts w:hint="eastAsia" w:ascii="宋体" w:eastAsia="宋体"/>
          <w:color w:val="auto"/>
          <w:spacing w:val="0"/>
          <w:sz w:val="52"/>
          <w:szCs w:val="52"/>
          <w:highlight w:val="none"/>
        </w:rPr>
        <w:t>项目</w:t>
      </w:r>
    </w:p>
    <w:p w14:paraId="1AD45592">
      <w:pPr>
        <w:spacing w:line="360" w:lineRule="auto"/>
        <w:jc w:val="center"/>
        <w:rPr>
          <w:rStyle w:val="23"/>
          <w:color w:val="auto"/>
          <w:spacing w:val="0"/>
          <w:sz w:val="36"/>
          <w:szCs w:val="21"/>
          <w:highlight w:val="none"/>
        </w:rPr>
      </w:pPr>
      <w:r>
        <w:rPr>
          <w:rStyle w:val="23"/>
          <w:rFonts w:hint="eastAsia" w:ascii="宋体" w:eastAsia="宋体"/>
          <w:color w:val="auto"/>
          <w:spacing w:val="0"/>
          <w:sz w:val="52"/>
          <w:szCs w:val="52"/>
          <w:highlight w:val="none"/>
        </w:rPr>
        <w:t>合同</w:t>
      </w:r>
    </w:p>
    <w:p w14:paraId="701F9F44">
      <w:pPr>
        <w:spacing w:line="360" w:lineRule="auto"/>
        <w:jc w:val="center"/>
        <w:rPr>
          <w:rStyle w:val="23"/>
          <w:color w:val="auto"/>
          <w:spacing w:val="0"/>
          <w:szCs w:val="21"/>
          <w:highlight w:val="none"/>
        </w:rPr>
      </w:pPr>
    </w:p>
    <w:p w14:paraId="4061F250">
      <w:pPr>
        <w:spacing w:line="360" w:lineRule="auto"/>
        <w:jc w:val="center"/>
        <w:rPr>
          <w:rStyle w:val="23"/>
          <w:color w:val="auto"/>
          <w:spacing w:val="0"/>
          <w:szCs w:val="21"/>
          <w:highlight w:val="none"/>
        </w:rPr>
      </w:pPr>
    </w:p>
    <w:p w14:paraId="59550547">
      <w:pPr>
        <w:spacing w:line="360" w:lineRule="auto"/>
        <w:jc w:val="center"/>
        <w:rPr>
          <w:b/>
          <w:bCs/>
          <w:color w:val="auto"/>
          <w:spacing w:val="0"/>
          <w:highlight w:val="none"/>
        </w:rPr>
      </w:pPr>
    </w:p>
    <w:p w14:paraId="642EF64A">
      <w:pPr>
        <w:spacing w:line="360" w:lineRule="auto"/>
        <w:jc w:val="center"/>
        <w:rPr>
          <w:b/>
          <w:bCs/>
          <w:color w:val="auto"/>
          <w:spacing w:val="0"/>
          <w:highlight w:val="none"/>
        </w:rPr>
      </w:pPr>
    </w:p>
    <w:p w14:paraId="0734CBCF">
      <w:pPr>
        <w:spacing w:line="360" w:lineRule="auto"/>
        <w:jc w:val="center"/>
        <w:rPr>
          <w:b/>
          <w:bCs/>
          <w:color w:val="auto"/>
          <w:spacing w:val="0"/>
          <w:highlight w:val="none"/>
        </w:rPr>
      </w:pPr>
    </w:p>
    <w:p w14:paraId="5C38392A">
      <w:pPr>
        <w:spacing w:line="360" w:lineRule="auto"/>
        <w:rPr>
          <w:b/>
          <w:bCs/>
          <w:color w:val="auto"/>
          <w:spacing w:val="0"/>
          <w:highlight w:val="none"/>
        </w:rPr>
      </w:pPr>
    </w:p>
    <w:p w14:paraId="03F36671">
      <w:pPr>
        <w:spacing w:line="360" w:lineRule="auto"/>
        <w:jc w:val="center"/>
        <w:rPr>
          <w:b/>
          <w:bCs/>
          <w:color w:val="auto"/>
          <w:spacing w:val="0"/>
          <w:highlight w:val="none"/>
        </w:rPr>
      </w:pPr>
    </w:p>
    <w:p w14:paraId="139C18FF">
      <w:pPr>
        <w:spacing w:line="360" w:lineRule="auto"/>
        <w:jc w:val="center"/>
        <w:rPr>
          <w:b/>
          <w:bCs/>
          <w:color w:val="auto"/>
          <w:spacing w:val="0"/>
          <w:highlight w:val="none"/>
        </w:rPr>
      </w:pPr>
    </w:p>
    <w:p w14:paraId="77A0ECBA">
      <w:pPr>
        <w:spacing w:line="360" w:lineRule="auto"/>
        <w:jc w:val="center"/>
        <w:rPr>
          <w:b/>
          <w:bCs/>
          <w:color w:val="auto"/>
          <w:spacing w:val="0"/>
          <w:highlight w:val="none"/>
        </w:rPr>
      </w:pPr>
    </w:p>
    <w:p w14:paraId="1E27A7BC">
      <w:pPr>
        <w:spacing w:line="360" w:lineRule="auto"/>
        <w:ind w:left="840"/>
        <w:rPr>
          <w:rFonts w:ascii="宋体" w:eastAsia="宋体"/>
          <w:b/>
          <w:bCs/>
          <w:color w:val="auto"/>
          <w:spacing w:val="0"/>
          <w:sz w:val="28"/>
          <w:highlight w:val="none"/>
        </w:rPr>
      </w:pPr>
      <w:r>
        <w:rPr>
          <w:rFonts w:hint="eastAsia" w:ascii="宋体" w:eastAsia="宋体"/>
          <w:b/>
          <w:bCs/>
          <w:color w:val="auto"/>
          <w:spacing w:val="0"/>
          <w:sz w:val="28"/>
          <w:highlight w:val="none"/>
        </w:rPr>
        <w:t>委托方（甲方）：重庆三峡银行股份有限公司</w:t>
      </w:r>
    </w:p>
    <w:p w14:paraId="22141CD2">
      <w:pPr>
        <w:tabs>
          <w:tab w:val="right" w:pos="8312"/>
        </w:tabs>
        <w:spacing w:line="360" w:lineRule="auto"/>
        <w:ind w:left="840"/>
        <w:rPr>
          <w:rFonts w:ascii="宋体" w:eastAsia="宋体"/>
          <w:b/>
          <w:bCs/>
          <w:color w:val="auto"/>
          <w:spacing w:val="0"/>
          <w:sz w:val="28"/>
          <w:highlight w:val="none"/>
        </w:rPr>
      </w:pPr>
      <w:r>
        <w:rPr>
          <w:rFonts w:hint="eastAsia" w:ascii="宋体" w:eastAsia="宋体"/>
          <w:b/>
          <w:bCs/>
          <w:color w:val="auto"/>
          <w:spacing w:val="0"/>
          <w:sz w:val="28"/>
          <w:highlight w:val="none"/>
        </w:rPr>
        <w:t>受托方（乙方）：</w:t>
      </w:r>
      <w:r>
        <w:rPr>
          <w:rFonts w:ascii="宋体" w:eastAsia="宋体"/>
          <w:b/>
          <w:bCs/>
          <w:color w:val="auto"/>
          <w:spacing w:val="0"/>
          <w:sz w:val="28"/>
          <w:highlight w:val="none"/>
        </w:rPr>
        <w:tab/>
      </w:r>
    </w:p>
    <w:p w14:paraId="45C61C05">
      <w:pPr>
        <w:spacing w:line="360" w:lineRule="auto"/>
        <w:ind w:left="840"/>
        <w:rPr>
          <w:rFonts w:ascii="宋体" w:eastAsia="宋体"/>
          <w:b/>
          <w:color w:val="auto"/>
          <w:spacing w:val="0"/>
          <w:highlight w:val="none"/>
        </w:rPr>
      </w:pPr>
      <w:r>
        <w:rPr>
          <w:rFonts w:hint="eastAsia" w:ascii="宋体" w:eastAsia="宋体"/>
          <w:b/>
          <w:bCs/>
          <w:color w:val="auto"/>
          <w:spacing w:val="0"/>
          <w:sz w:val="28"/>
          <w:highlight w:val="none"/>
        </w:rPr>
        <w:t>签订地点</w:t>
      </w:r>
      <w:r>
        <w:rPr>
          <w:rFonts w:hint="eastAsia" w:ascii="宋体" w:eastAsia="宋体"/>
          <w:b/>
          <w:color w:val="auto"/>
          <w:spacing w:val="0"/>
          <w:sz w:val="28"/>
          <w:highlight w:val="none"/>
        </w:rPr>
        <w:t>：重庆</w:t>
      </w:r>
    </w:p>
    <w:p w14:paraId="0255B235">
      <w:pPr>
        <w:spacing w:line="360" w:lineRule="auto"/>
        <w:rPr>
          <w:b/>
          <w:color w:val="auto"/>
          <w:spacing w:val="0"/>
          <w:sz w:val="32"/>
          <w:highlight w:val="none"/>
        </w:rPr>
      </w:pPr>
    </w:p>
    <w:p w14:paraId="1E15AE0E">
      <w:pPr>
        <w:spacing w:line="360" w:lineRule="auto"/>
        <w:jc w:val="center"/>
        <w:rPr>
          <w:rFonts w:ascii="宋体" w:eastAsia="宋体"/>
          <w:b/>
          <w:color w:val="auto"/>
          <w:spacing w:val="0"/>
          <w:sz w:val="32"/>
          <w:szCs w:val="32"/>
          <w:highlight w:val="none"/>
        </w:rPr>
      </w:pPr>
      <w:r>
        <w:rPr>
          <w:color w:val="auto"/>
          <w:spacing w:val="0"/>
          <w:highlight w:val="none"/>
        </w:rPr>
        <w:br w:type="page"/>
      </w:r>
      <w:r>
        <w:rPr>
          <w:rFonts w:hint="eastAsia" w:ascii="宋体" w:eastAsia="宋体"/>
          <w:b/>
          <w:color w:val="auto"/>
          <w:spacing w:val="0"/>
          <w:sz w:val="32"/>
          <w:szCs w:val="32"/>
          <w:highlight w:val="none"/>
        </w:rPr>
        <w:t>目录</w:t>
      </w:r>
    </w:p>
    <w:p w14:paraId="731B00F0">
      <w:pPr>
        <w:pStyle w:val="11"/>
        <w:tabs>
          <w:tab w:val="right" w:leader="dot" w:pos="8302"/>
        </w:tabs>
        <w:rPr>
          <w:rFonts w:ascii="Calibri" w:hAnsi="Calibri" w:eastAsia="宋体"/>
          <w:color w:val="auto"/>
          <w:spacing w:val="0"/>
          <w:sz w:val="21"/>
          <w:szCs w:val="22"/>
          <w:highlight w:val="none"/>
        </w:rPr>
      </w:pPr>
      <w:r>
        <w:rPr>
          <w:rFonts w:hint="eastAsia" w:ascii="宋体" w:eastAsia="宋体"/>
          <w:color w:val="auto"/>
          <w:spacing w:val="0"/>
          <w:highlight w:val="none"/>
        </w:rPr>
        <w:fldChar w:fldCharType="begin"/>
      </w:r>
      <w:r>
        <w:rPr>
          <w:rFonts w:hint="eastAsia" w:ascii="宋体" w:eastAsia="宋体"/>
          <w:color w:val="auto"/>
          <w:spacing w:val="0"/>
          <w:highlight w:val="none"/>
        </w:rPr>
        <w:instrText xml:space="preserve"> TOC \o "1-3" \n \h \z \u </w:instrText>
      </w:r>
      <w:r>
        <w:rPr>
          <w:rFonts w:hint="eastAsia" w:ascii="宋体" w:eastAsia="宋体"/>
          <w:color w:val="auto"/>
          <w:spacing w:val="0"/>
          <w:highlight w:val="none"/>
        </w:rPr>
        <w:fldChar w:fldCharType="separate"/>
      </w:r>
      <w:r>
        <w:rPr>
          <w:color w:val="auto"/>
          <w:highlight w:val="none"/>
        </w:rPr>
        <w:fldChar w:fldCharType="begin"/>
      </w:r>
      <w:r>
        <w:rPr>
          <w:color w:val="auto"/>
          <w:highlight w:val="none"/>
        </w:rPr>
        <w:instrText xml:space="preserve"> HYPERLINK \l "_Toc84948025" </w:instrText>
      </w:r>
      <w:r>
        <w:rPr>
          <w:color w:val="auto"/>
          <w:highlight w:val="none"/>
        </w:rPr>
        <w:fldChar w:fldCharType="separate"/>
      </w:r>
      <w:r>
        <w:rPr>
          <w:rFonts w:ascii="宋体" w:eastAsia="宋体"/>
          <w:b/>
          <w:color w:val="auto"/>
          <w:highlight w:val="none"/>
        </w:rPr>
        <w:t>第一条定义</w:t>
      </w:r>
      <w:r>
        <w:rPr>
          <w:rFonts w:ascii="宋体" w:eastAsia="宋体"/>
          <w:b/>
          <w:color w:val="auto"/>
          <w:highlight w:val="none"/>
        </w:rPr>
        <w:fldChar w:fldCharType="end"/>
      </w:r>
    </w:p>
    <w:p w14:paraId="0C6005F1">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"_Toc84948026" </w:instrText>
      </w:r>
      <w:r>
        <w:rPr>
          <w:color w:val="auto"/>
          <w:highlight w:val="none"/>
        </w:rPr>
        <w:fldChar w:fldCharType="separate"/>
      </w:r>
      <w:r>
        <w:rPr>
          <w:rFonts w:ascii="宋体" w:eastAsia="宋体"/>
          <w:b/>
          <w:color w:val="auto"/>
          <w:highlight w:val="none"/>
        </w:rPr>
        <w:t>第二条项目名称、内容及要求</w:t>
      </w:r>
      <w:r>
        <w:rPr>
          <w:rFonts w:ascii="宋体" w:eastAsia="宋体"/>
          <w:b/>
          <w:color w:val="auto"/>
          <w:highlight w:val="none"/>
        </w:rPr>
        <w:fldChar w:fldCharType="end"/>
      </w:r>
    </w:p>
    <w:p w14:paraId="2C1BFD71">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"_Toc84948027" </w:instrText>
      </w:r>
      <w:r>
        <w:rPr>
          <w:color w:val="auto"/>
          <w:highlight w:val="none"/>
        </w:rPr>
        <w:fldChar w:fldCharType="separate"/>
      </w:r>
      <w:r>
        <w:rPr>
          <w:rFonts w:ascii="宋体" w:eastAsia="宋体"/>
          <w:b/>
          <w:color w:val="auto"/>
          <w:highlight w:val="none"/>
        </w:rPr>
        <w:t>第三条项目履行的进度、期限、地点、地域、方式</w:t>
      </w:r>
      <w:r>
        <w:rPr>
          <w:rFonts w:ascii="宋体" w:eastAsia="宋体"/>
          <w:b/>
          <w:color w:val="auto"/>
          <w:highlight w:val="none"/>
        </w:rPr>
        <w:fldChar w:fldCharType="end"/>
      </w:r>
    </w:p>
    <w:p w14:paraId="5B526A77">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"_Toc84948028" </w:instrText>
      </w:r>
      <w:r>
        <w:rPr>
          <w:color w:val="auto"/>
          <w:highlight w:val="none"/>
        </w:rPr>
        <w:fldChar w:fldCharType="separate"/>
      </w:r>
      <w:r>
        <w:rPr>
          <w:rFonts w:ascii="宋体" w:eastAsia="宋体"/>
          <w:b/>
          <w:color w:val="auto"/>
          <w:highlight w:val="none"/>
        </w:rPr>
        <w:t>第四条方案调整</w:t>
      </w:r>
      <w:r>
        <w:rPr>
          <w:rFonts w:ascii="宋体" w:eastAsia="宋体"/>
          <w:b/>
          <w:color w:val="auto"/>
          <w:highlight w:val="none"/>
        </w:rPr>
        <w:fldChar w:fldCharType="end"/>
      </w:r>
    </w:p>
    <w:p w14:paraId="136B7916">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"_Toc84948029" </w:instrText>
      </w:r>
      <w:r>
        <w:rPr>
          <w:color w:val="auto"/>
          <w:highlight w:val="none"/>
        </w:rPr>
        <w:fldChar w:fldCharType="separate"/>
      </w:r>
      <w:r>
        <w:rPr>
          <w:rFonts w:ascii="宋体" w:eastAsia="宋体"/>
          <w:b/>
          <w:color w:val="auto"/>
          <w:highlight w:val="none"/>
        </w:rPr>
        <w:t>第五条验收</w:t>
      </w:r>
      <w:r>
        <w:rPr>
          <w:rFonts w:ascii="宋体" w:eastAsia="宋体"/>
          <w:b/>
          <w:color w:val="auto"/>
          <w:highlight w:val="none"/>
        </w:rPr>
        <w:fldChar w:fldCharType="end"/>
      </w:r>
    </w:p>
    <w:p w14:paraId="3196880C">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"_Toc84948030" </w:instrText>
      </w:r>
      <w:r>
        <w:rPr>
          <w:color w:val="auto"/>
          <w:highlight w:val="none"/>
        </w:rPr>
        <w:fldChar w:fldCharType="separate"/>
      </w:r>
      <w:r>
        <w:rPr>
          <w:rFonts w:ascii="宋体" w:eastAsia="宋体"/>
          <w:b/>
          <w:color w:val="auto"/>
          <w:highlight w:val="none"/>
        </w:rPr>
        <w:t>第六条交付使用后维护期、系统完善和保修维护服务</w:t>
      </w:r>
      <w:r>
        <w:rPr>
          <w:rFonts w:ascii="宋体" w:eastAsia="宋体"/>
          <w:b/>
          <w:color w:val="auto"/>
          <w:highlight w:val="none"/>
        </w:rPr>
        <w:fldChar w:fldCharType="end"/>
      </w:r>
    </w:p>
    <w:p w14:paraId="28F72380">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"_Toc84948031" </w:instrText>
      </w:r>
      <w:r>
        <w:rPr>
          <w:color w:val="auto"/>
          <w:highlight w:val="none"/>
        </w:rPr>
        <w:fldChar w:fldCharType="separate"/>
      </w:r>
      <w:r>
        <w:rPr>
          <w:rFonts w:ascii="宋体" w:eastAsia="宋体"/>
          <w:b/>
          <w:color w:val="auto"/>
          <w:highlight w:val="none"/>
        </w:rPr>
        <w:t>第七条技术辅导与培训</w:t>
      </w:r>
      <w:r>
        <w:rPr>
          <w:rFonts w:ascii="宋体" w:eastAsia="宋体"/>
          <w:b/>
          <w:color w:val="auto"/>
          <w:highlight w:val="none"/>
        </w:rPr>
        <w:fldChar w:fldCharType="end"/>
      </w:r>
    </w:p>
    <w:p w14:paraId="3C42EDF5">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"_Toc84948032" </w:instrText>
      </w:r>
      <w:r>
        <w:rPr>
          <w:color w:val="auto"/>
          <w:highlight w:val="none"/>
        </w:rPr>
        <w:fldChar w:fldCharType="separate"/>
      </w:r>
      <w:r>
        <w:rPr>
          <w:rFonts w:ascii="宋体" w:eastAsia="宋体"/>
          <w:b/>
          <w:color w:val="auto"/>
          <w:highlight w:val="none"/>
        </w:rPr>
        <w:t>第八条双方的权利、义务</w:t>
      </w:r>
      <w:r>
        <w:rPr>
          <w:rFonts w:ascii="宋体" w:eastAsia="宋体"/>
          <w:b/>
          <w:color w:val="auto"/>
          <w:highlight w:val="none"/>
        </w:rPr>
        <w:fldChar w:fldCharType="end"/>
      </w:r>
    </w:p>
    <w:p w14:paraId="5CA5D107">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"_Toc84948033" </w:instrText>
      </w:r>
      <w:r>
        <w:rPr>
          <w:color w:val="auto"/>
          <w:highlight w:val="none"/>
        </w:rPr>
        <w:fldChar w:fldCharType="separate"/>
      </w:r>
      <w:r>
        <w:rPr>
          <w:rFonts w:ascii="宋体" w:eastAsia="宋体"/>
          <w:b/>
          <w:color w:val="auto"/>
          <w:highlight w:val="none"/>
        </w:rPr>
        <w:t>第九条乙方的声明与保证</w:t>
      </w:r>
      <w:r>
        <w:rPr>
          <w:rFonts w:ascii="宋体" w:eastAsia="宋体"/>
          <w:b/>
          <w:color w:val="auto"/>
          <w:highlight w:val="none"/>
        </w:rPr>
        <w:fldChar w:fldCharType="end"/>
      </w:r>
    </w:p>
    <w:p w14:paraId="50CEAB5D">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"_Toc84948034" </w:instrText>
      </w:r>
      <w:r>
        <w:rPr>
          <w:color w:val="auto"/>
          <w:highlight w:val="none"/>
        </w:rPr>
        <w:fldChar w:fldCharType="separate"/>
      </w:r>
      <w:r>
        <w:rPr>
          <w:rFonts w:ascii="宋体" w:eastAsia="宋体"/>
          <w:b/>
          <w:color w:val="auto"/>
          <w:highlight w:val="none"/>
        </w:rPr>
        <w:t>第十条知识产权</w:t>
      </w:r>
      <w:r>
        <w:rPr>
          <w:rFonts w:ascii="宋体" w:eastAsia="宋体"/>
          <w:b/>
          <w:color w:val="auto"/>
          <w:highlight w:val="none"/>
        </w:rPr>
        <w:fldChar w:fldCharType="end"/>
      </w:r>
    </w:p>
    <w:p w14:paraId="56213CB6">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"_Toc84948035" </w:instrText>
      </w:r>
      <w:r>
        <w:rPr>
          <w:color w:val="auto"/>
          <w:highlight w:val="none"/>
        </w:rPr>
        <w:fldChar w:fldCharType="separate"/>
      </w:r>
      <w:r>
        <w:rPr>
          <w:rFonts w:ascii="宋体" w:eastAsia="宋体"/>
          <w:b/>
          <w:color w:val="auto"/>
          <w:highlight w:val="none"/>
        </w:rPr>
        <w:t>第十一条第三方索赔</w:t>
      </w:r>
      <w:r>
        <w:rPr>
          <w:rFonts w:ascii="宋体" w:eastAsia="宋体"/>
          <w:b/>
          <w:color w:val="auto"/>
          <w:highlight w:val="none"/>
        </w:rPr>
        <w:fldChar w:fldCharType="end"/>
      </w:r>
    </w:p>
    <w:p w14:paraId="7284B2DE">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"_Toc84948036" </w:instrText>
      </w:r>
      <w:r>
        <w:rPr>
          <w:color w:val="auto"/>
          <w:highlight w:val="none"/>
        </w:rPr>
        <w:fldChar w:fldCharType="separate"/>
      </w:r>
      <w:r>
        <w:rPr>
          <w:rFonts w:ascii="宋体" w:eastAsia="宋体"/>
          <w:b/>
          <w:color w:val="auto"/>
          <w:highlight w:val="none"/>
        </w:rPr>
        <w:t>第十二条保密</w:t>
      </w:r>
      <w:r>
        <w:rPr>
          <w:rFonts w:ascii="宋体" w:eastAsia="宋体"/>
          <w:b/>
          <w:color w:val="auto"/>
          <w:highlight w:val="none"/>
        </w:rPr>
        <w:fldChar w:fldCharType="end"/>
      </w:r>
    </w:p>
    <w:p w14:paraId="1028D2E9">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"_Toc84948037" </w:instrText>
      </w:r>
      <w:r>
        <w:rPr>
          <w:color w:val="auto"/>
          <w:highlight w:val="none"/>
        </w:rPr>
        <w:fldChar w:fldCharType="separate"/>
      </w:r>
      <w:r>
        <w:rPr>
          <w:rFonts w:ascii="宋体" w:eastAsia="宋体"/>
          <w:b/>
          <w:color w:val="auto"/>
          <w:highlight w:val="none"/>
        </w:rPr>
        <w:t>第十三条价格与支付</w:t>
      </w:r>
      <w:r>
        <w:rPr>
          <w:rFonts w:ascii="宋体" w:eastAsia="宋体"/>
          <w:b/>
          <w:color w:val="auto"/>
          <w:highlight w:val="none"/>
        </w:rPr>
        <w:fldChar w:fldCharType="end"/>
      </w:r>
    </w:p>
    <w:p w14:paraId="6D670F37">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"_Toc84948038" </w:instrText>
      </w:r>
      <w:r>
        <w:rPr>
          <w:color w:val="auto"/>
          <w:highlight w:val="none"/>
        </w:rPr>
        <w:fldChar w:fldCharType="separate"/>
      </w:r>
      <w:r>
        <w:rPr>
          <w:rFonts w:ascii="宋体" w:eastAsia="宋体"/>
          <w:b/>
          <w:color w:val="auto"/>
          <w:highlight w:val="none"/>
        </w:rPr>
        <w:t>第十四条风险责任的承担</w:t>
      </w:r>
      <w:r>
        <w:rPr>
          <w:rFonts w:ascii="宋体" w:eastAsia="宋体"/>
          <w:b/>
          <w:color w:val="auto"/>
          <w:highlight w:val="none"/>
        </w:rPr>
        <w:fldChar w:fldCharType="end"/>
      </w:r>
    </w:p>
    <w:p w14:paraId="75515E9F">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"_Toc84948039" </w:instrText>
      </w:r>
      <w:r>
        <w:rPr>
          <w:color w:val="auto"/>
          <w:highlight w:val="none"/>
        </w:rPr>
        <w:fldChar w:fldCharType="separate"/>
      </w:r>
      <w:r>
        <w:rPr>
          <w:rFonts w:ascii="宋体" w:eastAsia="宋体"/>
          <w:b/>
          <w:color w:val="auto"/>
          <w:highlight w:val="none"/>
        </w:rPr>
        <w:t>第十五条违约与赔偿</w:t>
      </w:r>
      <w:r>
        <w:rPr>
          <w:rFonts w:ascii="宋体" w:eastAsia="宋体"/>
          <w:b/>
          <w:color w:val="auto"/>
          <w:highlight w:val="none"/>
        </w:rPr>
        <w:fldChar w:fldCharType="end"/>
      </w:r>
    </w:p>
    <w:p w14:paraId="31E540CE">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"_Toc84948040" </w:instrText>
      </w:r>
      <w:r>
        <w:rPr>
          <w:color w:val="auto"/>
          <w:highlight w:val="none"/>
        </w:rPr>
        <w:fldChar w:fldCharType="separate"/>
      </w:r>
      <w:r>
        <w:rPr>
          <w:rFonts w:ascii="宋体" w:eastAsia="宋体"/>
          <w:b/>
          <w:color w:val="auto"/>
          <w:highlight w:val="none"/>
        </w:rPr>
        <w:t>第十六条合同的解除</w:t>
      </w:r>
      <w:r>
        <w:rPr>
          <w:rFonts w:ascii="宋体" w:eastAsia="宋体"/>
          <w:b/>
          <w:color w:val="auto"/>
          <w:highlight w:val="none"/>
        </w:rPr>
        <w:fldChar w:fldCharType="end"/>
      </w:r>
    </w:p>
    <w:p w14:paraId="7CB25D80">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"_Toc84948041" </w:instrText>
      </w:r>
      <w:r>
        <w:rPr>
          <w:color w:val="auto"/>
          <w:highlight w:val="none"/>
        </w:rPr>
        <w:fldChar w:fldCharType="separate"/>
      </w:r>
      <w:r>
        <w:rPr>
          <w:rFonts w:ascii="宋体" w:eastAsia="宋体"/>
          <w:b/>
          <w:color w:val="auto"/>
          <w:highlight w:val="none"/>
        </w:rPr>
        <w:t>第十七条合同变更及转让</w:t>
      </w:r>
      <w:r>
        <w:rPr>
          <w:rFonts w:ascii="宋体" w:eastAsia="宋体"/>
          <w:b/>
          <w:color w:val="auto"/>
          <w:highlight w:val="none"/>
        </w:rPr>
        <w:fldChar w:fldCharType="end"/>
      </w:r>
    </w:p>
    <w:p w14:paraId="3F293FB6">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"_Toc84948042" </w:instrText>
      </w:r>
      <w:r>
        <w:rPr>
          <w:color w:val="auto"/>
          <w:highlight w:val="none"/>
        </w:rPr>
        <w:fldChar w:fldCharType="separate"/>
      </w:r>
      <w:r>
        <w:rPr>
          <w:rFonts w:ascii="宋体" w:eastAsia="宋体"/>
          <w:b/>
          <w:color w:val="auto"/>
          <w:highlight w:val="none"/>
        </w:rPr>
        <w:t>第十八条争议解决</w:t>
      </w:r>
      <w:r>
        <w:rPr>
          <w:rFonts w:ascii="宋体" w:eastAsia="宋体"/>
          <w:b/>
          <w:color w:val="auto"/>
          <w:highlight w:val="none"/>
        </w:rPr>
        <w:fldChar w:fldCharType="end"/>
      </w:r>
    </w:p>
    <w:p w14:paraId="6D3D0FA4">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"_Toc84948043" </w:instrText>
      </w:r>
      <w:r>
        <w:rPr>
          <w:color w:val="auto"/>
          <w:highlight w:val="none"/>
        </w:rPr>
        <w:fldChar w:fldCharType="separate"/>
      </w:r>
      <w:r>
        <w:rPr>
          <w:rFonts w:ascii="宋体" w:eastAsia="宋体"/>
          <w:b/>
          <w:color w:val="auto"/>
          <w:highlight w:val="none"/>
        </w:rPr>
        <w:t>第十九条通知与送达</w:t>
      </w:r>
      <w:r>
        <w:rPr>
          <w:rFonts w:ascii="宋体" w:eastAsia="宋体"/>
          <w:b/>
          <w:color w:val="auto"/>
          <w:highlight w:val="none"/>
        </w:rPr>
        <w:fldChar w:fldCharType="end"/>
      </w:r>
    </w:p>
    <w:p w14:paraId="34E3124F">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"_Toc84948044" </w:instrText>
      </w:r>
      <w:r>
        <w:rPr>
          <w:color w:val="auto"/>
          <w:highlight w:val="none"/>
        </w:rPr>
        <w:fldChar w:fldCharType="separate"/>
      </w:r>
      <w:r>
        <w:rPr>
          <w:rFonts w:ascii="宋体" w:eastAsia="宋体"/>
          <w:b/>
          <w:color w:val="auto"/>
          <w:highlight w:val="none"/>
        </w:rPr>
        <w:t>第二十条合同生效</w:t>
      </w:r>
      <w:r>
        <w:rPr>
          <w:rFonts w:ascii="宋体" w:eastAsia="宋体"/>
          <w:b/>
          <w:color w:val="auto"/>
          <w:highlight w:val="none"/>
        </w:rPr>
        <w:fldChar w:fldCharType="end"/>
      </w:r>
    </w:p>
    <w:p w14:paraId="2DB00B8D">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"_Toc84948045" </w:instrText>
      </w:r>
      <w:r>
        <w:rPr>
          <w:color w:val="auto"/>
          <w:highlight w:val="none"/>
        </w:rPr>
        <w:fldChar w:fldCharType="separate"/>
      </w:r>
      <w:r>
        <w:rPr>
          <w:rFonts w:ascii="宋体" w:eastAsia="宋体"/>
          <w:b/>
          <w:color w:val="auto"/>
          <w:highlight w:val="none"/>
        </w:rPr>
        <w:t>第二十一条不可抗力</w:t>
      </w:r>
      <w:r>
        <w:rPr>
          <w:rFonts w:ascii="宋体" w:eastAsia="宋体"/>
          <w:b/>
          <w:color w:val="auto"/>
          <w:highlight w:val="none"/>
        </w:rPr>
        <w:fldChar w:fldCharType="end"/>
      </w:r>
    </w:p>
    <w:p w14:paraId="4242F9B0">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"_Toc84948046" </w:instrText>
      </w:r>
      <w:r>
        <w:rPr>
          <w:color w:val="auto"/>
          <w:highlight w:val="none"/>
        </w:rPr>
        <w:fldChar w:fldCharType="separate"/>
      </w:r>
      <w:r>
        <w:rPr>
          <w:rFonts w:ascii="宋体" w:eastAsia="宋体"/>
          <w:b/>
          <w:color w:val="auto"/>
          <w:highlight w:val="none"/>
        </w:rPr>
        <w:t>第二十二条反商业贿赂</w:t>
      </w:r>
      <w:r>
        <w:rPr>
          <w:rFonts w:ascii="宋体" w:eastAsia="宋体"/>
          <w:b/>
          <w:color w:val="auto"/>
          <w:highlight w:val="none"/>
        </w:rPr>
        <w:fldChar w:fldCharType="end"/>
      </w:r>
    </w:p>
    <w:p w14:paraId="3DAFCD82">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"_Toc84948047" </w:instrText>
      </w:r>
      <w:r>
        <w:rPr>
          <w:color w:val="auto"/>
          <w:highlight w:val="none"/>
        </w:rPr>
        <w:fldChar w:fldCharType="separate"/>
      </w:r>
      <w:r>
        <w:rPr>
          <w:rFonts w:ascii="宋体" w:eastAsia="宋体"/>
          <w:b/>
          <w:color w:val="auto"/>
          <w:highlight w:val="none"/>
        </w:rPr>
        <w:t>第二十三条附件</w:t>
      </w:r>
      <w:r>
        <w:rPr>
          <w:rFonts w:ascii="宋体" w:eastAsia="宋体"/>
          <w:b/>
          <w:color w:val="auto"/>
          <w:highlight w:val="none"/>
        </w:rPr>
        <w:fldChar w:fldCharType="end"/>
      </w:r>
    </w:p>
    <w:p w14:paraId="33B9A5E7">
      <w:pPr>
        <w:pStyle w:val="11"/>
        <w:tabs>
          <w:tab w:val="right" w:leader="dot" w:pos="8302"/>
        </w:tabs>
        <w:rPr>
          <w:rFonts w:ascii="Calibri" w:hAnsi="Calibri" w:eastAsia="宋体"/>
          <w:color w:val="auto"/>
          <w:spacing w:val="0"/>
          <w:sz w:val="21"/>
          <w:szCs w:val="22"/>
          <w:highlight w:val="none"/>
        </w:rPr>
      </w:pPr>
      <w:r>
        <w:rPr>
          <w:color w:val="auto"/>
          <w:highlight w:val="none"/>
        </w:rPr>
        <w:fldChar w:fldCharType="begin"/>
      </w:r>
      <w:r>
        <w:rPr>
          <w:color w:val="auto"/>
          <w:highlight w:val="none"/>
        </w:rPr>
        <w:instrText xml:space="preserve"> HYPERLINK \l "_Toc84948048" </w:instrText>
      </w:r>
      <w:r>
        <w:rPr>
          <w:color w:val="auto"/>
          <w:highlight w:val="none"/>
        </w:rPr>
        <w:fldChar w:fldCharType="separate"/>
      </w:r>
      <w:r>
        <w:rPr>
          <w:rFonts w:ascii="宋体" w:eastAsia="宋体"/>
          <w:b/>
          <w:color w:val="auto"/>
          <w:highlight w:val="none"/>
        </w:rPr>
        <w:t>第二十四条其他</w:t>
      </w:r>
      <w:r>
        <w:rPr>
          <w:rFonts w:ascii="宋体" w:eastAsia="宋体"/>
          <w:b/>
          <w:color w:val="auto"/>
          <w:highlight w:val="none"/>
        </w:rPr>
        <w:fldChar w:fldCharType="end"/>
      </w:r>
    </w:p>
    <w:p w14:paraId="250DE293">
      <w:pPr>
        <w:pStyle w:val="11"/>
        <w:tabs>
          <w:tab w:val="right" w:leader="dot" w:pos="8302"/>
        </w:tabs>
        <w:spacing w:line="350" w:lineRule="auto"/>
        <w:rPr>
          <w:rFonts w:ascii="宋体" w:eastAsia="宋体"/>
          <w:color w:val="auto"/>
          <w:spacing w:val="0"/>
          <w:highlight w:val="none"/>
        </w:rPr>
      </w:pPr>
      <w:r>
        <w:rPr>
          <w:rFonts w:hint="eastAsia" w:ascii="宋体" w:eastAsia="宋体"/>
          <w:color w:val="auto"/>
          <w:spacing w:val="0"/>
          <w:highlight w:val="none"/>
        </w:rPr>
        <w:fldChar w:fldCharType="end"/>
      </w:r>
    </w:p>
    <w:p w14:paraId="421FA1B3">
      <w:pPr>
        <w:spacing w:line="360" w:lineRule="auto"/>
        <w:rPr>
          <w:rFonts w:ascii="宋体" w:eastAsia="宋体"/>
          <w:color w:val="auto"/>
          <w:spacing w:val="0"/>
          <w:highlight w:val="none"/>
        </w:rPr>
      </w:pPr>
    </w:p>
    <w:p w14:paraId="47A8A0D0">
      <w:pPr>
        <w:spacing w:line="360" w:lineRule="auto"/>
        <w:rPr>
          <w:rFonts w:ascii="宋体" w:eastAsia="宋体"/>
          <w:b/>
          <w:color w:val="auto"/>
          <w:spacing w:val="0"/>
          <w:highlight w:val="none"/>
          <w:u w:val="single"/>
        </w:rPr>
      </w:pPr>
      <w:r>
        <w:rPr>
          <w:rFonts w:hint="eastAsia" w:ascii="宋体" w:eastAsia="宋体"/>
          <w:color w:val="auto"/>
          <w:spacing w:val="0"/>
          <w:highlight w:val="none"/>
        </w:rPr>
        <w:br w:type="page"/>
      </w:r>
      <w:r>
        <w:rPr>
          <w:rFonts w:hint="eastAsia" w:ascii="宋体" w:eastAsia="宋体"/>
          <w:b/>
          <w:color w:val="auto"/>
          <w:spacing w:val="0"/>
          <w:highlight w:val="none"/>
        </w:rPr>
        <w:t>委托方: 重庆三峡银行股份有限公司（以下简称“甲方”）</w:t>
      </w:r>
    </w:p>
    <w:p w14:paraId="0158F495">
      <w:pPr>
        <w:spacing w:line="360" w:lineRule="auto"/>
        <w:rPr>
          <w:rFonts w:ascii="宋体" w:eastAsia="宋体"/>
          <w:color w:val="auto"/>
          <w:spacing w:val="0"/>
          <w:highlight w:val="none"/>
        </w:rPr>
      </w:pPr>
      <w:r>
        <w:rPr>
          <w:rFonts w:hint="eastAsia" w:ascii="宋体" w:eastAsia="宋体"/>
          <w:color w:val="auto"/>
          <w:spacing w:val="0"/>
          <w:highlight w:val="none"/>
        </w:rPr>
        <w:t>法定代表人：刘江桥</w:t>
      </w:r>
    </w:p>
    <w:p w14:paraId="45151303">
      <w:pPr>
        <w:spacing w:line="360" w:lineRule="auto"/>
        <w:rPr>
          <w:rFonts w:ascii="宋体" w:eastAsia="宋体"/>
          <w:color w:val="auto"/>
          <w:spacing w:val="0"/>
          <w:highlight w:val="none"/>
        </w:rPr>
      </w:pPr>
      <w:r>
        <w:rPr>
          <w:rFonts w:hint="eastAsia" w:ascii="宋体" w:eastAsia="宋体"/>
          <w:color w:val="auto"/>
          <w:spacing w:val="0"/>
          <w:highlight w:val="none"/>
        </w:rPr>
        <w:t>地址：</w:t>
      </w:r>
      <w:r>
        <w:rPr>
          <w:rFonts w:ascii="宋体" w:eastAsia="宋体"/>
          <w:color w:val="auto"/>
          <w:spacing w:val="0"/>
          <w:highlight w:val="none"/>
        </w:rPr>
        <w:t>重庆市渝北区嘉州路88号中渝国际都会4号写字楼</w:t>
      </w:r>
    </w:p>
    <w:p w14:paraId="4BBAE833">
      <w:pPr>
        <w:spacing w:line="360" w:lineRule="auto"/>
        <w:rPr>
          <w:rFonts w:ascii="宋体" w:eastAsia="宋体"/>
          <w:color w:val="auto"/>
          <w:spacing w:val="0"/>
          <w:highlight w:val="none"/>
        </w:rPr>
      </w:pPr>
      <w:r>
        <w:rPr>
          <w:rFonts w:hint="eastAsia" w:ascii="宋体" w:eastAsia="宋体"/>
          <w:color w:val="auto"/>
          <w:spacing w:val="0"/>
          <w:highlight w:val="none"/>
        </w:rPr>
        <w:t>邮政编码：</w:t>
      </w:r>
    </w:p>
    <w:p w14:paraId="2D66C806">
      <w:pPr>
        <w:spacing w:line="360" w:lineRule="auto"/>
        <w:rPr>
          <w:rFonts w:ascii="宋体" w:eastAsia="宋体"/>
          <w:color w:val="auto"/>
          <w:spacing w:val="0"/>
          <w:highlight w:val="none"/>
        </w:rPr>
      </w:pPr>
      <w:r>
        <w:rPr>
          <w:rFonts w:hint="eastAsia" w:ascii="宋体" w:eastAsia="宋体"/>
          <w:color w:val="auto"/>
          <w:spacing w:val="0"/>
          <w:highlight w:val="none"/>
        </w:rPr>
        <w:t>联系人：</w:t>
      </w:r>
    </w:p>
    <w:p w14:paraId="7BCC5F24">
      <w:pPr>
        <w:spacing w:line="360" w:lineRule="auto"/>
        <w:rPr>
          <w:rFonts w:ascii="宋体" w:eastAsia="宋体"/>
          <w:color w:val="auto"/>
          <w:spacing w:val="0"/>
          <w:highlight w:val="none"/>
        </w:rPr>
      </w:pPr>
      <w:r>
        <w:rPr>
          <w:rFonts w:hint="eastAsia" w:ascii="宋体" w:eastAsia="宋体"/>
          <w:color w:val="auto"/>
          <w:spacing w:val="0"/>
          <w:highlight w:val="none"/>
        </w:rPr>
        <w:t>电话：</w:t>
      </w:r>
    </w:p>
    <w:p w14:paraId="464ED9FA">
      <w:pPr>
        <w:spacing w:line="360" w:lineRule="auto"/>
        <w:rPr>
          <w:rFonts w:ascii="宋体" w:eastAsia="宋体"/>
          <w:color w:val="auto"/>
          <w:spacing w:val="0"/>
          <w:highlight w:val="none"/>
        </w:rPr>
      </w:pPr>
      <w:r>
        <w:rPr>
          <w:rFonts w:hint="eastAsia" w:ascii="宋体" w:eastAsia="宋体"/>
          <w:color w:val="auto"/>
          <w:spacing w:val="0"/>
          <w:highlight w:val="none"/>
        </w:rPr>
        <w:t>电子邮箱：</w:t>
      </w:r>
    </w:p>
    <w:p w14:paraId="1C5DD82B">
      <w:pPr>
        <w:spacing w:line="360" w:lineRule="auto"/>
        <w:rPr>
          <w:rFonts w:ascii="宋体" w:eastAsia="宋体"/>
          <w:color w:val="auto"/>
          <w:spacing w:val="0"/>
          <w:highlight w:val="none"/>
        </w:rPr>
      </w:pPr>
    </w:p>
    <w:p w14:paraId="5A35C510">
      <w:pPr>
        <w:spacing w:line="360" w:lineRule="auto"/>
        <w:rPr>
          <w:rFonts w:ascii="宋体" w:eastAsia="宋体"/>
          <w:b/>
          <w:color w:val="auto"/>
          <w:spacing w:val="0"/>
          <w:highlight w:val="none"/>
        </w:rPr>
      </w:pPr>
      <w:r>
        <w:rPr>
          <w:rFonts w:hint="eastAsia" w:ascii="宋体" w:eastAsia="宋体"/>
          <w:b/>
          <w:color w:val="auto"/>
          <w:spacing w:val="0"/>
          <w:highlight w:val="none"/>
        </w:rPr>
        <w:t>受托方：XXXXXXXXXXXXX（以下简称“乙方”）</w:t>
      </w:r>
    </w:p>
    <w:p w14:paraId="68F9CA73">
      <w:pPr>
        <w:spacing w:line="360" w:lineRule="auto"/>
        <w:rPr>
          <w:rFonts w:ascii="宋体" w:eastAsia="宋体"/>
          <w:color w:val="auto"/>
          <w:spacing w:val="0"/>
          <w:highlight w:val="none"/>
        </w:rPr>
      </w:pPr>
      <w:r>
        <w:rPr>
          <w:rFonts w:hint="eastAsia" w:ascii="宋体" w:eastAsia="宋体"/>
          <w:color w:val="auto"/>
          <w:spacing w:val="0"/>
          <w:highlight w:val="none"/>
        </w:rPr>
        <w:t xml:space="preserve">法定代表人： </w:t>
      </w:r>
    </w:p>
    <w:p w14:paraId="09353851">
      <w:pPr>
        <w:spacing w:line="360" w:lineRule="auto"/>
        <w:rPr>
          <w:rFonts w:ascii="宋体" w:eastAsia="宋体"/>
          <w:color w:val="auto"/>
          <w:spacing w:val="0"/>
          <w:highlight w:val="none"/>
        </w:rPr>
      </w:pPr>
      <w:r>
        <w:rPr>
          <w:rFonts w:hint="eastAsia" w:ascii="宋体" w:eastAsia="宋体"/>
          <w:color w:val="auto"/>
          <w:spacing w:val="0"/>
          <w:highlight w:val="none"/>
        </w:rPr>
        <w:t>地址：</w:t>
      </w:r>
    </w:p>
    <w:p w14:paraId="08038863">
      <w:pPr>
        <w:spacing w:line="360" w:lineRule="auto"/>
        <w:rPr>
          <w:rFonts w:ascii="宋体" w:eastAsia="宋体"/>
          <w:color w:val="auto"/>
          <w:spacing w:val="0"/>
          <w:highlight w:val="none"/>
        </w:rPr>
      </w:pPr>
      <w:r>
        <w:rPr>
          <w:rFonts w:hint="eastAsia" w:ascii="宋体" w:eastAsia="宋体"/>
          <w:color w:val="auto"/>
          <w:spacing w:val="0"/>
          <w:highlight w:val="none"/>
        </w:rPr>
        <w:t>邮政编码：</w:t>
      </w:r>
    </w:p>
    <w:p w14:paraId="14DE1F38">
      <w:pPr>
        <w:spacing w:line="360" w:lineRule="auto"/>
        <w:rPr>
          <w:rFonts w:ascii="宋体" w:eastAsia="宋体"/>
          <w:color w:val="auto"/>
          <w:spacing w:val="0"/>
          <w:highlight w:val="none"/>
        </w:rPr>
      </w:pPr>
      <w:r>
        <w:rPr>
          <w:rFonts w:hint="eastAsia" w:ascii="宋体" w:eastAsia="宋体"/>
          <w:color w:val="auto"/>
          <w:spacing w:val="0"/>
          <w:highlight w:val="none"/>
        </w:rPr>
        <w:t xml:space="preserve">开户银行： </w:t>
      </w:r>
    </w:p>
    <w:p w14:paraId="3C64D534">
      <w:pPr>
        <w:spacing w:line="360" w:lineRule="auto"/>
        <w:rPr>
          <w:rFonts w:ascii="宋体" w:eastAsia="宋体"/>
          <w:color w:val="auto"/>
          <w:spacing w:val="0"/>
          <w:highlight w:val="none"/>
        </w:rPr>
      </w:pPr>
      <w:r>
        <w:rPr>
          <w:rFonts w:hint="eastAsia" w:ascii="宋体" w:eastAsia="宋体"/>
          <w:color w:val="auto"/>
          <w:spacing w:val="0"/>
          <w:highlight w:val="none"/>
        </w:rPr>
        <w:t>账号：</w:t>
      </w:r>
    </w:p>
    <w:p w14:paraId="46562B44">
      <w:pPr>
        <w:spacing w:line="360" w:lineRule="auto"/>
        <w:rPr>
          <w:rFonts w:ascii="宋体" w:eastAsia="宋体"/>
          <w:color w:val="auto"/>
          <w:spacing w:val="0"/>
          <w:highlight w:val="none"/>
        </w:rPr>
      </w:pPr>
      <w:r>
        <w:rPr>
          <w:rFonts w:hint="eastAsia" w:ascii="宋体" w:eastAsia="宋体"/>
          <w:color w:val="auto"/>
          <w:spacing w:val="0"/>
          <w:highlight w:val="none"/>
        </w:rPr>
        <w:t>税号：</w:t>
      </w:r>
    </w:p>
    <w:p w14:paraId="5D2E22A1">
      <w:pPr>
        <w:spacing w:line="360" w:lineRule="auto"/>
        <w:rPr>
          <w:rFonts w:ascii="宋体" w:eastAsia="宋体"/>
          <w:color w:val="auto"/>
          <w:spacing w:val="0"/>
          <w:highlight w:val="none"/>
        </w:rPr>
      </w:pPr>
      <w:r>
        <w:rPr>
          <w:rFonts w:hint="eastAsia" w:ascii="宋体" w:eastAsia="宋体"/>
          <w:color w:val="auto"/>
          <w:spacing w:val="0"/>
          <w:highlight w:val="none"/>
        </w:rPr>
        <w:t xml:space="preserve">联系人： </w:t>
      </w:r>
    </w:p>
    <w:p w14:paraId="79F6FB59">
      <w:pPr>
        <w:spacing w:line="360" w:lineRule="auto"/>
        <w:rPr>
          <w:rFonts w:ascii="宋体" w:eastAsia="宋体"/>
          <w:color w:val="auto"/>
          <w:spacing w:val="0"/>
          <w:highlight w:val="none"/>
        </w:rPr>
      </w:pPr>
      <w:r>
        <w:rPr>
          <w:rFonts w:hint="eastAsia" w:ascii="宋体" w:eastAsia="宋体"/>
          <w:color w:val="auto"/>
          <w:spacing w:val="0"/>
          <w:highlight w:val="none"/>
        </w:rPr>
        <w:t>电话：</w:t>
      </w:r>
    </w:p>
    <w:p w14:paraId="3FF7E8AF">
      <w:pPr>
        <w:spacing w:line="360" w:lineRule="auto"/>
        <w:rPr>
          <w:rFonts w:ascii="宋体" w:eastAsia="宋体"/>
          <w:color w:val="auto"/>
          <w:spacing w:val="0"/>
          <w:highlight w:val="none"/>
        </w:rPr>
      </w:pPr>
      <w:r>
        <w:rPr>
          <w:rFonts w:hint="eastAsia" w:ascii="宋体" w:eastAsia="宋体"/>
          <w:color w:val="auto"/>
          <w:spacing w:val="0"/>
          <w:highlight w:val="none"/>
        </w:rPr>
        <w:t>手机：</w:t>
      </w:r>
    </w:p>
    <w:p w14:paraId="5B45E004">
      <w:pPr>
        <w:spacing w:line="360" w:lineRule="auto"/>
        <w:rPr>
          <w:rFonts w:ascii="宋体" w:eastAsia="宋体"/>
          <w:color w:val="auto"/>
          <w:spacing w:val="0"/>
          <w:highlight w:val="none"/>
        </w:rPr>
      </w:pPr>
      <w:r>
        <w:rPr>
          <w:rFonts w:hint="eastAsia" w:ascii="宋体" w:eastAsia="宋体"/>
          <w:color w:val="auto"/>
          <w:spacing w:val="0"/>
          <w:highlight w:val="none"/>
        </w:rPr>
        <w:t>传真：</w:t>
      </w:r>
    </w:p>
    <w:p w14:paraId="63C1BD83">
      <w:pPr>
        <w:spacing w:line="360" w:lineRule="auto"/>
        <w:rPr>
          <w:rFonts w:ascii="宋体" w:eastAsia="宋体"/>
          <w:color w:val="auto"/>
          <w:spacing w:val="0"/>
          <w:highlight w:val="none"/>
          <w:lang w:val="en-GB"/>
        </w:rPr>
      </w:pPr>
      <w:r>
        <w:rPr>
          <w:rFonts w:hint="eastAsia" w:ascii="宋体" w:eastAsia="宋体"/>
          <w:color w:val="auto"/>
          <w:spacing w:val="0"/>
          <w:highlight w:val="none"/>
        </w:rPr>
        <w:t>电子邮箱：</w:t>
      </w:r>
    </w:p>
    <w:p w14:paraId="1FAAA5EC">
      <w:pPr>
        <w:spacing w:line="360" w:lineRule="auto"/>
        <w:ind w:firstLine="422" w:firstLineChars="200"/>
        <w:rPr>
          <w:rFonts w:ascii="宋体" w:eastAsia="宋体"/>
          <w:b/>
          <w:color w:val="auto"/>
          <w:spacing w:val="0"/>
          <w:highlight w:val="none"/>
        </w:rPr>
      </w:pPr>
      <w:r>
        <w:rPr>
          <w:rFonts w:ascii="宋体" w:eastAsia="宋体"/>
          <w:b/>
          <w:color w:val="auto"/>
          <w:spacing w:val="0"/>
          <w:highlight w:val="none"/>
        </w:rPr>
        <w:br w:type="page"/>
      </w:r>
      <w:r>
        <w:rPr>
          <w:rFonts w:hint="eastAsia" w:ascii="宋体" w:eastAsia="宋体"/>
          <w:b/>
          <w:color w:val="auto"/>
          <w:spacing w:val="0"/>
          <w:highlight w:val="none"/>
        </w:rPr>
        <w:t>鉴于：</w:t>
      </w:r>
    </w:p>
    <w:p w14:paraId="65E15AD1">
      <w:pPr>
        <w:spacing w:line="360" w:lineRule="auto"/>
        <w:ind w:firstLine="420" w:firstLineChars="200"/>
        <w:rPr>
          <w:rFonts w:ascii="宋体" w:eastAsia="宋体"/>
          <w:color w:val="auto"/>
          <w:spacing w:val="0"/>
          <w:highlight w:val="none"/>
        </w:rPr>
      </w:pPr>
      <w:r>
        <w:rPr>
          <w:rStyle w:val="53"/>
          <w:rFonts w:hint="eastAsia" w:ascii="宋体" w:eastAsia="宋体"/>
          <w:color w:val="auto"/>
          <w:spacing w:val="0"/>
          <w:kern w:val="0"/>
          <w:highlight w:val="none"/>
        </w:rPr>
        <w:t>乙方具有良好的开发实施能力，甲乙双方经友好协商并达成一致，依据相关法律、法规的规定，就甲方委托</w:t>
      </w:r>
      <w:r>
        <w:rPr>
          <w:rStyle w:val="53"/>
          <w:rFonts w:ascii="宋体" w:eastAsia="宋体"/>
          <w:color w:val="auto"/>
          <w:spacing w:val="0"/>
          <w:kern w:val="0"/>
          <w:highlight w:val="none"/>
        </w:rPr>
        <w:t>乙方</w:t>
      </w:r>
      <w:r>
        <w:rPr>
          <w:rStyle w:val="53"/>
          <w:rFonts w:hint="eastAsia" w:ascii="宋体" w:eastAsia="宋体"/>
          <w:color w:val="auto"/>
          <w:spacing w:val="0"/>
          <w:kern w:val="0"/>
          <w:highlight w:val="none"/>
        </w:rPr>
        <w:t>进行</w:t>
      </w:r>
      <w:r>
        <w:rPr>
          <w:rStyle w:val="53"/>
          <w:rFonts w:ascii="宋体" w:eastAsia="宋体"/>
          <w:color w:val="auto"/>
          <w:spacing w:val="0"/>
          <w:kern w:val="0"/>
          <w:highlight w:val="none"/>
        </w:rPr>
        <w:t>项目实施与技术支持</w:t>
      </w:r>
      <w:r>
        <w:rPr>
          <w:rStyle w:val="53"/>
          <w:rFonts w:hint="eastAsia" w:ascii="宋体" w:eastAsia="宋体"/>
          <w:color w:val="auto"/>
          <w:spacing w:val="0"/>
          <w:kern w:val="0"/>
          <w:highlight w:val="none"/>
        </w:rPr>
        <w:t>，向乙方订购</w:t>
      </w:r>
      <w:r>
        <w:rPr>
          <w:rFonts w:hint="eastAsia" w:ascii="宋体" w:eastAsia="宋体"/>
          <w:color w:val="auto"/>
          <w:spacing w:val="0"/>
          <w:highlight w:val="none"/>
          <w:u w:val="single"/>
        </w:rPr>
        <w:t>X</w:t>
      </w:r>
      <w:r>
        <w:rPr>
          <w:rFonts w:ascii="宋体" w:eastAsia="宋体"/>
          <w:color w:val="auto"/>
          <w:spacing w:val="0"/>
          <w:highlight w:val="none"/>
          <w:u w:val="single"/>
        </w:rPr>
        <w:t xml:space="preserve">XXX </w:t>
      </w:r>
      <w:r>
        <w:rPr>
          <w:rStyle w:val="53"/>
          <w:rFonts w:hint="eastAsia" w:ascii="宋体" w:eastAsia="宋体"/>
          <w:color w:val="auto"/>
          <w:spacing w:val="0"/>
          <w:kern w:val="0"/>
          <w:highlight w:val="none"/>
          <w:u w:val="single"/>
        </w:rPr>
        <w:t>产品</w:t>
      </w:r>
      <w:r>
        <w:rPr>
          <w:rStyle w:val="53"/>
          <w:rFonts w:hint="eastAsia" w:ascii="宋体" w:eastAsia="宋体"/>
          <w:color w:val="auto"/>
          <w:spacing w:val="0"/>
          <w:kern w:val="0"/>
          <w:highlight w:val="none"/>
        </w:rPr>
        <w:t>（含定制化开发）的相关事宜订立本合同，</w:t>
      </w:r>
      <w:r>
        <w:rPr>
          <w:rFonts w:hint="eastAsia" w:ascii="宋体" w:eastAsia="宋体"/>
          <w:color w:val="auto"/>
          <w:spacing w:val="0"/>
          <w:highlight w:val="none"/>
        </w:rPr>
        <w:t>以资信守：</w:t>
      </w:r>
    </w:p>
    <w:p w14:paraId="278047D0">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ascii="Times New Roman" w:hAnsi="Times New Roman" w:eastAsia="宋体" w:cs="Times New Roman"/>
          <w:b/>
          <w:color w:val="auto"/>
          <w:spacing w:val="0"/>
          <w:sz w:val="24"/>
          <w:szCs w:val="20"/>
          <w:highlight w:val="none"/>
        </w:rPr>
      </w:pPr>
      <w:bookmarkStart w:id="245" w:name="_Toc84948025"/>
      <w:r>
        <w:rPr>
          <w:rFonts w:hint="eastAsia" w:ascii="Times New Roman" w:hAnsi="Times New Roman" w:eastAsia="宋体" w:cs="Times New Roman"/>
          <w:b/>
          <w:color w:val="auto"/>
          <w:spacing w:val="0"/>
          <w:sz w:val="24"/>
          <w:szCs w:val="20"/>
          <w:highlight w:val="none"/>
        </w:rPr>
        <w:t>第一条 定义</w:t>
      </w:r>
      <w:bookmarkEnd w:id="245"/>
    </w:p>
    <w:p w14:paraId="2166DF63">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在本合同中，除非有相反的表述，下列术语具有如下含义：</w:t>
      </w:r>
    </w:p>
    <w:p w14:paraId="233E18EC">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1.1“项目”系指乙方受甲方委托，单独为本合同目的依据合同附件一《工作（需求）说明书》的产品实施与数据迁移服务。</w:t>
      </w:r>
    </w:p>
    <w:p w14:paraId="726ABA8F">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1.2“客户化工作”指项目交付乙方后乙方对甲方的需求进行开发实施。</w:t>
      </w:r>
    </w:p>
    <w:p w14:paraId="0FF81FC3">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1.3“产品实施数据迁移”指乙方产品的安装配置和业务数据迁移服务。</w:t>
      </w:r>
    </w:p>
    <w:p w14:paraId="1558F51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1.4“X</w:t>
      </w:r>
      <w:r>
        <w:rPr>
          <w:rFonts w:ascii="宋体" w:eastAsia="宋体"/>
          <w:color w:val="auto"/>
          <w:spacing w:val="0"/>
          <w:highlight w:val="none"/>
        </w:rPr>
        <w:t>XXXXXXX</w:t>
      </w:r>
      <w:r>
        <w:rPr>
          <w:rFonts w:hint="eastAsia" w:ascii="宋体" w:eastAsia="宋体"/>
          <w:color w:val="auto"/>
          <w:spacing w:val="0"/>
          <w:highlight w:val="none"/>
          <w:lang w:val="en-GB"/>
        </w:rPr>
        <w:t>系统</w:t>
      </w:r>
      <w:r>
        <w:rPr>
          <w:rFonts w:hint="eastAsia" w:ascii="宋体" w:eastAsia="宋体"/>
          <w:color w:val="auto"/>
          <w:spacing w:val="0"/>
          <w:highlight w:val="none"/>
        </w:rPr>
        <w:t>业务”指乙方提供给甲方的附件一中所涵盖的业务功能。</w:t>
      </w:r>
    </w:p>
    <w:p w14:paraId="59A7ACAB">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w:t>
      </w:r>
      <w:r>
        <w:rPr>
          <w:rFonts w:ascii="宋体" w:eastAsia="宋体" w:cs="宋体"/>
          <w:color w:val="auto"/>
          <w:spacing w:val="0"/>
          <w:szCs w:val="24"/>
          <w:highlight w:val="none"/>
        </w:rPr>
        <w:t>5</w:t>
      </w:r>
      <w:r>
        <w:rPr>
          <w:rFonts w:hint="eastAsia" w:ascii="宋体" w:eastAsia="宋体" w:cs="宋体"/>
          <w:color w:val="auto"/>
          <w:spacing w:val="0"/>
          <w:szCs w:val="24"/>
          <w:highlight w:val="none"/>
        </w:rPr>
        <w:t>“缺陷逃逸率”：后一测试阶段测试期间发现的缺陷个数/（当前测试期间所发现的缺陷个数+后一测试期间发现的缺陷个数）。</w:t>
      </w:r>
    </w:p>
    <w:p w14:paraId="2FAF2FE2">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w:t>
      </w:r>
      <w:r>
        <w:rPr>
          <w:rFonts w:ascii="宋体" w:eastAsia="宋体" w:cs="宋体"/>
          <w:color w:val="auto"/>
          <w:spacing w:val="0"/>
          <w:szCs w:val="24"/>
          <w:highlight w:val="none"/>
        </w:rPr>
        <w:t>6</w:t>
      </w:r>
      <w:r>
        <w:rPr>
          <w:rFonts w:hint="eastAsia" w:ascii="宋体" w:eastAsia="宋体" w:cs="宋体"/>
          <w:color w:val="auto"/>
          <w:spacing w:val="0"/>
          <w:szCs w:val="24"/>
          <w:highlight w:val="none"/>
        </w:rPr>
        <w:t>“试运行”：项目上线后进入试运行阶段，项目试运行至少3个月。在试运行期间，甲方随时将发现的逃逸的缺陷通知乙方，乙方在最快的时间内予以响应。</w:t>
      </w:r>
    </w:p>
    <w:p w14:paraId="37BB0EFC">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w:t>
      </w:r>
      <w:r>
        <w:rPr>
          <w:rFonts w:ascii="宋体" w:eastAsia="宋体" w:cs="宋体"/>
          <w:color w:val="auto"/>
          <w:spacing w:val="0"/>
          <w:szCs w:val="24"/>
          <w:highlight w:val="none"/>
        </w:rPr>
        <w:t>7</w:t>
      </w:r>
      <w:r>
        <w:rPr>
          <w:rFonts w:hint="eastAsia" w:ascii="宋体" w:eastAsia="宋体" w:cs="宋体"/>
          <w:color w:val="auto"/>
          <w:spacing w:val="0"/>
          <w:szCs w:val="24"/>
          <w:highlight w:val="none"/>
        </w:rPr>
        <w:t>“响应时间”：指乙方就甲方提出的问题予以答复的时间。</w:t>
      </w:r>
    </w:p>
    <w:p w14:paraId="7B1FAFC0">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0B112051">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7A8A9EA1">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244CDFFA">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1</w:t>
      </w:r>
      <w:r>
        <w:rPr>
          <w:rFonts w:hint="eastAsia" w:ascii="宋体" w:eastAsia="宋体" w:cs="宋体"/>
          <w:color w:val="auto"/>
          <w:spacing w:val="0"/>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096DC97">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2</w:t>
      </w:r>
      <w:r>
        <w:rPr>
          <w:rFonts w:hint="eastAsia" w:ascii="宋体" w:eastAsia="宋体" w:cs="宋体"/>
          <w:color w:val="auto"/>
          <w:spacing w:val="0"/>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BE4889D">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3</w:t>
      </w:r>
      <w:r>
        <w:rPr>
          <w:rFonts w:hint="eastAsia" w:ascii="宋体" w:eastAsia="宋体" w:cs="宋体"/>
          <w:color w:val="auto"/>
          <w:spacing w:val="0"/>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26E586C0">
      <w:pPr>
        <w:spacing w:line="360" w:lineRule="auto"/>
        <w:ind w:left="-2" w:leftChars="-1" w:firstLine="420" w:firstLineChars="200"/>
        <w:rPr>
          <w:rFonts w:ascii="宋体" w:eastAsia="宋体" w:cs="宋体"/>
          <w:color w:val="auto"/>
          <w:spacing w:val="0"/>
          <w:szCs w:val="24"/>
          <w:highlight w:val="none"/>
        </w:rPr>
      </w:pPr>
      <w:r>
        <w:rPr>
          <w:rFonts w:hint="eastAsia" w:ascii="宋体" w:eastAsia="宋体" w:cs="宋体"/>
          <w:color w:val="auto"/>
          <w:spacing w:val="0"/>
          <w:szCs w:val="24"/>
          <w:highlight w:val="none"/>
        </w:rPr>
        <w:t>1.1</w:t>
      </w:r>
      <w:r>
        <w:rPr>
          <w:rFonts w:ascii="宋体" w:eastAsia="宋体" w:cs="宋体"/>
          <w:color w:val="auto"/>
          <w:spacing w:val="0"/>
          <w:szCs w:val="24"/>
          <w:highlight w:val="none"/>
        </w:rPr>
        <w:t>4</w:t>
      </w:r>
      <w:r>
        <w:rPr>
          <w:rFonts w:hint="eastAsia" w:ascii="宋体" w:eastAsia="宋体" w:cs="宋体"/>
          <w:color w:val="auto"/>
          <w:spacing w:val="0"/>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E5B0694">
      <w:pPr>
        <w:spacing w:line="360" w:lineRule="auto"/>
        <w:ind w:left="-2" w:leftChars="-1"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1.1</w:t>
      </w:r>
      <w:r>
        <w:rPr>
          <w:rFonts w:ascii="宋体" w:eastAsia="宋体"/>
          <w:color w:val="auto"/>
          <w:spacing w:val="0"/>
          <w:szCs w:val="24"/>
          <w:highlight w:val="none"/>
        </w:rPr>
        <w:t>5</w:t>
      </w:r>
      <w:r>
        <w:rPr>
          <w:rFonts w:hint="eastAsia" w:ascii="宋体" w:eastAsia="宋体"/>
          <w:color w:val="auto"/>
          <w:spacing w:val="0"/>
          <w:szCs w:val="24"/>
          <w:highlight w:val="none"/>
        </w:rPr>
        <w:t>“重大缺陷”：指严重缺陷和致命缺陷。</w:t>
      </w:r>
    </w:p>
    <w:p w14:paraId="65602DEB">
      <w:pPr>
        <w:spacing w:line="360" w:lineRule="auto"/>
        <w:ind w:left="-2" w:leftChars="-1" w:firstLine="420" w:firstLineChars="200"/>
        <w:rPr>
          <w:rFonts w:ascii="宋体" w:eastAsia="宋体"/>
          <w:color w:val="auto"/>
          <w:spacing w:val="0"/>
          <w:highlight w:val="none"/>
        </w:rPr>
      </w:pPr>
    </w:p>
    <w:p w14:paraId="69EDEC97">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46" w:name="_Toc84948026"/>
      <w:r>
        <w:rPr>
          <w:rFonts w:hint="eastAsia" w:ascii="Times New Roman" w:hAnsi="Times New Roman" w:eastAsia="宋体" w:cs="Times New Roman"/>
          <w:b/>
          <w:color w:val="auto"/>
          <w:spacing w:val="0"/>
          <w:sz w:val="24"/>
          <w:szCs w:val="20"/>
          <w:highlight w:val="none"/>
        </w:rPr>
        <w:t>第二条</w:t>
      </w:r>
      <w:bookmarkStart w:id="247" w:name="_Toc58337493"/>
      <w:r>
        <w:rPr>
          <w:rFonts w:hint="eastAsia" w:ascii="Times New Roman" w:hAnsi="Times New Roman" w:eastAsia="宋体" w:cs="Times New Roman"/>
          <w:b/>
          <w:color w:val="auto"/>
          <w:spacing w:val="0"/>
          <w:sz w:val="24"/>
          <w:szCs w:val="20"/>
          <w:highlight w:val="none"/>
        </w:rPr>
        <w:t xml:space="preserve"> 项目名称、内容及要求</w:t>
      </w:r>
      <w:bookmarkEnd w:id="246"/>
      <w:bookmarkEnd w:id="247"/>
    </w:p>
    <w:p w14:paraId="4EE08D97">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2.1项目名称</w:t>
      </w:r>
      <w:r>
        <w:rPr>
          <w:rFonts w:ascii="宋体" w:eastAsia="宋体"/>
          <w:color w:val="auto"/>
          <w:spacing w:val="0"/>
          <w:highlight w:val="none"/>
        </w:rPr>
        <w:t>：</w:t>
      </w:r>
      <w:r>
        <w:rPr>
          <w:rFonts w:hint="eastAsia" w:ascii="宋体" w:eastAsia="宋体"/>
          <w:color w:val="auto"/>
          <w:spacing w:val="0"/>
          <w:highlight w:val="none"/>
        </w:rPr>
        <w:t>X</w:t>
      </w:r>
      <w:r>
        <w:rPr>
          <w:rFonts w:ascii="宋体" w:eastAsia="宋体"/>
          <w:color w:val="auto"/>
          <w:spacing w:val="0"/>
          <w:highlight w:val="none"/>
        </w:rPr>
        <w:t>XXXXXXXXXXXXXXXXXX</w:t>
      </w:r>
    </w:p>
    <w:p w14:paraId="387378D0">
      <w:pPr>
        <w:spacing w:line="360" w:lineRule="auto"/>
        <w:ind w:firstLine="420" w:firstLineChars="200"/>
        <w:rPr>
          <w:rFonts w:ascii="宋体" w:eastAsia="宋体"/>
          <w:color w:val="auto"/>
          <w:spacing w:val="0"/>
          <w:highlight w:val="none"/>
        </w:rPr>
      </w:pPr>
      <w:bookmarkStart w:id="248" w:name="_Toc58337494"/>
      <w:r>
        <w:rPr>
          <w:rFonts w:hint="eastAsia" w:ascii="宋体" w:eastAsia="宋体"/>
          <w:color w:val="auto"/>
          <w:spacing w:val="0"/>
          <w:highlight w:val="none"/>
        </w:rPr>
        <w:t>2.2项目内容</w:t>
      </w:r>
      <w:r>
        <w:rPr>
          <w:rFonts w:ascii="宋体" w:eastAsia="宋体"/>
          <w:color w:val="auto"/>
          <w:spacing w:val="0"/>
          <w:highlight w:val="none"/>
        </w:rPr>
        <w:t>、</w:t>
      </w:r>
      <w:r>
        <w:rPr>
          <w:rFonts w:hint="eastAsia" w:ascii="宋体" w:eastAsia="宋体"/>
          <w:color w:val="auto"/>
          <w:spacing w:val="0"/>
          <w:highlight w:val="none"/>
        </w:rPr>
        <w:t>范围及要求</w:t>
      </w:r>
      <w:bookmarkEnd w:id="248"/>
    </w:p>
    <w:p w14:paraId="79FBDF2E">
      <w:pPr>
        <w:snapToGrid w:val="0"/>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此处扼要地阐述外包开发内容。</w:t>
      </w:r>
    </w:p>
    <w:p w14:paraId="0C97E027">
      <w:pPr>
        <w:snapToGrid w:val="0"/>
        <w:spacing w:line="360" w:lineRule="auto"/>
        <w:ind w:firstLine="420" w:firstLineChars="200"/>
        <w:rPr>
          <w:rFonts w:ascii="宋体" w:eastAsia="宋体"/>
          <w:i/>
          <w:color w:val="auto"/>
          <w:spacing w:val="0"/>
          <w:highlight w:val="none"/>
        </w:rPr>
      </w:pPr>
      <w:r>
        <w:rPr>
          <w:rFonts w:hint="eastAsia" w:ascii="宋体" w:eastAsia="宋体"/>
          <w:color w:val="auto"/>
          <w:spacing w:val="0"/>
          <w:highlight w:val="none"/>
        </w:rPr>
        <w:t>详细内容参考附件一《工作（需求）说明书》，最终以附件一中双方约定的内容为准。</w:t>
      </w:r>
    </w:p>
    <w:p w14:paraId="4DF5959B">
      <w:pPr>
        <w:snapToGrid w:val="0"/>
        <w:spacing w:line="360" w:lineRule="auto"/>
        <w:ind w:firstLine="420" w:firstLineChars="200"/>
        <w:rPr>
          <w:rFonts w:ascii="宋体" w:eastAsia="宋体"/>
          <w:color w:val="auto"/>
          <w:spacing w:val="0"/>
          <w:highlight w:val="none"/>
        </w:rPr>
      </w:pPr>
      <w:bookmarkStart w:id="249" w:name="_Toc58337495"/>
      <w:r>
        <w:rPr>
          <w:rFonts w:hint="eastAsia" w:ascii="宋体" w:eastAsia="宋体"/>
          <w:color w:val="auto"/>
          <w:spacing w:val="0"/>
          <w:highlight w:val="none"/>
        </w:rPr>
        <w:t>2.3技术指标和质量要求</w:t>
      </w:r>
      <w:bookmarkEnd w:id="249"/>
      <w:r>
        <w:rPr>
          <w:rFonts w:hint="eastAsia" w:ascii="宋体" w:eastAsia="宋体"/>
          <w:color w:val="auto"/>
          <w:spacing w:val="0"/>
          <w:highlight w:val="none"/>
        </w:rPr>
        <w:t>。</w:t>
      </w:r>
    </w:p>
    <w:p w14:paraId="391BA3EE">
      <w:pPr>
        <w:snapToGrid w:val="0"/>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见附件一、附件四。</w:t>
      </w:r>
    </w:p>
    <w:p w14:paraId="0B2F8ED0">
      <w:pPr>
        <w:snapToGrid w:val="0"/>
        <w:spacing w:line="360" w:lineRule="auto"/>
        <w:ind w:firstLine="420" w:firstLineChars="200"/>
        <w:rPr>
          <w:rFonts w:ascii="宋体" w:eastAsia="宋体"/>
          <w:color w:val="auto"/>
          <w:spacing w:val="0"/>
          <w:highlight w:val="none"/>
        </w:rPr>
      </w:pPr>
      <w:bookmarkStart w:id="250" w:name="_Toc58337496"/>
      <w:r>
        <w:rPr>
          <w:rFonts w:hint="eastAsia" w:ascii="宋体" w:eastAsia="宋体"/>
          <w:color w:val="auto"/>
          <w:spacing w:val="0"/>
          <w:highlight w:val="none"/>
        </w:rPr>
        <w:t>2.4应当遵循的标准和规范</w:t>
      </w:r>
      <w:bookmarkEnd w:id="250"/>
      <w:r>
        <w:rPr>
          <w:rFonts w:hint="eastAsia" w:ascii="宋体" w:eastAsia="宋体"/>
          <w:color w:val="auto"/>
          <w:spacing w:val="0"/>
          <w:highlight w:val="none"/>
        </w:rPr>
        <w:t>。</w:t>
      </w:r>
    </w:p>
    <w:p w14:paraId="0661B9C5">
      <w:pPr>
        <w:snapToGrid w:val="0"/>
        <w:spacing w:line="360" w:lineRule="auto"/>
        <w:rPr>
          <w:rFonts w:ascii="宋体" w:eastAsia="宋体"/>
          <w:color w:val="auto"/>
          <w:spacing w:val="0"/>
          <w:highlight w:val="none"/>
        </w:rPr>
      </w:pPr>
      <w:r>
        <w:rPr>
          <w:rFonts w:hint="eastAsia" w:ascii="宋体" w:eastAsia="宋体"/>
          <w:color w:val="auto"/>
          <w:spacing w:val="0"/>
          <w:highlight w:val="none"/>
        </w:rPr>
        <w:t>乙方交付的X</w:t>
      </w:r>
      <w:r>
        <w:rPr>
          <w:rFonts w:ascii="宋体" w:eastAsia="宋体"/>
          <w:color w:val="auto"/>
          <w:spacing w:val="0"/>
          <w:highlight w:val="none"/>
        </w:rPr>
        <w:t>XXXXXXX</w:t>
      </w:r>
      <w:r>
        <w:rPr>
          <w:rFonts w:hint="eastAsia" w:ascii="宋体" w:eastAsia="宋体"/>
          <w:color w:val="auto"/>
          <w:spacing w:val="0"/>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022F91B1">
      <w:pPr>
        <w:snapToGrid w:val="0"/>
        <w:spacing w:line="360" w:lineRule="auto"/>
        <w:rPr>
          <w:rFonts w:ascii="宋体" w:eastAsia="宋体"/>
          <w:color w:val="auto"/>
          <w:spacing w:val="0"/>
          <w:highlight w:val="none"/>
        </w:rPr>
      </w:pPr>
    </w:p>
    <w:p w14:paraId="08784A0A">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1" w:name="_Toc84948027"/>
      <w:r>
        <w:rPr>
          <w:rFonts w:hint="eastAsia" w:ascii="Times New Roman" w:hAnsi="Times New Roman" w:eastAsia="宋体" w:cs="Times New Roman"/>
          <w:b/>
          <w:color w:val="auto"/>
          <w:spacing w:val="0"/>
          <w:sz w:val="24"/>
          <w:szCs w:val="20"/>
          <w:highlight w:val="none"/>
        </w:rPr>
        <w:t>第三条 项目履行的进度、期限、地点、地域、方式</w:t>
      </w:r>
      <w:bookmarkEnd w:id="251"/>
    </w:p>
    <w:p w14:paraId="2E4F055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color w:val="auto"/>
          <w:spacing w:val="0"/>
          <w:kern w:val="0"/>
          <w:highlight w:val="none"/>
        </w:rPr>
        <w:t>替换人员技术水平或级别需不低于</w:t>
      </w:r>
      <w:r>
        <w:rPr>
          <w:rFonts w:hint="eastAsia" w:ascii="宋体" w:eastAsia="宋体"/>
          <w:color w:val="auto"/>
          <w:spacing w:val="0"/>
          <w:highlight w:val="none"/>
        </w:rPr>
        <w:t>被替换的人员</w:t>
      </w:r>
      <w:r>
        <w:rPr>
          <w:rFonts w:hint="eastAsia" w:ascii="宋体" w:eastAsia="宋体"/>
          <w:color w:val="auto"/>
          <w:spacing w:val="0"/>
          <w:kern w:val="0"/>
          <w:highlight w:val="none"/>
        </w:rPr>
        <w:t>水平或级别</w:t>
      </w:r>
      <w:r>
        <w:rPr>
          <w:rFonts w:hint="eastAsia" w:ascii="宋体" w:eastAsia="宋体"/>
          <w:color w:val="auto"/>
          <w:spacing w:val="0"/>
          <w:highlight w:val="none"/>
        </w:rPr>
        <w:t>，并需通过甲方考察并取得甲方同意，否则甲方有权要求更换。</w:t>
      </w:r>
    </w:p>
    <w:p w14:paraId="082F08A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3.2进度：乙方应严格按照3.3所列示的期限完成项目实施任务。</w:t>
      </w:r>
    </w:p>
    <w:p w14:paraId="2E5BA94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3.3期限：上线时间为    年    月     日</w:t>
      </w:r>
      <w:r>
        <w:rPr>
          <w:rFonts w:ascii="宋体" w:eastAsia="宋体"/>
          <w:color w:val="auto"/>
          <w:spacing w:val="0"/>
          <w:highlight w:val="none"/>
        </w:rPr>
        <w:t>前</w:t>
      </w:r>
      <w:r>
        <w:rPr>
          <w:rFonts w:hint="eastAsia" w:ascii="宋体" w:eastAsia="宋体"/>
          <w:color w:val="auto"/>
          <w:spacing w:val="0"/>
          <w:highlight w:val="none"/>
        </w:rPr>
        <w:t>。</w:t>
      </w:r>
    </w:p>
    <w:p w14:paraId="3383D3B1">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3.4地点：乙方完成项目实施工作的地点为：</w:t>
      </w:r>
      <w:r>
        <w:rPr>
          <w:rFonts w:hint="eastAsia" w:ascii="宋体" w:eastAsia="宋体"/>
          <w:color w:val="auto"/>
          <w:spacing w:val="0"/>
          <w:highlight w:val="none"/>
          <w:u w:val="single"/>
        </w:rPr>
        <w:t>重庆</w:t>
      </w:r>
      <w:r>
        <w:rPr>
          <w:rFonts w:hint="eastAsia" w:ascii="宋体" w:eastAsia="宋体"/>
          <w:color w:val="auto"/>
          <w:spacing w:val="0"/>
          <w:highlight w:val="none"/>
        </w:rPr>
        <w:t>；【驻场/远程】实施。</w:t>
      </w:r>
    </w:p>
    <w:p w14:paraId="3C7A75D1">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3.5地域：本项目适用机构所在地域包括：</w:t>
      </w:r>
      <w:r>
        <w:rPr>
          <w:rFonts w:hint="eastAsia" w:ascii="宋体" w:eastAsia="宋体"/>
          <w:color w:val="auto"/>
          <w:spacing w:val="0"/>
          <w:highlight w:val="none"/>
          <w:u w:val="single"/>
        </w:rPr>
        <w:t>重庆三峡银行总行各部门及辖内各经营机构</w:t>
      </w:r>
      <w:r>
        <w:rPr>
          <w:rFonts w:hint="eastAsia" w:ascii="宋体" w:eastAsia="宋体"/>
          <w:color w:val="auto"/>
          <w:spacing w:val="0"/>
          <w:highlight w:val="none"/>
        </w:rPr>
        <w:t>。</w:t>
      </w:r>
    </w:p>
    <w:p w14:paraId="7B9D7E8C">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3.6方式：</w:t>
      </w:r>
    </w:p>
    <w:p w14:paraId="33F12A85">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77C46B4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2B90A039">
      <w:pPr>
        <w:spacing w:line="360" w:lineRule="auto"/>
        <w:ind w:firstLine="420" w:firstLineChars="200"/>
        <w:rPr>
          <w:rFonts w:ascii="宋体" w:eastAsia="宋体"/>
          <w:color w:val="auto"/>
          <w:spacing w:val="0"/>
          <w:highlight w:val="none"/>
        </w:rPr>
      </w:pPr>
    </w:p>
    <w:p w14:paraId="355BA9A8">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2" w:name="_Toc84948028"/>
      <w:r>
        <w:rPr>
          <w:rFonts w:hint="eastAsia" w:ascii="Times New Roman" w:hAnsi="Times New Roman" w:eastAsia="宋体" w:cs="Times New Roman"/>
          <w:b/>
          <w:color w:val="auto"/>
          <w:spacing w:val="0"/>
          <w:sz w:val="24"/>
          <w:szCs w:val="20"/>
          <w:highlight w:val="none"/>
        </w:rPr>
        <w:t>第四条 方案调整</w:t>
      </w:r>
      <w:bookmarkEnd w:id="252"/>
    </w:p>
    <w:p w14:paraId="25DF31FF">
      <w:pPr>
        <w:spacing w:line="360" w:lineRule="auto"/>
        <w:ind w:firstLine="420" w:firstLineChars="200"/>
        <w:rPr>
          <w:rFonts w:ascii="宋体" w:eastAsia="宋体"/>
          <w:color w:val="auto"/>
          <w:spacing w:val="0"/>
          <w:highlight w:val="none"/>
        </w:rPr>
      </w:pPr>
      <w:r>
        <w:rPr>
          <w:rStyle w:val="53"/>
          <w:rFonts w:hint="eastAsia" w:ascii="宋体" w:eastAsia="宋体"/>
          <w:color w:val="auto"/>
          <w:spacing w:val="0"/>
          <w:kern w:val="0"/>
          <w:highlight w:val="none"/>
        </w:rPr>
        <w:t>4.1因甲方原因提出导致增加【 】∕人∕月以上工作量的需求变更，</w:t>
      </w:r>
      <w:r>
        <w:rPr>
          <w:rFonts w:hint="eastAsia" w:ascii="宋体" w:eastAsia="宋体"/>
          <w:color w:val="auto"/>
          <w:spacing w:val="0"/>
          <w:highlight w:val="none"/>
        </w:rPr>
        <w:t>须通知乙方并由乙方确认</w:t>
      </w:r>
      <w:r>
        <w:rPr>
          <w:rStyle w:val="53"/>
          <w:rFonts w:hint="eastAsia" w:ascii="宋体" w:eastAsia="宋体"/>
          <w:color w:val="auto"/>
          <w:spacing w:val="0"/>
          <w:kern w:val="0"/>
          <w:highlight w:val="none"/>
        </w:rPr>
        <w:t>，对此</w:t>
      </w:r>
      <w:r>
        <w:rPr>
          <w:rFonts w:hint="eastAsia" w:ascii="宋体" w:eastAsia="宋体"/>
          <w:color w:val="auto"/>
          <w:spacing w:val="0"/>
          <w:highlight w:val="none"/>
        </w:rPr>
        <w:t>变更给乙方带来的额外劳动部分甲乙双方协商解决，由此变更导致项目进度延期不构成违约。但4.2款确认的，由乙方原因引起的工作量，甲方无需承担任何费用。</w:t>
      </w:r>
    </w:p>
    <w:p w14:paraId="2B88E23B">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4.2 方案一经双方确认，任何一方有方案调整意见，均需与对方签字确认。</w:t>
      </w:r>
    </w:p>
    <w:p w14:paraId="532C7B62">
      <w:pPr>
        <w:spacing w:line="360" w:lineRule="auto"/>
        <w:ind w:firstLine="420" w:firstLineChars="200"/>
        <w:rPr>
          <w:rFonts w:ascii="宋体" w:eastAsia="宋体"/>
          <w:color w:val="auto"/>
          <w:spacing w:val="0"/>
          <w:highlight w:val="none"/>
        </w:rPr>
      </w:pPr>
    </w:p>
    <w:p w14:paraId="4B9E966D">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3" w:name="_Toc84948029"/>
      <w:r>
        <w:rPr>
          <w:rFonts w:hint="eastAsia" w:ascii="Times New Roman" w:hAnsi="Times New Roman" w:eastAsia="宋体" w:cs="Times New Roman"/>
          <w:b/>
          <w:color w:val="auto"/>
          <w:spacing w:val="0"/>
          <w:sz w:val="24"/>
          <w:szCs w:val="20"/>
          <w:highlight w:val="none"/>
        </w:rPr>
        <w:t>第五条 验收</w:t>
      </w:r>
      <w:bookmarkEnd w:id="253"/>
    </w:p>
    <w:p w14:paraId="0BC5797C">
      <w:pPr>
        <w:pStyle w:val="12"/>
        <w:spacing w:before="0" w:beforeLines="0" w:line="360" w:lineRule="auto"/>
        <w:ind w:left="0" w:leftChars="0" w:firstLine="420" w:firstLineChars="200"/>
        <w:rPr>
          <w:rFonts w:ascii="宋体" w:eastAsia="宋体"/>
          <w:color w:val="auto"/>
          <w:spacing w:val="0"/>
          <w:kern w:val="0"/>
          <w:highlight w:val="none"/>
        </w:rPr>
      </w:pPr>
      <w:r>
        <w:rPr>
          <w:rFonts w:hint="eastAsia" w:ascii="宋体" w:eastAsia="宋体"/>
          <w:color w:val="auto"/>
          <w:spacing w:val="0"/>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color w:val="auto"/>
          <w:spacing w:val="0"/>
          <w:kern w:val="0"/>
          <w:highlight w:val="none"/>
        </w:rPr>
        <w:t>本合同中的系统出现的任何问题，乙方应及时解决，保证试运行期间的稳定运行；试运行期间若出现</w:t>
      </w:r>
      <w:r>
        <w:rPr>
          <w:rFonts w:hint="eastAsia" w:ascii="宋体" w:eastAsia="宋体" w:cs="宋体"/>
          <w:bCs/>
          <w:color w:val="auto"/>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color w:val="auto"/>
          <w:spacing w:val="0"/>
          <w:kern w:val="0"/>
          <w:highlight w:val="none"/>
        </w:rPr>
        <w:t>在符合甲方项目预期目标且试运行满</w:t>
      </w:r>
      <w:r>
        <w:rPr>
          <w:rFonts w:hint="eastAsia" w:ascii="宋体" w:eastAsia="宋体"/>
          <w:color w:val="auto"/>
          <w:spacing w:val="0"/>
          <w:kern w:val="0"/>
          <w:highlight w:val="none"/>
          <w:u w:val="single"/>
        </w:rPr>
        <w:t>三个月</w:t>
      </w:r>
      <w:r>
        <w:rPr>
          <w:rFonts w:hint="eastAsia" w:ascii="宋体" w:eastAsia="宋体"/>
          <w:color w:val="auto"/>
          <w:spacing w:val="0"/>
          <w:kern w:val="0"/>
          <w:highlight w:val="none"/>
        </w:rPr>
        <w:t>后，由甲方按照合同约定进行正式验收，验收通过后签署验收表或验收报告。</w:t>
      </w:r>
    </w:p>
    <w:p w14:paraId="6CDB669C">
      <w:pPr>
        <w:pStyle w:val="12"/>
        <w:spacing w:before="0" w:beforeLines="0" w:line="360" w:lineRule="auto"/>
        <w:ind w:left="0" w:leftChars="0" w:firstLine="420" w:firstLineChars="200"/>
        <w:rPr>
          <w:rFonts w:ascii="宋体" w:eastAsia="宋体"/>
          <w:color w:val="auto"/>
          <w:spacing w:val="0"/>
          <w:kern w:val="0"/>
          <w:highlight w:val="none"/>
        </w:rPr>
      </w:pPr>
      <w:r>
        <w:rPr>
          <w:rFonts w:hint="eastAsia" w:ascii="宋体" w:eastAsia="宋体"/>
          <w:color w:val="auto"/>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83D794A">
      <w:pPr>
        <w:pStyle w:val="12"/>
        <w:spacing w:before="0" w:beforeLines="0" w:line="360" w:lineRule="auto"/>
        <w:ind w:left="0" w:leftChars="0" w:firstLine="420" w:firstLineChars="200"/>
        <w:rPr>
          <w:rStyle w:val="53"/>
          <w:rFonts w:ascii="宋体" w:eastAsia="宋体"/>
          <w:color w:val="auto"/>
          <w:spacing w:val="0"/>
          <w:kern w:val="0"/>
          <w:highlight w:val="none"/>
        </w:rPr>
      </w:pPr>
    </w:p>
    <w:p w14:paraId="752EEB1A">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4" w:name="_Toc84948030"/>
      <w:r>
        <w:rPr>
          <w:rFonts w:hint="eastAsia" w:ascii="Times New Roman" w:hAnsi="Times New Roman" w:eastAsia="宋体" w:cs="Times New Roman"/>
          <w:b/>
          <w:color w:val="auto"/>
          <w:spacing w:val="0"/>
          <w:sz w:val="24"/>
          <w:szCs w:val="20"/>
          <w:highlight w:val="none"/>
        </w:rPr>
        <w:t>第六条 交付使用后维护期、系统完善和保修维护服务</w:t>
      </w:r>
      <w:bookmarkEnd w:id="254"/>
    </w:p>
    <w:p w14:paraId="05D0A1CD">
      <w:pPr>
        <w:tabs>
          <w:tab w:val="left" w:pos="851"/>
        </w:tabs>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6.1本合同金额包含【】年维护，维护期为自本产品</w:t>
      </w:r>
      <w:r>
        <w:rPr>
          <w:rFonts w:hint="eastAsia" w:ascii="宋体" w:eastAsia="宋体"/>
          <w:color w:val="auto"/>
          <w:spacing w:val="0"/>
          <w:kern w:val="0"/>
          <w:highlight w:val="none"/>
        </w:rPr>
        <w:t>正式</w:t>
      </w:r>
      <w:r>
        <w:rPr>
          <w:rFonts w:hint="eastAsia" w:ascii="宋体" w:eastAsia="宋体"/>
          <w:color w:val="auto"/>
          <w:spacing w:val="0"/>
          <w:highlight w:val="none"/>
        </w:rPr>
        <w:t>验收合格后次日至次年并延期至6月30日或12月31日中较近日期（即维保延期最长不超过半年）。</w:t>
      </w:r>
    </w:p>
    <w:p w14:paraId="69F34DBB">
      <w:pPr>
        <w:tabs>
          <w:tab w:val="left" w:pos="851"/>
        </w:tabs>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6.2本合同产品的有偿技术服务期为本合同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维护期到期之日起</w:t>
      </w:r>
      <w:r>
        <w:rPr>
          <w:rFonts w:hint="eastAsia" w:ascii="宋体" w:eastAsia="宋体"/>
          <w:color w:val="auto"/>
          <w:spacing w:val="0"/>
          <w:highlight w:val="none"/>
          <w:u w:val="single"/>
        </w:rPr>
        <w:t>10</w:t>
      </w:r>
      <w:r>
        <w:rPr>
          <w:rFonts w:hint="eastAsia" w:ascii="宋体" w:eastAsia="宋体"/>
          <w:color w:val="auto"/>
          <w:spacing w:val="0"/>
          <w:highlight w:val="none"/>
        </w:rPr>
        <w:t>年。本项目产品服务期内（包括本合同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维护期与有偿技术服务期）如甲方对照附件一发现项目存在技术缺陷和隐蔽瑕疵，乙方应负责予以解决并应承担相应法律责任。</w:t>
      </w:r>
    </w:p>
    <w:p w14:paraId="5A2C681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07CCC19">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6.4 维护服务期内（包括本合同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维护期与有偿技术服务期）的服务内容和服务方式详见附件四《维护服务条款》。</w:t>
      </w:r>
    </w:p>
    <w:p w14:paraId="00075CE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6.5上述服务，不包括由下列事件引起的故障：</w:t>
      </w:r>
    </w:p>
    <w:p w14:paraId="222968DA">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6.5.1 未能为系统提供适当的外部环境-如必要的系统环境、必要的管理体系、未能按照乙方要求配备资源等。</w:t>
      </w:r>
    </w:p>
    <w:p w14:paraId="758F5F4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6.5.2 使用并非由乙方提供的产品或服务。</w:t>
      </w:r>
    </w:p>
    <w:p w14:paraId="4E064A8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color w:val="auto"/>
          <w:spacing w:val="0"/>
          <w:highlight w:val="none"/>
          <w:u w:val="single"/>
        </w:rPr>
        <w:t xml:space="preserve"> 3 </w:t>
      </w:r>
      <w:r>
        <w:rPr>
          <w:rFonts w:hint="eastAsia" w:ascii="宋体" w:eastAsia="宋体"/>
          <w:color w:val="auto"/>
          <w:spacing w:val="0"/>
          <w:highlight w:val="none"/>
        </w:rPr>
        <w:t>日内不到甲方现场进行检修，或在收到甲方通知后</w:t>
      </w:r>
      <w:r>
        <w:rPr>
          <w:rFonts w:hint="eastAsia" w:ascii="宋体" w:eastAsia="宋体"/>
          <w:color w:val="auto"/>
          <w:spacing w:val="0"/>
          <w:highlight w:val="none"/>
          <w:u w:val="single"/>
        </w:rPr>
        <w:t xml:space="preserve"> 10 </w:t>
      </w:r>
      <w:r>
        <w:rPr>
          <w:rFonts w:hint="eastAsia" w:ascii="宋体" w:eastAsia="宋体"/>
          <w:color w:val="auto"/>
          <w:spacing w:val="0"/>
          <w:highlight w:val="none"/>
        </w:rPr>
        <w:t>日内仍不能纠正不符之处的，甲方有权采取其他措施（包括聘请第三方替代履行）以减少损失，由此产生的费用及相关损失由乙方负责。乙方承</w:t>
      </w:r>
    </w:p>
    <w:p w14:paraId="3B9A4B6B">
      <w:pPr>
        <w:spacing w:line="360" w:lineRule="auto"/>
        <w:rPr>
          <w:rFonts w:ascii="宋体" w:eastAsia="宋体"/>
          <w:color w:val="auto"/>
          <w:spacing w:val="0"/>
          <w:highlight w:val="none"/>
        </w:rPr>
      </w:pPr>
      <w:r>
        <w:rPr>
          <w:rFonts w:hint="eastAsia" w:ascii="宋体" w:eastAsia="宋体"/>
          <w:color w:val="auto"/>
          <w:spacing w:val="0"/>
          <w:highlight w:val="none"/>
        </w:rPr>
        <w:t>诺，甲方采取上述措施不必征得乙方事先同意，且不构成对乙方的任何侵权。</w:t>
      </w:r>
    </w:p>
    <w:p w14:paraId="2EB9022B">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w:t>
      </w:r>
      <w:r>
        <w:rPr>
          <w:rStyle w:val="53"/>
          <w:rFonts w:hint="eastAsia" w:ascii="宋体" w:eastAsia="宋体"/>
          <w:color w:val="auto"/>
          <w:spacing w:val="0"/>
          <w:kern w:val="0"/>
          <w:highlight w:val="none"/>
        </w:rPr>
        <w:t xml:space="preserve">.7 </w:t>
      </w:r>
      <w:r>
        <w:rPr>
          <w:rFonts w:hint="eastAsia" w:ascii="宋体" w:eastAsia="宋体"/>
          <w:color w:val="auto"/>
          <w:spacing w:val="0"/>
          <w:highlight w:val="none"/>
        </w:rPr>
        <w:t>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维护期结束后的</w:t>
      </w:r>
      <w:r>
        <w:rPr>
          <w:rFonts w:hint="eastAsia" w:ascii="宋体" w:eastAsia="宋体"/>
          <w:color w:val="auto"/>
          <w:spacing w:val="0"/>
          <w:highlight w:val="none"/>
          <w:u w:val="single"/>
        </w:rPr>
        <w:t>10年</w:t>
      </w:r>
      <w:r>
        <w:rPr>
          <w:rFonts w:hint="eastAsia" w:ascii="宋体" w:eastAsia="宋体"/>
          <w:color w:val="auto"/>
          <w:spacing w:val="0"/>
          <w:highlight w:val="none"/>
        </w:rPr>
        <w:t>有偿技术服务期内，</w:t>
      </w:r>
      <w:r>
        <w:rPr>
          <w:rStyle w:val="53"/>
          <w:rFonts w:hint="eastAsia" w:ascii="宋体" w:eastAsia="宋体"/>
          <w:color w:val="auto"/>
          <w:spacing w:val="0"/>
          <w:kern w:val="0"/>
          <w:highlight w:val="none"/>
        </w:rPr>
        <w:t>如</w:t>
      </w:r>
      <w:r>
        <w:rPr>
          <w:rFonts w:hint="eastAsia" w:ascii="宋体" w:eastAsia="宋体"/>
          <w:color w:val="auto"/>
          <w:spacing w:val="0"/>
          <w:highlight w:val="none"/>
        </w:rPr>
        <w:t>甲方需要乙方提供维护服务,乙方应予提供。双方确认，甲方有权选择是否购买维护，乙方无权要求甲方对未使用维护服务的期间支付费用。</w:t>
      </w:r>
    </w:p>
    <w:p w14:paraId="5E675573">
      <w:pPr>
        <w:spacing w:line="360" w:lineRule="auto"/>
        <w:ind w:firstLine="420" w:firstLineChars="200"/>
        <w:rPr>
          <w:rFonts w:ascii="宋体" w:eastAsia="宋体"/>
          <w:b/>
          <w:color w:val="auto"/>
          <w:spacing w:val="0"/>
          <w:highlight w:val="none"/>
        </w:rPr>
      </w:pPr>
      <w:r>
        <w:rPr>
          <w:rFonts w:hint="eastAsia" w:ascii="宋体" w:eastAsia="宋体"/>
          <w:color w:val="auto"/>
          <w:spacing w:val="0"/>
          <w:highlight w:val="none"/>
        </w:rPr>
        <w:t>6.8 维护期结束后</w:t>
      </w:r>
      <w:r>
        <w:rPr>
          <w:rStyle w:val="53"/>
          <w:rFonts w:hint="eastAsia" w:ascii="宋体" w:eastAsia="宋体"/>
          <w:color w:val="auto"/>
          <w:spacing w:val="0"/>
          <w:kern w:val="0"/>
          <w:highlight w:val="none"/>
        </w:rPr>
        <w:t>有偿技术服务期</w:t>
      </w:r>
      <w:r>
        <w:rPr>
          <w:rFonts w:hint="eastAsia" w:ascii="宋体" w:eastAsia="宋体"/>
          <w:color w:val="auto"/>
          <w:spacing w:val="0"/>
          <w:highlight w:val="none"/>
        </w:rPr>
        <w:t>每年的维护价格【不超过/为】</w:t>
      </w:r>
      <w:r>
        <w:rPr>
          <w:rFonts w:hint="eastAsia" w:ascii="宋体" w:eastAsia="宋体"/>
          <w:iCs/>
          <w:color w:val="auto"/>
          <w:spacing w:val="0"/>
          <w:highlight w:val="none"/>
          <w:u w:val="single"/>
        </w:rPr>
        <w:t>合同总额的【8%】</w:t>
      </w:r>
      <w:r>
        <w:rPr>
          <w:rFonts w:hint="eastAsia" w:ascii="宋体" w:eastAsia="宋体"/>
          <w:color w:val="auto"/>
          <w:spacing w:val="0"/>
          <w:highlight w:val="none"/>
        </w:rPr>
        <w:t>，具体服务内容详见附件四《维护服务条款》。有偿技术服务期的服务水平不低于附件四承诺的维护期的服务水平。</w:t>
      </w:r>
      <w:r>
        <w:rPr>
          <w:rFonts w:hint="eastAsia" w:ascii="宋体" w:eastAsia="宋体"/>
          <w:b/>
          <w:color w:val="auto"/>
          <w:spacing w:val="0"/>
          <w:highlight w:val="none"/>
        </w:rPr>
        <w:t>后续改造类项目维护费用以系统首期建设合同（即本合同）约定为准，不得叠加、单独收取。</w:t>
      </w:r>
    </w:p>
    <w:p w14:paraId="5D6598FC">
      <w:pPr>
        <w:spacing w:line="360" w:lineRule="auto"/>
        <w:ind w:firstLine="422" w:firstLineChars="200"/>
        <w:rPr>
          <w:rFonts w:ascii="宋体" w:eastAsia="宋体"/>
          <w:b/>
          <w:color w:val="auto"/>
          <w:spacing w:val="0"/>
          <w:highlight w:val="none"/>
        </w:rPr>
      </w:pPr>
      <w:r>
        <w:rPr>
          <w:rFonts w:hint="eastAsia" w:ascii="宋体" w:eastAsia="宋体"/>
          <w:b/>
          <w:color w:val="auto"/>
          <w:spacing w:val="0"/>
          <w:highlight w:val="none"/>
        </w:rPr>
        <w:t>本合同为改造类项目合同，后续维保费用以系统首期建设合同（可注明首期建设合同名称及编号）约定为准，不得叠加、单独收取。</w:t>
      </w:r>
    </w:p>
    <w:p w14:paraId="5869ACB7">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6.9本合同并非维护期结束后的维护服务合同，有偿技术服务的合同由双方另行签订。</w:t>
      </w:r>
    </w:p>
    <w:p w14:paraId="13C332A6">
      <w:pPr>
        <w:spacing w:line="360" w:lineRule="auto"/>
        <w:ind w:firstLine="420" w:firstLineChars="200"/>
        <w:rPr>
          <w:rFonts w:ascii="宋体" w:eastAsia="宋体"/>
          <w:color w:val="auto"/>
          <w:spacing w:val="0"/>
          <w:highlight w:val="none"/>
        </w:rPr>
      </w:pPr>
    </w:p>
    <w:p w14:paraId="007BD621">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5" w:name="_Toc84948031"/>
      <w:r>
        <w:rPr>
          <w:rFonts w:hint="eastAsia" w:ascii="Times New Roman" w:hAnsi="Times New Roman" w:eastAsia="宋体" w:cs="Times New Roman"/>
          <w:b/>
          <w:color w:val="auto"/>
          <w:spacing w:val="0"/>
          <w:sz w:val="24"/>
          <w:szCs w:val="20"/>
          <w:highlight w:val="none"/>
        </w:rPr>
        <w:t>第七条 技术辅导与培训</w:t>
      </w:r>
      <w:bookmarkEnd w:id="255"/>
    </w:p>
    <w:p w14:paraId="19649D6E">
      <w:pPr>
        <w:pStyle w:val="14"/>
        <w:spacing w:before="0" w:beforeLines="0" w:line="360" w:lineRule="auto"/>
        <w:ind w:firstLine="560" w:firstLineChars="0"/>
        <w:rPr>
          <w:rFonts w:ascii="宋体" w:eastAsia="宋体"/>
          <w:color w:val="auto"/>
          <w:spacing w:val="0"/>
          <w:highlight w:val="none"/>
        </w:rPr>
      </w:pPr>
      <w:r>
        <w:rPr>
          <w:rFonts w:hint="eastAsia" w:ascii="宋体" w:eastAsia="宋体"/>
          <w:color w:val="auto"/>
          <w:spacing w:val="0"/>
          <w:highlight w:val="none"/>
        </w:rPr>
        <w:t>乙方应负责向甲方提供技术辅导与培训，以使甲方人员熟练掌握该项目产品的应用和日常维护。培训内容包括：XXXXXXX</w:t>
      </w:r>
    </w:p>
    <w:p w14:paraId="6A4F1A49">
      <w:pPr>
        <w:pStyle w:val="14"/>
        <w:spacing w:before="0" w:beforeLines="0" w:line="360" w:lineRule="auto"/>
        <w:rPr>
          <w:rFonts w:ascii="宋体" w:eastAsia="宋体"/>
          <w:color w:val="auto"/>
          <w:spacing w:val="0"/>
          <w:highlight w:val="none"/>
        </w:rPr>
      </w:pPr>
      <w:r>
        <w:rPr>
          <w:rFonts w:hint="eastAsia" w:ascii="宋体" w:eastAsia="宋体"/>
          <w:color w:val="auto"/>
          <w:spacing w:val="0"/>
          <w:highlight w:val="none"/>
        </w:rPr>
        <w:t>具体培训内容由双方共同商定，并由甲方项目经理签字确认。</w:t>
      </w:r>
    </w:p>
    <w:p w14:paraId="794984D7">
      <w:pPr>
        <w:pStyle w:val="14"/>
        <w:spacing w:before="0" w:beforeLines="0" w:line="360" w:lineRule="auto"/>
        <w:rPr>
          <w:rFonts w:ascii="宋体" w:eastAsia="宋体"/>
          <w:color w:val="auto"/>
          <w:spacing w:val="0"/>
          <w:highlight w:val="none"/>
        </w:rPr>
      </w:pPr>
    </w:p>
    <w:p w14:paraId="6CDCAF89">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6" w:name="_Toc84948032"/>
      <w:r>
        <w:rPr>
          <w:rFonts w:hint="eastAsia" w:ascii="Times New Roman" w:hAnsi="Times New Roman" w:eastAsia="宋体" w:cs="Times New Roman"/>
          <w:b/>
          <w:color w:val="auto"/>
          <w:spacing w:val="0"/>
          <w:sz w:val="24"/>
          <w:szCs w:val="20"/>
          <w:highlight w:val="none"/>
        </w:rPr>
        <w:t>第八条 双方的权利、义务</w:t>
      </w:r>
      <w:bookmarkEnd w:id="256"/>
    </w:p>
    <w:p w14:paraId="1203CFBF">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8.1除本合同其他条款外，甲方应承担如下义务：</w:t>
      </w:r>
    </w:p>
    <w:p w14:paraId="3E10D38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8.1.1 按照本合同第十三条的规定向乙方支付报酬。</w:t>
      </w:r>
    </w:p>
    <w:p w14:paraId="33F2ED10">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8.1.2 向乙方提供本合同约定的业务协作：如参与各方的资源协调与进度管理、商务保障、项目环境保障等，确保参与各方按期、按质协同工作。</w:t>
      </w:r>
    </w:p>
    <w:p w14:paraId="483A24C5">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8.1.3 指派一名项目主要负责人参加甲、乙双方为本项目召开的会议并协调相关工作和签署有关文件。</w:t>
      </w:r>
    </w:p>
    <w:p w14:paraId="61DE0F7F">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8.1.4 甲方为乙方解决现场人员正常开展工作的开发测试系统环境和场地。</w:t>
      </w:r>
    </w:p>
    <w:p w14:paraId="73D2448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8.2除本合同其他条款外，乙方应承担如下义务：</w:t>
      </w:r>
    </w:p>
    <w:p w14:paraId="1791C51C">
      <w:pPr>
        <w:pStyle w:val="13"/>
        <w:tabs>
          <w:tab w:val="left" w:pos="0"/>
        </w:tabs>
        <w:spacing w:line="360" w:lineRule="auto"/>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rPr>
        <w:t>及规定</w:t>
      </w:r>
      <w:r>
        <w:rPr>
          <w:color w:val="auto"/>
          <w:sz w:val="24"/>
          <w:szCs w:val="20"/>
          <w:highlight w:val="none"/>
        </w:rPr>
        <w:t>，贯彻执行相关监管政策。</w:t>
      </w:r>
    </w:p>
    <w:p w14:paraId="0104D50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1E8E020B">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8.2.3 负责在甲方的环境内安装并调试实施项目。</w:t>
      </w:r>
    </w:p>
    <w:p w14:paraId="7E2FFAA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8.2.4 指派一名项目主要负责人参加甲、乙双方为本项目召开的会议并协调相关工作和签署有关文件。</w:t>
      </w:r>
    </w:p>
    <w:p w14:paraId="705E7FDA">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8.2.5指派独立于开发团队的测试人员负责项目系统测试，并承诺按照甲方质量管理要求完成项目系统测试、性能测试、安全测试等。</w:t>
      </w:r>
    </w:p>
    <w:p w14:paraId="450CCDBF">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8.2.6 按照本合同的约定向甲方提供相关技术资料并提供技术指导。</w:t>
      </w:r>
    </w:p>
    <w:p w14:paraId="7157A403">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8.2.7乙方需为甲方提供持续的项目风险识别和控制措施，并按甲方要求提供公司财务分析报告、项目进度报告以及重大事项报告等。</w:t>
      </w:r>
    </w:p>
    <w:p w14:paraId="2EBF646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8.2.8 乙方应该适时开展风险管理评估和第三方审计工作，应该接受甲方的审核、评估以及外包检查，并配合接受来自监管机构的各项检查，不得拖延、不得敷衍、不得拒绝提供相关资料，配合对监管意见做出相应的管理、服务、基础设施、软硬件等整改。</w:t>
      </w:r>
    </w:p>
    <w:p w14:paraId="71B23E4C">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w:t>
      </w:r>
      <w:r>
        <w:rPr>
          <w:rFonts w:ascii="宋体" w:eastAsia="宋体"/>
          <w:color w:val="auto"/>
          <w:spacing w:val="0"/>
          <w:highlight w:val="none"/>
        </w:rPr>
        <w:t>.</w:t>
      </w:r>
      <w:r>
        <w:rPr>
          <w:rFonts w:hint="eastAsia" w:ascii="宋体" w:eastAsia="宋体"/>
          <w:color w:val="auto"/>
          <w:spacing w:val="0"/>
          <w:highlight w:val="none"/>
        </w:rPr>
        <w:t>9</w:t>
      </w:r>
      <w:r>
        <w:rPr>
          <w:rFonts w:ascii="宋体" w:eastAsia="宋体"/>
          <w:color w:val="auto"/>
          <w:spacing w:val="0"/>
          <w:highlight w:val="none"/>
        </w:rPr>
        <w:t xml:space="preserve"> 乙方应针对服务内容为甲方制定业务连续性计划和应急计划并维护好相关资源</w:t>
      </w:r>
      <w:r>
        <w:rPr>
          <w:rFonts w:hint="eastAsia" w:ascii="宋体" w:eastAsia="宋体"/>
          <w:color w:val="auto"/>
          <w:spacing w:val="0"/>
          <w:highlight w:val="none"/>
        </w:rPr>
        <w:t>，</w:t>
      </w:r>
      <w:r>
        <w:rPr>
          <w:rFonts w:ascii="宋体" w:eastAsia="宋体"/>
          <w:color w:val="auto"/>
          <w:spacing w:val="0"/>
          <w:highlight w:val="none"/>
        </w:rPr>
        <w:t>在服务质量不能满足合同要求时</w:t>
      </w:r>
      <w:r>
        <w:rPr>
          <w:rFonts w:hint="eastAsia" w:ascii="宋体" w:eastAsia="宋体"/>
          <w:color w:val="auto"/>
          <w:spacing w:val="0"/>
          <w:highlight w:val="none"/>
        </w:rPr>
        <w:t>，甲方具有</w:t>
      </w:r>
      <w:r>
        <w:rPr>
          <w:rFonts w:ascii="宋体" w:eastAsia="宋体"/>
          <w:color w:val="auto"/>
          <w:spacing w:val="0"/>
          <w:highlight w:val="none"/>
        </w:rPr>
        <w:t>优先获取服务资源的权利</w:t>
      </w:r>
      <w:r>
        <w:rPr>
          <w:rFonts w:hint="eastAsia" w:ascii="宋体" w:eastAsia="宋体"/>
          <w:color w:val="auto"/>
          <w:spacing w:val="0"/>
          <w:highlight w:val="none"/>
        </w:rPr>
        <w:t>，原则上应为最高级。若</w:t>
      </w:r>
      <w:r>
        <w:rPr>
          <w:rFonts w:ascii="宋体" w:eastAsia="宋体"/>
          <w:color w:val="auto"/>
          <w:spacing w:val="0"/>
          <w:highlight w:val="none"/>
        </w:rPr>
        <w:t>甲方要求</w:t>
      </w:r>
      <w:r>
        <w:rPr>
          <w:rFonts w:hint="eastAsia" w:ascii="宋体" w:eastAsia="宋体"/>
          <w:color w:val="auto"/>
          <w:spacing w:val="0"/>
          <w:highlight w:val="none"/>
        </w:rPr>
        <w:t>乙方参与应急演练，乙方</w:t>
      </w:r>
      <w:r>
        <w:rPr>
          <w:rFonts w:ascii="宋体" w:eastAsia="宋体"/>
          <w:color w:val="auto"/>
          <w:spacing w:val="0"/>
          <w:highlight w:val="none"/>
        </w:rPr>
        <w:t>应配合完成</w:t>
      </w:r>
      <w:r>
        <w:rPr>
          <w:rFonts w:hint="eastAsia" w:ascii="宋体" w:eastAsia="宋体"/>
          <w:color w:val="auto"/>
          <w:spacing w:val="0"/>
          <w:highlight w:val="none"/>
        </w:rPr>
        <w:t>。</w:t>
      </w:r>
    </w:p>
    <w:p w14:paraId="048F56CA">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8.2.10 乙方应当自己完成本合同项下的开发、测试或维护等工作，而不得转包或变相转包给任何第三方。</w:t>
      </w:r>
    </w:p>
    <w:p w14:paraId="612D2892">
      <w:pPr>
        <w:spacing w:line="360" w:lineRule="auto"/>
        <w:ind w:firstLine="420" w:firstLineChars="200"/>
        <w:rPr>
          <w:rFonts w:ascii="宋体" w:eastAsia="宋体"/>
          <w:bCs/>
          <w:color w:val="auto"/>
          <w:spacing w:val="0"/>
          <w:highlight w:val="none"/>
        </w:rPr>
      </w:pPr>
      <w:r>
        <w:rPr>
          <w:rFonts w:ascii="宋体" w:eastAsia="宋体"/>
          <w:color w:val="auto"/>
          <w:spacing w:val="0"/>
          <w:highlight w:val="none"/>
        </w:rPr>
        <w:t xml:space="preserve">8.2.11 </w:t>
      </w:r>
      <w:r>
        <w:rPr>
          <w:rFonts w:ascii="宋体" w:eastAsia="宋体"/>
          <w:bCs/>
          <w:color w:val="auto"/>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0B87A1BF">
      <w:pPr>
        <w:spacing w:line="360" w:lineRule="auto"/>
        <w:ind w:firstLine="420" w:firstLineChars="200"/>
        <w:rPr>
          <w:rFonts w:ascii="宋体" w:eastAsia="宋体"/>
          <w:bCs/>
          <w:color w:val="auto"/>
          <w:spacing w:val="0"/>
          <w:highlight w:val="none"/>
        </w:rPr>
      </w:pPr>
      <w:r>
        <w:rPr>
          <w:rFonts w:hint="eastAsia" w:ascii="宋体" w:eastAsia="宋体"/>
          <w:bCs/>
          <w:color w:val="auto"/>
          <w:spacing w:val="0"/>
          <w:highlight w:val="none"/>
        </w:rPr>
        <w:t>8</w:t>
      </w:r>
      <w:r>
        <w:rPr>
          <w:rFonts w:ascii="宋体" w:eastAsia="宋体"/>
          <w:bCs/>
          <w:color w:val="auto"/>
          <w:spacing w:val="0"/>
          <w:highlight w:val="none"/>
        </w:rPr>
        <w:t xml:space="preserve">.2.12 </w:t>
      </w:r>
      <w:r>
        <w:rPr>
          <w:rFonts w:hint="eastAsia" w:ascii="宋体" w:eastAsia="宋体"/>
          <w:bCs/>
          <w:color w:val="auto"/>
          <w:spacing w:val="0"/>
          <w:highlight w:val="none"/>
        </w:rPr>
        <w:t>乙方应接受甲方不定期组织开展</w:t>
      </w:r>
      <w:r>
        <w:rPr>
          <w:rFonts w:ascii="宋体" w:eastAsia="宋体"/>
          <w:bCs/>
          <w:color w:val="auto"/>
          <w:spacing w:val="0"/>
          <w:highlight w:val="none"/>
        </w:rPr>
        <w:t>的</w:t>
      </w:r>
      <w:r>
        <w:rPr>
          <w:rFonts w:hint="eastAsia" w:ascii="宋体" w:eastAsia="宋体"/>
          <w:bCs/>
          <w:color w:val="auto"/>
          <w:spacing w:val="0"/>
          <w:highlight w:val="none"/>
        </w:rPr>
        <w:t>网络和信息安全教育，增强网络和信息安全意识</w:t>
      </w:r>
      <w:r>
        <w:rPr>
          <w:rFonts w:ascii="宋体" w:eastAsia="宋体"/>
          <w:bCs/>
          <w:color w:val="auto"/>
          <w:spacing w:val="0"/>
          <w:highlight w:val="none"/>
        </w:rPr>
        <w:t>。</w:t>
      </w:r>
    </w:p>
    <w:p w14:paraId="3F645950">
      <w:pPr>
        <w:spacing w:line="360" w:lineRule="auto"/>
        <w:ind w:firstLine="420" w:firstLineChars="200"/>
        <w:rPr>
          <w:rFonts w:hint="eastAsia" w:ascii="宋体" w:eastAsia="宋体"/>
          <w:bCs/>
          <w:color w:val="auto"/>
          <w:spacing w:val="0"/>
          <w:highlight w:val="none"/>
        </w:rPr>
      </w:pPr>
      <w:r>
        <w:rPr>
          <w:rFonts w:hint="eastAsia" w:ascii="宋体" w:eastAsia="宋体"/>
          <w:bCs/>
          <w:color w:val="auto"/>
          <w:spacing w:val="0"/>
          <w:highlight w:val="none"/>
        </w:rPr>
        <w:t>8.2.13</w:t>
      </w:r>
      <w:r>
        <w:rPr>
          <w:rFonts w:ascii="宋体" w:eastAsia="宋体"/>
          <w:bCs/>
          <w:color w:val="auto"/>
          <w:spacing w:val="0"/>
          <w:highlight w:val="none"/>
        </w:rPr>
        <w:t xml:space="preserve"> </w:t>
      </w:r>
      <w:r>
        <w:rPr>
          <w:rFonts w:hint="eastAsia" w:ascii="宋体" w:eastAsia="宋体"/>
          <w:bCs/>
          <w:color w:val="auto"/>
          <w:spacing w:val="0"/>
          <w:highlight w:val="none"/>
        </w:rPr>
        <w:t>未经甲方许可，乙方人员不得下载、查阅甲方内部信息</w:t>
      </w:r>
      <w:r>
        <w:rPr>
          <w:rFonts w:ascii="宋体" w:eastAsia="宋体"/>
          <w:bCs/>
          <w:color w:val="auto"/>
          <w:spacing w:val="0"/>
          <w:highlight w:val="none"/>
        </w:rPr>
        <w:t>。</w:t>
      </w:r>
    </w:p>
    <w:p w14:paraId="2343DFFF">
      <w:pPr>
        <w:spacing w:line="360" w:lineRule="auto"/>
        <w:ind w:firstLine="420" w:firstLineChars="200"/>
        <w:rPr>
          <w:rFonts w:ascii="宋体" w:eastAsia="宋体"/>
          <w:color w:val="auto"/>
          <w:spacing w:val="0"/>
          <w:highlight w:val="none"/>
        </w:rPr>
      </w:pPr>
    </w:p>
    <w:p w14:paraId="097848D9">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7" w:name="_Toc84948033"/>
      <w:r>
        <w:rPr>
          <w:rFonts w:hint="eastAsia" w:ascii="Times New Roman" w:hAnsi="Times New Roman" w:eastAsia="宋体" w:cs="Times New Roman"/>
          <w:b/>
          <w:color w:val="auto"/>
          <w:spacing w:val="0"/>
          <w:sz w:val="24"/>
          <w:szCs w:val="20"/>
          <w:highlight w:val="none"/>
        </w:rPr>
        <w:t>第九条 乙方的声明与保证</w:t>
      </w:r>
      <w:bookmarkEnd w:id="257"/>
    </w:p>
    <w:p w14:paraId="58372955">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乙方向甲方做出如下声明与保证：</w:t>
      </w:r>
    </w:p>
    <w:p w14:paraId="2E956006">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9.1乙方完全具有本合同项下项目实施的技术资质与实力，包括开发技术人员、硬件设施等。</w:t>
      </w:r>
    </w:p>
    <w:p w14:paraId="3650C5F9">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14:paraId="1A600244">
      <w:pPr>
        <w:spacing w:line="360" w:lineRule="auto"/>
        <w:ind w:firstLine="420" w:firstLineChars="200"/>
        <w:rPr>
          <w:rFonts w:ascii="宋体" w:eastAsia="宋体"/>
          <w:color w:val="auto"/>
          <w:spacing w:val="0"/>
          <w:highlight w:val="none"/>
        </w:rPr>
      </w:pPr>
      <w:r>
        <w:rPr>
          <w:rStyle w:val="53"/>
          <w:rFonts w:hint="eastAsia" w:ascii="宋体" w:eastAsia="宋体"/>
          <w:color w:val="auto"/>
          <w:spacing w:val="0"/>
          <w:kern w:val="0"/>
          <w:highlight w:val="none"/>
        </w:rPr>
        <w:t>9.3乙方在本项目中【使用/未使用】第三方</w:t>
      </w:r>
      <w:r>
        <w:rPr>
          <w:rStyle w:val="53"/>
          <w:rFonts w:ascii="宋体" w:eastAsia="宋体"/>
          <w:color w:val="auto"/>
          <w:spacing w:val="0"/>
          <w:kern w:val="0"/>
          <w:highlight w:val="none"/>
        </w:rPr>
        <w:t>产品</w:t>
      </w:r>
      <w:r>
        <w:rPr>
          <w:rStyle w:val="53"/>
          <w:rFonts w:hint="eastAsia" w:ascii="宋体" w:eastAsia="宋体"/>
          <w:color w:val="auto"/>
          <w:spacing w:val="0"/>
          <w:kern w:val="0"/>
          <w:highlight w:val="none"/>
        </w:rPr>
        <w:t>，</w:t>
      </w:r>
      <w:r>
        <w:rPr>
          <w:rStyle w:val="53"/>
          <w:rFonts w:ascii="宋体" w:eastAsia="宋体"/>
          <w:color w:val="auto"/>
          <w:spacing w:val="0"/>
          <w:kern w:val="0"/>
          <w:highlight w:val="none"/>
        </w:rPr>
        <w:t>包括第三方</w:t>
      </w:r>
      <w:r>
        <w:rPr>
          <w:rStyle w:val="53"/>
          <w:rFonts w:hint="eastAsia" w:ascii="宋体" w:eastAsia="宋体"/>
          <w:color w:val="auto"/>
          <w:spacing w:val="0"/>
          <w:kern w:val="0"/>
          <w:highlight w:val="none"/>
        </w:rPr>
        <w:t>SDK、小程序、软件、开源组件等，（若选择【使用】请列举）例：第三方SDK：XXXX、XXX；第三方小程序：XXX等。</w:t>
      </w:r>
      <w:r>
        <w:rPr>
          <w:rFonts w:hint="eastAsia" w:ascii="宋体" w:eastAsia="宋体"/>
          <w:color w:val="auto"/>
          <w:spacing w:val="0"/>
          <w:highlight w:val="none"/>
        </w:rPr>
        <w:t>若乙方在项目中使用了第三方产品，乙方须按如下要求执行：</w:t>
      </w:r>
    </w:p>
    <w:p w14:paraId="02B25CC6">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（1）针对第三方SDK：乙方应开展安全评估和个人信息保护评估，并提供无中高风险的评估报告；</w:t>
      </w:r>
    </w:p>
    <w:p w14:paraId="4636BBC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（2）针对第三方小程序：乙方应开展安全评估，并提供无中高风险漏洞的安全评估报告。</w:t>
      </w:r>
    </w:p>
    <w:p w14:paraId="19141602">
      <w:pPr>
        <w:spacing w:line="360" w:lineRule="auto"/>
        <w:ind w:firstLine="420" w:firstLineChars="200"/>
        <w:rPr>
          <w:rStyle w:val="53"/>
          <w:rFonts w:ascii="宋体" w:eastAsia="宋体"/>
          <w:color w:val="auto"/>
          <w:spacing w:val="0"/>
          <w:kern w:val="0"/>
          <w:highlight w:val="none"/>
        </w:rPr>
      </w:pPr>
      <w:r>
        <w:rPr>
          <w:rFonts w:hint="eastAsia" w:ascii="宋体" w:eastAsia="宋体"/>
          <w:color w:val="auto"/>
          <w:spacing w:val="0"/>
          <w:highlight w:val="none"/>
        </w:rPr>
        <w:t>（</w:t>
      </w:r>
      <w:r>
        <w:rPr>
          <w:rFonts w:ascii="宋体" w:eastAsia="宋体"/>
          <w:color w:val="auto"/>
          <w:spacing w:val="0"/>
          <w:highlight w:val="none"/>
        </w:rPr>
        <w:t>3</w:t>
      </w:r>
      <w:r>
        <w:rPr>
          <w:rFonts w:hint="eastAsia" w:ascii="宋体" w:eastAsia="宋体"/>
          <w:color w:val="auto"/>
          <w:spacing w:val="0"/>
          <w:highlight w:val="none"/>
        </w:rPr>
        <w:t>）若</w:t>
      </w:r>
      <w:r>
        <w:rPr>
          <w:rStyle w:val="53"/>
          <w:rFonts w:hint="eastAsia" w:ascii="宋体" w:eastAsia="宋体"/>
          <w:color w:val="auto"/>
          <w:spacing w:val="0"/>
          <w:kern w:val="0"/>
          <w:highlight w:val="none"/>
        </w:rPr>
        <w:t>第三方产品出现安全漏洞</w:t>
      </w:r>
      <w:r>
        <w:rPr>
          <w:rFonts w:hint="eastAsia" w:ascii="宋体" w:eastAsia="宋体"/>
          <w:color w:val="auto"/>
          <w:spacing w:val="0"/>
          <w:highlight w:val="none"/>
        </w:rPr>
        <w:t>或违反个人信息保护相关法规，</w:t>
      </w:r>
      <w:r>
        <w:rPr>
          <w:rStyle w:val="53"/>
          <w:rFonts w:hint="eastAsia" w:ascii="宋体" w:eastAsia="宋体"/>
          <w:color w:val="auto"/>
          <w:spacing w:val="0"/>
          <w:kern w:val="0"/>
          <w:highlight w:val="none"/>
        </w:rPr>
        <w:t>甲方有权要求乙方进行修复，若因此给甲方造成损失的，甲方有权随时向乙方追偿。</w:t>
      </w:r>
    </w:p>
    <w:p w14:paraId="280B0142">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9</w:t>
      </w:r>
      <w:r>
        <w:rPr>
          <w:rStyle w:val="53"/>
          <w:rFonts w:ascii="宋体" w:eastAsia="宋体"/>
          <w:color w:val="auto"/>
          <w:spacing w:val="0"/>
          <w:kern w:val="0"/>
          <w:highlight w:val="none"/>
        </w:rPr>
        <w:t>.4</w:t>
      </w:r>
      <w:r>
        <w:rPr>
          <w:rStyle w:val="53"/>
          <w:rFonts w:hint="eastAsia" w:ascii="宋体" w:eastAsia="宋体"/>
          <w:color w:val="auto"/>
          <w:spacing w:val="0"/>
          <w:kern w:val="0"/>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3531E9E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9.5乙方向甲方提供的产品和服务不会有任何第三方主张权利，也不会侵害任何第三方的合法权益，包括知识产权。</w:t>
      </w:r>
    </w:p>
    <w:p w14:paraId="564C47B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6</w:t>
      </w:r>
      <w:r>
        <w:rPr>
          <w:rFonts w:hint="eastAsia" w:ascii="宋体" w:eastAsia="宋体"/>
          <w:color w:val="auto"/>
          <w:spacing w:val="0"/>
          <w:highlight w:val="none"/>
        </w:rPr>
        <w:t>乙方保证遵守甲方《重庆三峡银行员工回避管理办法》中招录回避、任职回避、公务回避的相关要求。若发现乙方人员与甲方内部人员存在亲属关系，乙方应主动报告，并采取相应回避措施。</w:t>
      </w:r>
    </w:p>
    <w:p w14:paraId="24A884A1">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7</w:t>
      </w:r>
      <w:r>
        <w:rPr>
          <w:rFonts w:hint="eastAsia" w:ascii="宋体" w:eastAsia="宋体"/>
          <w:color w:val="auto"/>
          <w:spacing w:val="0"/>
          <w:highlight w:val="none"/>
        </w:rPr>
        <w:t xml:space="preserve"> 乙方保证其人员无不良记录，服务商与其建立合法的雇佣关系，依法履行用工管理职责。</w:t>
      </w:r>
    </w:p>
    <w:p w14:paraId="78A58CEB">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8</w:t>
      </w:r>
      <w:r>
        <w:rPr>
          <w:rFonts w:hint="eastAsia" w:ascii="宋体" w:eastAsia="宋体"/>
          <w:color w:val="auto"/>
          <w:spacing w:val="0"/>
          <w:highlight w:val="none"/>
        </w:rPr>
        <w:t xml:space="preserve"> 乙方定期通报外包事项，及时通报外包突发性事件及解决情况。</w:t>
      </w:r>
    </w:p>
    <w:p w14:paraId="4B710AD0">
      <w:pPr>
        <w:spacing w:line="360" w:lineRule="auto"/>
        <w:ind w:firstLine="420" w:firstLineChars="200"/>
        <w:rPr>
          <w:rFonts w:ascii="宋体" w:eastAsia="宋体"/>
          <w:color w:val="auto"/>
          <w:spacing w:val="0"/>
          <w:highlight w:val="none"/>
        </w:rPr>
      </w:pPr>
    </w:p>
    <w:p w14:paraId="3BCD0810">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58" w:name="_Toc84948034"/>
      <w:r>
        <w:rPr>
          <w:rFonts w:hint="eastAsia" w:ascii="Times New Roman" w:hAnsi="Times New Roman" w:eastAsia="宋体" w:cs="Times New Roman"/>
          <w:b/>
          <w:color w:val="auto"/>
          <w:spacing w:val="0"/>
          <w:sz w:val="24"/>
          <w:szCs w:val="20"/>
          <w:highlight w:val="none"/>
        </w:rPr>
        <w:t>第十条 知识产权</w:t>
      </w:r>
      <w:bookmarkEnd w:id="258"/>
    </w:p>
    <w:p w14:paraId="36947AE9">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C966880">
      <w:pPr>
        <w:spacing w:line="360" w:lineRule="auto"/>
        <w:ind w:firstLine="420" w:firstLineChars="200"/>
        <w:rPr>
          <w:rStyle w:val="53"/>
          <w:rFonts w:ascii="宋体" w:eastAsia="宋体"/>
          <w:color w:val="auto"/>
          <w:spacing w:val="0"/>
          <w:highlight w:val="none"/>
        </w:rPr>
      </w:pPr>
      <w:bookmarkStart w:id="259" w:name="_Toc84948035"/>
      <w:r>
        <w:rPr>
          <w:rFonts w:ascii="宋体" w:eastAsia="宋体"/>
          <w:color w:val="auto"/>
          <w:spacing w:val="0"/>
          <w:highlight w:val="none"/>
        </w:rPr>
        <w:t>10</w:t>
      </w:r>
      <w:r>
        <w:rPr>
          <w:rFonts w:hint="eastAsia" w:ascii="宋体" w:eastAsia="宋体"/>
          <w:color w:val="auto"/>
          <w:spacing w:val="0"/>
          <w:highlight w:val="none"/>
        </w:rPr>
        <w:t>.</w:t>
      </w:r>
      <w:r>
        <w:rPr>
          <w:rFonts w:ascii="宋体" w:eastAsia="宋体"/>
          <w:color w:val="auto"/>
          <w:spacing w:val="0"/>
          <w:highlight w:val="none"/>
        </w:rPr>
        <w:t xml:space="preserve">2 </w:t>
      </w:r>
      <w:r>
        <w:rPr>
          <w:rFonts w:hint="eastAsia" w:ascii="宋体" w:eastAsia="宋体"/>
          <w:color w:val="auto"/>
          <w:spacing w:val="0"/>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355E2E2F">
      <w:pPr>
        <w:spacing w:line="360" w:lineRule="auto"/>
        <w:ind w:firstLine="420" w:firstLineChars="200"/>
        <w:rPr>
          <w:rStyle w:val="53"/>
          <w:rFonts w:ascii="宋体" w:eastAsia="宋体"/>
          <w:color w:val="auto"/>
          <w:spacing w:val="0"/>
          <w:highlight w:val="none"/>
        </w:rPr>
      </w:pPr>
      <w:r>
        <w:rPr>
          <w:rFonts w:hint="eastAsia" w:ascii="宋体" w:eastAsia="宋体"/>
          <w:color w:val="auto"/>
          <w:spacing w:val="0"/>
          <w:highlight w:val="none"/>
        </w:rPr>
        <w:t>10.</w:t>
      </w:r>
      <w:r>
        <w:rPr>
          <w:rFonts w:ascii="宋体" w:eastAsia="宋体"/>
          <w:color w:val="auto"/>
          <w:spacing w:val="0"/>
          <w:highlight w:val="none"/>
        </w:rPr>
        <w:t>3</w:t>
      </w:r>
      <w:r>
        <w:rPr>
          <w:rFonts w:hint="eastAsia" w:ascii="宋体" w:eastAsia="宋体"/>
          <w:color w:val="auto"/>
          <w:spacing w:val="0"/>
          <w:highlight w:val="none"/>
        </w:rPr>
        <w:t>乙方应将有关资料（数据库设计文件、技术文件和用户手册等全部资料）在甲方要求期限内，按国家有关项目开发标准以文字等载体的形式交给甲方，甲方拥有永久的使用权。</w:t>
      </w:r>
      <w:r>
        <w:rPr>
          <w:rStyle w:val="53"/>
          <w:rFonts w:hint="eastAsia" w:ascii="宋体" w:eastAsia="宋体"/>
          <w:color w:val="auto"/>
          <w:spacing w:val="0"/>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4DDA52DA">
      <w:pPr>
        <w:spacing w:line="360" w:lineRule="auto"/>
        <w:ind w:firstLine="420" w:firstLineChars="200"/>
        <w:rPr>
          <w:rStyle w:val="53"/>
          <w:rFonts w:ascii="宋体" w:eastAsia="宋体"/>
          <w:color w:val="auto"/>
          <w:spacing w:val="0"/>
          <w:highlight w:val="none"/>
        </w:rPr>
      </w:pPr>
      <w:r>
        <w:rPr>
          <w:rStyle w:val="53"/>
          <w:rFonts w:hint="eastAsia" w:ascii="宋体" w:eastAsia="宋体"/>
          <w:color w:val="auto"/>
          <w:spacing w:val="0"/>
          <w:highlight w:val="none"/>
        </w:rPr>
        <w:t>1</w:t>
      </w:r>
      <w:r>
        <w:rPr>
          <w:rStyle w:val="53"/>
          <w:rFonts w:ascii="宋体" w:eastAsia="宋体"/>
          <w:color w:val="auto"/>
          <w:spacing w:val="0"/>
          <w:highlight w:val="none"/>
        </w:rPr>
        <w:t>0.4本项目</w:t>
      </w:r>
      <w:r>
        <w:rPr>
          <w:rStyle w:val="53"/>
          <w:rFonts w:hint="eastAsia" w:ascii="宋体" w:eastAsia="宋体"/>
          <w:color w:val="auto"/>
          <w:spacing w:val="0"/>
          <w:highlight w:val="none"/>
        </w:rPr>
        <w:t>客户化源代码的知识产权归甲方单独所有，其余部分归双方共有。</w:t>
      </w:r>
    </w:p>
    <w:p w14:paraId="1EACE056">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highlight w:val="none"/>
        </w:rPr>
        <w:t>1</w:t>
      </w:r>
      <w:r>
        <w:rPr>
          <w:rStyle w:val="53"/>
          <w:rFonts w:ascii="宋体" w:eastAsia="宋体"/>
          <w:color w:val="auto"/>
          <w:spacing w:val="0"/>
          <w:highlight w:val="none"/>
        </w:rPr>
        <w:t>0.4.1</w:t>
      </w:r>
      <w:r>
        <w:rPr>
          <w:rStyle w:val="53"/>
          <w:rFonts w:hint="eastAsia" w:ascii="宋体" w:eastAsia="宋体"/>
          <w:color w:val="auto"/>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5F7E768A">
      <w:pPr>
        <w:spacing w:line="360" w:lineRule="auto"/>
        <w:ind w:firstLine="420" w:firstLineChars="200"/>
        <w:rPr>
          <w:rStyle w:val="53"/>
          <w:rFonts w:ascii="宋体" w:eastAsia="宋体"/>
          <w:color w:val="auto"/>
          <w:spacing w:val="0"/>
          <w:highlight w:val="none"/>
        </w:rPr>
      </w:pPr>
      <w:r>
        <w:rPr>
          <w:rStyle w:val="53"/>
          <w:rFonts w:ascii="宋体" w:eastAsia="宋体"/>
          <w:color w:val="auto"/>
          <w:spacing w:val="0"/>
          <w:highlight w:val="none"/>
        </w:rPr>
        <w:t>10.4.2</w:t>
      </w:r>
      <w:r>
        <w:rPr>
          <w:rStyle w:val="53"/>
          <w:rFonts w:hint="eastAsia" w:ascii="宋体" w:eastAsia="宋体"/>
          <w:color w:val="auto"/>
          <w:spacing w:val="0"/>
          <w:highlight w:val="none"/>
        </w:rPr>
        <w:t>针对共有部分，甲方拥有在甲方及其分支机构使用及后续开发的权利，</w:t>
      </w:r>
      <w:r>
        <w:rPr>
          <w:rFonts w:hint="eastAsia" w:ascii="宋体" w:eastAsia="宋体"/>
          <w:color w:val="auto"/>
          <w:spacing w:val="0"/>
          <w:highlight w:val="none"/>
        </w:rPr>
        <w:t>甲方在乙方交付的系统版本上进行自主开发或交由第三方公司开发，开发成果的知识产权归甲方所有。</w:t>
      </w:r>
      <w:r>
        <w:rPr>
          <w:rStyle w:val="53"/>
          <w:rFonts w:hint="eastAsia" w:ascii="宋体" w:eastAsia="宋体"/>
          <w:color w:val="auto"/>
          <w:spacing w:val="0"/>
          <w:highlight w:val="none"/>
        </w:rPr>
        <w:t>乙方拥有在其公司和其他组织范围内使用的权利，但乙方使用时不得侵犯甲方利益。</w:t>
      </w:r>
    </w:p>
    <w:p w14:paraId="4FDB7FE1">
      <w:pPr>
        <w:spacing w:line="360" w:lineRule="auto"/>
        <w:ind w:firstLine="420" w:firstLineChars="200"/>
        <w:rPr>
          <w:rStyle w:val="53"/>
          <w:rFonts w:ascii="宋体" w:eastAsia="宋体"/>
          <w:color w:val="auto"/>
          <w:spacing w:val="0"/>
          <w:highlight w:val="none"/>
        </w:rPr>
      </w:pPr>
      <w:r>
        <w:rPr>
          <w:rStyle w:val="53"/>
          <w:rFonts w:ascii="宋体" w:eastAsia="宋体"/>
          <w:color w:val="auto"/>
          <w:spacing w:val="0"/>
          <w:highlight w:val="none"/>
        </w:rPr>
        <w:t>10.4.</w:t>
      </w:r>
      <w:r>
        <w:rPr>
          <w:rStyle w:val="53"/>
          <w:rFonts w:hint="eastAsia" w:ascii="宋体" w:eastAsia="宋体"/>
          <w:color w:val="auto"/>
          <w:spacing w:val="0"/>
          <w:highlight w:val="none"/>
        </w:rPr>
        <w:t>3</w:t>
      </w:r>
      <w:r>
        <w:rPr>
          <w:rStyle w:val="53"/>
          <w:rFonts w:hint="eastAsia" w:eastAsia="宋体"/>
          <w:color w:val="auto"/>
          <w:spacing w:val="0"/>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208C6749">
      <w:pPr>
        <w:spacing w:line="360" w:lineRule="auto"/>
        <w:ind w:firstLine="420" w:firstLineChars="200"/>
        <w:rPr>
          <w:rFonts w:ascii="宋体" w:eastAsia="宋体"/>
          <w:color w:val="auto"/>
          <w:spacing w:val="0"/>
          <w:kern w:val="0"/>
          <w:highlight w:val="none"/>
        </w:rPr>
      </w:pPr>
    </w:p>
    <w:p w14:paraId="28448E38">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r>
        <w:rPr>
          <w:rFonts w:hint="eastAsia" w:ascii="Times New Roman" w:hAnsi="Times New Roman" w:eastAsia="宋体" w:cs="Times New Roman"/>
          <w:b/>
          <w:color w:val="auto"/>
          <w:spacing w:val="0"/>
          <w:sz w:val="24"/>
          <w:szCs w:val="20"/>
          <w:highlight w:val="none"/>
        </w:rPr>
        <w:t>第十一条 第三方索赔</w:t>
      </w:r>
      <w:bookmarkEnd w:id="259"/>
    </w:p>
    <w:p w14:paraId="17079D91">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317483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11.2对于第11.1条涉及的侵权索赔，乙方将承担全部费用，包括</w:t>
      </w:r>
      <w:r>
        <w:rPr>
          <w:rStyle w:val="53"/>
          <w:rFonts w:hint="eastAsia" w:ascii="宋体" w:eastAsia="宋体"/>
          <w:color w:val="auto"/>
          <w:spacing w:val="0"/>
          <w:kern w:val="0"/>
          <w:highlight w:val="none"/>
        </w:rPr>
        <w:t>诉讼费、仲裁费、甲方支付的律师费、差旅住宿费、公证费、鉴定费、调解费及仲裁裁决、法院判决或调解协议中由甲方承担的赔偿金。</w:t>
      </w:r>
    </w:p>
    <w:p w14:paraId="5CDE74F6">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3"/>
          <w:rFonts w:hint="eastAsia" w:ascii="宋体" w:eastAsia="宋体"/>
          <w:color w:val="auto"/>
          <w:spacing w:val="0"/>
          <w:kern w:val="0"/>
          <w:highlight w:val="none"/>
        </w:rPr>
        <w:t>部损失</w:t>
      </w:r>
      <w:r>
        <w:rPr>
          <w:rFonts w:hint="eastAsia" w:ascii="宋体" w:eastAsia="宋体"/>
          <w:color w:val="auto"/>
          <w:spacing w:val="0"/>
          <w:highlight w:val="none"/>
        </w:rPr>
        <w:t>。</w:t>
      </w:r>
    </w:p>
    <w:p w14:paraId="7117A5EF">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11.4乙方对由以下非乙方的过错引起的侵权索赔不承担责任：</w:t>
      </w:r>
    </w:p>
    <w:p w14:paraId="669F3103">
      <w:pPr>
        <w:spacing w:line="360" w:lineRule="auto"/>
        <w:ind w:firstLine="420" w:firstLineChars="200"/>
        <w:rPr>
          <w:rFonts w:ascii="宋体" w:eastAsia="宋体"/>
          <w:color w:val="auto"/>
          <w:spacing w:val="0"/>
          <w:highlight w:val="none"/>
        </w:rPr>
      </w:pPr>
      <w:r>
        <w:rPr>
          <w:rStyle w:val="53"/>
          <w:rFonts w:hint="eastAsia" w:ascii="宋体" w:eastAsia="宋体"/>
          <w:color w:val="auto"/>
          <w:spacing w:val="0"/>
          <w:kern w:val="0"/>
          <w:highlight w:val="none"/>
        </w:rPr>
        <w:t>11.4.1 甲方使用不当所造成的侵权。</w:t>
      </w:r>
    </w:p>
    <w:p w14:paraId="1A97B50A">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11.4.2 因甲方或第三方对开发软件或资料进行修改所直接造成的侵权。</w:t>
      </w:r>
    </w:p>
    <w:p w14:paraId="34AC916A">
      <w:pPr>
        <w:spacing w:line="360" w:lineRule="auto"/>
        <w:ind w:firstLine="420" w:firstLineChars="200"/>
        <w:rPr>
          <w:rFonts w:ascii="宋体" w:eastAsia="宋体"/>
          <w:color w:val="auto"/>
          <w:spacing w:val="0"/>
          <w:highlight w:val="none"/>
        </w:rPr>
      </w:pPr>
    </w:p>
    <w:p w14:paraId="05D000D1">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0" w:name="_Toc84948036"/>
      <w:r>
        <w:rPr>
          <w:rFonts w:hint="eastAsia" w:ascii="Times New Roman" w:hAnsi="Times New Roman" w:eastAsia="宋体" w:cs="Times New Roman"/>
          <w:b/>
          <w:color w:val="auto"/>
          <w:spacing w:val="0"/>
          <w:sz w:val="24"/>
          <w:szCs w:val="20"/>
          <w:highlight w:val="none"/>
        </w:rPr>
        <w:t>第十二条 保密</w:t>
      </w:r>
      <w:bookmarkEnd w:id="260"/>
    </w:p>
    <w:p w14:paraId="1F257586">
      <w:pPr>
        <w:spacing w:line="360" w:lineRule="auto"/>
        <w:ind w:firstLine="420" w:firstLineChars="200"/>
        <w:rPr>
          <w:rFonts w:ascii="宋体" w:eastAsia="宋体"/>
          <w:bCs/>
          <w:color w:val="auto"/>
          <w:spacing w:val="0"/>
          <w:kern w:val="0"/>
          <w:highlight w:val="none"/>
        </w:rPr>
      </w:pPr>
      <w:r>
        <w:rPr>
          <w:rFonts w:hint="eastAsia" w:ascii="宋体" w:eastAsia="宋体"/>
          <w:bCs/>
          <w:color w:val="auto"/>
          <w:spacing w:val="0"/>
          <w:kern w:val="0"/>
          <w:highlight w:val="none"/>
        </w:rPr>
        <w:t>12.1乙方须对本合同项下的所有条款保密。乙方人员入场前须与甲方签订相应诚信安全承诺书。</w:t>
      </w:r>
    </w:p>
    <w:p w14:paraId="3D2167AD">
      <w:pPr>
        <w:tabs>
          <w:tab w:val="left" w:pos="1134"/>
        </w:tabs>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w:t>
      </w:r>
      <w:r>
        <w:rPr>
          <w:rFonts w:ascii="宋体" w:eastAsia="宋体"/>
          <w:color w:val="auto"/>
          <w:spacing w:val="0"/>
          <w:kern w:val="0"/>
          <w:highlight w:val="none"/>
        </w:rPr>
        <w:t>2</w:t>
      </w:r>
      <w:r>
        <w:rPr>
          <w:rFonts w:hint="eastAsia" w:ascii="宋体" w:eastAsia="宋体"/>
          <w:color w:val="auto"/>
          <w:spacing w:val="0"/>
          <w:kern w:val="0"/>
          <w:highlight w:val="none"/>
        </w:rPr>
        <w:t>乙方应对本合同所述的客户信息、</w:t>
      </w:r>
      <w:r>
        <w:rPr>
          <w:rFonts w:hint="eastAsia" w:ascii="宋体" w:eastAsia="宋体"/>
          <w:bCs/>
          <w:color w:val="auto"/>
          <w:spacing w:val="0"/>
          <w:kern w:val="0"/>
          <w:highlight w:val="none"/>
        </w:rPr>
        <w:t>技术资料、业务流程、源代码</w:t>
      </w:r>
      <w:r>
        <w:rPr>
          <w:rFonts w:ascii="宋体" w:eastAsia="宋体"/>
          <w:bCs/>
          <w:color w:val="auto"/>
          <w:spacing w:val="0"/>
          <w:kern w:val="0"/>
          <w:highlight w:val="none"/>
        </w:rPr>
        <w:t>、</w:t>
      </w:r>
      <w:r>
        <w:rPr>
          <w:rFonts w:hint="eastAsia" w:ascii="宋体" w:eastAsia="宋体"/>
          <w:bCs/>
          <w:color w:val="auto"/>
          <w:spacing w:val="0"/>
          <w:kern w:val="0"/>
          <w:highlight w:val="none"/>
        </w:rPr>
        <w:t>数据等</w:t>
      </w:r>
      <w:r>
        <w:rPr>
          <w:rFonts w:ascii="宋体" w:eastAsia="宋体"/>
          <w:bCs/>
          <w:color w:val="auto"/>
          <w:spacing w:val="0"/>
          <w:kern w:val="0"/>
          <w:highlight w:val="none"/>
        </w:rPr>
        <w:t>重要</w:t>
      </w:r>
      <w:r>
        <w:rPr>
          <w:rFonts w:hint="eastAsia" w:ascii="宋体" w:eastAsia="宋体"/>
          <w:bCs/>
          <w:color w:val="auto"/>
          <w:spacing w:val="0"/>
          <w:kern w:val="0"/>
          <w:highlight w:val="none"/>
        </w:rPr>
        <w:t>信息</w:t>
      </w:r>
      <w:r>
        <w:rPr>
          <w:rFonts w:hint="eastAsia" w:ascii="宋体" w:eastAsia="宋体"/>
          <w:color w:val="auto"/>
          <w:spacing w:val="0"/>
          <w:kern w:val="0"/>
          <w:highlight w:val="none"/>
        </w:rPr>
        <w:t>采取保密措施，未经甲方的书面同意，乙方不得在合同允许范围外使用、披露、存放于</w:t>
      </w:r>
      <w:r>
        <w:rPr>
          <w:rFonts w:ascii="宋体" w:eastAsia="宋体"/>
          <w:color w:val="auto"/>
          <w:spacing w:val="0"/>
          <w:kern w:val="0"/>
          <w:highlight w:val="none"/>
        </w:rPr>
        <w:t>第三方托管平台</w:t>
      </w:r>
      <w:r>
        <w:rPr>
          <w:rFonts w:hint="eastAsia" w:ascii="宋体" w:eastAsia="宋体"/>
          <w:color w:val="auto"/>
          <w:spacing w:val="0"/>
          <w:kern w:val="0"/>
          <w:highlight w:val="none"/>
        </w:rPr>
        <w:t>、向无关人员或第三方透露，也不能就有关合同内容的任何部分进行新闻的发布、公开的宣称、否认或承认。</w:t>
      </w:r>
    </w:p>
    <w:p w14:paraId="44E92733">
      <w:pPr>
        <w:spacing w:line="360" w:lineRule="auto"/>
        <w:ind w:firstLine="420" w:firstLineChars="200"/>
        <w:rPr>
          <w:rFonts w:ascii="宋体" w:eastAsia="宋体"/>
          <w:bCs/>
          <w:color w:val="auto"/>
          <w:spacing w:val="0"/>
          <w:kern w:val="0"/>
          <w:highlight w:val="none"/>
        </w:rPr>
      </w:pPr>
      <w:r>
        <w:rPr>
          <w:rFonts w:hint="eastAsia" w:ascii="宋体" w:eastAsia="宋体"/>
          <w:bCs/>
          <w:color w:val="auto"/>
          <w:spacing w:val="0"/>
          <w:kern w:val="0"/>
          <w:highlight w:val="none"/>
        </w:rPr>
        <w:t>12.</w:t>
      </w:r>
      <w:r>
        <w:rPr>
          <w:rFonts w:ascii="宋体" w:eastAsia="宋体"/>
          <w:bCs/>
          <w:color w:val="auto"/>
          <w:spacing w:val="0"/>
          <w:kern w:val="0"/>
          <w:highlight w:val="none"/>
        </w:rPr>
        <w:t>3</w:t>
      </w:r>
      <w:r>
        <w:rPr>
          <w:rFonts w:hint="eastAsia" w:ascii="宋体" w:eastAsia="宋体"/>
          <w:bCs/>
          <w:color w:val="auto"/>
          <w:spacing w:val="0"/>
          <w:kern w:val="0"/>
          <w:highlight w:val="none"/>
        </w:rPr>
        <w:t>乙方不得以甲方名义开展活动，不得将甲方数据、信息以任何形式转移、挪用或谋取合同约定以外的利益。</w:t>
      </w:r>
    </w:p>
    <w:p w14:paraId="3E65DC6D">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12.4乙方知道违反本条规定将给甲方客户权利以及甲方造成难以弥补的损失，为此同意承担由此产生的经济上和法律上的责任和</w:t>
      </w:r>
      <w:r>
        <w:rPr>
          <w:rFonts w:ascii="宋体" w:eastAsia="宋体"/>
          <w:color w:val="auto"/>
          <w:spacing w:val="0"/>
          <w:kern w:val="0"/>
          <w:highlight w:val="none"/>
        </w:rPr>
        <w:t>损失</w:t>
      </w:r>
      <w:r>
        <w:rPr>
          <w:rFonts w:hint="eastAsia" w:ascii="宋体" w:eastAsia="宋体"/>
          <w:color w:val="auto"/>
          <w:spacing w:val="0"/>
          <w:kern w:val="0"/>
          <w:highlight w:val="none"/>
        </w:rPr>
        <w:t>。</w:t>
      </w:r>
    </w:p>
    <w:p w14:paraId="4F9D463D">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12.5乙方承认本合同中的技术资料和技术秘密为甲方所专有，将其对乙方进行披露并不意味着任何所有权、专利权的转让。</w:t>
      </w:r>
    </w:p>
    <w:p w14:paraId="6490CCB7">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3FFE0182">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614CBFC">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12.8除非甲方特别声明，乙方对于保密信息的保密义务为无限期保密，直至甲方宣布解密或者保密信息实际上已经公开。</w:t>
      </w:r>
    </w:p>
    <w:p w14:paraId="74929694">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12.9 本合同</w:t>
      </w:r>
      <w:r>
        <w:rPr>
          <w:rFonts w:ascii="宋体" w:eastAsia="宋体"/>
          <w:color w:val="auto"/>
          <w:spacing w:val="0"/>
          <w:kern w:val="0"/>
          <w:highlight w:val="none"/>
        </w:rPr>
        <w:t>项下乙方</w:t>
      </w:r>
      <w:r>
        <w:rPr>
          <w:rFonts w:hint="eastAsia" w:ascii="宋体" w:eastAsia="宋体"/>
          <w:color w:val="auto"/>
          <w:spacing w:val="0"/>
          <w:kern w:val="0"/>
          <w:highlight w:val="none"/>
        </w:rPr>
        <w:t>人员</w:t>
      </w:r>
      <w:r>
        <w:rPr>
          <w:rFonts w:ascii="宋体" w:eastAsia="宋体"/>
          <w:color w:val="auto"/>
          <w:spacing w:val="0"/>
          <w:kern w:val="0"/>
          <w:highlight w:val="none"/>
        </w:rPr>
        <w:t>行为视为乙方行为，</w:t>
      </w:r>
      <w:r>
        <w:rPr>
          <w:rFonts w:hint="eastAsia" w:ascii="宋体" w:eastAsia="宋体"/>
          <w:color w:val="auto"/>
          <w:spacing w:val="0"/>
          <w:kern w:val="0"/>
          <w:highlight w:val="none"/>
        </w:rPr>
        <w:t>乙方应承担全部责任及损失</w:t>
      </w:r>
      <w:r>
        <w:rPr>
          <w:rFonts w:ascii="宋体" w:eastAsia="宋体"/>
          <w:color w:val="auto"/>
          <w:spacing w:val="0"/>
          <w:kern w:val="0"/>
          <w:highlight w:val="none"/>
        </w:rPr>
        <w:t>。</w:t>
      </w:r>
      <w:r>
        <w:rPr>
          <w:rFonts w:hint="eastAsia" w:ascii="宋体" w:eastAsia="宋体"/>
          <w:color w:val="auto"/>
          <w:spacing w:val="0"/>
          <w:kern w:val="0"/>
          <w:highlight w:val="none"/>
        </w:rPr>
        <w:t>当客户信息不安全或客户权利受到重大不利影响时，甲方有权随时终止合同。</w:t>
      </w:r>
    </w:p>
    <w:p w14:paraId="34394B7B">
      <w:pPr>
        <w:spacing w:line="360" w:lineRule="auto"/>
        <w:ind w:firstLine="420" w:firstLineChars="200"/>
        <w:rPr>
          <w:rFonts w:ascii="宋体" w:eastAsia="宋体"/>
          <w:color w:val="auto"/>
          <w:spacing w:val="0"/>
          <w:highlight w:val="none"/>
        </w:rPr>
      </w:pPr>
    </w:p>
    <w:p w14:paraId="0842A530">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1" w:name="_Toc84948037"/>
      <w:r>
        <w:rPr>
          <w:rFonts w:hint="eastAsia" w:ascii="Times New Roman" w:hAnsi="Times New Roman" w:eastAsia="宋体" w:cs="Times New Roman"/>
          <w:b/>
          <w:color w:val="auto"/>
          <w:spacing w:val="0"/>
          <w:sz w:val="24"/>
          <w:szCs w:val="20"/>
          <w:highlight w:val="none"/>
        </w:rPr>
        <w:t>第十三条 价格与支付</w:t>
      </w:r>
      <w:bookmarkEnd w:id="261"/>
    </w:p>
    <w:p w14:paraId="76CCEB47">
      <w:pPr>
        <w:spacing w:line="360" w:lineRule="auto"/>
        <w:ind w:left="107" w:leftChars="51" w:firstLine="365" w:firstLineChars="174"/>
        <w:jc w:val="left"/>
        <w:rPr>
          <w:rStyle w:val="53"/>
          <w:rFonts w:ascii="宋体" w:eastAsia="宋体"/>
          <w:color w:val="auto"/>
          <w:spacing w:val="0"/>
          <w:kern w:val="0"/>
          <w:highlight w:val="none"/>
        </w:rPr>
      </w:pPr>
      <w:r>
        <w:rPr>
          <w:rStyle w:val="53"/>
          <w:rFonts w:hint="eastAsia" w:ascii="宋体" w:eastAsia="宋体"/>
          <w:color w:val="auto"/>
          <w:spacing w:val="0"/>
          <w:kern w:val="0"/>
          <w:highlight w:val="none"/>
        </w:rPr>
        <w:t>13.1本项目合同总金额（价税合计）为</w:t>
      </w:r>
      <w:r>
        <w:rPr>
          <w:rStyle w:val="53"/>
          <w:rFonts w:hint="eastAsia" w:ascii="宋体" w:eastAsia="宋体"/>
          <w:color w:val="auto"/>
          <w:spacing w:val="0"/>
          <w:szCs w:val="2"/>
          <w:highlight w:val="none"/>
        </w:rPr>
        <w:t>_______</w:t>
      </w:r>
      <w:r>
        <w:rPr>
          <w:rStyle w:val="53"/>
          <w:rFonts w:hint="eastAsia" w:ascii="宋体" w:eastAsia="宋体"/>
          <w:color w:val="auto"/>
          <w:spacing w:val="0"/>
          <w:szCs w:val="2"/>
          <w:highlight w:val="none"/>
          <w:u w:val="single"/>
        </w:rPr>
        <w:t>元</w:t>
      </w:r>
      <w:r>
        <w:rPr>
          <w:rStyle w:val="53"/>
          <w:rFonts w:hint="eastAsia" w:ascii="宋体" w:eastAsia="宋体"/>
          <w:color w:val="auto"/>
          <w:spacing w:val="0"/>
          <w:kern w:val="0"/>
          <w:highlight w:val="none"/>
          <w:u w:val="single"/>
        </w:rPr>
        <w:t>（大写：</w:t>
      </w:r>
      <w:r>
        <w:rPr>
          <w:rStyle w:val="53"/>
          <w:rFonts w:ascii="宋体" w:eastAsia="宋体"/>
          <w:color w:val="auto"/>
          <w:spacing w:val="0"/>
          <w:szCs w:val="2"/>
          <w:highlight w:val="none"/>
          <w:u w:val="single"/>
        </w:rPr>
        <w:t>整</w:t>
      </w:r>
      <w:r>
        <w:rPr>
          <w:rStyle w:val="53"/>
          <w:rFonts w:hint="eastAsia" w:ascii="宋体" w:eastAsia="宋体"/>
          <w:color w:val="auto"/>
          <w:spacing w:val="0"/>
          <w:kern w:val="0"/>
          <w:highlight w:val="none"/>
          <w:u w:val="single"/>
        </w:rPr>
        <w:t>）</w:t>
      </w:r>
      <w:r>
        <w:rPr>
          <w:rStyle w:val="53"/>
          <w:rFonts w:hint="eastAsia" w:ascii="宋体" w:eastAsia="宋体"/>
          <w:color w:val="auto"/>
          <w:spacing w:val="0"/>
          <w:kern w:val="0"/>
          <w:highlight w:val="none"/>
        </w:rPr>
        <w:t>，</w:t>
      </w:r>
      <w:r>
        <w:rPr>
          <w:rStyle w:val="53"/>
          <w:rFonts w:ascii="宋体" w:eastAsia="宋体"/>
          <w:color w:val="auto"/>
          <w:spacing w:val="0"/>
          <w:kern w:val="0"/>
          <w:highlight w:val="none"/>
        </w:rPr>
        <w:t>税率为13%，</w:t>
      </w:r>
      <w:r>
        <w:rPr>
          <w:rStyle w:val="53"/>
          <w:rFonts w:hint="eastAsia" w:ascii="宋体" w:eastAsia="宋体"/>
          <w:color w:val="auto"/>
          <w:spacing w:val="0"/>
          <w:szCs w:val="2"/>
          <w:highlight w:val="none"/>
        </w:rPr>
        <w:t>不含税价为：_______</w:t>
      </w:r>
      <w:r>
        <w:rPr>
          <w:rStyle w:val="53"/>
          <w:rFonts w:hint="eastAsia" w:ascii="宋体" w:eastAsia="宋体"/>
          <w:color w:val="auto"/>
          <w:spacing w:val="0"/>
          <w:szCs w:val="2"/>
          <w:highlight w:val="none"/>
          <w:u w:val="single"/>
        </w:rPr>
        <w:t>元（大写：</w:t>
      </w:r>
      <w:r>
        <w:rPr>
          <w:rStyle w:val="53"/>
          <w:rFonts w:ascii="宋体" w:eastAsia="宋体"/>
          <w:color w:val="auto"/>
          <w:spacing w:val="0"/>
          <w:szCs w:val="2"/>
          <w:highlight w:val="none"/>
          <w:u w:val="single"/>
        </w:rPr>
        <w:t>整</w:t>
      </w:r>
      <w:r>
        <w:rPr>
          <w:rStyle w:val="53"/>
          <w:rFonts w:hint="eastAsia" w:ascii="宋体" w:eastAsia="宋体"/>
          <w:color w:val="auto"/>
          <w:spacing w:val="0"/>
          <w:szCs w:val="2"/>
          <w:highlight w:val="none"/>
          <w:u w:val="single"/>
        </w:rPr>
        <w:t>）</w:t>
      </w:r>
      <w:r>
        <w:rPr>
          <w:rStyle w:val="53"/>
          <w:rFonts w:hint="eastAsia" w:ascii="宋体" w:eastAsia="宋体"/>
          <w:color w:val="auto"/>
          <w:spacing w:val="0"/>
          <w:szCs w:val="2"/>
          <w:highlight w:val="none"/>
        </w:rPr>
        <w:t>,税额为：_______</w:t>
      </w:r>
      <w:r>
        <w:rPr>
          <w:rStyle w:val="53"/>
          <w:rFonts w:hint="eastAsia" w:ascii="宋体" w:eastAsia="宋体"/>
          <w:color w:val="auto"/>
          <w:spacing w:val="0"/>
          <w:szCs w:val="2"/>
          <w:highlight w:val="none"/>
          <w:u w:val="single"/>
        </w:rPr>
        <w:t>元（大写：</w:t>
      </w:r>
      <w:r>
        <w:rPr>
          <w:rStyle w:val="53"/>
          <w:rFonts w:ascii="宋体" w:eastAsia="宋体"/>
          <w:color w:val="auto"/>
          <w:spacing w:val="0"/>
          <w:szCs w:val="2"/>
          <w:highlight w:val="none"/>
          <w:u w:val="single"/>
        </w:rPr>
        <w:t>整</w:t>
      </w:r>
      <w:r>
        <w:rPr>
          <w:rStyle w:val="53"/>
          <w:rFonts w:hint="eastAsia" w:ascii="宋体" w:eastAsia="宋体"/>
          <w:color w:val="auto"/>
          <w:spacing w:val="0"/>
          <w:szCs w:val="2"/>
          <w:highlight w:val="none"/>
          <w:u w:val="single"/>
        </w:rPr>
        <w:t>）</w:t>
      </w:r>
      <w:r>
        <w:rPr>
          <w:rStyle w:val="53"/>
          <w:rFonts w:hint="eastAsia" w:ascii="宋体" w:eastAsia="宋体"/>
          <w:color w:val="auto"/>
          <w:spacing w:val="0"/>
          <w:szCs w:val="2"/>
          <w:highlight w:val="none"/>
        </w:rPr>
        <w:t>。</w:t>
      </w:r>
      <w:r>
        <w:rPr>
          <w:rStyle w:val="53"/>
          <w:rFonts w:ascii="宋体" w:eastAsia="宋体"/>
          <w:color w:val="auto"/>
          <w:spacing w:val="0"/>
          <w:szCs w:val="2"/>
          <w:highlight w:val="none"/>
        </w:rPr>
        <w:t>其中产品金额（价税合计）为</w:t>
      </w:r>
      <w:r>
        <w:rPr>
          <w:rStyle w:val="53"/>
          <w:rFonts w:hint="eastAsia" w:ascii="宋体" w:eastAsia="宋体"/>
          <w:color w:val="auto"/>
          <w:spacing w:val="0"/>
          <w:szCs w:val="2"/>
          <w:highlight w:val="none"/>
        </w:rPr>
        <w:t>_______</w:t>
      </w:r>
      <w:r>
        <w:rPr>
          <w:rStyle w:val="53"/>
          <w:rFonts w:hint="eastAsia" w:ascii="宋体" w:eastAsia="宋体"/>
          <w:color w:val="auto"/>
          <w:spacing w:val="0"/>
          <w:szCs w:val="2"/>
          <w:highlight w:val="none"/>
          <w:u w:val="single"/>
        </w:rPr>
        <w:t>元（大写：</w:t>
      </w:r>
      <w:r>
        <w:rPr>
          <w:rStyle w:val="53"/>
          <w:rFonts w:ascii="宋体" w:eastAsia="宋体"/>
          <w:color w:val="auto"/>
          <w:spacing w:val="0"/>
          <w:szCs w:val="2"/>
          <w:highlight w:val="none"/>
          <w:u w:val="single"/>
        </w:rPr>
        <w:t>整</w:t>
      </w:r>
      <w:r>
        <w:rPr>
          <w:rStyle w:val="53"/>
          <w:rFonts w:hint="eastAsia" w:ascii="宋体" w:eastAsia="宋体"/>
          <w:color w:val="auto"/>
          <w:spacing w:val="0"/>
          <w:szCs w:val="2"/>
          <w:highlight w:val="none"/>
          <w:u w:val="single"/>
        </w:rPr>
        <w:t>）</w:t>
      </w:r>
      <w:r>
        <w:rPr>
          <w:rStyle w:val="53"/>
          <w:rFonts w:ascii="宋体" w:eastAsia="宋体"/>
          <w:color w:val="auto"/>
          <w:spacing w:val="0"/>
          <w:szCs w:val="2"/>
          <w:highlight w:val="none"/>
          <w:u w:val="single"/>
        </w:rPr>
        <w:t>，实施金额（价税合计）为</w:t>
      </w:r>
      <w:r>
        <w:rPr>
          <w:rStyle w:val="53"/>
          <w:rFonts w:hint="eastAsia" w:ascii="宋体" w:eastAsia="宋体"/>
          <w:color w:val="auto"/>
          <w:spacing w:val="0"/>
          <w:szCs w:val="2"/>
          <w:highlight w:val="none"/>
        </w:rPr>
        <w:t>_______</w:t>
      </w:r>
      <w:r>
        <w:rPr>
          <w:rStyle w:val="53"/>
          <w:rFonts w:hint="eastAsia" w:ascii="宋体" w:eastAsia="宋体"/>
          <w:color w:val="auto"/>
          <w:spacing w:val="0"/>
          <w:szCs w:val="2"/>
          <w:highlight w:val="none"/>
          <w:u w:val="single"/>
        </w:rPr>
        <w:t>元（大写：</w:t>
      </w:r>
      <w:r>
        <w:rPr>
          <w:rStyle w:val="53"/>
          <w:rFonts w:ascii="宋体" w:eastAsia="宋体"/>
          <w:color w:val="auto"/>
          <w:spacing w:val="0"/>
          <w:szCs w:val="2"/>
          <w:highlight w:val="none"/>
          <w:u w:val="single"/>
        </w:rPr>
        <w:t>整</w:t>
      </w:r>
      <w:r>
        <w:rPr>
          <w:rStyle w:val="53"/>
          <w:rFonts w:hint="eastAsia" w:ascii="宋体" w:eastAsia="宋体"/>
          <w:color w:val="auto"/>
          <w:spacing w:val="0"/>
          <w:szCs w:val="2"/>
          <w:highlight w:val="none"/>
          <w:u w:val="single"/>
        </w:rPr>
        <w:t>）</w:t>
      </w:r>
      <w:r>
        <w:rPr>
          <w:rStyle w:val="53"/>
          <w:rFonts w:ascii="宋体" w:eastAsia="宋体"/>
          <w:color w:val="auto"/>
          <w:spacing w:val="0"/>
          <w:szCs w:val="2"/>
          <w:highlight w:val="none"/>
        </w:rPr>
        <w:t>。</w:t>
      </w:r>
      <w:r>
        <w:rPr>
          <w:rStyle w:val="53"/>
          <w:rFonts w:hint="eastAsia" w:ascii="宋体" w:eastAsia="宋体"/>
          <w:color w:val="auto"/>
          <w:spacing w:val="0"/>
          <w:szCs w:val="2"/>
          <w:highlight w:val="none"/>
        </w:rPr>
        <w:t>不含税价格不因国家税率变化而变化，若在合同履行期间，如遇国家的税率调整，则价税合计应相应调整，以开具发票的时间为准。</w:t>
      </w:r>
      <w:r>
        <w:rPr>
          <w:rStyle w:val="53"/>
          <w:rFonts w:hint="eastAsia" w:ascii="宋体" w:eastAsia="宋体"/>
          <w:color w:val="auto"/>
          <w:spacing w:val="0"/>
          <w:kern w:val="0"/>
          <w:highlight w:val="none"/>
        </w:rPr>
        <w:t>该金额为本合同约定项目的全部费用，除双方另有约定外，甲方无须向乙方支付其他任何费用。</w:t>
      </w:r>
    </w:p>
    <w:p w14:paraId="571AF062">
      <w:pPr>
        <w:spacing w:line="360" w:lineRule="auto"/>
        <w:ind w:firstLine="420" w:firstLineChars="200"/>
        <w:jc w:val="left"/>
        <w:rPr>
          <w:rStyle w:val="53"/>
          <w:rFonts w:ascii="宋体" w:eastAsia="宋体"/>
          <w:color w:val="auto"/>
          <w:spacing w:val="0"/>
          <w:kern w:val="0"/>
          <w:highlight w:val="none"/>
        </w:rPr>
      </w:pPr>
      <w:r>
        <w:rPr>
          <w:rStyle w:val="53"/>
          <w:rFonts w:hint="eastAsia" w:ascii="宋体" w:eastAsia="宋体"/>
          <w:color w:val="auto"/>
          <w:spacing w:val="0"/>
          <w:kern w:val="0"/>
          <w:highlight w:val="none"/>
        </w:rPr>
        <w:t>本项目产品价格（含实施</w:t>
      </w:r>
      <w:r>
        <w:rPr>
          <w:rStyle w:val="53"/>
          <w:rFonts w:ascii="宋体" w:eastAsia="宋体"/>
          <w:color w:val="auto"/>
          <w:spacing w:val="0"/>
          <w:kern w:val="0"/>
          <w:highlight w:val="none"/>
        </w:rPr>
        <w:t>金额部分</w:t>
      </w:r>
      <w:r>
        <w:rPr>
          <w:rStyle w:val="53"/>
          <w:rFonts w:hint="eastAsia" w:ascii="宋体" w:eastAsia="宋体"/>
          <w:color w:val="auto"/>
          <w:spacing w:val="0"/>
          <w:kern w:val="0"/>
          <w:highlight w:val="none"/>
        </w:rPr>
        <w:t>）如下表所示：</w:t>
      </w:r>
    </w:p>
    <w:tbl>
      <w:tblPr>
        <w:tblStyle w:val="21"/>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06"/>
        <w:gridCol w:w="1414"/>
        <w:gridCol w:w="1186"/>
        <w:gridCol w:w="1581"/>
      </w:tblGrid>
      <w:tr w14:paraId="27B0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13103564">
            <w:pPr>
              <w:ind w:left="0" w:firstLine="0" w:firstLineChars="0"/>
              <w:jc w:val="both"/>
              <w:rPr>
                <w:rFonts w:eastAsia="宋体"/>
                <w:b/>
                <w:color w:val="auto"/>
                <w:spacing w:val="0"/>
                <w:sz w:val="21"/>
                <w:szCs w:val="24"/>
                <w:highlight w:val="none"/>
              </w:rPr>
            </w:pPr>
            <w:r>
              <w:rPr>
                <w:rFonts w:eastAsia="宋体"/>
                <w:b/>
                <w:color w:val="auto"/>
                <w:spacing w:val="0"/>
                <w:sz w:val="21"/>
                <w:szCs w:val="24"/>
                <w:highlight w:val="none"/>
              </w:rPr>
              <w:t>产品名称</w:t>
            </w:r>
          </w:p>
        </w:tc>
        <w:tc>
          <w:tcPr>
            <w:tcW w:w="1206" w:type="dxa"/>
            <w:tcBorders>
              <w:tl2br w:val="nil"/>
              <w:tr2bl w:val="nil"/>
            </w:tcBorders>
            <w:vAlign w:val="center"/>
          </w:tcPr>
          <w:p w14:paraId="1BEF6BDD">
            <w:pPr>
              <w:ind w:left="0" w:firstLine="0" w:firstLineChars="0"/>
              <w:jc w:val="both"/>
              <w:rPr>
                <w:rFonts w:eastAsia="宋体"/>
                <w:b/>
                <w:color w:val="auto"/>
                <w:spacing w:val="0"/>
                <w:sz w:val="21"/>
                <w:szCs w:val="24"/>
                <w:highlight w:val="none"/>
              </w:rPr>
            </w:pPr>
            <w:r>
              <w:rPr>
                <w:rFonts w:eastAsia="宋体"/>
                <w:b/>
                <w:color w:val="auto"/>
                <w:spacing w:val="0"/>
                <w:sz w:val="21"/>
                <w:szCs w:val="24"/>
                <w:highlight w:val="none"/>
              </w:rPr>
              <w:t>模块</w:t>
            </w:r>
          </w:p>
        </w:tc>
        <w:tc>
          <w:tcPr>
            <w:tcW w:w="1414" w:type="dxa"/>
            <w:tcBorders>
              <w:tl2br w:val="nil"/>
              <w:tr2bl w:val="nil"/>
            </w:tcBorders>
            <w:vAlign w:val="center"/>
          </w:tcPr>
          <w:p w14:paraId="03154FE7">
            <w:pPr>
              <w:ind w:left="0" w:firstLine="0" w:firstLineChars="0"/>
              <w:jc w:val="both"/>
              <w:rPr>
                <w:rFonts w:eastAsia="宋体"/>
                <w:b/>
                <w:color w:val="auto"/>
                <w:spacing w:val="0"/>
                <w:sz w:val="21"/>
                <w:szCs w:val="24"/>
                <w:highlight w:val="none"/>
              </w:rPr>
            </w:pPr>
            <w:r>
              <w:rPr>
                <w:rFonts w:hint="eastAsia" w:eastAsia="宋体"/>
                <w:b/>
                <w:color w:val="auto"/>
                <w:spacing w:val="0"/>
                <w:sz w:val="21"/>
                <w:szCs w:val="24"/>
                <w:highlight w:val="none"/>
              </w:rPr>
              <w:t>单价（元）</w:t>
            </w:r>
          </w:p>
        </w:tc>
        <w:tc>
          <w:tcPr>
            <w:tcW w:w="1186" w:type="dxa"/>
            <w:tcBorders>
              <w:tl2br w:val="nil"/>
              <w:tr2bl w:val="nil"/>
            </w:tcBorders>
            <w:vAlign w:val="center"/>
          </w:tcPr>
          <w:p w14:paraId="72108E16">
            <w:pPr>
              <w:ind w:left="0" w:firstLine="0" w:firstLineChars="0"/>
              <w:jc w:val="both"/>
              <w:rPr>
                <w:rFonts w:eastAsia="宋体"/>
                <w:b/>
                <w:color w:val="auto"/>
                <w:spacing w:val="0"/>
                <w:sz w:val="21"/>
                <w:szCs w:val="24"/>
                <w:highlight w:val="none"/>
              </w:rPr>
            </w:pPr>
            <w:r>
              <w:rPr>
                <w:rFonts w:hint="eastAsia" w:eastAsia="宋体"/>
                <w:b/>
                <w:color w:val="auto"/>
                <w:spacing w:val="0"/>
                <w:sz w:val="21"/>
                <w:szCs w:val="24"/>
                <w:highlight w:val="none"/>
              </w:rPr>
              <w:t>数量（套）</w:t>
            </w:r>
          </w:p>
        </w:tc>
        <w:tc>
          <w:tcPr>
            <w:tcW w:w="1581" w:type="dxa"/>
            <w:tcBorders>
              <w:tl2br w:val="nil"/>
              <w:tr2bl w:val="nil"/>
            </w:tcBorders>
            <w:vAlign w:val="center"/>
          </w:tcPr>
          <w:p w14:paraId="075EEE3C">
            <w:pPr>
              <w:ind w:left="0" w:firstLine="0" w:firstLineChars="0"/>
              <w:jc w:val="both"/>
              <w:rPr>
                <w:rFonts w:eastAsia="宋体"/>
                <w:b/>
                <w:color w:val="auto"/>
                <w:spacing w:val="0"/>
                <w:sz w:val="21"/>
                <w:szCs w:val="24"/>
                <w:highlight w:val="none"/>
              </w:rPr>
            </w:pPr>
            <w:r>
              <w:rPr>
                <w:rFonts w:hint="eastAsia" w:eastAsia="宋体"/>
                <w:b/>
                <w:color w:val="auto"/>
                <w:spacing w:val="0"/>
                <w:sz w:val="21"/>
                <w:szCs w:val="24"/>
                <w:highlight w:val="none"/>
              </w:rPr>
              <w:t>金额</w:t>
            </w:r>
            <w:r>
              <w:rPr>
                <w:rFonts w:eastAsia="宋体"/>
                <w:b/>
                <w:color w:val="auto"/>
                <w:spacing w:val="0"/>
                <w:sz w:val="21"/>
                <w:szCs w:val="24"/>
                <w:highlight w:val="none"/>
              </w:rPr>
              <w:t>小计</w:t>
            </w:r>
            <w:r>
              <w:rPr>
                <w:rFonts w:hint="eastAsia" w:eastAsia="宋体"/>
                <w:b/>
                <w:color w:val="auto"/>
                <w:spacing w:val="0"/>
                <w:sz w:val="21"/>
                <w:szCs w:val="24"/>
                <w:highlight w:val="none"/>
              </w:rPr>
              <w:t>（元）</w:t>
            </w:r>
          </w:p>
        </w:tc>
      </w:tr>
      <w:tr w14:paraId="25D1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1EEFA43B">
            <w:pPr>
              <w:spacing w:line="360" w:lineRule="auto"/>
              <w:jc w:val="center"/>
              <w:rPr>
                <w:rFonts w:ascii="宋体" w:eastAsia="宋体"/>
                <w:color w:val="auto"/>
                <w:spacing w:val="0"/>
                <w:sz w:val="21"/>
                <w:szCs w:val="24"/>
                <w:highlight w:val="none"/>
              </w:rPr>
            </w:pPr>
          </w:p>
        </w:tc>
        <w:tc>
          <w:tcPr>
            <w:tcW w:w="1206" w:type="dxa"/>
            <w:tcBorders>
              <w:tl2br w:val="nil"/>
              <w:tr2bl w:val="nil"/>
            </w:tcBorders>
            <w:vAlign w:val="center"/>
          </w:tcPr>
          <w:p w14:paraId="7D1CC790">
            <w:pPr>
              <w:spacing w:line="360" w:lineRule="auto"/>
              <w:jc w:val="center"/>
              <w:rPr>
                <w:rFonts w:eastAsia="宋体"/>
                <w:color w:val="auto"/>
                <w:spacing w:val="0"/>
                <w:sz w:val="21"/>
                <w:szCs w:val="24"/>
                <w:highlight w:val="none"/>
              </w:rPr>
            </w:pPr>
          </w:p>
        </w:tc>
        <w:tc>
          <w:tcPr>
            <w:tcW w:w="1414" w:type="dxa"/>
            <w:tcBorders>
              <w:tl2br w:val="nil"/>
              <w:tr2bl w:val="nil"/>
            </w:tcBorders>
            <w:vAlign w:val="center"/>
          </w:tcPr>
          <w:p w14:paraId="0790B5D5">
            <w:pPr>
              <w:spacing w:line="360" w:lineRule="auto"/>
              <w:jc w:val="center"/>
              <w:rPr>
                <w:rFonts w:ascii="宋体" w:eastAsia="宋体"/>
                <w:color w:val="auto"/>
                <w:spacing w:val="0"/>
                <w:sz w:val="21"/>
                <w:szCs w:val="24"/>
                <w:highlight w:val="none"/>
              </w:rPr>
            </w:pPr>
          </w:p>
        </w:tc>
        <w:tc>
          <w:tcPr>
            <w:tcW w:w="1186" w:type="dxa"/>
            <w:tcBorders>
              <w:tl2br w:val="nil"/>
              <w:tr2bl w:val="nil"/>
            </w:tcBorders>
            <w:vAlign w:val="center"/>
          </w:tcPr>
          <w:p w14:paraId="2577CCCA">
            <w:pPr>
              <w:spacing w:line="360" w:lineRule="auto"/>
              <w:jc w:val="center"/>
              <w:rPr>
                <w:rFonts w:ascii="宋体" w:eastAsia="宋体"/>
                <w:color w:val="auto"/>
                <w:spacing w:val="0"/>
                <w:sz w:val="21"/>
                <w:szCs w:val="24"/>
                <w:highlight w:val="none"/>
              </w:rPr>
            </w:pPr>
          </w:p>
        </w:tc>
        <w:tc>
          <w:tcPr>
            <w:tcW w:w="1581" w:type="dxa"/>
            <w:tcBorders>
              <w:tl2br w:val="nil"/>
              <w:tr2bl w:val="nil"/>
            </w:tcBorders>
            <w:vAlign w:val="center"/>
          </w:tcPr>
          <w:p w14:paraId="2903DBA0">
            <w:pPr>
              <w:spacing w:line="360" w:lineRule="auto"/>
              <w:jc w:val="center"/>
              <w:rPr>
                <w:rFonts w:ascii="宋体" w:eastAsia="宋体"/>
                <w:color w:val="auto"/>
                <w:spacing w:val="0"/>
                <w:sz w:val="21"/>
                <w:szCs w:val="24"/>
                <w:highlight w:val="none"/>
              </w:rPr>
            </w:pPr>
          </w:p>
        </w:tc>
      </w:tr>
      <w:tr w14:paraId="7723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0822FB5F"/>
        </w:tc>
        <w:tc>
          <w:tcPr>
            <w:tcW w:w="1206" w:type="dxa"/>
            <w:tcBorders>
              <w:tl2br w:val="nil"/>
              <w:tr2bl w:val="nil"/>
            </w:tcBorders>
            <w:vAlign w:val="center"/>
          </w:tcPr>
          <w:p w14:paraId="554DE866">
            <w:pPr>
              <w:spacing w:line="360" w:lineRule="auto"/>
              <w:jc w:val="center"/>
              <w:rPr>
                <w:rFonts w:eastAsia="宋体"/>
                <w:color w:val="auto"/>
                <w:spacing w:val="0"/>
                <w:sz w:val="21"/>
                <w:szCs w:val="24"/>
                <w:highlight w:val="none"/>
              </w:rPr>
            </w:pPr>
          </w:p>
        </w:tc>
        <w:tc>
          <w:tcPr>
            <w:tcW w:w="1414" w:type="dxa"/>
            <w:tcBorders>
              <w:tl2br w:val="nil"/>
              <w:tr2bl w:val="nil"/>
            </w:tcBorders>
            <w:vAlign w:val="center"/>
          </w:tcPr>
          <w:p w14:paraId="15E877BF">
            <w:pPr>
              <w:spacing w:line="360" w:lineRule="auto"/>
              <w:jc w:val="center"/>
              <w:rPr>
                <w:rFonts w:ascii="宋体" w:eastAsia="宋体"/>
                <w:color w:val="auto"/>
                <w:spacing w:val="0"/>
                <w:sz w:val="21"/>
                <w:szCs w:val="24"/>
                <w:highlight w:val="none"/>
              </w:rPr>
            </w:pPr>
          </w:p>
        </w:tc>
        <w:tc>
          <w:tcPr>
            <w:tcW w:w="1186" w:type="dxa"/>
            <w:tcBorders>
              <w:tl2br w:val="nil"/>
              <w:tr2bl w:val="nil"/>
            </w:tcBorders>
            <w:vAlign w:val="center"/>
          </w:tcPr>
          <w:p w14:paraId="1C8E632B">
            <w:pPr>
              <w:spacing w:line="360" w:lineRule="auto"/>
              <w:jc w:val="center"/>
              <w:rPr>
                <w:rFonts w:ascii="宋体" w:eastAsia="宋体"/>
                <w:color w:val="auto"/>
                <w:spacing w:val="0"/>
                <w:sz w:val="21"/>
                <w:szCs w:val="24"/>
                <w:highlight w:val="none"/>
              </w:rPr>
            </w:pPr>
          </w:p>
        </w:tc>
        <w:tc>
          <w:tcPr>
            <w:tcW w:w="1581" w:type="dxa"/>
            <w:tcBorders>
              <w:tl2br w:val="nil"/>
              <w:tr2bl w:val="nil"/>
            </w:tcBorders>
            <w:vAlign w:val="center"/>
          </w:tcPr>
          <w:p w14:paraId="764AED67">
            <w:pPr>
              <w:spacing w:line="360" w:lineRule="auto"/>
              <w:jc w:val="center"/>
              <w:rPr>
                <w:rFonts w:ascii="宋体" w:eastAsia="宋体"/>
                <w:color w:val="auto"/>
                <w:spacing w:val="0"/>
                <w:sz w:val="21"/>
                <w:szCs w:val="24"/>
                <w:highlight w:val="none"/>
              </w:rPr>
            </w:pPr>
          </w:p>
        </w:tc>
      </w:tr>
      <w:tr w14:paraId="2F64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065B50C">
            <w:pPr>
              <w:spacing w:line="360" w:lineRule="auto"/>
              <w:ind w:left="0" w:firstLine="0" w:firstLineChars="0"/>
              <w:jc w:val="both"/>
              <w:rPr>
                <w:rStyle w:val="53"/>
                <w:rFonts w:ascii="宋体" w:eastAsia="宋体"/>
                <w:bCs/>
                <w:color w:val="auto"/>
                <w:kern w:val="0"/>
                <w:sz w:val="21"/>
                <w:szCs w:val="21"/>
                <w:highlight w:val="none"/>
              </w:rPr>
            </w:pPr>
            <w:r>
              <w:rPr>
                <w:rStyle w:val="53"/>
                <w:rFonts w:ascii="宋体" w:eastAsia="宋体"/>
                <w:bCs/>
                <w:color w:val="auto"/>
                <w:kern w:val="0"/>
                <w:sz w:val="21"/>
                <w:szCs w:val="21"/>
                <w:highlight w:val="none"/>
              </w:rPr>
              <w:t>合计</w:t>
            </w:r>
            <w:r>
              <w:rPr>
                <w:rFonts w:hint="eastAsia" w:eastAsia="宋体"/>
                <w:color w:val="auto"/>
                <w:spacing w:val="0"/>
                <w:sz w:val="21"/>
                <w:szCs w:val="24"/>
                <w:highlight w:val="none"/>
              </w:rPr>
              <w:t>（含税）</w:t>
            </w:r>
          </w:p>
        </w:tc>
        <w:tc>
          <w:tcPr>
            <w:tcW w:w="5387" w:type="dxa"/>
            <w:gridSpan w:val="4"/>
            <w:tcBorders>
              <w:tl2br w:val="nil"/>
              <w:tr2bl w:val="nil"/>
            </w:tcBorders>
            <w:vAlign w:val="center"/>
          </w:tcPr>
          <w:p w14:paraId="7E284319">
            <w:pPr>
              <w:spacing w:line="360" w:lineRule="auto"/>
              <w:jc w:val="center"/>
              <w:rPr>
                <w:rFonts w:ascii="宋体" w:eastAsia="宋体"/>
                <w:color w:val="auto"/>
                <w:spacing w:val="0"/>
                <w:sz w:val="21"/>
                <w:szCs w:val="24"/>
                <w:highlight w:val="none"/>
              </w:rPr>
            </w:pPr>
            <w:r>
              <w:rPr>
                <w:rFonts w:hint="eastAsia" w:eastAsia="宋体"/>
                <w:color w:val="auto"/>
                <w:spacing w:val="0"/>
                <w:sz w:val="21"/>
                <w:szCs w:val="24"/>
                <w:highlight w:val="none"/>
              </w:rPr>
              <w:t>大写（人民币）：元整</w:t>
            </w:r>
          </w:p>
        </w:tc>
      </w:tr>
    </w:tbl>
    <w:p w14:paraId="6937428B">
      <w:pPr>
        <w:spacing w:line="360" w:lineRule="auto"/>
        <w:ind w:firstLine="420" w:firstLineChars="200"/>
        <w:jc w:val="left"/>
        <w:rPr>
          <w:rStyle w:val="53"/>
          <w:rFonts w:ascii="宋体" w:eastAsia="宋体"/>
          <w:color w:val="auto"/>
          <w:spacing w:val="0"/>
          <w:kern w:val="0"/>
          <w:highlight w:val="none"/>
        </w:rPr>
      </w:pPr>
    </w:p>
    <w:p w14:paraId="74F58F33">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13.2支付方式：</w:t>
      </w:r>
    </w:p>
    <w:p w14:paraId="150E5F2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本合同款项采用分期付款：</w:t>
      </w:r>
    </w:p>
    <w:p w14:paraId="76BF7B97">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13.2.1项目安装、调试并投入试运行后30个工作日内,乙方向甲方提供合法足额的增值税专用发票，甲方向乙方支付合同总额的60％，即元（大写：</w:t>
      </w:r>
      <w:r>
        <w:rPr>
          <w:rFonts w:hint="eastAsia" w:ascii="宋体" w:eastAsia="宋体"/>
          <w:color w:val="auto"/>
          <w:spacing w:val="0"/>
          <w:highlight w:val="none"/>
          <w:u w:val="single"/>
        </w:rPr>
        <w:t xml:space="preserve">元整 </w:t>
      </w:r>
      <w:r>
        <w:rPr>
          <w:rFonts w:hint="eastAsia" w:ascii="宋体" w:eastAsia="宋体"/>
          <w:color w:val="auto"/>
          <w:spacing w:val="0"/>
          <w:highlight w:val="none"/>
        </w:rPr>
        <w:t>）。</w:t>
      </w:r>
    </w:p>
    <w:p w14:paraId="62756FB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spacing w:val="0"/>
          <w:kern w:val="0"/>
          <w:highlight w:val="none"/>
        </w:rPr>
        <w:t>，</w:t>
      </w:r>
      <w:r>
        <w:rPr>
          <w:rFonts w:hint="eastAsia" w:ascii="宋体" w:eastAsia="宋体"/>
          <w:color w:val="auto"/>
          <w:spacing w:val="0"/>
          <w:highlight w:val="none"/>
        </w:rPr>
        <w:t>即元（大写：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w:t>
      </w:r>
    </w:p>
    <w:p w14:paraId="494719D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13.2.3本合同</w:t>
      </w:r>
      <w:r>
        <w:rPr>
          <w:rFonts w:ascii="宋体" w:eastAsia="宋体"/>
          <w:color w:val="auto"/>
          <w:spacing w:val="0"/>
          <w:highlight w:val="none"/>
        </w:rPr>
        <w:t>第</w:t>
      </w:r>
      <w:r>
        <w:rPr>
          <w:rFonts w:hint="eastAsia" w:ascii="宋体" w:eastAsia="宋体"/>
          <w:color w:val="auto"/>
          <w:spacing w:val="0"/>
          <w:highlight w:val="none"/>
        </w:rPr>
        <w:t>6.1条</w:t>
      </w:r>
      <w:r>
        <w:rPr>
          <w:rFonts w:ascii="宋体" w:eastAsia="宋体"/>
          <w:color w:val="auto"/>
          <w:spacing w:val="0"/>
          <w:highlight w:val="none"/>
        </w:rPr>
        <w:t>约定的</w:t>
      </w:r>
      <w:r>
        <w:rPr>
          <w:rFonts w:hint="eastAsia" w:ascii="宋体" w:eastAsia="宋体"/>
          <w:color w:val="auto"/>
          <w:spacing w:val="0"/>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），否则按《服务水平协议（SLA）》进行相应金额扣除（13.2.2中已扣除部分，本条不重复扣减）。</w:t>
      </w:r>
    </w:p>
    <w:p w14:paraId="08FCDE0B">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13.3发票要求：</w:t>
      </w:r>
    </w:p>
    <w:p w14:paraId="5C3BB41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乙方须严格按照合同内容开具税率为</w:t>
      </w:r>
      <w:r>
        <w:rPr>
          <w:rFonts w:ascii="宋体" w:eastAsia="宋体"/>
          <w:color w:val="auto"/>
          <w:spacing w:val="0"/>
          <w:highlight w:val="none"/>
          <w:u w:val="single"/>
        </w:rPr>
        <w:t>13%</w:t>
      </w:r>
      <w:r>
        <w:rPr>
          <w:rFonts w:hint="eastAsia" w:ascii="宋体" w:eastAsia="宋体"/>
          <w:color w:val="auto"/>
          <w:spacing w:val="0"/>
          <w:highlight w:val="none"/>
        </w:rPr>
        <w:t>的增值税专用发票（若遇国家税率调整另议），乙方在甲方每次付款前</w:t>
      </w:r>
      <w:r>
        <w:rPr>
          <w:rFonts w:ascii="宋体" w:eastAsia="宋体"/>
          <w:color w:val="auto"/>
          <w:spacing w:val="0"/>
          <w:highlight w:val="none"/>
        </w:rPr>
        <w:t>30</w:t>
      </w:r>
      <w:r>
        <w:rPr>
          <w:rFonts w:hint="eastAsia" w:ascii="宋体" w:eastAsia="宋体"/>
          <w:color w:val="auto"/>
          <w:spacing w:val="0"/>
          <w:highlight w:val="none"/>
        </w:rPr>
        <w:t>个工作日需向甲方交付合法足额发票，否则甲方有权拒绝支付任何费用且不承担逾期付款违约责任。</w:t>
      </w:r>
    </w:p>
    <w:p w14:paraId="50598274">
      <w:pPr>
        <w:spacing w:line="360" w:lineRule="auto"/>
        <w:ind w:firstLine="420" w:firstLineChars="200"/>
        <w:rPr>
          <w:rFonts w:ascii="宋体" w:eastAsia="宋体"/>
          <w:color w:val="auto"/>
          <w:spacing w:val="0"/>
          <w:highlight w:val="none"/>
        </w:rPr>
      </w:pPr>
    </w:p>
    <w:p w14:paraId="1720F885">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2" w:name="_Toc84948038"/>
      <w:r>
        <w:rPr>
          <w:rFonts w:hint="eastAsia" w:ascii="Times New Roman" w:hAnsi="Times New Roman" w:eastAsia="宋体" w:cs="Times New Roman"/>
          <w:b/>
          <w:color w:val="auto"/>
          <w:spacing w:val="0"/>
          <w:sz w:val="24"/>
          <w:szCs w:val="20"/>
          <w:highlight w:val="none"/>
        </w:rPr>
        <w:t>第十四条 风险责任的承担</w:t>
      </w:r>
      <w:bookmarkEnd w:id="262"/>
    </w:p>
    <w:p w14:paraId="0741110B">
      <w:pPr>
        <w:tabs>
          <w:tab w:val="left" w:pos="6020"/>
        </w:tabs>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4193C301">
      <w:pPr>
        <w:tabs>
          <w:tab w:val="left" w:pos="6020"/>
        </w:tabs>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66CF7E57">
      <w:pPr>
        <w:tabs>
          <w:tab w:val="left" w:pos="6020"/>
        </w:tabs>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021E5602">
      <w:pPr>
        <w:tabs>
          <w:tab w:val="left" w:pos="6020"/>
        </w:tabs>
        <w:spacing w:line="360" w:lineRule="auto"/>
        <w:ind w:firstLine="420" w:firstLineChars="200"/>
        <w:rPr>
          <w:rFonts w:ascii="宋体" w:eastAsia="宋体"/>
          <w:color w:val="auto"/>
          <w:spacing w:val="0"/>
          <w:highlight w:val="none"/>
        </w:rPr>
      </w:pPr>
    </w:p>
    <w:p w14:paraId="49E7A164">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3" w:name="_Toc84948039"/>
      <w:r>
        <w:rPr>
          <w:rFonts w:hint="eastAsia" w:ascii="Times New Roman" w:hAnsi="Times New Roman" w:eastAsia="宋体" w:cs="Times New Roman"/>
          <w:b/>
          <w:color w:val="auto"/>
          <w:spacing w:val="0"/>
          <w:sz w:val="24"/>
          <w:szCs w:val="20"/>
          <w:highlight w:val="none"/>
        </w:rPr>
        <w:t>第十五条</w:t>
      </w:r>
      <w:bookmarkStart w:id="264" w:name="_Toc58337511"/>
      <w:r>
        <w:rPr>
          <w:rFonts w:hint="eastAsia" w:ascii="Times New Roman" w:hAnsi="Times New Roman" w:eastAsia="宋体" w:cs="Times New Roman"/>
          <w:b/>
          <w:color w:val="auto"/>
          <w:spacing w:val="0"/>
          <w:sz w:val="24"/>
          <w:szCs w:val="20"/>
          <w:highlight w:val="none"/>
        </w:rPr>
        <w:t xml:space="preserve"> 违约与赔偿</w:t>
      </w:r>
      <w:bookmarkEnd w:id="263"/>
      <w:bookmarkEnd w:id="264"/>
    </w:p>
    <w:p w14:paraId="47ACAF39">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15.1因甲方原因未按本合同规定支付第一期款项</w:t>
      </w:r>
      <w:r>
        <w:rPr>
          <w:rFonts w:ascii="宋体" w:eastAsia="宋体"/>
          <w:color w:val="auto"/>
          <w:spacing w:val="0"/>
          <w:highlight w:val="none"/>
        </w:rPr>
        <w:t>，且经乙方合理催告后，仍无正当理由并逾期支付达【</w:t>
      </w:r>
      <w:r>
        <w:rPr>
          <w:rFonts w:hint="eastAsia" w:ascii="宋体" w:eastAsia="宋体"/>
          <w:color w:val="auto"/>
          <w:spacing w:val="0"/>
          <w:highlight w:val="none"/>
        </w:rPr>
        <w:t>30</w:t>
      </w:r>
      <w:r>
        <w:rPr>
          <w:rFonts w:ascii="宋体" w:eastAsia="宋体"/>
          <w:color w:val="auto"/>
          <w:spacing w:val="0"/>
          <w:highlight w:val="none"/>
        </w:rPr>
        <w:t>】</w:t>
      </w:r>
      <w:r>
        <w:rPr>
          <w:rFonts w:hint="eastAsia" w:ascii="宋体" w:eastAsia="宋体"/>
          <w:color w:val="auto"/>
          <w:spacing w:val="0"/>
          <w:highlight w:val="none"/>
        </w:rPr>
        <w:t>个工作</w:t>
      </w:r>
      <w:r>
        <w:rPr>
          <w:rFonts w:ascii="宋体" w:eastAsia="宋体"/>
          <w:color w:val="auto"/>
          <w:spacing w:val="0"/>
          <w:highlight w:val="none"/>
        </w:rPr>
        <w:t>日以上的</w:t>
      </w:r>
      <w:r>
        <w:rPr>
          <w:rFonts w:hint="eastAsia" w:ascii="宋体" w:eastAsia="宋体"/>
          <w:color w:val="auto"/>
          <w:spacing w:val="0"/>
          <w:highlight w:val="none"/>
        </w:rPr>
        <w:t>，乙方有权解除合同。</w:t>
      </w:r>
    </w:p>
    <w:p w14:paraId="6EF99C0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15.2因甲方原因逾期支付第二期或第三期款项的，自逾期一个月后的第二天起，每逾期一天支付应付逾期付款金额的万分之五的违约金，违约金总额不超过应付款额的20%。</w:t>
      </w:r>
    </w:p>
    <w:p w14:paraId="307CBA00">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EA4193D">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15.4乙方应按本合同规定的研究开发进程完成开发项目。若因乙方自身原因未按时完成开发项目，则按照附件五《服务水平协议（SLA）》扣除延期违约金。</w:t>
      </w:r>
    </w:p>
    <w:p w14:paraId="52FE2179">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15.5乙方未能完成甲方委托的开发项目或开发成果不符合本合同约定的要求，乙方承担本合同总额20%的违约金，并返还甲方已支付的费用。</w:t>
      </w:r>
    </w:p>
    <w:p w14:paraId="06333E4A">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15.6乙方将甲方支付的费用于履行合同以外的目的，甲方有权制止并要求其纠正。如因此造成本合同项目停滞、延误或失败的，乙方应当承担给甲方造成的损失赔偿责任。</w:t>
      </w:r>
    </w:p>
    <w:p w14:paraId="4E61B6E1">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15.7除本条、附件五《服务水平协议（SLA）》及</w:t>
      </w:r>
      <w:r>
        <w:rPr>
          <w:rFonts w:ascii="宋体" w:eastAsia="宋体"/>
          <w:color w:val="auto"/>
          <w:spacing w:val="0"/>
          <w:highlight w:val="none"/>
        </w:rPr>
        <w:t>其他条款</w:t>
      </w:r>
      <w:r>
        <w:rPr>
          <w:rFonts w:hint="eastAsia" w:ascii="宋体" w:eastAsia="宋体"/>
          <w:color w:val="auto"/>
          <w:spacing w:val="0"/>
          <w:highlight w:val="none"/>
        </w:rPr>
        <w:t>另有约定外，乙方违反本合同任一条款的，应向甲方支付合同总额</w:t>
      </w:r>
      <w:r>
        <w:rPr>
          <w:rFonts w:ascii="宋体" w:eastAsia="宋体"/>
          <w:color w:val="auto"/>
          <w:spacing w:val="0"/>
          <w:highlight w:val="none"/>
        </w:rPr>
        <w:t>5</w:t>
      </w:r>
      <w:r>
        <w:rPr>
          <w:rFonts w:hint="eastAsia" w:ascii="宋体" w:eastAsia="宋体"/>
          <w:color w:val="auto"/>
          <w:spacing w:val="0"/>
          <w:highlight w:val="none"/>
        </w:rPr>
        <w:t>%的违约金并赔偿甲方产生的损失。</w:t>
      </w:r>
    </w:p>
    <w:p w14:paraId="1BF19B4F">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15.8本合同项下乙方应支付的违约金、赔偿金等，甲方均有权从应支付给乙方的款项中优先扣除，若有不足，乙方应另行筹措资金补足。</w:t>
      </w:r>
    </w:p>
    <w:p w14:paraId="69A94895">
      <w:pPr>
        <w:spacing w:line="360" w:lineRule="auto"/>
        <w:ind w:firstLine="420" w:firstLineChars="200"/>
        <w:rPr>
          <w:rFonts w:ascii="宋体" w:eastAsia="宋体"/>
          <w:color w:val="auto"/>
          <w:spacing w:val="0"/>
          <w:highlight w:val="none"/>
        </w:rPr>
      </w:pPr>
    </w:p>
    <w:p w14:paraId="07448DC0">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5" w:name="_Toc84948040"/>
      <w:r>
        <w:rPr>
          <w:rFonts w:hint="eastAsia" w:ascii="Times New Roman" w:hAnsi="Times New Roman" w:eastAsia="宋体" w:cs="Times New Roman"/>
          <w:b/>
          <w:color w:val="auto"/>
          <w:spacing w:val="0"/>
          <w:sz w:val="24"/>
          <w:szCs w:val="20"/>
          <w:highlight w:val="none"/>
        </w:rPr>
        <w:t>第十六条 合同的解除</w:t>
      </w:r>
      <w:bookmarkEnd w:id="265"/>
    </w:p>
    <w:p w14:paraId="4D8F58F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16.1如果满足以下条件，任一方在通知对方后，都可以解除本合同。</w:t>
      </w:r>
    </w:p>
    <w:p w14:paraId="1C03268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1F005AF1">
      <w:pPr>
        <w:spacing w:line="360" w:lineRule="auto"/>
        <w:ind w:firstLine="420" w:firstLineChars="200"/>
        <w:rPr>
          <w:rFonts w:ascii="宋体" w:eastAsia="宋体"/>
          <w:color w:val="auto"/>
          <w:spacing w:val="0"/>
          <w:highlight w:val="none"/>
        </w:rPr>
      </w:pPr>
      <w:r>
        <w:rPr>
          <w:rFonts w:ascii="宋体" w:eastAsia="宋体"/>
          <w:color w:val="auto"/>
          <w:spacing w:val="0"/>
          <w:highlight w:val="none"/>
        </w:rPr>
        <mc:AlternateContent>
          <mc:Choice Requires="wps">
            <w:drawing>
              <wp:anchor distT="0" distB="0" distL="113030" distR="113030" simplePos="0" relativeHeight="251659264" behindDoc="0" locked="0" layoutInCell="1" allowOverlap="1">
                <wp:simplePos x="0" y="0"/>
                <wp:positionH relativeFrom="column">
                  <wp:posOffset>-125730</wp:posOffset>
                </wp:positionH>
                <wp:positionV relativeFrom="paragraph">
                  <wp:posOffset>125730</wp:posOffset>
                </wp:positionV>
                <wp:extent cx="63500" cy="63500"/>
                <wp:effectExtent l="4444" t="4444" r="8255" b="8255"/>
                <wp:wrapNone/>
                <wp:docPr id="1" name="矩形 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9pt;margin-top:9.9pt;height:5pt;width:5pt;z-index:251659264;mso-width-relative:page;mso-height-relative:page;" fillcolor="#FFFFFF" filled="t" stroked="t" coordsize="21600,21600" o:gfxdata="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">
                <v:fill on="t" focussize="0,0"/>
                <v:stroke color="#000000" joinstyle="miter"/>
                <v:imagedata o:title=""/>
                <o:lock v:ext="edit" aspectratio="f"/>
              </v:rect>
            </w:pict>
          </mc:Fallback>
        </mc:AlternateContent>
      </w:r>
      <w:r>
        <w:rPr>
          <w:rFonts w:hint="eastAsia" w:ascii="宋体" w:eastAsia="宋体"/>
          <w:color w:val="auto"/>
          <w:spacing w:val="0"/>
          <w:highlight w:val="none"/>
        </w:rPr>
        <w:t>（2）当一方按正常程序停止经营业务、破产、处于付款拖欠、延期偿付、公司重组或倒闭状况，或全部转让利润与债权人、书面承认无力偿还到期债务、委派清算人清算其业务或财产。</w:t>
      </w:r>
    </w:p>
    <w:p w14:paraId="30862DE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16.2除本合同约定的情形外，甲方若认为乙方无法胜任本合同项下工作的，有权随时通知乙方后解除本合同。甲方除据实与乙方结算费用外，不承担其他违约责任。</w:t>
      </w:r>
    </w:p>
    <w:p w14:paraId="4249357B">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16.3当本合同以任何原因解除</w:t>
      </w:r>
      <w:r>
        <w:rPr>
          <w:rFonts w:ascii="宋体" w:eastAsia="宋体"/>
          <w:color w:val="auto"/>
          <w:spacing w:val="0"/>
          <w:highlight w:val="none"/>
        </w:rPr>
        <w:t>或</w:t>
      </w:r>
      <w:r>
        <w:rPr>
          <w:rFonts w:hint="eastAsia" w:ascii="宋体" w:eastAsia="宋体"/>
          <w:color w:val="auto"/>
          <w:spacing w:val="0"/>
          <w:highlight w:val="none"/>
        </w:rPr>
        <w:t>终止时，乙方应将本合同项下的过程文档、资料等全部交付给甲方，配合甲方完成知识转移，保证甲方能够继续开展工作；乙方应立即停止使用并删除</w:t>
      </w:r>
      <w:r>
        <w:rPr>
          <w:rFonts w:ascii="宋体" w:eastAsia="宋体"/>
          <w:color w:val="auto"/>
          <w:spacing w:val="0"/>
          <w:highlight w:val="none"/>
        </w:rPr>
        <w:t>或</w:t>
      </w:r>
      <w:r>
        <w:rPr>
          <w:rFonts w:hint="eastAsia" w:ascii="宋体" w:eastAsia="宋体"/>
          <w:color w:val="auto"/>
          <w:spacing w:val="0"/>
          <w:highlight w:val="none"/>
        </w:rPr>
        <w:t>销毁包含甲方机密信息的所有物件，并证明该销毁情况；或者将这些物件归还给甲方。</w:t>
      </w:r>
    </w:p>
    <w:p w14:paraId="44F7F59B">
      <w:pPr>
        <w:spacing w:line="360" w:lineRule="auto"/>
        <w:ind w:firstLine="422" w:firstLineChars="200"/>
        <w:rPr>
          <w:rFonts w:ascii="宋体" w:eastAsia="宋体"/>
          <w:b/>
          <w:color w:val="auto"/>
          <w:spacing w:val="0"/>
          <w:highlight w:val="none"/>
        </w:rPr>
      </w:pPr>
    </w:p>
    <w:p w14:paraId="18245B4C">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6" w:name="_Toc84948041"/>
      <w:r>
        <w:rPr>
          <w:rFonts w:hint="eastAsia" w:ascii="Times New Roman" w:hAnsi="Times New Roman" w:eastAsia="宋体" w:cs="Times New Roman"/>
          <w:b/>
          <w:color w:val="auto"/>
          <w:spacing w:val="0"/>
          <w:sz w:val="24"/>
          <w:szCs w:val="20"/>
          <w:highlight w:val="none"/>
        </w:rPr>
        <w:t>第十七条 合同变更及转让</w:t>
      </w:r>
      <w:bookmarkEnd w:id="266"/>
    </w:p>
    <w:p w14:paraId="3905E246">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17.1对本合同及其附件的内容进行变更，必须经双方协商一致并签订补充协议，方能生效，本合同另有约定的除外。</w:t>
      </w:r>
    </w:p>
    <w:p w14:paraId="089D02D0">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17.2本合同双方在未取得对方事先书面同意的前提下，均不得将各自本合同项下的任何权利或义务转让给第三方。</w:t>
      </w:r>
    </w:p>
    <w:p w14:paraId="34488AD1">
      <w:pPr>
        <w:spacing w:line="360" w:lineRule="auto"/>
        <w:ind w:firstLine="422" w:firstLineChars="200"/>
        <w:rPr>
          <w:rFonts w:ascii="宋体" w:eastAsia="宋体"/>
          <w:b/>
          <w:color w:val="auto"/>
          <w:spacing w:val="0"/>
          <w:highlight w:val="none"/>
        </w:rPr>
      </w:pPr>
    </w:p>
    <w:p w14:paraId="21469016">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7" w:name="_Toc84948042"/>
      <w:r>
        <w:rPr>
          <w:rFonts w:hint="eastAsia" w:ascii="Times New Roman" w:hAnsi="Times New Roman" w:eastAsia="宋体" w:cs="Times New Roman"/>
          <w:b/>
          <w:color w:val="auto"/>
          <w:spacing w:val="0"/>
          <w:sz w:val="24"/>
          <w:szCs w:val="20"/>
          <w:highlight w:val="none"/>
        </w:rPr>
        <w:t>第十八条 争议解决</w:t>
      </w:r>
      <w:bookmarkEnd w:id="267"/>
    </w:p>
    <w:p w14:paraId="439F3CED">
      <w:pPr>
        <w:pStyle w:val="13"/>
        <w:snapToGrid w:val="0"/>
        <w:spacing w:line="360" w:lineRule="auto"/>
        <w:rPr>
          <w:color w:val="auto"/>
          <w:sz w:val="24"/>
          <w:highlight w:val="none"/>
        </w:rPr>
      </w:pPr>
      <w:r>
        <w:rPr>
          <w:rFonts w:hint="eastAsia"/>
          <w:color w:val="auto"/>
          <w:highlight w:val="none"/>
        </w:rPr>
        <w:t>本合同的解释、效力、履行及其他事项，均适用中华人民共和国法律、法规，如无法律、法规规定，适用有关行政管理部门规章。本合同履行中双方发生任何争议，应协商解决，协商不成的，</w:t>
      </w:r>
      <w:r>
        <w:rPr>
          <w:rFonts w:hint="eastAsia"/>
          <w:color w:val="auto"/>
          <w:sz w:val="24"/>
          <w:highlight w:val="none"/>
        </w:rPr>
        <w:t>任何一方</w:t>
      </w:r>
      <w:r>
        <w:rPr>
          <w:color w:val="auto"/>
          <w:sz w:val="24"/>
          <w:highlight w:val="none"/>
        </w:rPr>
        <w:t>应按照下列第</w:t>
      </w:r>
      <w:r>
        <w:rPr>
          <w:color w:val="auto"/>
          <w:sz w:val="24"/>
          <w:highlight w:val="none"/>
          <w:u w:val="single"/>
        </w:rPr>
        <w:t xml:space="preserve">     </w:t>
      </w:r>
      <w:r>
        <w:rPr>
          <w:color w:val="auto"/>
          <w:sz w:val="24"/>
          <w:highlight w:val="none"/>
        </w:rPr>
        <w:t>种方式解决：</w:t>
      </w:r>
    </w:p>
    <w:p w14:paraId="0D8E5ACE">
      <w:pPr>
        <w:pStyle w:val="13"/>
        <w:numPr>
          <w:ilvl w:val="0"/>
          <w:numId w:val="41"/>
        </w:numPr>
        <w:snapToGrid w:val="0"/>
        <w:spacing w:line="360" w:lineRule="auto"/>
        <w:ind w:left="1158"/>
        <w:rPr>
          <w:color w:val="auto"/>
          <w:sz w:val="24"/>
          <w:highlight w:val="none"/>
        </w:rPr>
      </w:pPr>
      <w:r>
        <w:rPr>
          <w:rFonts w:hint="eastAsia"/>
          <w:color w:val="auto"/>
          <w:sz w:val="24"/>
          <w:highlight w:val="none"/>
        </w:rPr>
        <w:t>向</w:t>
      </w:r>
      <w:r>
        <w:rPr>
          <w:color w:val="auto"/>
          <w:sz w:val="24"/>
          <w:highlight w:val="none"/>
        </w:rPr>
        <w:t>重庆仲裁委员会按照该会届时有效的仲裁规则申请仲裁。</w:t>
      </w:r>
    </w:p>
    <w:p w14:paraId="56584179">
      <w:pPr>
        <w:pStyle w:val="13"/>
        <w:numPr>
          <w:ilvl w:val="0"/>
          <w:numId w:val="41"/>
        </w:numPr>
        <w:snapToGrid w:val="0"/>
        <w:spacing w:line="360" w:lineRule="auto"/>
        <w:ind w:left="1158"/>
        <w:rPr>
          <w:color w:val="auto"/>
          <w:sz w:val="24"/>
          <w:highlight w:val="none"/>
        </w:rPr>
      </w:pPr>
      <w:r>
        <w:rPr>
          <w:color w:val="auto"/>
          <w:sz w:val="24"/>
          <w:highlight w:val="none"/>
        </w:rPr>
        <w:t>向</w:t>
      </w:r>
      <w:r>
        <w:rPr>
          <w:rFonts w:hint="eastAsia"/>
          <w:color w:val="auto"/>
          <w:sz w:val="24"/>
          <w:highlight w:val="none"/>
        </w:rPr>
        <w:t>本合同首部载明的甲方地址所在地有管辖权的人民法院起诉。</w:t>
      </w:r>
    </w:p>
    <w:p w14:paraId="03F17E5A">
      <w:pPr>
        <w:spacing w:line="360" w:lineRule="auto"/>
        <w:ind w:firstLine="420" w:firstLineChars="200"/>
        <w:rPr>
          <w:rFonts w:ascii="宋体" w:eastAsia="宋体"/>
          <w:color w:val="auto"/>
          <w:spacing w:val="0"/>
          <w:highlight w:val="none"/>
        </w:rPr>
      </w:pPr>
    </w:p>
    <w:p w14:paraId="55FB9DE7">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8" w:name="_Toc84948043"/>
      <w:r>
        <w:rPr>
          <w:rFonts w:hint="eastAsia" w:ascii="Times New Roman" w:hAnsi="Times New Roman" w:eastAsia="宋体" w:cs="Times New Roman"/>
          <w:b/>
          <w:color w:val="auto"/>
          <w:spacing w:val="0"/>
          <w:sz w:val="24"/>
          <w:szCs w:val="20"/>
          <w:highlight w:val="none"/>
        </w:rPr>
        <w:t>第十九条 通知与送达</w:t>
      </w:r>
      <w:bookmarkEnd w:id="268"/>
    </w:p>
    <w:p w14:paraId="4AE427F1">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0A1FDA91">
      <w:pPr>
        <w:autoSpaceDE w:val="0"/>
        <w:autoSpaceDN w:val="0"/>
        <w:adjustRightInd w:val="0"/>
        <w:spacing w:line="336" w:lineRule="auto"/>
        <w:ind w:firstLine="470" w:firstLineChars="224"/>
        <w:jc w:val="left"/>
        <w:rPr>
          <w:rFonts w:ascii="宋体" w:eastAsia="宋体"/>
          <w:color w:val="auto"/>
          <w:spacing w:val="0"/>
          <w:highlight w:val="none"/>
        </w:rPr>
      </w:pPr>
      <w:r>
        <w:rPr>
          <w:rFonts w:hint="eastAsia" w:ascii="宋体" w:eastAsia="宋体"/>
          <w:color w:val="auto"/>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2064E86">
      <w:pPr>
        <w:autoSpaceDE w:val="0"/>
        <w:autoSpaceDN w:val="0"/>
        <w:adjustRightInd w:val="0"/>
        <w:spacing w:line="336" w:lineRule="auto"/>
        <w:ind w:firstLine="470" w:firstLineChars="224"/>
        <w:jc w:val="left"/>
        <w:rPr>
          <w:rFonts w:ascii="宋体" w:eastAsia="宋体"/>
          <w:color w:val="auto"/>
          <w:spacing w:val="0"/>
          <w:highlight w:val="none"/>
        </w:rPr>
      </w:pPr>
    </w:p>
    <w:p w14:paraId="03D14696">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69" w:name="_Toc84948044"/>
      <w:r>
        <w:rPr>
          <w:rFonts w:hint="eastAsia" w:ascii="Times New Roman" w:hAnsi="Times New Roman" w:eastAsia="宋体" w:cs="Times New Roman"/>
          <w:b/>
          <w:color w:val="auto"/>
          <w:spacing w:val="0"/>
          <w:sz w:val="24"/>
          <w:szCs w:val="20"/>
          <w:highlight w:val="none"/>
        </w:rPr>
        <w:t>第二十条 合同生效</w:t>
      </w:r>
      <w:bookmarkEnd w:id="269"/>
    </w:p>
    <w:p w14:paraId="0E44B8E0">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本合同自下列条件全部满足之日起生效：</w:t>
      </w:r>
    </w:p>
    <w:p w14:paraId="00D225EE">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双方对本合同及其全部附件内容达成一致并加盖公章。</w:t>
      </w:r>
    </w:p>
    <w:p w14:paraId="3E603200">
      <w:pPr>
        <w:spacing w:line="360" w:lineRule="auto"/>
        <w:ind w:firstLine="422" w:firstLineChars="200"/>
        <w:rPr>
          <w:rFonts w:ascii="宋体" w:eastAsia="宋体"/>
          <w:b/>
          <w:color w:val="auto"/>
          <w:spacing w:val="0"/>
          <w:highlight w:val="none"/>
        </w:rPr>
      </w:pPr>
    </w:p>
    <w:p w14:paraId="13928E50">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70" w:name="_Toc84948045"/>
      <w:r>
        <w:rPr>
          <w:rFonts w:hint="eastAsia" w:ascii="Times New Roman" w:hAnsi="Times New Roman" w:eastAsia="宋体" w:cs="Times New Roman"/>
          <w:b/>
          <w:color w:val="auto"/>
          <w:spacing w:val="0"/>
          <w:sz w:val="24"/>
          <w:szCs w:val="20"/>
          <w:highlight w:val="none"/>
        </w:rPr>
        <w:t>第二十一条 不可抗力</w:t>
      </w:r>
      <w:bookmarkEnd w:id="270"/>
    </w:p>
    <w:p w14:paraId="5BF977FE">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AE85726">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21.2发生不可抗力的一方应立即通知对方，并在十五天内提供不可抗力的详情及将有关证明文件送交对方。</w:t>
      </w:r>
    </w:p>
    <w:p w14:paraId="32DD6D04">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21.3发生不可抗力事件时，甲乙双方应协商以寻找一个合理的解决方法，并尽一切努力减轻不可抗力产生的后果。</w:t>
      </w:r>
    </w:p>
    <w:p w14:paraId="45DFAA98">
      <w:pPr>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21.4如不可抗力事件持续三十天时，甲乙双方应友好协商解决本合同是否继续履行或终止的问题。</w:t>
      </w:r>
    </w:p>
    <w:p w14:paraId="061F47A3">
      <w:pPr>
        <w:spacing w:line="360" w:lineRule="auto"/>
        <w:ind w:firstLine="422" w:firstLineChars="200"/>
        <w:rPr>
          <w:rFonts w:ascii="宋体" w:eastAsia="宋体"/>
          <w:b/>
          <w:color w:val="auto"/>
          <w:spacing w:val="0"/>
          <w:highlight w:val="none"/>
        </w:rPr>
      </w:pPr>
    </w:p>
    <w:p w14:paraId="40AE6E36">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71" w:name="_Toc84948046"/>
      <w:r>
        <w:rPr>
          <w:rFonts w:hint="eastAsia" w:ascii="Times New Roman" w:hAnsi="Times New Roman" w:eastAsia="宋体" w:cs="Times New Roman"/>
          <w:b/>
          <w:color w:val="auto"/>
          <w:spacing w:val="0"/>
          <w:sz w:val="24"/>
          <w:szCs w:val="20"/>
          <w:highlight w:val="none"/>
        </w:rPr>
        <w:t>第二十二条 反商业贿赂</w:t>
      </w:r>
      <w:bookmarkEnd w:id="271"/>
    </w:p>
    <w:p w14:paraId="51125D87">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1187BB2F">
      <w:pPr>
        <w:spacing w:line="360" w:lineRule="auto"/>
        <w:ind w:firstLine="422" w:firstLineChars="200"/>
        <w:rPr>
          <w:rFonts w:ascii="宋体" w:eastAsia="宋体"/>
          <w:b/>
          <w:color w:val="auto"/>
          <w:spacing w:val="0"/>
          <w:highlight w:val="none"/>
        </w:rPr>
      </w:pPr>
    </w:p>
    <w:p w14:paraId="3AEF7294">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72" w:name="_Toc84948047"/>
      <w:r>
        <w:rPr>
          <w:rFonts w:hint="eastAsia" w:ascii="Times New Roman" w:hAnsi="Times New Roman" w:eastAsia="宋体" w:cs="Times New Roman"/>
          <w:b/>
          <w:color w:val="auto"/>
          <w:spacing w:val="0"/>
          <w:sz w:val="24"/>
          <w:szCs w:val="20"/>
          <w:highlight w:val="none"/>
        </w:rPr>
        <w:t>第二十三条 附件</w:t>
      </w:r>
      <w:bookmarkEnd w:id="272"/>
    </w:p>
    <w:p w14:paraId="720A1338">
      <w:pPr>
        <w:spacing w:line="360" w:lineRule="auto"/>
        <w:ind w:firstLine="489" w:firstLineChars="233"/>
        <w:rPr>
          <w:rFonts w:ascii="宋体" w:eastAsia="宋体"/>
          <w:color w:val="auto"/>
          <w:spacing w:val="0"/>
          <w:highlight w:val="none"/>
        </w:rPr>
      </w:pPr>
      <w:r>
        <w:rPr>
          <w:rFonts w:hint="eastAsia" w:ascii="宋体" w:eastAsia="宋体"/>
          <w:color w:val="auto"/>
          <w:spacing w:val="0"/>
          <w:highlight w:val="none"/>
        </w:rPr>
        <w:t>本合同的附件与合同正本具有同等法律效力，主合同与附件如有冲突，以主合同为准。本合同附件如下：</w:t>
      </w:r>
    </w:p>
    <w:p w14:paraId="6BBBF497">
      <w:pPr>
        <w:spacing w:line="360" w:lineRule="auto"/>
        <w:ind w:left="560"/>
        <w:rPr>
          <w:rFonts w:ascii="宋体" w:eastAsia="宋体"/>
          <w:color w:val="auto"/>
          <w:spacing w:val="0"/>
          <w:highlight w:val="none"/>
        </w:rPr>
      </w:pPr>
      <w:r>
        <w:rPr>
          <w:rFonts w:hint="eastAsia" w:ascii="宋体" w:eastAsia="宋体"/>
          <w:color w:val="auto"/>
          <w:spacing w:val="0"/>
          <w:highlight w:val="none"/>
        </w:rPr>
        <w:t>附件一：工作（需求）说明书</w:t>
      </w:r>
    </w:p>
    <w:p w14:paraId="6096BA99">
      <w:pPr>
        <w:spacing w:line="360" w:lineRule="auto"/>
        <w:ind w:left="560"/>
        <w:rPr>
          <w:rFonts w:ascii="宋体" w:eastAsia="宋体"/>
          <w:color w:val="auto"/>
          <w:spacing w:val="0"/>
          <w:highlight w:val="none"/>
        </w:rPr>
      </w:pPr>
      <w:r>
        <w:rPr>
          <w:rFonts w:hint="eastAsia" w:ascii="宋体" w:eastAsia="宋体"/>
          <w:color w:val="auto"/>
          <w:spacing w:val="0"/>
          <w:highlight w:val="none"/>
        </w:rPr>
        <w:t>附件二：项目人员名单及人员应急退出机制</w:t>
      </w:r>
    </w:p>
    <w:p w14:paraId="35E663B0">
      <w:pPr>
        <w:spacing w:line="360" w:lineRule="auto"/>
        <w:ind w:left="560"/>
        <w:rPr>
          <w:rFonts w:ascii="宋体" w:eastAsia="宋体"/>
          <w:color w:val="auto"/>
          <w:spacing w:val="0"/>
          <w:highlight w:val="none"/>
        </w:rPr>
      </w:pPr>
      <w:r>
        <w:rPr>
          <w:rFonts w:hint="eastAsia" w:ascii="宋体" w:eastAsia="宋体"/>
          <w:color w:val="auto"/>
          <w:spacing w:val="0"/>
          <w:highlight w:val="none"/>
        </w:rPr>
        <w:t>附件三：验收标准及流程</w:t>
      </w:r>
    </w:p>
    <w:p w14:paraId="1B0A86A1">
      <w:pPr>
        <w:spacing w:line="360" w:lineRule="auto"/>
        <w:ind w:left="560"/>
        <w:rPr>
          <w:rFonts w:ascii="宋体" w:eastAsia="宋体"/>
          <w:color w:val="auto"/>
          <w:spacing w:val="0"/>
          <w:highlight w:val="none"/>
        </w:rPr>
      </w:pPr>
      <w:r>
        <w:rPr>
          <w:rFonts w:hint="eastAsia" w:ascii="宋体" w:eastAsia="宋体"/>
          <w:color w:val="auto"/>
          <w:spacing w:val="0"/>
          <w:highlight w:val="none"/>
        </w:rPr>
        <w:t>附件四：维护服务条款</w:t>
      </w:r>
    </w:p>
    <w:p w14:paraId="55B7EAE6">
      <w:pPr>
        <w:spacing w:line="360" w:lineRule="auto"/>
        <w:ind w:left="560"/>
        <w:rPr>
          <w:rFonts w:ascii="宋体" w:eastAsia="宋体"/>
          <w:color w:val="auto"/>
          <w:spacing w:val="0"/>
          <w:highlight w:val="none"/>
        </w:rPr>
      </w:pPr>
      <w:r>
        <w:rPr>
          <w:rFonts w:hint="eastAsia" w:ascii="宋体" w:eastAsia="宋体"/>
          <w:color w:val="auto"/>
          <w:spacing w:val="0"/>
          <w:highlight w:val="none"/>
        </w:rPr>
        <w:t>附件五：服务水平协议（SLA）</w:t>
      </w:r>
    </w:p>
    <w:p w14:paraId="132B3102">
      <w:pPr>
        <w:spacing w:line="360" w:lineRule="auto"/>
        <w:ind w:left="560"/>
        <w:rPr>
          <w:rFonts w:ascii="宋体" w:eastAsia="宋体"/>
          <w:color w:val="auto"/>
          <w:spacing w:val="0"/>
          <w:highlight w:val="none"/>
        </w:rPr>
      </w:pPr>
      <w:r>
        <w:rPr>
          <w:rFonts w:hint="eastAsia" w:ascii="宋体" w:eastAsia="宋体"/>
          <w:color w:val="auto"/>
          <w:spacing w:val="0"/>
          <w:highlight w:val="none"/>
        </w:rPr>
        <w:t>附件六：服务连续性预案</w:t>
      </w:r>
    </w:p>
    <w:p w14:paraId="6AFF5D44">
      <w:pPr>
        <w:spacing w:line="360" w:lineRule="auto"/>
        <w:ind w:left="560"/>
        <w:rPr>
          <w:rFonts w:ascii="宋体" w:eastAsia="宋体"/>
          <w:color w:val="auto"/>
          <w:spacing w:val="0"/>
          <w:highlight w:val="none"/>
        </w:rPr>
      </w:pPr>
    </w:p>
    <w:p w14:paraId="20335120">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73" w:name="_Toc84948048"/>
      <w:r>
        <w:rPr>
          <w:rFonts w:hint="eastAsia" w:ascii="Times New Roman" w:hAnsi="Times New Roman" w:eastAsia="宋体" w:cs="Times New Roman"/>
          <w:b/>
          <w:color w:val="auto"/>
          <w:spacing w:val="0"/>
          <w:sz w:val="24"/>
          <w:szCs w:val="20"/>
          <w:highlight w:val="none"/>
        </w:rPr>
        <w:t>第二十四条 其他</w:t>
      </w:r>
      <w:bookmarkEnd w:id="273"/>
    </w:p>
    <w:p w14:paraId="17B18984">
      <w:pPr>
        <w:pStyle w:val="14"/>
        <w:spacing w:before="0" w:beforeLines="0" w:line="360" w:lineRule="auto"/>
        <w:rPr>
          <w:rFonts w:ascii="宋体" w:eastAsia="宋体"/>
          <w:color w:val="auto"/>
          <w:spacing w:val="0"/>
          <w:highlight w:val="none"/>
        </w:rPr>
      </w:pPr>
      <w:r>
        <w:rPr>
          <w:rStyle w:val="53"/>
          <w:rFonts w:hint="eastAsia" w:ascii="宋体" w:eastAsia="宋体"/>
          <w:color w:val="auto"/>
          <w:spacing w:val="0"/>
          <w:kern w:val="0"/>
          <w:highlight w:val="none"/>
        </w:rPr>
        <w:t>24.1除本</w:t>
      </w:r>
      <w:r>
        <w:rPr>
          <w:rFonts w:hint="eastAsia" w:ascii="宋体" w:eastAsia="宋体"/>
          <w:color w:val="auto"/>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6AE0A54">
      <w:pPr>
        <w:pStyle w:val="14"/>
        <w:spacing w:before="0" w:beforeLines="0" w:line="360" w:lineRule="auto"/>
        <w:rPr>
          <w:rFonts w:ascii="宋体" w:eastAsia="宋体"/>
          <w:color w:val="auto"/>
          <w:spacing w:val="0"/>
          <w:highlight w:val="none"/>
        </w:rPr>
      </w:pPr>
      <w:r>
        <w:rPr>
          <w:rFonts w:hint="eastAsia" w:ascii="宋体" w:eastAsia="宋体"/>
          <w:color w:val="auto"/>
          <w:spacing w:val="0"/>
          <w:highlight w:val="none"/>
        </w:rPr>
        <w:t>24.</w:t>
      </w:r>
      <w:r>
        <w:rPr>
          <w:rStyle w:val="53"/>
          <w:rFonts w:hint="eastAsia" w:ascii="宋体" w:eastAsia="宋体"/>
          <w:color w:val="auto"/>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color w:val="auto"/>
          <w:spacing w:val="0"/>
          <w:highlight w:val="none"/>
        </w:rPr>
        <w:t>同其他条款或内容的合法性、有效性和可执行性不受影响。</w:t>
      </w:r>
    </w:p>
    <w:p w14:paraId="05156221">
      <w:pPr>
        <w:spacing w:line="360" w:lineRule="auto"/>
        <w:ind w:firstLine="420" w:firstLineChars="200"/>
        <w:rPr>
          <w:rFonts w:ascii="宋体" w:eastAsia="宋体"/>
          <w:color w:val="auto"/>
          <w:spacing w:val="0"/>
          <w:highlight w:val="none"/>
        </w:rPr>
      </w:pPr>
      <w:r>
        <w:rPr>
          <w:rStyle w:val="53"/>
          <w:rFonts w:hint="eastAsia" w:ascii="宋体" w:eastAsia="宋体"/>
          <w:color w:val="auto"/>
          <w:spacing w:val="0"/>
          <w:kern w:val="0"/>
          <w:highlight w:val="none"/>
        </w:rPr>
        <w:t>24.3本</w:t>
      </w:r>
      <w:r>
        <w:rPr>
          <w:rFonts w:hint="eastAsia" w:ascii="宋体" w:eastAsia="宋体"/>
          <w:color w:val="auto"/>
          <w:spacing w:val="0"/>
          <w:highlight w:val="none"/>
        </w:rPr>
        <w:t>合同签订后，如需要就与合同执行有关的事项签订补充合同，应由双方加盖公章后，补充合同即生效。</w:t>
      </w:r>
      <w:r>
        <w:rPr>
          <w:rFonts w:ascii="宋体" w:eastAsia="宋体"/>
          <w:color w:val="auto"/>
          <w:spacing w:val="0"/>
          <w:highlight w:val="none"/>
        </w:rPr>
        <w:t>本合同附件为本合同的组成部分，本</w:t>
      </w:r>
      <w:r>
        <w:rPr>
          <w:rFonts w:hint="eastAsia" w:ascii="宋体" w:eastAsia="宋体"/>
          <w:color w:val="auto"/>
          <w:spacing w:val="0"/>
          <w:highlight w:val="none"/>
        </w:rPr>
        <w:t>合同与附件如有冲突，以</w:t>
      </w:r>
      <w:r>
        <w:rPr>
          <w:rFonts w:ascii="宋体" w:eastAsia="宋体"/>
          <w:color w:val="auto"/>
          <w:spacing w:val="0"/>
          <w:highlight w:val="none"/>
        </w:rPr>
        <w:t>本</w:t>
      </w:r>
      <w:r>
        <w:rPr>
          <w:rFonts w:hint="eastAsia" w:ascii="宋体" w:eastAsia="宋体"/>
          <w:color w:val="auto"/>
          <w:spacing w:val="0"/>
          <w:highlight w:val="none"/>
        </w:rPr>
        <w:t>合同为准。</w:t>
      </w:r>
    </w:p>
    <w:p w14:paraId="08BD664F">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24.4本合同以中文版本为准，除非本合同明确规定或双方另有约定，为履行本合同的所有文件及信函均以中文书写。</w:t>
      </w:r>
    </w:p>
    <w:p w14:paraId="2D503417">
      <w:pPr>
        <w:spacing w:line="360" w:lineRule="auto"/>
        <w:ind w:firstLine="420" w:firstLineChars="200"/>
        <w:rPr>
          <w:rFonts w:ascii="宋体" w:eastAsia="宋体"/>
          <w:b/>
          <w:i/>
          <w:color w:val="auto"/>
          <w:spacing w:val="0"/>
          <w:highlight w:val="none"/>
        </w:rPr>
      </w:pPr>
      <w:r>
        <w:rPr>
          <w:rStyle w:val="53"/>
          <w:rFonts w:hint="eastAsia" w:ascii="宋体" w:eastAsia="宋体"/>
          <w:color w:val="auto"/>
          <w:spacing w:val="0"/>
          <w:kern w:val="0"/>
          <w:highlight w:val="none"/>
        </w:rPr>
        <w:t>24.5本合同一式肆份，甲方执贰份，乙方执贰份，每份具有同等法律</w:t>
      </w:r>
      <w:r>
        <w:rPr>
          <w:rFonts w:hint="eastAsia" w:ascii="宋体" w:eastAsia="宋体"/>
          <w:color w:val="auto"/>
          <w:spacing w:val="0"/>
          <w:highlight w:val="none"/>
        </w:rPr>
        <w:t>效力。</w:t>
      </w:r>
    </w:p>
    <w:p w14:paraId="2C66CD54">
      <w:pPr>
        <w:spacing w:line="360" w:lineRule="auto"/>
        <w:rPr>
          <w:rFonts w:ascii="宋体" w:eastAsia="宋体"/>
          <w:b/>
          <w:iCs/>
          <w:color w:val="auto"/>
          <w:spacing w:val="0"/>
          <w:highlight w:val="none"/>
        </w:rPr>
      </w:pPr>
      <w:r>
        <w:rPr>
          <w:rFonts w:hint="eastAsia" w:ascii="宋体" w:eastAsia="宋体"/>
          <w:b/>
          <w:iCs/>
          <w:color w:val="auto"/>
          <w:spacing w:val="0"/>
          <w:highlight w:val="none"/>
        </w:rPr>
        <w:t>（以下无正文）</w:t>
      </w:r>
    </w:p>
    <w:p w14:paraId="1570E619">
      <w:pPr>
        <w:spacing w:line="360" w:lineRule="auto"/>
        <w:rPr>
          <w:rFonts w:ascii="宋体" w:eastAsia="宋体"/>
          <w:b/>
          <w:iCs/>
          <w:color w:val="auto"/>
          <w:spacing w:val="0"/>
          <w:highlight w:val="none"/>
        </w:rPr>
      </w:pPr>
    </w:p>
    <w:p w14:paraId="61171F0D">
      <w:pPr>
        <w:spacing w:line="360" w:lineRule="auto"/>
        <w:rPr>
          <w:rFonts w:ascii="宋体" w:eastAsia="宋体"/>
          <w:b/>
          <w:i/>
          <w:color w:val="auto"/>
          <w:spacing w:val="0"/>
          <w:highlight w:val="none"/>
        </w:rPr>
      </w:pPr>
    </w:p>
    <w:p w14:paraId="008E8F51">
      <w:pPr>
        <w:spacing w:line="360" w:lineRule="auto"/>
        <w:rPr>
          <w:rFonts w:ascii="宋体" w:eastAsia="宋体"/>
          <w:b/>
          <w:i/>
          <w:color w:val="auto"/>
          <w:spacing w:val="0"/>
          <w:highlight w:val="none"/>
        </w:rPr>
      </w:pPr>
    </w:p>
    <w:p w14:paraId="559B3BC3">
      <w:pPr>
        <w:tabs>
          <w:tab w:val="left" w:pos="851"/>
        </w:tabs>
        <w:adjustRightInd w:val="0"/>
        <w:spacing w:line="360" w:lineRule="auto"/>
        <w:textAlignment w:val="baseline"/>
        <w:rPr>
          <w:rFonts w:ascii="宋体" w:eastAsia="宋体"/>
          <w:color w:val="auto"/>
          <w:spacing w:val="0"/>
          <w:kern w:val="0"/>
          <w:highlight w:val="none"/>
        </w:rPr>
      </w:pPr>
      <w:r>
        <w:rPr>
          <w:rFonts w:hint="eastAsia" w:ascii="宋体" w:eastAsia="宋体"/>
          <w:color w:val="auto"/>
          <w:spacing w:val="0"/>
          <w:kern w:val="0"/>
          <w:highlight w:val="none"/>
        </w:rPr>
        <w:t>甲方：</w:t>
      </w:r>
      <w:r>
        <w:rPr>
          <w:rFonts w:hint="eastAsia" w:ascii="宋体" w:eastAsia="宋体"/>
          <w:b/>
          <w:color w:val="auto"/>
          <w:spacing w:val="0"/>
          <w:highlight w:val="none"/>
        </w:rPr>
        <w:t>重庆三峡银行股份有限公司</w:t>
      </w:r>
      <w:r>
        <w:rPr>
          <w:rFonts w:hint="eastAsia" w:ascii="宋体" w:eastAsia="宋体"/>
          <w:color w:val="auto"/>
          <w:spacing w:val="0"/>
          <w:kern w:val="0"/>
          <w:highlight w:val="none"/>
        </w:rPr>
        <w:t>（公章）</w:t>
      </w:r>
    </w:p>
    <w:p w14:paraId="0C876F8D">
      <w:pPr>
        <w:spacing w:line="360" w:lineRule="auto"/>
        <w:rPr>
          <w:rFonts w:ascii="宋体" w:eastAsia="宋体"/>
          <w:color w:val="auto"/>
          <w:spacing w:val="0"/>
          <w:highlight w:val="none"/>
        </w:rPr>
      </w:pPr>
    </w:p>
    <w:p w14:paraId="53D2439B">
      <w:pPr>
        <w:tabs>
          <w:tab w:val="left" w:pos="851"/>
        </w:tabs>
        <w:adjustRightInd w:val="0"/>
        <w:spacing w:line="360" w:lineRule="auto"/>
        <w:ind w:firstLine="630" w:firstLineChars="300"/>
        <w:textAlignment w:val="baseline"/>
        <w:rPr>
          <w:rFonts w:ascii="宋体" w:eastAsia="宋体"/>
          <w:color w:val="auto"/>
          <w:spacing w:val="0"/>
          <w:kern w:val="0"/>
          <w:highlight w:val="none"/>
        </w:rPr>
      </w:pPr>
    </w:p>
    <w:p w14:paraId="04785C85">
      <w:pPr>
        <w:spacing w:line="360" w:lineRule="auto"/>
        <w:rPr>
          <w:rFonts w:ascii="宋体" w:eastAsia="宋体"/>
          <w:color w:val="auto"/>
          <w:spacing w:val="0"/>
          <w:highlight w:val="none"/>
        </w:rPr>
      </w:pPr>
    </w:p>
    <w:p w14:paraId="5783664D">
      <w:pPr>
        <w:spacing w:line="360" w:lineRule="auto"/>
        <w:rPr>
          <w:rFonts w:ascii="宋体" w:eastAsia="宋体"/>
          <w:color w:val="auto"/>
          <w:spacing w:val="0"/>
          <w:highlight w:val="none"/>
        </w:rPr>
      </w:pPr>
      <w:r>
        <w:rPr>
          <w:rFonts w:hint="eastAsia" w:ascii="宋体" w:eastAsia="宋体"/>
          <w:color w:val="auto"/>
          <w:spacing w:val="0"/>
          <w:highlight w:val="none"/>
        </w:rPr>
        <w:t>乙方：</w:t>
      </w:r>
      <w:r>
        <w:rPr>
          <w:rFonts w:hint="eastAsia" w:ascii="宋体" w:eastAsia="宋体"/>
          <w:b/>
          <w:color w:val="auto"/>
          <w:spacing w:val="0"/>
          <w:highlight w:val="none"/>
        </w:rPr>
        <w:t>X</w:t>
      </w:r>
      <w:r>
        <w:rPr>
          <w:rFonts w:ascii="宋体" w:eastAsia="宋体"/>
          <w:b/>
          <w:color w:val="auto"/>
          <w:spacing w:val="0"/>
          <w:highlight w:val="none"/>
        </w:rPr>
        <w:t>XXXXXXXXXXXXXXX</w:t>
      </w:r>
      <w:r>
        <w:rPr>
          <w:rFonts w:hint="eastAsia" w:ascii="宋体" w:eastAsia="宋体"/>
          <w:b/>
          <w:color w:val="auto"/>
          <w:spacing w:val="0"/>
          <w:highlight w:val="none"/>
        </w:rPr>
        <w:t>公司</w:t>
      </w:r>
      <w:r>
        <w:rPr>
          <w:rFonts w:hint="eastAsia" w:ascii="宋体" w:eastAsia="宋体"/>
          <w:color w:val="auto"/>
          <w:spacing w:val="0"/>
          <w:highlight w:val="none"/>
        </w:rPr>
        <w:t>（公章）</w:t>
      </w:r>
    </w:p>
    <w:p w14:paraId="0671699C">
      <w:pPr>
        <w:spacing w:line="360" w:lineRule="auto"/>
        <w:rPr>
          <w:rFonts w:ascii="宋体" w:eastAsia="宋体"/>
          <w:color w:val="auto"/>
          <w:spacing w:val="0"/>
          <w:highlight w:val="none"/>
        </w:rPr>
      </w:pPr>
    </w:p>
    <w:p w14:paraId="274B8D18">
      <w:pPr>
        <w:spacing w:line="360" w:lineRule="auto"/>
        <w:ind w:firstLine="4620" w:firstLineChars="2200"/>
        <w:rPr>
          <w:rFonts w:ascii="宋体" w:eastAsia="宋体"/>
          <w:color w:val="auto"/>
          <w:spacing w:val="0"/>
          <w:highlight w:val="none"/>
        </w:rPr>
      </w:pPr>
      <w:r>
        <w:rPr>
          <w:rFonts w:hint="eastAsia" w:ascii="宋体" w:eastAsia="宋体"/>
          <w:color w:val="auto"/>
          <w:spacing w:val="0"/>
          <w:highlight w:val="none"/>
        </w:rPr>
        <w:t>日期：  年  月  日</w:t>
      </w:r>
    </w:p>
    <w:p w14:paraId="6587D2CC">
      <w:pPr>
        <w:keepNext w:val="0"/>
        <w:keepLines w:val="0"/>
        <w:pageBreakBefore w:val="0"/>
        <w:widowControl w:val="0"/>
        <w:kinsoku/>
        <w:wordWrap/>
        <w:overflowPunct/>
        <w:topLinePunct w:val="0"/>
        <w:autoSpaceDE w:val="0"/>
        <w:autoSpaceDN w:val="0"/>
        <w:bidi w:val="0"/>
        <w:adjustRightInd/>
        <w:snapToGrid/>
        <w:spacing w:line="360" w:lineRule="auto"/>
        <w:ind w:firstLine="411" w:firstLineChars="196"/>
        <w:jc w:val="left"/>
        <w:textAlignment w:val="auto"/>
        <w:outlineLvl w:val="9"/>
        <w:rPr>
          <w:rStyle w:val="53"/>
          <w:rFonts w:ascii="宋体" w:eastAsia="宋体"/>
          <w:color w:val="auto"/>
          <w:spacing w:val="0"/>
          <w:kern w:val="0"/>
          <w:sz w:val="30"/>
          <w:highlight w:val="none"/>
        </w:rPr>
      </w:pPr>
      <w:r>
        <w:rPr>
          <w:color w:val="auto"/>
          <w:spacing w:val="0"/>
          <w:highlight w:val="none"/>
        </w:rPr>
        <w:br w:type="page"/>
      </w:r>
      <w:bookmarkStart w:id="274" w:name="_Toc84948049"/>
      <w:bookmarkStart w:id="275" w:name="_Toc63757481"/>
      <w:r>
        <w:rPr>
          <w:rFonts w:hint="eastAsia" w:ascii="Times New Roman" w:hAnsi="Times New Roman" w:eastAsia="宋体" w:cs="Times New Roman"/>
          <w:b/>
          <w:color w:val="auto"/>
          <w:spacing w:val="0"/>
          <w:sz w:val="24"/>
          <w:szCs w:val="20"/>
          <w:highlight w:val="none"/>
        </w:rPr>
        <w:t>附件一：工作（需求）说明书</w:t>
      </w:r>
      <w:bookmarkEnd w:id="274"/>
      <w:bookmarkEnd w:id="275"/>
    </w:p>
    <w:p w14:paraId="25301F62">
      <w:pPr>
        <w:spacing w:line="360" w:lineRule="auto"/>
        <w:ind w:firstLine="420" w:firstLineChars="200"/>
        <w:rPr>
          <w:rStyle w:val="53"/>
          <w:rFonts w:ascii="宋体" w:eastAsia="宋体"/>
          <w:color w:val="auto"/>
          <w:spacing w:val="0"/>
          <w:kern w:val="0"/>
          <w:sz w:val="30"/>
          <w:highlight w:val="none"/>
        </w:rPr>
      </w:pPr>
      <w:bookmarkStart w:id="276" w:name="_Toc63757482"/>
      <w:bookmarkStart w:id="277" w:name="_Toc84948050"/>
      <w:r>
        <w:rPr>
          <w:rStyle w:val="53"/>
          <w:rFonts w:hint="eastAsia" w:ascii="宋体" w:eastAsia="宋体"/>
          <w:color w:val="auto"/>
          <w:spacing w:val="0"/>
          <w:kern w:val="0"/>
          <w:highlight w:val="none"/>
        </w:rPr>
        <w:t>请将安全需求纳入合同条款，账号口令管控功能要作为系统基础功能强制项进行验收。</w:t>
      </w:r>
    </w:p>
    <w:p w14:paraId="13D59482">
      <w:pPr>
        <w:keepNext w:val="0"/>
        <w:keepLines w:val="0"/>
        <w:pageBreakBefore w:val="0"/>
        <w:widowControl w:val="0"/>
        <w:kinsoku/>
        <w:wordWrap/>
        <w:overflowPunct/>
        <w:topLinePunct w:val="0"/>
        <w:autoSpaceDE w:val="0"/>
        <w:autoSpaceDN w:val="0"/>
        <w:bidi w:val="0"/>
        <w:adjustRightInd/>
        <w:snapToGrid/>
        <w:spacing w:line="360" w:lineRule="auto"/>
        <w:ind w:firstLine="588" w:firstLineChars="196"/>
        <w:jc w:val="left"/>
        <w:textAlignment w:val="auto"/>
        <w:outlineLvl w:val="9"/>
        <w:rPr>
          <w:rStyle w:val="53"/>
          <w:rFonts w:ascii="宋体" w:eastAsia="宋体"/>
          <w:color w:val="auto"/>
          <w:spacing w:val="0"/>
          <w:kern w:val="0"/>
          <w:sz w:val="30"/>
          <w:highlight w:val="none"/>
        </w:rPr>
      </w:pPr>
      <w:r>
        <w:rPr>
          <w:rStyle w:val="53"/>
          <w:rFonts w:ascii="宋体" w:eastAsia="宋体"/>
          <w:color w:val="auto"/>
          <w:spacing w:val="0"/>
          <w:kern w:val="0"/>
          <w:sz w:val="30"/>
          <w:highlight w:val="none"/>
        </w:rPr>
        <w:br w:type="page"/>
      </w:r>
      <w:r>
        <w:rPr>
          <w:rFonts w:hint="eastAsia" w:ascii="Times New Roman" w:hAnsi="Times New Roman" w:eastAsia="宋体" w:cs="Times New Roman"/>
          <w:b/>
          <w:color w:val="auto"/>
          <w:spacing w:val="0"/>
          <w:sz w:val="24"/>
          <w:szCs w:val="20"/>
          <w:highlight w:val="none"/>
        </w:rPr>
        <w:t>附件二：项目人员名单及人员应急退出机制</w:t>
      </w:r>
      <w:bookmarkEnd w:id="276"/>
      <w:bookmarkEnd w:id="277"/>
    </w:p>
    <w:p w14:paraId="0507BEF7">
      <w:pPr>
        <w:spacing w:line="360" w:lineRule="auto"/>
        <w:rPr>
          <w:rStyle w:val="53"/>
          <w:rFonts w:ascii="宋体" w:eastAsia="宋体"/>
          <w:color w:val="auto"/>
          <w:spacing w:val="0"/>
          <w:kern w:val="0"/>
          <w:highlight w:val="none"/>
        </w:rPr>
      </w:pPr>
    </w:p>
    <w:p w14:paraId="67CCB75A">
      <w:pPr>
        <w:spacing w:line="360" w:lineRule="auto"/>
        <w:ind w:firstLine="422" w:firstLineChars="200"/>
        <w:rPr>
          <w:rStyle w:val="53"/>
          <w:rFonts w:ascii="宋体" w:eastAsia="宋体"/>
          <w:b/>
          <w:color w:val="auto"/>
          <w:spacing w:val="0"/>
          <w:kern w:val="0"/>
          <w:highlight w:val="none"/>
        </w:rPr>
      </w:pPr>
      <w:r>
        <w:rPr>
          <w:rStyle w:val="53"/>
          <w:rFonts w:hint="eastAsia" w:ascii="宋体" w:eastAsia="宋体"/>
          <w:b/>
          <w:color w:val="auto"/>
          <w:spacing w:val="0"/>
          <w:kern w:val="0"/>
          <w:highlight w:val="none"/>
        </w:rPr>
        <w:t>一、项目人员名单</w:t>
      </w:r>
    </w:p>
    <w:p w14:paraId="58BA9D4A">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 xml:space="preserve">项目经理： </w:t>
      </w:r>
    </w:p>
    <w:p w14:paraId="5CD7B1F7">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技术骨干：</w:t>
      </w:r>
    </w:p>
    <w:p w14:paraId="5A6DEF95">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 xml:space="preserve">项目组成员： </w:t>
      </w:r>
    </w:p>
    <w:p w14:paraId="3E6B1BA7">
      <w:pPr>
        <w:spacing w:line="360" w:lineRule="auto"/>
        <w:ind w:firstLine="420" w:firstLineChars="200"/>
        <w:rPr>
          <w:rStyle w:val="53"/>
          <w:rFonts w:ascii="宋体" w:eastAsia="宋体"/>
          <w:color w:val="auto"/>
          <w:spacing w:val="0"/>
          <w:kern w:val="0"/>
          <w:highlight w:val="none"/>
        </w:rPr>
      </w:pPr>
    </w:p>
    <w:p w14:paraId="67A5C19C">
      <w:pPr>
        <w:spacing w:line="360" w:lineRule="auto"/>
        <w:ind w:firstLine="422" w:firstLineChars="200"/>
        <w:rPr>
          <w:rStyle w:val="53"/>
          <w:rFonts w:ascii="宋体" w:eastAsia="宋体"/>
          <w:b/>
          <w:color w:val="auto"/>
          <w:spacing w:val="0"/>
          <w:kern w:val="0"/>
          <w:highlight w:val="none"/>
        </w:rPr>
      </w:pPr>
      <w:r>
        <w:rPr>
          <w:rStyle w:val="53"/>
          <w:rFonts w:hint="eastAsia" w:ascii="宋体" w:eastAsia="宋体"/>
          <w:b/>
          <w:color w:val="auto"/>
          <w:spacing w:val="0"/>
          <w:kern w:val="0"/>
          <w:highlight w:val="none"/>
        </w:rPr>
        <w:t>二、人员应急退出机制</w:t>
      </w:r>
    </w:p>
    <w:p w14:paraId="7C696266">
      <w:pPr>
        <w:spacing w:line="360" w:lineRule="auto"/>
        <w:ind w:firstLine="420" w:firstLineChars="200"/>
        <w:rPr>
          <w:rStyle w:val="53"/>
          <w:rFonts w:ascii="宋体" w:eastAsia="宋体"/>
          <w:color w:val="auto"/>
          <w:spacing w:val="0"/>
          <w:kern w:val="0"/>
          <w:highlight w:val="none"/>
        </w:rPr>
      </w:pPr>
      <w:r>
        <w:rPr>
          <w:rStyle w:val="53"/>
          <w:rFonts w:hint="eastAsia" w:ascii="宋体" w:eastAsia="宋体"/>
          <w:color w:val="auto"/>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430F38DE">
      <w:pPr>
        <w:spacing w:line="360" w:lineRule="auto"/>
        <w:rPr>
          <w:rStyle w:val="53"/>
          <w:rFonts w:ascii="宋体" w:eastAsia="宋体"/>
          <w:color w:val="auto"/>
          <w:spacing w:val="0"/>
          <w:kern w:val="0"/>
          <w:highlight w:val="none"/>
        </w:rPr>
      </w:pPr>
      <w:r>
        <w:rPr>
          <w:rStyle w:val="53"/>
          <w:rFonts w:hint="eastAsia" w:ascii="宋体" w:eastAsia="宋体"/>
          <w:color w:val="auto"/>
          <w:spacing w:val="0"/>
          <w:kern w:val="0"/>
          <w:highlight w:val="none"/>
        </w:rPr>
        <w:t>备用项目经理：</w:t>
      </w:r>
    </w:p>
    <w:p w14:paraId="3FC9AF1D">
      <w:pPr>
        <w:spacing w:line="360" w:lineRule="auto"/>
        <w:rPr>
          <w:rStyle w:val="53"/>
          <w:rFonts w:ascii="宋体" w:eastAsia="宋体"/>
          <w:color w:val="auto"/>
          <w:spacing w:val="0"/>
          <w:kern w:val="0"/>
          <w:highlight w:val="none"/>
        </w:rPr>
      </w:pPr>
      <w:r>
        <w:rPr>
          <w:rStyle w:val="53"/>
          <w:rFonts w:hint="eastAsia" w:ascii="宋体" w:eastAsia="宋体"/>
          <w:color w:val="auto"/>
          <w:spacing w:val="0"/>
          <w:kern w:val="0"/>
          <w:highlight w:val="none"/>
        </w:rPr>
        <w:t>备用技术骨干：</w:t>
      </w:r>
    </w:p>
    <w:p w14:paraId="37E5D7CB">
      <w:pPr>
        <w:keepNext w:val="0"/>
        <w:keepLines w:val="0"/>
        <w:pageBreakBefore w:val="0"/>
        <w:widowControl w:val="0"/>
        <w:kinsoku/>
        <w:wordWrap/>
        <w:overflowPunct/>
        <w:topLinePunct w:val="0"/>
        <w:autoSpaceDE w:val="0"/>
        <w:autoSpaceDN w:val="0"/>
        <w:bidi w:val="0"/>
        <w:adjustRightInd/>
        <w:snapToGrid/>
        <w:spacing w:line="360" w:lineRule="auto"/>
        <w:ind w:firstLine="588" w:firstLineChars="196"/>
        <w:jc w:val="left"/>
        <w:textAlignment w:val="auto"/>
        <w:outlineLvl w:val="9"/>
        <w:rPr>
          <w:rStyle w:val="53"/>
          <w:rFonts w:ascii="宋体" w:eastAsia="宋体"/>
          <w:color w:val="auto"/>
          <w:spacing w:val="0"/>
          <w:kern w:val="0"/>
          <w:sz w:val="30"/>
          <w:highlight w:val="none"/>
        </w:rPr>
      </w:pPr>
      <w:r>
        <w:rPr>
          <w:rStyle w:val="53"/>
          <w:rFonts w:hint="eastAsia" w:ascii="宋体" w:eastAsia="宋体"/>
          <w:b w:val="0"/>
          <w:color w:val="auto"/>
          <w:spacing w:val="0"/>
          <w:kern w:val="0"/>
          <w:sz w:val="30"/>
          <w:highlight w:val="none"/>
        </w:rPr>
        <w:br w:type="page"/>
      </w:r>
      <w:bookmarkStart w:id="278" w:name="_Toc63757483"/>
      <w:bookmarkStart w:id="279" w:name="_Toc84948051"/>
      <w:r>
        <w:rPr>
          <w:rFonts w:hint="eastAsia" w:ascii="Times New Roman" w:hAnsi="Times New Roman" w:eastAsia="宋体" w:cs="Times New Roman"/>
          <w:b/>
          <w:color w:val="auto"/>
          <w:spacing w:val="0"/>
          <w:sz w:val="24"/>
          <w:szCs w:val="20"/>
          <w:highlight w:val="none"/>
        </w:rPr>
        <w:t>附件三：验收标准及流程</w:t>
      </w:r>
      <w:bookmarkEnd w:id="278"/>
      <w:bookmarkEnd w:id="279"/>
    </w:p>
    <w:p w14:paraId="54392071">
      <w:pPr>
        <w:spacing w:line="360" w:lineRule="auto"/>
        <w:ind w:firstLine="422" w:firstLineChars="200"/>
        <w:rPr>
          <w:rStyle w:val="53"/>
          <w:rFonts w:ascii="宋体" w:eastAsia="宋体"/>
          <w:color w:val="auto"/>
          <w:spacing w:val="0"/>
          <w:kern w:val="0"/>
          <w:highlight w:val="none"/>
        </w:rPr>
      </w:pPr>
      <w:r>
        <w:rPr>
          <w:rStyle w:val="53"/>
          <w:rFonts w:hint="eastAsia" w:ascii="宋体" w:eastAsia="宋体"/>
          <w:b/>
          <w:color w:val="auto"/>
          <w:spacing w:val="0"/>
          <w:kern w:val="0"/>
          <w:highlight w:val="none"/>
        </w:rPr>
        <w:t>一、验收标准</w:t>
      </w:r>
    </w:p>
    <w:p w14:paraId="20CA2427">
      <w:pPr>
        <w:numPr>
          <w:ilvl w:val="0"/>
          <w:numId w:val="42"/>
        </w:numPr>
        <w:spacing w:line="360" w:lineRule="auto"/>
        <w:ind w:left="732"/>
        <w:rPr>
          <w:rStyle w:val="53"/>
          <w:rFonts w:ascii="宋体" w:eastAsia="宋体"/>
          <w:color w:val="auto"/>
          <w:spacing w:val="0"/>
          <w:kern w:val="0"/>
          <w:highlight w:val="none"/>
        </w:rPr>
      </w:pPr>
      <w:r>
        <w:rPr>
          <w:rStyle w:val="53"/>
          <w:rFonts w:hint="eastAsia" w:ascii="宋体" w:eastAsia="宋体"/>
          <w:color w:val="auto"/>
          <w:spacing w:val="0"/>
          <w:kern w:val="0"/>
          <w:highlight w:val="none"/>
        </w:rPr>
        <w:t>验收系统须满足试运行期内项目产品运行稳定、无遗留问题。</w:t>
      </w:r>
    </w:p>
    <w:p w14:paraId="6BA5C0CF">
      <w:pPr>
        <w:numPr>
          <w:ilvl w:val="0"/>
          <w:numId w:val="42"/>
        </w:numPr>
        <w:spacing w:line="360" w:lineRule="auto"/>
        <w:ind w:left="732"/>
        <w:rPr>
          <w:rStyle w:val="53"/>
          <w:rFonts w:ascii="宋体" w:eastAsia="宋体"/>
          <w:color w:val="auto"/>
          <w:spacing w:val="0"/>
          <w:kern w:val="0"/>
          <w:highlight w:val="none"/>
        </w:rPr>
      </w:pPr>
      <w:r>
        <w:rPr>
          <w:rStyle w:val="53"/>
          <w:rFonts w:hint="eastAsia" w:ascii="宋体" w:eastAsia="宋体"/>
          <w:color w:val="auto"/>
          <w:spacing w:val="0"/>
          <w:kern w:val="0"/>
          <w:highlight w:val="none"/>
        </w:rPr>
        <w:t>项目知识及文档已全部完成转移。</w:t>
      </w:r>
    </w:p>
    <w:p w14:paraId="3F6E361E">
      <w:pPr>
        <w:numPr>
          <w:ilvl w:val="0"/>
          <w:numId w:val="42"/>
        </w:numPr>
        <w:spacing w:line="360" w:lineRule="auto"/>
        <w:ind w:left="732"/>
        <w:rPr>
          <w:rStyle w:val="53"/>
          <w:rFonts w:ascii="宋体" w:eastAsia="宋体"/>
          <w:color w:val="auto"/>
          <w:spacing w:val="0"/>
          <w:kern w:val="0"/>
          <w:highlight w:val="none"/>
        </w:rPr>
      </w:pPr>
      <w:r>
        <w:rPr>
          <w:rStyle w:val="53"/>
          <w:rFonts w:hint="eastAsia" w:ascii="宋体" w:eastAsia="宋体"/>
          <w:color w:val="auto"/>
          <w:spacing w:val="0"/>
          <w:kern w:val="0"/>
          <w:highlight w:val="none"/>
        </w:rPr>
        <w:t>验收交付物包括：</w:t>
      </w:r>
    </w:p>
    <w:p w14:paraId="08F07BF5">
      <w:pPr>
        <w:spacing w:line="360" w:lineRule="auto"/>
        <w:rPr>
          <w:rStyle w:val="53"/>
          <w:rFonts w:ascii="宋体" w:eastAsia="宋体"/>
          <w:iCs/>
          <w:color w:val="auto"/>
          <w:spacing w:val="0"/>
          <w:kern w:val="0"/>
          <w:highlight w:val="none"/>
        </w:rPr>
      </w:pPr>
      <w:r>
        <w:rPr>
          <w:rStyle w:val="53"/>
          <w:rFonts w:hint="eastAsia" w:ascii="宋体" w:eastAsia="宋体"/>
          <w:iCs/>
          <w:color w:val="auto"/>
          <w:spacing w:val="0"/>
          <w:kern w:val="0"/>
          <w:highlight w:val="none"/>
        </w:rPr>
        <w:t>《项目需求分析说明书》、《概要设计说明书》、《详细设计说明书》、《数据库设计说明书》、《系统安装部署手册》、《系统运行维护手册》、《用户操作手册》、《试运行报告》、《验收报告》</w:t>
      </w:r>
    </w:p>
    <w:p w14:paraId="231D2A59">
      <w:pPr>
        <w:spacing w:line="360" w:lineRule="auto"/>
        <w:rPr>
          <w:rStyle w:val="53"/>
          <w:rFonts w:ascii="宋体" w:eastAsia="宋体"/>
          <w:color w:val="auto"/>
          <w:spacing w:val="0"/>
          <w:kern w:val="0"/>
          <w:highlight w:val="none"/>
        </w:rPr>
      </w:pPr>
      <w:r>
        <w:rPr>
          <w:rStyle w:val="53"/>
          <w:rFonts w:hint="eastAsia" w:ascii="宋体" w:eastAsia="宋体"/>
          <w:color w:val="auto"/>
          <w:spacing w:val="0"/>
          <w:kern w:val="0"/>
          <w:highlight w:val="none"/>
        </w:rPr>
        <w:t>涉及数据迁移的，准备《数据迁移方案》；涉及兼容性方面的，准备《软件兼容性方案》；项目自负系统测试的，准备《系统测试计划》、《系统测试报告》、《性能测试报告》、《安全测试报告》；正文</w:t>
      </w:r>
      <w:r>
        <w:rPr>
          <w:rStyle w:val="53"/>
          <w:rFonts w:ascii="宋体" w:eastAsia="宋体"/>
          <w:color w:val="auto"/>
          <w:spacing w:val="0"/>
          <w:kern w:val="0"/>
          <w:highlight w:val="none"/>
        </w:rPr>
        <w:t>要求提供源代码</w:t>
      </w:r>
      <w:r>
        <w:rPr>
          <w:rStyle w:val="53"/>
          <w:rFonts w:hint="eastAsia" w:ascii="宋体" w:eastAsia="宋体"/>
          <w:color w:val="auto"/>
          <w:spacing w:val="0"/>
          <w:kern w:val="0"/>
          <w:highlight w:val="none"/>
        </w:rPr>
        <w:t>的</w:t>
      </w:r>
      <w:r>
        <w:rPr>
          <w:rStyle w:val="53"/>
          <w:rFonts w:ascii="宋体" w:eastAsia="宋体"/>
          <w:color w:val="auto"/>
          <w:spacing w:val="0"/>
          <w:kern w:val="0"/>
          <w:highlight w:val="none"/>
        </w:rPr>
        <w:t>，准备源代码</w:t>
      </w:r>
    </w:p>
    <w:p w14:paraId="65893864">
      <w:pPr>
        <w:spacing w:line="360" w:lineRule="auto"/>
        <w:rPr>
          <w:rStyle w:val="53"/>
          <w:rFonts w:ascii="宋体" w:eastAsia="宋体"/>
          <w:iCs/>
          <w:color w:val="auto"/>
          <w:spacing w:val="0"/>
          <w:kern w:val="0"/>
          <w:highlight w:val="none"/>
        </w:rPr>
      </w:pPr>
    </w:p>
    <w:p w14:paraId="07D91DDD">
      <w:pPr>
        <w:spacing w:line="360" w:lineRule="auto"/>
        <w:ind w:firstLine="422" w:firstLineChars="200"/>
        <w:rPr>
          <w:rStyle w:val="53"/>
          <w:rFonts w:ascii="宋体" w:eastAsia="宋体"/>
          <w:b/>
          <w:color w:val="auto"/>
          <w:spacing w:val="0"/>
          <w:kern w:val="0"/>
          <w:highlight w:val="none"/>
        </w:rPr>
      </w:pPr>
      <w:r>
        <w:rPr>
          <w:rStyle w:val="53"/>
          <w:rFonts w:hint="eastAsia" w:ascii="宋体" w:eastAsia="宋体"/>
          <w:b/>
          <w:color w:val="auto"/>
          <w:spacing w:val="0"/>
          <w:kern w:val="0"/>
          <w:highlight w:val="none"/>
        </w:rPr>
        <w:t>二、验收流程</w:t>
      </w:r>
    </w:p>
    <w:p w14:paraId="18C62A88">
      <w:pPr>
        <w:spacing w:line="360" w:lineRule="auto"/>
        <w:ind w:left="2" w:leftChars="1" w:firstLine="315" w:firstLineChars="150"/>
        <w:rPr>
          <w:rStyle w:val="53"/>
          <w:rFonts w:ascii="宋体" w:eastAsia="宋体"/>
          <w:color w:val="auto"/>
          <w:spacing w:val="0"/>
          <w:kern w:val="0"/>
          <w:highlight w:val="none"/>
        </w:rPr>
      </w:pPr>
      <w:r>
        <w:rPr>
          <w:rStyle w:val="53"/>
          <w:rFonts w:hint="eastAsia" w:ascii="宋体" w:eastAsia="宋体"/>
          <w:color w:val="auto"/>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946038F">
      <w:pPr>
        <w:spacing w:line="360" w:lineRule="auto"/>
        <w:ind w:left="-358"/>
        <w:rPr>
          <w:rStyle w:val="53"/>
          <w:rFonts w:ascii="宋体" w:eastAsia="宋体"/>
          <w:color w:val="auto"/>
          <w:spacing w:val="0"/>
          <w:kern w:val="0"/>
          <w:highlight w:val="none"/>
        </w:rPr>
      </w:pPr>
    </w:p>
    <w:p w14:paraId="4A7B43F0">
      <w:pPr>
        <w:keepNext w:val="0"/>
        <w:keepLines w:val="0"/>
        <w:pageBreakBefore w:val="0"/>
        <w:widowControl w:val="0"/>
        <w:kinsoku/>
        <w:wordWrap/>
        <w:overflowPunct/>
        <w:topLinePunct w:val="0"/>
        <w:autoSpaceDE w:val="0"/>
        <w:autoSpaceDN w:val="0"/>
        <w:bidi w:val="0"/>
        <w:adjustRightInd/>
        <w:snapToGrid/>
        <w:spacing w:line="360" w:lineRule="auto"/>
        <w:ind w:firstLine="588" w:firstLineChars="196"/>
        <w:jc w:val="left"/>
        <w:textAlignment w:val="auto"/>
        <w:outlineLvl w:val="9"/>
        <w:rPr>
          <w:rStyle w:val="53"/>
          <w:rFonts w:ascii="宋体" w:eastAsia="宋体"/>
          <w:color w:val="auto"/>
          <w:spacing w:val="0"/>
          <w:kern w:val="0"/>
          <w:sz w:val="30"/>
          <w:highlight w:val="none"/>
        </w:rPr>
      </w:pPr>
      <w:r>
        <w:rPr>
          <w:rStyle w:val="53"/>
          <w:rFonts w:hint="eastAsia" w:ascii="宋体" w:eastAsia="宋体"/>
          <w:b w:val="0"/>
          <w:color w:val="auto"/>
          <w:spacing w:val="0"/>
          <w:kern w:val="0"/>
          <w:sz w:val="30"/>
          <w:highlight w:val="none"/>
        </w:rPr>
        <w:br w:type="page"/>
      </w:r>
      <w:bookmarkStart w:id="280" w:name="_Toc63757484"/>
      <w:bookmarkStart w:id="281" w:name="_Toc84948052"/>
      <w:r>
        <w:rPr>
          <w:rFonts w:hint="eastAsia" w:ascii="Times New Roman" w:hAnsi="Times New Roman" w:eastAsia="宋体" w:cs="Times New Roman"/>
          <w:b/>
          <w:color w:val="auto"/>
          <w:spacing w:val="0"/>
          <w:sz w:val="24"/>
          <w:szCs w:val="20"/>
          <w:highlight w:val="none"/>
        </w:rPr>
        <w:t>附件四：维护服务条款</w:t>
      </w:r>
      <w:bookmarkEnd w:id="280"/>
      <w:bookmarkEnd w:id="281"/>
    </w:p>
    <w:p w14:paraId="5030C97D">
      <w:pPr>
        <w:spacing w:line="360" w:lineRule="auto"/>
        <w:rPr>
          <w:rStyle w:val="53"/>
          <w:rFonts w:ascii="宋体" w:eastAsia="宋体"/>
          <w:color w:val="auto"/>
          <w:spacing w:val="0"/>
          <w:kern w:val="0"/>
          <w:highlight w:val="none"/>
        </w:rPr>
      </w:pPr>
      <w:r>
        <w:rPr>
          <w:rStyle w:val="53"/>
          <w:rFonts w:hint="eastAsia" w:ascii="宋体" w:eastAsia="宋体"/>
          <w:color w:val="auto"/>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326B8A1C">
      <w:pPr>
        <w:numPr>
          <w:ilvl w:val="0"/>
          <w:numId w:val="43"/>
        </w:numPr>
        <w:tabs>
          <w:tab w:val="left" w:pos="420"/>
          <w:tab w:val="clear" w:pos="0"/>
        </w:tabs>
        <w:spacing w:line="360" w:lineRule="auto"/>
        <w:ind w:firstLineChars="0"/>
        <w:rPr>
          <w:rStyle w:val="53"/>
          <w:rFonts w:ascii="宋体" w:eastAsia="宋体"/>
          <w:color w:val="auto"/>
          <w:spacing w:val="0"/>
          <w:highlight w:val="none"/>
        </w:rPr>
      </w:pPr>
      <w:r>
        <w:rPr>
          <w:rStyle w:val="53"/>
          <w:rFonts w:hint="eastAsia" w:ascii="宋体" w:eastAsia="宋体"/>
          <w:color w:val="auto"/>
          <w:spacing w:val="0"/>
          <w:highlight w:val="none"/>
        </w:rPr>
        <w:t>系统正式验收通过，上线后提供三个月免费人员现场驻场维护，</w:t>
      </w:r>
      <w:r>
        <w:rPr>
          <w:rFonts w:hint="eastAsia" w:ascii="宋体" w:eastAsia="宋体"/>
          <w:color w:val="auto"/>
          <w:spacing w:val="0"/>
          <w:kern w:val="0"/>
          <w:highlight w:val="none"/>
        </w:rPr>
        <w:t>正式</w:t>
      </w:r>
      <w:r>
        <w:rPr>
          <w:rFonts w:hint="eastAsia" w:ascii="宋体" w:eastAsia="宋体"/>
          <w:color w:val="auto"/>
          <w:spacing w:val="0"/>
          <w:highlight w:val="none"/>
        </w:rPr>
        <w:t>验收合格次日</w:t>
      </w:r>
      <w:r>
        <w:rPr>
          <w:rStyle w:val="53"/>
          <w:rFonts w:hint="eastAsia" w:ascii="宋体" w:eastAsia="宋体"/>
          <w:color w:val="auto"/>
          <w:spacing w:val="0"/>
          <w:highlight w:val="none"/>
        </w:rPr>
        <w:t>至次年</w:t>
      </w:r>
      <w:r>
        <w:rPr>
          <w:rFonts w:hint="eastAsia" w:ascii="宋体" w:eastAsia="宋体"/>
          <w:color w:val="auto"/>
          <w:spacing w:val="0"/>
          <w:highlight w:val="none"/>
        </w:rPr>
        <w:t>并延期至6月30日或12月31日中较近日期（即维保延期最长不超过半年）</w:t>
      </w:r>
      <w:r>
        <w:rPr>
          <w:rStyle w:val="53"/>
          <w:rFonts w:hint="eastAsia" w:ascii="宋体" w:eastAsia="宋体"/>
          <w:color w:val="auto"/>
          <w:spacing w:val="0"/>
          <w:highlight w:val="none"/>
        </w:rPr>
        <w:t>提供支持和服务。</w:t>
      </w:r>
    </w:p>
    <w:p w14:paraId="0DA9CDA9">
      <w:pPr>
        <w:numPr>
          <w:ilvl w:val="0"/>
          <w:numId w:val="43"/>
        </w:numPr>
        <w:tabs>
          <w:tab w:val="left" w:pos="420"/>
          <w:tab w:val="clear" w:pos="0"/>
        </w:tabs>
        <w:spacing w:line="360" w:lineRule="auto"/>
        <w:ind w:firstLineChars="0"/>
        <w:rPr>
          <w:rStyle w:val="53"/>
          <w:rFonts w:ascii="宋体" w:eastAsia="宋体"/>
          <w:color w:val="auto"/>
          <w:spacing w:val="0"/>
          <w:highlight w:val="none"/>
        </w:rPr>
      </w:pPr>
      <w:r>
        <w:rPr>
          <w:rStyle w:val="53"/>
          <w:rFonts w:hint="eastAsia" w:ascii="宋体" w:eastAsia="宋体"/>
          <w:color w:val="auto"/>
          <w:spacing w:val="0"/>
          <w:highlight w:val="none"/>
        </w:rPr>
        <w:t>维护期内，提供平台升级及优化服务。</w:t>
      </w:r>
    </w:p>
    <w:p w14:paraId="54601775">
      <w:pPr>
        <w:numPr>
          <w:ilvl w:val="0"/>
          <w:numId w:val="43"/>
        </w:numPr>
        <w:tabs>
          <w:tab w:val="left" w:pos="420"/>
          <w:tab w:val="clear" w:pos="0"/>
        </w:tabs>
        <w:spacing w:line="360" w:lineRule="auto"/>
        <w:ind w:firstLineChars="0"/>
        <w:rPr>
          <w:rStyle w:val="53"/>
          <w:rFonts w:ascii="宋体" w:eastAsia="宋体"/>
          <w:color w:val="auto"/>
          <w:spacing w:val="0"/>
          <w:highlight w:val="none"/>
        </w:rPr>
      </w:pPr>
      <w:r>
        <w:rPr>
          <w:rStyle w:val="53"/>
          <w:rFonts w:hint="eastAsia" w:ascii="宋体" w:eastAsia="宋体"/>
          <w:color w:val="auto"/>
          <w:spacing w:val="0"/>
          <w:highlight w:val="none"/>
        </w:rPr>
        <w:t>系统上线后，提供二次系统和产品的培训，时间为每次1天。在维护期内，也可以根据用户需求，随时到客户现场进行系统和产品的培训。</w:t>
      </w:r>
    </w:p>
    <w:p w14:paraId="5FDB194E">
      <w:pPr>
        <w:numPr>
          <w:ilvl w:val="0"/>
          <w:numId w:val="43"/>
        </w:numPr>
        <w:tabs>
          <w:tab w:val="left" w:pos="420"/>
          <w:tab w:val="clear" w:pos="0"/>
        </w:tabs>
        <w:spacing w:line="360" w:lineRule="auto"/>
        <w:ind w:firstLineChars="0"/>
        <w:rPr>
          <w:rFonts w:ascii="宋体" w:eastAsia="宋体"/>
          <w:color w:val="auto"/>
          <w:spacing w:val="0"/>
          <w:highlight w:val="none"/>
        </w:rPr>
      </w:pPr>
      <w:r>
        <w:rPr>
          <w:rStyle w:val="53"/>
          <w:rFonts w:hint="eastAsia" w:ascii="宋体" w:eastAsia="宋体"/>
          <w:color w:val="auto"/>
          <w:spacing w:val="0"/>
          <w:highlight w:val="none"/>
        </w:rPr>
        <w:t>维护期内，每季度派工程师现场巡检一次，并在巡检后提交巡检报告，针对巡检中发现的问题立即组织整改。</w:t>
      </w:r>
    </w:p>
    <w:p w14:paraId="3CE8E3E2">
      <w:pPr>
        <w:spacing w:line="360" w:lineRule="auto"/>
        <w:rPr>
          <w:rFonts w:ascii="宋体" w:eastAsia="宋体"/>
          <w:color w:val="auto"/>
          <w:spacing w:val="0"/>
          <w:highlight w:val="none"/>
        </w:rPr>
      </w:pPr>
      <w:r>
        <w:rPr>
          <w:rFonts w:hint="eastAsia" w:ascii="宋体" w:eastAsia="宋体"/>
          <w:color w:val="auto"/>
          <w:spacing w:val="0"/>
          <w:highlight w:val="none"/>
        </w:rPr>
        <w:t>支持方式和手段</w:t>
      </w:r>
    </w:p>
    <w:p w14:paraId="07498A54">
      <w:pPr>
        <w:numPr>
          <w:ilvl w:val="0"/>
          <w:numId w:val="44"/>
        </w:numPr>
        <w:tabs>
          <w:tab w:val="left" w:pos="420"/>
          <w:tab w:val="clear" w:pos="0"/>
        </w:tabs>
        <w:spacing w:line="360" w:lineRule="auto"/>
        <w:ind w:firstLineChars="0"/>
        <w:rPr>
          <w:rFonts w:ascii="宋体" w:eastAsia="宋体"/>
          <w:color w:val="auto"/>
          <w:spacing w:val="0"/>
          <w:highlight w:val="none"/>
        </w:rPr>
      </w:pPr>
      <w:r>
        <w:rPr>
          <w:rFonts w:hint="eastAsia" w:ascii="宋体" w:eastAsia="宋体"/>
          <w:color w:val="auto"/>
          <w:spacing w:val="0"/>
          <w:highlight w:val="none"/>
        </w:rPr>
        <w:t>热线电话</w:t>
      </w:r>
      <w:r>
        <w:rPr>
          <w:rFonts w:hint="eastAsia" w:ascii="宋体" w:eastAsia="宋体"/>
          <w:color w:val="auto"/>
          <w:spacing w:val="0"/>
          <w:highlight w:val="none"/>
        </w:rPr>
        <w:br w:type="textWrapping"/>
      </w:r>
      <w:r>
        <w:rPr>
          <w:rFonts w:hint="eastAsia" w:ascii="宋体" w:eastAsia="宋体"/>
          <w:color w:val="auto"/>
          <w:spacing w:val="0"/>
          <w:highlight w:val="none"/>
        </w:rPr>
        <w:t>针对具体业务过程中产生的各种技术咨询，开设专线，提供7*24小时的技术服务支持。</w:t>
      </w:r>
    </w:p>
    <w:p w14:paraId="3E8862CD">
      <w:pPr>
        <w:numPr>
          <w:ilvl w:val="0"/>
          <w:numId w:val="44"/>
        </w:numPr>
        <w:tabs>
          <w:tab w:val="left" w:pos="420"/>
          <w:tab w:val="clear" w:pos="0"/>
        </w:tabs>
        <w:spacing w:line="360" w:lineRule="auto"/>
        <w:ind w:firstLineChars="0"/>
        <w:rPr>
          <w:rFonts w:ascii="宋体" w:eastAsia="宋体"/>
          <w:color w:val="auto"/>
          <w:spacing w:val="0"/>
          <w:highlight w:val="none"/>
        </w:rPr>
      </w:pPr>
      <w:r>
        <w:rPr>
          <w:rFonts w:hint="eastAsia" w:ascii="宋体" w:eastAsia="宋体"/>
          <w:color w:val="auto"/>
          <w:spacing w:val="0"/>
          <w:highlight w:val="none"/>
        </w:rPr>
        <w:t>E-mail</w:t>
      </w:r>
      <w:r>
        <w:rPr>
          <w:rFonts w:hint="eastAsia" w:ascii="宋体" w:eastAsia="宋体"/>
          <w:color w:val="auto"/>
          <w:spacing w:val="0"/>
          <w:highlight w:val="none"/>
        </w:rPr>
        <w:br w:type="textWrapping"/>
      </w:r>
      <w:r>
        <w:rPr>
          <w:rFonts w:hint="eastAsia" w:ascii="宋体" w:eastAsia="宋体"/>
          <w:color w:val="auto"/>
          <w:spacing w:val="0"/>
          <w:highlight w:val="none"/>
        </w:rPr>
        <w:t>客户建议、意见及技术支持同样可以通过</w:t>
      </w:r>
      <w:r>
        <w:rPr>
          <w:rFonts w:hint="eastAsia" w:ascii="宋体" w:eastAsia="宋体"/>
          <w:color w:val="auto"/>
          <w:spacing w:val="0"/>
          <w:highlight w:val="none"/>
          <w:u w:val="single"/>
        </w:rPr>
        <w:t xml:space="preserve">    XXXXX公司（乙方）  </w:t>
      </w:r>
      <w:r>
        <w:rPr>
          <w:rFonts w:hint="eastAsia" w:ascii="宋体" w:eastAsia="宋体"/>
          <w:color w:val="auto"/>
          <w:spacing w:val="0"/>
          <w:highlight w:val="none"/>
        </w:rPr>
        <w:t>提供的服务支持电子信箱获得响应，我们将做出详细、全面的服务解答，在半天内给予E-mail回复。</w:t>
      </w:r>
    </w:p>
    <w:p w14:paraId="1B9B6913">
      <w:pPr>
        <w:numPr>
          <w:ilvl w:val="0"/>
          <w:numId w:val="44"/>
        </w:numPr>
        <w:tabs>
          <w:tab w:val="left" w:pos="420"/>
          <w:tab w:val="clear" w:pos="0"/>
        </w:tabs>
        <w:spacing w:line="360" w:lineRule="auto"/>
        <w:ind w:firstLineChars="0"/>
        <w:rPr>
          <w:rFonts w:ascii="宋体" w:eastAsia="宋体"/>
          <w:color w:val="auto"/>
          <w:spacing w:val="0"/>
          <w:highlight w:val="none"/>
        </w:rPr>
      </w:pPr>
      <w:r>
        <w:rPr>
          <w:rFonts w:hint="eastAsia" w:ascii="宋体" w:eastAsia="宋体"/>
          <w:color w:val="auto"/>
          <w:spacing w:val="0"/>
          <w:highlight w:val="none"/>
        </w:rPr>
        <w:t>远程登录</w:t>
      </w:r>
      <w:r>
        <w:rPr>
          <w:rFonts w:hint="eastAsia" w:ascii="宋体" w:eastAsia="宋体"/>
          <w:color w:val="auto"/>
          <w:spacing w:val="0"/>
          <w:highlight w:val="none"/>
        </w:rPr>
        <w:br w:type="textWrapping"/>
      </w:r>
      <w:r>
        <w:rPr>
          <w:rFonts w:hint="eastAsia" w:ascii="宋体" w:eastAsia="宋体"/>
          <w:color w:val="auto"/>
          <w:spacing w:val="0"/>
          <w:highlight w:val="none"/>
        </w:rPr>
        <w:t>对客户所遇到技术问题可以在客户条件许可的情况下进行远程访问排除故障，以方便客户能够及时解决疑难杂症。</w:t>
      </w:r>
    </w:p>
    <w:p w14:paraId="2ACEEBFF">
      <w:pPr>
        <w:numPr>
          <w:ilvl w:val="0"/>
          <w:numId w:val="44"/>
        </w:numPr>
        <w:tabs>
          <w:tab w:val="left" w:pos="420"/>
          <w:tab w:val="clear" w:pos="0"/>
        </w:tabs>
        <w:spacing w:line="360" w:lineRule="auto"/>
        <w:ind w:firstLineChars="0"/>
        <w:rPr>
          <w:rFonts w:ascii="宋体" w:eastAsia="宋体"/>
          <w:color w:val="auto"/>
          <w:spacing w:val="0"/>
          <w:highlight w:val="none"/>
        </w:rPr>
      </w:pPr>
      <w:r>
        <w:rPr>
          <w:rFonts w:hint="eastAsia" w:ascii="宋体" w:eastAsia="宋体"/>
          <w:color w:val="auto"/>
          <w:spacing w:val="0"/>
          <w:highlight w:val="none"/>
        </w:rPr>
        <w:t>现场支持</w:t>
      </w:r>
      <w:r>
        <w:rPr>
          <w:rFonts w:hint="eastAsia" w:ascii="宋体" w:eastAsia="宋体"/>
          <w:color w:val="auto"/>
          <w:spacing w:val="0"/>
          <w:highlight w:val="none"/>
        </w:rPr>
        <w:br w:type="textWrapping"/>
      </w:r>
      <w:r>
        <w:rPr>
          <w:rFonts w:hint="eastAsia" w:ascii="宋体" w:eastAsia="宋体"/>
          <w:color w:val="auto"/>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7E0D4E7B">
      <w:pPr>
        <w:numPr>
          <w:ilvl w:val="0"/>
          <w:numId w:val="44"/>
        </w:numPr>
        <w:tabs>
          <w:tab w:val="left" w:pos="420"/>
          <w:tab w:val="clear" w:pos="0"/>
        </w:tabs>
        <w:spacing w:line="360" w:lineRule="auto"/>
        <w:ind w:firstLineChars="0"/>
        <w:rPr>
          <w:rFonts w:ascii="宋体" w:eastAsia="宋体"/>
          <w:color w:val="auto"/>
          <w:spacing w:val="0"/>
          <w:highlight w:val="none"/>
        </w:rPr>
      </w:pPr>
      <w:r>
        <w:rPr>
          <w:rFonts w:hint="eastAsia" w:ascii="宋体" w:eastAsia="宋体"/>
          <w:color w:val="auto"/>
          <w:spacing w:val="0"/>
          <w:highlight w:val="none"/>
        </w:rPr>
        <w:t>运行日志定期检查</w:t>
      </w:r>
      <w:r>
        <w:rPr>
          <w:rFonts w:hint="eastAsia" w:ascii="宋体" w:eastAsia="宋体"/>
          <w:color w:val="auto"/>
          <w:spacing w:val="0"/>
          <w:highlight w:val="none"/>
        </w:rPr>
        <w:br w:type="textWrapping"/>
      </w:r>
      <w:r>
        <w:rPr>
          <w:rFonts w:hint="eastAsia" w:ascii="宋体" w:eastAsia="宋体"/>
          <w:color w:val="auto"/>
          <w:spacing w:val="0"/>
          <w:highlight w:val="none"/>
        </w:rPr>
        <w:t>最好的服务方式是提前发现问题，将问题解决于发生前，在</w:t>
      </w:r>
      <w:r>
        <w:rPr>
          <w:rStyle w:val="53"/>
          <w:rFonts w:hint="eastAsia" w:ascii="宋体" w:eastAsia="宋体"/>
          <w:color w:val="auto"/>
          <w:spacing w:val="0"/>
          <w:kern w:val="0"/>
          <w:highlight w:val="none"/>
        </w:rPr>
        <w:t>乙方</w:t>
      </w:r>
      <w:r>
        <w:rPr>
          <w:rFonts w:hint="eastAsia" w:ascii="宋体" w:eastAsia="宋体"/>
          <w:color w:val="auto"/>
          <w:spacing w:val="0"/>
          <w:highlight w:val="none"/>
        </w:rPr>
        <w:t>实施的系统中，提供了相关的运行日志，通过和客户的协商，通过客户定期提供的运行日志，可实现定期的日志检查，可以提前发现系统的运行问题，以起到防患于未然的效果。</w:t>
      </w:r>
    </w:p>
    <w:p w14:paraId="0F0C3794">
      <w:pPr>
        <w:numPr>
          <w:ilvl w:val="0"/>
          <w:numId w:val="44"/>
        </w:numPr>
        <w:tabs>
          <w:tab w:val="left" w:pos="420"/>
          <w:tab w:val="clear" w:pos="0"/>
        </w:tabs>
        <w:spacing w:line="360" w:lineRule="auto"/>
        <w:ind w:firstLineChars="0"/>
        <w:rPr>
          <w:rFonts w:ascii="宋体" w:eastAsia="宋体"/>
          <w:color w:val="auto"/>
          <w:spacing w:val="0"/>
          <w:highlight w:val="none"/>
        </w:rPr>
      </w:pPr>
      <w:r>
        <w:rPr>
          <w:rFonts w:hint="eastAsia" w:ascii="宋体" w:eastAsia="宋体"/>
          <w:color w:val="auto"/>
          <w:spacing w:val="0"/>
          <w:highlight w:val="none"/>
        </w:rPr>
        <w:t>故障处理流程</w:t>
      </w:r>
    </w:p>
    <w:p w14:paraId="4FE839B2">
      <w:pPr>
        <w:spacing w:line="360" w:lineRule="auto"/>
        <w:ind w:left="420"/>
        <w:rPr>
          <w:rFonts w:ascii="宋体" w:eastAsia="宋体"/>
          <w:color w:val="auto"/>
          <w:spacing w:val="0"/>
          <w:highlight w:val="none"/>
        </w:rPr>
        <w:sectPr>
          <w:headerReference r:id="rId8" w:type="first"/>
          <w:footerReference r:id="rId11" w:type="first"/>
          <w:headerReference r:id="rId7" w:type="default"/>
          <w:footerReference r:id="rId9" w:type="default"/>
          <w:footerReference r:id="rId10" w:type="even"/>
          <w:pgSz w:w="11906" w:h="16838"/>
          <w:pgMar w:top="1440" w:right="1797" w:bottom="1440" w:left="1797" w:header="851" w:footer="992" w:gutter="0"/>
          <w:cols w:space="720" w:num="1"/>
          <w:docGrid w:type="lines" w:linePitch="326" w:charSpace="-4299"/>
        </w:sectPr>
      </w:pPr>
      <w:r>
        <w:rPr>
          <w:rFonts w:hint="eastAsia" w:ascii="宋体" w:eastAsia="宋体"/>
          <w:color w:val="auto"/>
          <w:spacing w:val="0"/>
          <w:highlight w:val="none"/>
        </w:rPr>
        <w:t>通过现象定位错误原因，编写处理说明书（包含处理完成时间）。</w:t>
      </w:r>
    </w:p>
    <w:p w14:paraId="3A1CC8D3">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bookmarkStart w:id="282" w:name="_Toc63757485"/>
      <w:bookmarkStart w:id="283" w:name="_Toc84948053"/>
      <w:r>
        <w:rPr>
          <w:rFonts w:hint="eastAsia" w:ascii="Times New Roman" w:hAnsi="Times New Roman" w:eastAsia="宋体" w:cs="Times New Roman"/>
          <w:b/>
          <w:color w:val="auto"/>
          <w:spacing w:val="0"/>
          <w:sz w:val="24"/>
          <w:szCs w:val="20"/>
          <w:highlight w:val="none"/>
        </w:rPr>
        <w:t>附件五：服务水平协议（SLA）</w:t>
      </w:r>
      <w:bookmarkEnd w:id="282"/>
      <w:bookmarkEnd w:id="283"/>
    </w:p>
    <w:p w14:paraId="6AE18128">
      <w:pPr>
        <w:rPr>
          <w:rFonts w:ascii="宋体" w:eastAsia="宋体"/>
          <w:b/>
          <w:bCs/>
          <w:color w:val="auto"/>
          <w:spacing w:val="0"/>
          <w:szCs w:val="24"/>
          <w:highlight w:val="none"/>
        </w:rPr>
      </w:pPr>
      <w:bookmarkStart w:id="284" w:name="_Toc254884639"/>
      <w:r>
        <w:rPr>
          <w:rFonts w:hint="eastAsia" w:ascii="宋体" w:eastAsia="宋体"/>
          <w:b/>
          <w:bCs/>
          <w:color w:val="auto"/>
          <w:spacing w:val="0"/>
          <w:kern w:val="32"/>
          <w:szCs w:val="24"/>
          <w:highlight w:val="none"/>
        </w:rPr>
        <w:t>1. 目标</w:t>
      </w:r>
      <w:bookmarkEnd w:id="284"/>
    </w:p>
    <w:p w14:paraId="63472542">
      <w:pPr>
        <w:spacing w:line="360" w:lineRule="auto"/>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本服务水平协议（SLA）的目标是为了清晰地定义由X</w:t>
      </w:r>
      <w:r>
        <w:rPr>
          <w:rFonts w:ascii="宋体" w:eastAsia="宋体"/>
          <w:color w:val="auto"/>
          <w:spacing w:val="0"/>
          <w:szCs w:val="24"/>
          <w:highlight w:val="none"/>
        </w:rPr>
        <w:t>XXXXXXXXXXXXXXXXXX</w:t>
      </w:r>
      <w:r>
        <w:rPr>
          <w:rFonts w:hint="eastAsia" w:ascii="宋体" w:eastAsia="宋体"/>
          <w:color w:val="auto"/>
          <w:spacing w:val="0"/>
          <w:szCs w:val="24"/>
          <w:highlight w:val="none"/>
        </w:rPr>
        <w:t>公司（乙方）在本项目中为重庆三峡银行（甲方）提供的服务水平，本SLA主要：</w:t>
      </w:r>
    </w:p>
    <w:p w14:paraId="69D19580">
      <w:pPr>
        <w:widowControl/>
        <w:numPr>
          <w:ilvl w:val="0"/>
          <w:numId w:val="45"/>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明确甲方对外包乙方所提供服务水平的期望</w:t>
      </w:r>
    </w:p>
    <w:p w14:paraId="1F83ECBF">
      <w:pPr>
        <w:widowControl/>
        <w:numPr>
          <w:ilvl w:val="0"/>
          <w:numId w:val="45"/>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规范和加强甲方对乙方所提供服务水平的控制</w:t>
      </w:r>
    </w:p>
    <w:p w14:paraId="3B2D88ED">
      <w:pPr>
        <w:spacing w:line="360" w:lineRule="auto"/>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双方将针对本项目制定明确的职责分工表用来确定计划和管理服务水平协议的角色和职责。</w:t>
      </w:r>
    </w:p>
    <w:p w14:paraId="01156F96">
      <w:pPr>
        <w:rPr>
          <w:rFonts w:ascii="宋体" w:eastAsia="宋体"/>
          <w:b/>
          <w:bCs/>
          <w:color w:val="auto"/>
          <w:spacing w:val="0"/>
          <w:kern w:val="32"/>
          <w:szCs w:val="24"/>
          <w:highlight w:val="none"/>
        </w:rPr>
      </w:pPr>
      <w:bookmarkStart w:id="285" w:name="_Toc254884640"/>
      <w:r>
        <w:rPr>
          <w:rFonts w:hint="eastAsia" w:ascii="宋体" w:eastAsia="宋体"/>
          <w:b/>
          <w:bCs/>
          <w:color w:val="auto"/>
          <w:spacing w:val="0"/>
          <w:kern w:val="32"/>
          <w:szCs w:val="24"/>
          <w:highlight w:val="none"/>
        </w:rPr>
        <w:t>2. 协议期限</w:t>
      </w:r>
      <w:bookmarkEnd w:id="285"/>
    </w:p>
    <w:p w14:paraId="008629E4">
      <w:pPr>
        <w:spacing w:line="360" w:lineRule="auto"/>
        <w:ind w:firstLine="371" w:firstLineChars="177"/>
        <w:rPr>
          <w:rFonts w:ascii="宋体" w:eastAsia="宋体"/>
          <w:color w:val="auto"/>
          <w:spacing w:val="0"/>
          <w:szCs w:val="24"/>
          <w:highlight w:val="none"/>
        </w:rPr>
      </w:pPr>
      <w:r>
        <w:rPr>
          <w:rFonts w:hint="eastAsia" w:ascii="宋体" w:eastAsia="宋体"/>
          <w:color w:val="auto"/>
          <w:spacing w:val="0"/>
          <w:szCs w:val="24"/>
          <w:highlight w:val="none"/>
        </w:rPr>
        <w:t>根据双方达成的一致要求，本协议的有效期从本项目实施之日起到合同正文</w:t>
      </w:r>
      <w:r>
        <w:rPr>
          <w:rFonts w:hint="eastAsia" w:ascii="宋体" w:eastAsia="宋体"/>
          <w:color w:val="auto"/>
          <w:spacing w:val="0"/>
          <w:highlight w:val="none"/>
        </w:rPr>
        <w:t>6.1承诺的</w:t>
      </w:r>
      <w:r>
        <w:rPr>
          <w:rFonts w:hint="eastAsia" w:ascii="宋体" w:eastAsia="宋体"/>
          <w:color w:val="auto"/>
          <w:spacing w:val="0"/>
          <w:szCs w:val="24"/>
          <w:highlight w:val="none"/>
        </w:rPr>
        <w:t>维护期结束。</w:t>
      </w:r>
    </w:p>
    <w:p w14:paraId="2BF564F3">
      <w:pPr>
        <w:rPr>
          <w:rFonts w:ascii="宋体" w:eastAsia="宋体"/>
          <w:b/>
          <w:bCs/>
          <w:color w:val="auto"/>
          <w:spacing w:val="0"/>
          <w:kern w:val="32"/>
          <w:szCs w:val="24"/>
          <w:highlight w:val="none"/>
        </w:rPr>
      </w:pPr>
      <w:bookmarkStart w:id="286" w:name="_Toc254884641"/>
      <w:r>
        <w:rPr>
          <w:rFonts w:hint="eastAsia" w:ascii="宋体" w:eastAsia="宋体"/>
          <w:b/>
          <w:bCs/>
          <w:color w:val="auto"/>
          <w:spacing w:val="0"/>
          <w:kern w:val="32"/>
          <w:szCs w:val="24"/>
          <w:highlight w:val="none"/>
        </w:rPr>
        <w:t>3. 双方职责</w:t>
      </w:r>
      <w:bookmarkEnd w:id="286"/>
    </w:p>
    <w:p w14:paraId="6D09BC7C">
      <w:pPr>
        <w:rPr>
          <w:rFonts w:ascii="宋体" w:eastAsia="宋体"/>
          <w:b/>
          <w:bCs/>
          <w:color w:val="auto"/>
          <w:spacing w:val="0"/>
          <w:kern w:val="32"/>
          <w:szCs w:val="24"/>
          <w:highlight w:val="none"/>
        </w:rPr>
      </w:pPr>
      <w:bookmarkStart w:id="287" w:name="_Toc254884642"/>
      <w:r>
        <w:rPr>
          <w:rFonts w:hint="eastAsia" w:ascii="宋体" w:eastAsia="宋体"/>
          <w:b/>
          <w:bCs/>
          <w:color w:val="auto"/>
          <w:spacing w:val="0"/>
          <w:kern w:val="32"/>
          <w:szCs w:val="24"/>
          <w:highlight w:val="none"/>
        </w:rPr>
        <w:t>3.1乙方</w:t>
      </w:r>
      <w:bookmarkEnd w:id="287"/>
    </w:p>
    <w:p w14:paraId="6F90444E">
      <w:pPr>
        <w:spacing w:line="360" w:lineRule="auto"/>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除本协议描述的服务水平衡量和目标外，乙方还应：</w:t>
      </w:r>
    </w:p>
    <w:p w14:paraId="3410C457">
      <w:pPr>
        <w:widowControl/>
        <w:numPr>
          <w:ilvl w:val="0"/>
          <w:numId w:val="45"/>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尽快向甲方管理层汇报发现的问题；</w:t>
      </w:r>
    </w:p>
    <w:p w14:paraId="08E401D1">
      <w:pPr>
        <w:widowControl/>
        <w:numPr>
          <w:ilvl w:val="0"/>
          <w:numId w:val="45"/>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任何可能影响SLA中规定服务的服务能力的事件，乙方应尽早向甲方提供预警信息，以及可能的影响和处置措施。事件包括：</w:t>
      </w:r>
    </w:p>
    <w:p w14:paraId="082F2A88">
      <w:pPr>
        <w:widowControl/>
        <w:numPr>
          <w:ilvl w:val="0"/>
          <w:numId w:val="46"/>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组织架构变更</w:t>
      </w:r>
    </w:p>
    <w:p w14:paraId="3AC8C714">
      <w:pPr>
        <w:widowControl/>
        <w:numPr>
          <w:ilvl w:val="0"/>
          <w:numId w:val="46"/>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技术变更</w:t>
      </w:r>
    </w:p>
    <w:p w14:paraId="493BE522">
      <w:pPr>
        <w:widowControl/>
        <w:numPr>
          <w:ilvl w:val="0"/>
          <w:numId w:val="46"/>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职能变更</w:t>
      </w:r>
    </w:p>
    <w:p w14:paraId="50D59CA2">
      <w:pPr>
        <w:widowControl/>
        <w:numPr>
          <w:ilvl w:val="0"/>
          <w:numId w:val="46"/>
        </w:numPr>
        <w:spacing w:line="360" w:lineRule="auto"/>
        <w:ind w:firstLineChars="0"/>
        <w:jc w:val="left"/>
        <w:rPr>
          <w:rFonts w:ascii="宋体" w:eastAsia="宋体"/>
          <w:color w:val="auto"/>
          <w:spacing w:val="0"/>
          <w:szCs w:val="24"/>
          <w:highlight w:val="none"/>
        </w:rPr>
      </w:pPr>
      <w:r>
        <w:rPr>
          <w:rFonts w:ascii="宋体" w:eastAsia="宋体"/>
          <w:color w:val="auto"/>
          <w:spacing w:val="0"/>
          <w:szCs w:val="24"/>
          <w:highlight w:val="none"/>
        </w:rPr>
        <w:t>其他可能影响对甲方服务的突发事件</w:t>
      </w:r>
    </w:p>
    <w:p w14:paraId="1C38E17F">
      <w:pPr>
        <w:widowControl/>
        <w:numPr>
          <w:ilvl w:val="0"/>
          <w:numId w:val="45"/>
        </w:numPr>
        <w:spacing w:line="360" w:lineRule="auto"/>
        <w:ind w:left="709" w:hanging="229" w:firstLineChars="0"/>
        <w:jc w:val="left"/>
        <w:rPr>
          <w:rFonts w:ascii="宋体" w:eastAsia="宋体"/>
          <w:color w:val="auto"/>
          <w:spacing w:val="0"/>
          <w:szCs w:val="24"/>
          <w:highlight w:val="none"/>
        </w:rPr>
      </w:pPr>
      <w:r>
        <w:rPr>
          <w:rFonts w:hint="eastAsia" w:ascii="宋体" w:eastAsia="宋体"/>
          <w:color w:val="auto"/>
          <w:spacing w:val="0"/>
          <w:szCs w:val="24"/>
          <w:highlight w:val="none"/>
        </w:rPr>
        <w:t>协助甲方及时解决生产事件。当问题产生时，应尽快采取适当的措施识别并修复问题。</w:t>
      </w:r>
    </w:p>
    <w:p w14:paraId="4705B4F4">
      <w:pPr>
        <w:rPr>
          <w:rFonts w:ascii="宋体" w:eastAsia="宋体"/>
          <w:color w:val="auto"/>
          <w:spacing w:val="0"/>
          <w:szCs w:val="24"/>
          <w:highlight w:val="none"/>
        </w:rPr>
      </w:pPr>
    </w:p>
    <w:p w14:paraId="3CED4FC0">
      <w:pPr>
        <w:rPr>
          <w:rFonts w:ascii="宋体" w:eastAsia="宋体"/>
          <w:b/>
          <w:bCs/>
          <w:color w:val="auto"/>
          <w:spacing w:val="0"/>
          <w:kern w:val="32"/>
          <w:szCs w:val="24"/>
          <w:highlight w:val="none"/>
        </w:rPr>
      </w:pPr>
      <w:r>
        <w:rPr>
          <w:rFonts w:hint="eastAsia" w:ascii="宋体" w:eastAsia="宋体"/>
          <w:b/>
          <w:bCs/>
          <w:color w:val="auto"/>
          <w:spacing w:val="0"/>
          <w:kern w:val="32"/>
          <w:szCs w:val="24"/>
          <w:highlight w:val="none"/>
        </w:rPr>
        <w:t>3.2甲方</w:t>
      </w:r>
    </w:p>
    <w:p w14:paraId="2252A5C6">
      <w:pPr>
        <w:widowControl/>
        <w:numPr>
          <w:ilvl w:val="0"/>
          <w:numId w:val="45"/>
        </w:numPr>
        <w:spacing w:line="360" w:lineRule="auto"/>
        <w:ind w:left="709" w:hanging="229" w:firstLineChars="0"/>
        <w:jc w:val="left"/>
        <w:rPr>
          <w:rFonts w:ascii="宋体" w:eastAsia="宋体"/>
          <w:color w:val="auto"/>
          <w:spacing w:val="0"/>
          <w:szCs w:val="24"/>
          <w:highlight w:val="none"/>
        </w:rPr>
      </w:pPr>
      <w:r>
        <w:rPr>
          <w:rFonts w:hint="eastAsia" w:ascii="宋体" w:eastAsia="宋体"/>
          <w:color w:val="auto"/>
          <w:spacing w:val="0"/>
          <w:szCs w:val="24"/>
          <w:highlight w:val="none"/>
        </w:rPr>
        <w:t>甲方将尽快将问题汇报给乙方管理层；</w:t>
      </w:r>
    </w:p>
    <w:p w14:paraId="3D035A4E">
      <w:pPr>
        <w:widowControl/>
        <w:numPr>
          <w:ilvl w:val="0"/>
          <w:numId w:val="45"/>
        </w:numPr>
        <w:spacing w:line="360" w:lineRule="auto"/>
        <w:ind w:left="709" w:hanging="229" w:firstLineChars="0"/>
        <w:jc w:val="left"/>
        <w:rPr>
          <w:rFonts w:ascii="宋体" w:eastAsia="宋体"/>
          <w:color w:val="auto"/>
          <w:spacing w:val="0"/>
          <w:szCs w:val="24"/>
          <w:highlight w:val="none"/>
        </w:rPr>
      </w:pPr>
      <w:r>
        <w:rPr>
          <w:rFonts w:hint="eastAsia" w:ascii="宋体" w:eastAsia="宋体"/>
          <w:color w:val="auto"/>
          <w:spacing w:val="0"/>
          <w:szCs w:val="24"/>
          <w:highlight w:val="none"/>
        </w:rPr>
        <w:t>提供任何可能影响乙方向甲方提供SLA中规定服务的服务能力的事件信息，包括：</w:t>
      </w:r>
    </w:p>
    <w:p w14:paraId="6C786ADE">
      <w:pPr>
        <w:widowControl/>
        <w:numPr>
          <w:ilvl w:val="0"/>
          <w:numId w:val="46"/>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组织架构变更</w:t>
      </w:r>
    </w:p>
    <w:p w14:paraId="7391CF61">
      <w:pPr>
        <w:widowControl/>
        <w:numPr>
          <w:ilvl w:val="0"/>
          <w:numId w:val="46"/>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技术变更</w:t>
      </w:r>
    </w:p>
    <w:p w14:paraId="4C07B4A0">
      <w:pPr>
        <w:widowControl/>
        <w:numPr>
          <w:ilvl w:val="0"/>
          <w:numId w:val="46"/>
        </w:numPr>
        <w:spacing w:line="360" w:lineRule="auto"/>
        <w:ind w:firstLineChars="0"/>
        <w:jc w:val="left"/>
        <w:rPr>
          <w:rFonts w:ascii="宋体" w:eastAsia="宋体"/>
          <w:color w:val="auto"/>
          <w:spacing w:val="0"/>
          <w:szCs w:val="24"/>
          <w:highlight w:val="none"/>
        </w:rPr>
      </w:pPr>
      <w:r>
        <w:rPr>
          <w:rFonts w:hint="eastAsia" w:ascii="宋体" w:eastAsia="宋体"/>
          <w:color w:val="auto"/>
          <w:spacing w:val="0"/>
          <w:szCs w:val="24"/>
          <w:highlight w:val="none"/>
        </w:rPr>
        <w:t>职能变更</w:t>
      </w:r>
    </w:p>
    <w:p w14:paraId="776D8B47">
      <w:pPr>
        <w:rPr>
          <w:rFonts w:ascii="宋体" w:eastAsia="宋体"/>
          <w:b/>
          <w:bCs/>
          <w:color w:val="auto"/>
          <w:spacing w:val="0"/>
          <w:kern w:val="32"/>
          <w:szCs w:val="24"/>
          <w:highlight w:val="none"/>
        </w:rPr>
      </w:pPr>
      <w:bookmarkStart w:id="288" w:name="_Toc254884644"/>
      <w:r>
        <w:rPr>
          <w:rFonts w:hint="eastAsia" w:ascii="宋体" w:eastAsia="宋体"/>
          <w:b/>
          <w:bCs/>
          <w:color w:val="auto"/>
          <w:spacing w:val="0"/>
          <w:kern w:val="32"/>
          <w:szCs w:val="24"/>
          <w:highlight w:val="none"/>
        </w:rPr>
        <w:t>4. 服务内容</w:t>
      </w:r>
      <w:bookmarkEnd w:id="288"/>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1958"/>
        <w:gridCol w:w="5778"/>
      </w:tblGrid>
      <w:tr w14:paraId="03E99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498E8A6B">
            <w:pPr>
              <w:rPr>
                <w:rFonts w:ascii="宋体" w:eastAsia="宋体"/>
                <w:color w:val="auto"/>
                <w:spacing w:val="0"/>
                <w:szCs w:val="24"/>
                <w:highlight w:val="none"/>
              </w:rPr>
            </w:pPr>
            <w:r>
              <w:rPr>
                <w:rFonts w:hint="eastAsia" w:ascii="宋体" w:eastAsia="宋体"/>
                <w:b/>
                <w:bCs/>
                <w:color w:val="auto"/>
                <w:spacing w:val="0"/>
                <w:kern w:val="32"/>
                <w:szCs w:val="24"/>
                <w:highlight w:val="none"/>
              </w:rPr>
              <w:t>4.1技术管理</w:t>
            </w:r>
          </w:p>
        </w:tc>
      </w:tr>
      <w:tr w14:paraId="146C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1161" w:type="dxa"/>
            <w:tcBorders>
              <w:tl2br w:val="nil"/>
              <w:tr2bl w:val="nil"/>
            </w:tcBorders>
            <w:vAlign w:val="center"/>
          </w:tcPr>
          <w:p w14:paraId="34B95074">
            <w:pPr>
              <w:rPr>
                <w:rFonts w:ascii="宋体" w:eastAsia="宋体"/>
                <w:color w:val="auto"/>
                <w:spacing w:val="0"/>
                <w:szCs w:val="24"/>
                <w:highlight w:val="none"/>
              </w:rPr>
            </w:pPr>
            <w:r>
              <w:rPr>
                <w:rFonts w:hint="eastAsia" w:ascii="宋体" w:eastAsia="宋体"/>
                <w:color w:val="auto"/>
                <w:spacing w:val="0"/>
                <w:szCs w:val="24"/>
                <w:highlight w:val="none"/>
              </w:rPr>
              <w:t>4.1.1</w:t>
            </w:r>
          </w:p>
        </w:tc>
        <w:tc>
          <w:tcPr>
            <w:tcW w:w="1958" w:type="dxa"/>
            <w:tcBorders>
              <w:tl2br w:val="nil"/>
              <w:tr2bl w:val="nil"/>
            </w:tcBorders>
            <w:vAlign w:val="center"/>
          </w:tcPr>
          <w:p w14:paraId="4CE20027">
            <w:pPr>
              <w:rPr>
                <w:rFonts w:ascii="宋体" w:eastAsia="宋体"/>
                <w:color w:val="auto"/>
                <w:spacing w:val="0"/>
                <w:szCs w:val="24"/>
                <w:highlight w:val="none"/>
              </w:rPr>
            </w:pPr>
            <w:r>
              <w:rPr>
                <w:rFonts w:hint="eastAsia" w:ascii="宋体" w:eastAsia="宋体"/>
                <w:color w:val="auto"/>
                <w:spacing w:val="0"/>
                <w:szCs w:val="24"/>
                <w:highlight w:val="none"/>
              </w:rPr>
              <w:t>项目执行控制</w:t>
            </w:r>
          </w:p>
        </w:tc>
        <w:tc>
          <w:tcPr>
            <w:tcW w:w="5778" w:type="dxa"/>
            <w:tcBorders>
              <w:tl2br w:val="nil"/>
              <w:tr2bl w:val="nil"/>
            </w:tcBorders>
            <w:vAlign w:val="center"/>
          </w:tcPr>
          <w:p w14:paraId="228E3F53">
            <w:pPr>
              <w:rPr>
                <w:rFonts w:ascii="宋体" w:eastAsia="宋体"/>
                <w:color w:val="auto"/>
                <w:spacing w:val="0"/>
                <w:szCs w:val="24"/>
                <w:highlight w:val="none"/>
              </w:rPr>
            </w:pPr>
            <w:r>
              <w:rPr>
                <w:rFonts w:hint="eastAsia" w:ascii="宋体" w:eastAsia="宋体"/>
                <w:color w:val="auto"/>
                <w:spacing w:val="0"/>
                <w:szCs w:val="24"/>
                <w:highlight w:val="none"/>
              </w:rPr>
              <w:t>管理目标、沟通和范围</w:t>
            </w:r>
          </w:p>
        </w:tc>
      </w:tr>
      <w:tr w14:paraId="772F0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1161" w:type="dxa"/>
            <w:tcBorders>
              <w:tl2br w:val="nil"/>
              <w:tr2bl w:val="nil"/>
            </w:tcBorders>
            <w:vAlign w:val="center"/>
          </w:tcPr>
          <w:p w14:paraId="366C9985">
            <w:pPr>
              <w:rPr>
                <w:rFonts w:ascii="宋体" w:eastAsia="宋体"/>
                <w:color w:val="auto"/>
                <w:spacing w:val="0"/>
                <w:szCs w:val="24"/>
                <w:highlight w:val="none"/>
              </w:rPr>
            </w:pPr>
            <w:r>
              <w:rPr>
                <w:rFonts w:hint="eastAsia" w:ascii="宋体" w:eastAsia="宋体"/>
                <w:color w:val="auto"/>
                <w:spacing w:val="0"/>
                <w:szCs w:val="24"/>
                <w:highlight w:val="none"/>
              </w:rPr>
              <w:t>4.1.2</w:t>
            </w:r>
          </w:p>
        </w:tc>
        <w:tc>
          <w:tcPr>
            <w:tcW w:w="1958" w:type="dxa"/>
            <w:tcBorders>
              <w:tl2br w:val="nil"/>
              <w:tr2bl w:val="nil"/>
            </w:tcBorders>
            <w:vAlign w:val="center"/>
          </w:tcPr>
          <w:p w14:paraId="18A02FFA">
            <w:pPr>
              <w:rPr>
                <w:rFonts w:ascii="宋体" w:eastAsia="宋体"/>
                <w:color w:val="auto"/>
                <w:spacing w:val="0"/>
                <w:szCs w:val="24"/>
                <w:highlight w:val="none"/>
              </w:rPr>
            </w:pPr>
            <w:r>
              <w:rPr>
                <w:rFonts w:hint="eastAsia" w:ascii="宋体" w:eastAsia="宋体"/>
                <w:color w:val="auto"/>
                <w:spacing w:val="0"/>
                <w:szCs w:val="24"/>
                <w:highlight w:val="none"/>
              </w:rPr>
              <w:t>系统部署</w:t>
            </w:r>
          </w:p>
        </w:tc>
        <w:tc>
          <w:tcPr>
            <w:tcW w:w="5778" w:type="dxa"/>
            <w:tcBorders>
              <w:tl2br w:val="nil"/>
              <w:tr2bl w:val="nil"/>
            </w:tcBorders>
            <w:vAlign w:val="center"/>
          </w:tcPr>
          <w:p w14:paraId="288ED122">
            <w:pPr>
              <w:rPr>
                <w:rFonts w:ascii="宋体" w:eastAsia="宋体"/>
                <w:color w:val="auto"/>
                <w:spacing w:val="0"/>
                <w:szCs w:val="24"/>
                <w:highlight w:val="none"/>
              </w:rPr>
            </w:pPr>
            <w:r>
              <w:rPr>
                <w:rFonts w:hint="eastAsia" w:ascii="宋体" w:eastAsia="宋体"/>
                <w:color w:val="auto"/>
                <w:spacing w:val="0"/>
                <w:szCs w:val="24"/>
                <w:highlight w:val="none"/>
              </w:rPr>
              <w:t>在甲方所提供的技术环境内配置和部署系统接入所需的资源</w:t>
            </w:r>
          </w:p>
        </w:tc>
      </w:tr>
      <w:tr w14:paraId="736B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1161" w:type="dxa"/>
            <w:tcBorders>
              <w:tl2br w:val="nil"/>
              <w:tr2bl w:val="nil"/>
            </w:tcBorders>
            <w:vAlign w:val="center"/>
          </w:tcPr>
          <w:p w14:paraId="44177D01">
            <w:pPr>
              <w:rPr>
                <w:rFonts w:ascii="宋体" w:eastAsia="宋体"/>
                <w:color w:val="auto"/>
                <w:spacing w:val="0"/>
                <w:szCs w:val="24"/>
                <w:highlight w:val="none"/>
              </w:rPr>
            </w:pPr>
            <w:r>
              <w:rPr>
                <w:rFonts w:hint="eastAsia" w:ascii="宋体" w:eastAsia="宋体"/>
                <w:color w:val="auto"/>
                <w:spacing w:val="0"/>
                <w:szCs w:val="24"/>
                <w:highlight w:val="none"/>
              </w:rPr>
              <w:t>4.1.3</w:t>
            </w:r>
          </w:p>
        </w:tc>
        <w:tc>
          <w:tcPr>
            <w:tcW w:w="1958" w:type="dxa"/>
            <w:tcBorders>
              <w:tl2br w:val="nil"/>
              <w:tr2bl w:val="nil"/>
            </w:tcBorders>
            <w:vAlign w:val="center"/>
          </w:tcPr>
          <w:p w14:paraId="17E683E5">
            <w:pPr>
              <w:rPr>
                <w:rFonts w:ascii="宋体" w:eastAsia="宋体"/>
                <w:color w:val="auto"/>
                <w:spacing w:val="0"/>
                <w:szCs w:val="24"/>
                <w:highlight w:val="none"/>
              </w:rPr>
            </w:pPr>
            <w:r>
              <w:rPr>
                <w:rFonts w:hint="eastAsia" w:ascii="宋体" w:eastAsia="宋体"/>
                <w:color w:val="auto"/>
                <w:spacing w:val="0"/>
                <w:szCs w:val="24"/>
                <w:highlight w:val="none"/>
              </w:rPr>
              <w:t>管理系统</w:t>
            </w:r>
          </w:p>
        </w:tc>
        <w:tc>
          <w:tcPr>
            <w:tcW w:w="5778" w:type="dxa"/>
            <w:tcBorders>
              <w:tl2br w:val="nil"/>
              <w:tr2bl w:val="nil"/>
            </w:tcBorders>
            <w:vAlign w:val="center"/>
          </w:tcPr>
          <w:p w14:paraId="4A7A4652">
            <w:pPr>
              <w:rPr>
                <w:rFonts w:ascii="宋体" w:eastAsia="宋体"/>
                <w:color w:val="auto"/>
                <w:spacing w:val="0"/>
                <w:szCs w:val="24"/>
                <w:highlight w:val="none"/>
              </w:rPr>
            </w:pPr>
            <w:r>
              <w:rPr>
                <w:rFonts w:hint="eastAsia" w:ascii="宋体" w:eastAsia="宋体"/>
                <w:color w:val="auto"/>
                <w:spacing w:val="0"/>
                <w:szCs w:val="24"/>
                <w:highlight w:val="none"/>
              </w:rPr>
              <w:t>管理运行过程中的各个环节和环境（如测试、培训、维护等）</w:t>
            </w:r>
          </w:p>
        </w:tc>
      </w:tr>
      <w:tr w14:paraId="4802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A2BBA2B">
            <w:pPr>
              <w:rPr>
                <w:rFonts w:ascii="宋体" w:eastAsia="宋体"/>
                <w:b/>
                <w:color w:val="auto"/>
                <w:spacing w:val="0"/>
                <w:szCs w:val="24"/>
                <w:highlight w:val="none"/>
              </w:rPr>
            </w:pPr>
            <w:r>
              <w:rPr>
                <w:rFonts w:hint="eastAsia" w:ascii="宋体" w:eastAsia="宋体"/>
                <w:b/>
                <w:color w:val="auto"/>
                <w:spacing w:val="0"/>
                <w:szCs w:val="24"/>
                <w:highlight w:val="none"/>
              </w:rPr>
              <w:t>4.2系统处理</w:t>
            </w:r>
          </w:p>
        </w:tc>
      </w:tr>
      <w:tr w14:paraId="3559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161" w:type="dxa"/>
            <w:tcBorders>
              <w:tl2br w:val="nil"/>
              <w:tr2bl w:val="nil"/>
            </w:tcBorders>
            <w:vAlign w:val="center"/>
          </w:tcPr>
          <w:p w14:paraId="2A54D2BE">
            <w:pPr>
              <w:rPr>
                <w:rFonts w:ascii="宋体" w:eastAsia="宋体"/>
                <w:color w:val="auto"/>
                <w:spacing w:val="0"/>
                <w:szCs w:val="24"/>
                <w:highlight w:val="none"/>
              </w:rPr>
            </w:pPr>
            <w:r>
              <w:rPr>
                <w:rFonts w:hint="eastAsia" w:ascii="宋体" w:eastAsia="宋体"/>
                <w:color w:val="auto"/>
                <w:spacing w:val="0"/>
                <w:szCs w:val="24"/>
                <w:highlight w:val="none"/>
              </w:rPr>
              <w:t>4.2.1</w:t>
            </w:r>
          </w:p>
        </w:tc>
        <w:tc>
          <w:tcPr>
            <w:tcW w:w="1958" w:type="dxa"/>
            <w:tcBorders>
              <w:tl2br w:val="nil"/>
              <w:tr2bl w:val="nil"/>
            </w:tcBorders>
            <w:vAlign w:val="center"/>
          </w:tcPr>
          <w:p w14:paraId="010C0C84">
            <w:pPr>
              <w:rPr>
                <w:rFonts w:ascii="宋体" w:eastAsia="宋体"/>
                <w:color w:val="auto"/>
                <w:spacing w:val="0"/>
                <w:szCs w:val="24"/>
                <w:highlight w:val="none"/>
              </w:rPr>
            </w:pPr>
            <w:r>
              <w:rPr>
                <w:rFonts w:hint="eastAsia" w:ascii="宋体" w:eastAsia="宋体"/>
                <w:color w:val="auto"/>
                <w:spacing w:val="0"/>
                <w:szCs w:val="24"/>
                <w:highlight w:val="none"/>
              </w:rPr>
              <w:t>备份</w:t>
            </w:r>
          </w:p>
        </w:tc>
        <w:tc>
          <w:tcPr>
            <w:tcW w:w="5778" w:type="dxa"/>
            <w:tcBorders>
              <w:tl2br w:val="nil"/>
              <w:tr2bl w:val="nil"/>
            </w:tcBorders>
            <w:vAlign w:val="center"/>
          </w:tcPr>
          <w:p w14:paraId="12E412A9">
            <w:pPr>
              <w:rPr>
                <w:rFonts w:ascii="宋体" w:eastAsia="宋体"/>
                <w:color w:val="auto"/>
                <w:spacing w:val="0"/>
                <w:szCs w:val="24"/>
                <w:highlight w:val="none"/>
              </w:rPr>
            </w:pPr>
            <w:r>
              <w:rPr>
                <w:rFonts w:hint="eastAsia" w:ascii="宋体" w:eastAsia="宋体"/>
                <w:color w:val="auto"/>
                <w:spacing w:val="0"/>
                <w:szCs w:val="24"/>
                <w:highlight w:val="none"/>
              </w:rPr>
              <w:t>提供数据容量规划咨询，设计系统的备份策略，完成其有效性验证</w:t>
            </w:r>
          </w:p>
        </w:tc>
      </w:tr>
      <w:tr w14:paraId="74E7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161" w:type="dxa"/>
            <w:tcBorders>
              <w:tl2br w:val="nil"/>
              <w:tr2bl w:val="nil"/>
            </w:tcBorders>
            <w:vAlign w:val="center"/>
          </w:tcPr>
          <w:p w14:paraId="70A51724">
            <w:pPr>
              <w:rPr>
                <w:rFonts w:ascii="宋体" w:eastAsia="宋体"/>
                <w:color w:val="auto"/>
                <w:spacing w:val="0"/>
                <w:szCs w:val="24"/>
                <w:highlight w:val="none"/>
              </w:rPr>
            </w:pPr>
            <w:r>
              <w:rPr>
                <w:rFonts w:hint="eastAsia" w:ascii="宋体" w:eastAsia="宋体"/>
                <w:color w:val="auto"/>
                <w:spacing w:val="0"/>
                <w:szCs w:val="24"/>
                <w:highlight w:val="none"/>
              </w:rPr>
              <w:t>4.2.2</w:t>
            </w:r>
          </w:p>
        </w:tc>
        <w:tc>
          <w:tcPr>
            <w:tcW w:w="1958" w:type="dxa"/>
            <w:tcBorders>
              <w:tl2br w:val="nil"/>
              <w:tr2bl w:val="nil"/>
            </w:tcBorders>
            <w:vAlign w:val="center"/>
          </w:tcPr>
          <w:p w14:paraId="56A0907F">
            <w:pPr>
              <w:rPr>
                <w:rFonts w:ascii="宋体" w:eastAsia="宋体"/>
                <w:color w:val="auto"/>
                <w:spacing w:val="0"/>
                <w:szCs w:val="24"/>
                <w:highlight w:val="none"/>
              </w:rPr>
            </w:pPr>
            <w:r>
              <w:rPr>
                <w:rFonts w:hint="eastAsia" w:ascii="宋体" w:eastAsia="宋体"/>
                <w:color w:val="auto"/>
                <w:spacing w:val="0"/>
                <w:szCs w:val="24"/>
                <w:highlight w:val="none"/>
              </w:rPr>
              <w:t>恢复</w:t>
            </w:r>
          </w:p>
        </w:tc>
        <w:tc>
          <w:tcPr>
            <w:tcW w:w="5778" w:type="dxa"/>
            <w:tcBorders>
              <w:tl2br w:val="nil"/>
              <w:tr2bl w:val="nil"/>
            </w:tcBorders>
            <w:vAlign w:val="center"/>
          </w:tcPr>
          <w:p w14:paraId="1A0B22C3">
            <w:pPr>
              <w:rPr>
                <w:rFonts w:ascii="宋体" w:eastAsia="宋体"/>
                <w:color w:val="auto"/>
                <w:spacing w:val="0"/>
                <w:szCs w:val="24"/>
                <w:highlight w:val="none"/>
              </w:rPr>
            </w:pPr>
            <w:r>
              <w:rPr>
                <w:rFonts w:hint="eastAsia" w:ascii="宋体" w:eastAsia="宋体"/>
                <w:color w:val="auto"/>
                <w:spacing w:val="0"/>
                <w:szCs w:val="24"/>
                <w:highlight w:val="none"/>
              </w:rPr>
              <w:t>设计系统的恢复策略，完成其有效性验证</w:t>
            </w:r>
          </w:p>
        </w:tc>
      </w:tr>
      <w:tr w14:paraId="104C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B65A87C">
            <w:pPr>
              <w:rPr>
                <w:rFonts w:ascii="宋体" w:eastAsia="宋体"/>
                <w:b/>
                <w:color w:val="auto"/>
                <w:spacing w:val="0"/>
                <w:szCs w:val="24"/>
                <w:highlight w:val="none"/>
              </w:rPr>
            </w:pPr>
            <w:r>
              <w:rPr>
                <w:rFonts w:hint="eastAsia" w:ascii="宋体" w:eastAsia="宋体"/>
                <w:b/>
                <w:color w:val="auto"/>
                <w:spacing w:val="0"/>
                <w:szCs w:val="24"/>
                <w:highlight w:val="none"/>
              </w:rPr>
              <w:t>4.3软件开发及测试</w:t>
            </w:r>
          </w:p>
        </w:tc>
      </w:tr>
      <w:tr w14:paraId="2C8E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161" w:type="dxa"/>
            <w:tcBorders>
              <w:tl2br w:val="nil"/>
              <w:tr2bl w:val="nil"/>
            </w:tcBorders>
            <w:vAlign w:val="center"/>
          </w:tcPr>
          <w:p w14:paraId="6D041BA2">
            <w:pPr>
              <w:rPr>
                <w:rFonts w:ascii="宋体" w:eastAsia="宋体"/>
                <w:color w:val="auto"/>
                <w:spacing w:val="0"/>
                <w:szCs w:val="24"/>
                <w:highlight w:val="none"/>
              </w:rPr>
            </w:pPr>
            <w:r>
              <w:rPr>
                <w:rFonts w:hint="eastAsia" w:ascii="宋体" w:eastAsia="宋体"/>
                <w:color w:val="auto"/>
                <w:spacing w:val="0"/>
                <w:szCs w:val="24"/>
                <w:highlight w:val="none"/>
              </w:rPr>
              <w:t>4.3.1</w:t>
            </w:r>
          </w:p>
        </w:tc>
        <w:tc>
          <w:tcPr>
            <w:tcW w:w="1958" w:type="dxa"/>
            <w:tcBorders>
              <w:tl2br w:val="nil"/>
              <w:tr2bl w:val="nil"/>
            </w:tcBorders>
            <w:vAlign w:val="center"/>
          </w:tcPr>
          <w:p w14:paraId="62DCEA88">
            <w:pPr>
              <w:rPr>
                <w:rFonts w:ascii="宋体" w:eastAsia="宋体"/>
                <w:color w:val="auto"/>
                <w:spacing w:val="0"/>
                <w:szCs w:val="24"/>
                <w:highlight w:val="none"/>
              </w:rPr>
            </w:pPr>
            <w:r>
              <w:rPr>
                <w:rFonts w:hint="eastAsia" w:ascii="宋体" w:eastAsia="宋体"/>
                <w:color w:val="auto"/>
                <w:spacing w:val="0"/>
                <w:szCs w:val="24"/>
                <w:highlight w:val="none"/>
              </w:rPr>
              <w:t>软件管理</w:t>
            </w:r>
          </w:p>
        </w:tc>
        <w:tc>
          <w:tcPr>
            <w:tcW w:w="5778" w:type="dxa"/>
            <w:tcBorders>
              <w:tl2br w:val="nil"/>
              <w:tr2bl w:val="nil"/>
            </w:tcBorders>
            <w:vAlign w:val="center"/>
          </w:tcPr>
          <w:p w14:paraId="63598FB7">
            <w:pPr>
              <w:rPr>
                <w:rFonts w:ascii="宋体" w:eastAsia="宋体"/>
                <w:color w:val="auto"/>
                <w:spacing w:val="0"/>
                <w:szCs w:val="24"/>
                <w:highlight w:val="none"/>
              </w:rPr>
            </w:pPr>
            <w:r>
              <w:rPr>
                <w:rFonts w:hint="eastAsia" w:ascii="宋体" w:eastAsia="宋体"/>
                <w:color w:val="auto"/>
                <w:spacing w:val="0"/>
                <w:szCs w:val="24"/>
                <w:highlight w:val="none"/>
              </w:rPr>
              <w:t>负责管理和设计应用软件，配合进行软件过程开发管理</w:t>
            </w:r>
          </w:p>
        </w:tc>
      </w:tr>
      <w:tr w14:paraId="3479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1161" w:type="dxa"/>
            <w:tcBorders>
              <w:tl2br w:val="nil"/>
              <w:tr2bl w:val="nil"/>
            </w:tcBorders>
            <w:vAlign w:val="center"/>
          </w:tcPr>
          <w:p w14:paraId="754174AE">
            <w:pPr>
              <w:rPr>
                <w:rFonts w:ascii="宋体" w:eastAsia="宋体"/>
                <w:color w:val="auto"/>
                <w:spacing w:val="0"/>
                <w:szCs w:val="24"/>
                <w:highlight w:val="none"/>
              </w:rPr>
            </w:pPr>
            <w:r>
              <w:rPr>
                <w:rFonts w:hint="eastAsia" w:ascii="宋体" w:eastAsia="宋体"/>
                <w:color w:val="auto"/>
                <w:spacing w:val="0"/>
                <w:szCs w:val="24"/>
                <w:highlight w:val="none"/>
              </w:rPr>
              <w:t>4.3.2</w:t>
            </w:r>
          </w:p>
        </w:tc>
        <w:tc>
          <w:tcPr>
            <w:tcW w:w="1958" w:type="dxa"/>
            <w:tcBorders>
              <w:tl2br w:val="nil"/>
              <w:tr2bl w:val="nil"/>
            </w:tcBorders>
            <w:vAlign w:val="center"/>
          </w:tcPr>
          <w:p w14:paraId="3EFE8131">
            <w:pPr>
              <w:rPr>
                <w:rFonts w:ascii="宋体" w:eastAsia="宋体"/>
                <w:color w:val="auto"/>
                <w:spacing w:val="0"/>
                <w:szCs w:val="24"/>
                <w:highlight w:val="none"/>
              </w:rPr>
            </w:pPr>
            <w:r>
              <w:rPr>
                <w:rFonts w:hint="eastAsia" w:ascii="宋体" w:eastAsia="宋体"/>
                <w:color w:val="auto"/>
                <w:spacing w:val="0"/>
                <w:szCs w:val="24"/>
                <w:highlight w:val="none"/>
              </w:rPr>
              <w:t>系统接口开发</w:t>
            </w:r>
          </w:p>
        </w:tc>
        <w:tc>
          <w:tcPr>
            <w:tcW w:w="5778" w:type="dxa"/>
            <w:tcBorders>
              <w:tl2br w:val="nil"/>
              <w:tr2bl w:val="nil"/>
            </w:tcBorders>
            <w:vAlign w:val="center"/>
          </w:tcPr>
          <w:p w14:paraId="009F3D12">
            <w:pPr>
              <w:rPr>
                <w:rFonts w:ascii="宋体" w:eastAsia="宋体"/>
                <w:color w:val="auto"/>
                <w:spacing w:val="0"/>
                <w:szCs w:val="24"/>
                <w:highlight w:val="none"/>
              </w:rPr>
            </w:pPr>
            <w:r>
              <w:rPr>
                <w:rFonts w:hint="eastAsia" w:ascii="宋体" w:eastAsia="宋体"/>
                <w:color w:val="auto"/>
                <w:spacing w:val="0"/>
                <w:szCs w:val="24"/>
                <w:highlight w:val="none"/>
              </w:rPr>
              <w:t>设计和开发系统内部各模块的接口以及与外部系统进行数据交互的接口</w:t>
            </w:r>
          </w:p>
        </w:tc>
      </w:tr>
      <w:tr w14:paraId="39647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1161" w:type="dxa"/>
            <w:tcBorders>
              <w:tl2br w:val="nil"/>
              <w:tr2bl w:val="nil"/>
            </w:tcBorders>
            <w:vAlign w:val="center"/>
          </w:tcPr>
          <w:p w14:paraId="451B1E35">
            <w:pPr>
              <w:rPr>
                <w:rFonts w:ascii="宋体" w:eastAsia="宋体"/>
                <w:color w:val="auto"/>
                <w:spacing w:val="0"/>
                <w:szCs w:val="24"/>
                <w:highlight w:val="none"/>
              </w:rPr>
            </w:pPr>
            <w:r>
              <w:rPr>
                <w:rFonts w:hint="eastAsia" w:ascii="宋体" w:eastAsia="宋体"/>
                <w:color w:val="auto"/>
                <w:spacing w:val="0"/>
                <w:szCs w:val="24"/>
                <w:highlight w:val="none"/>
              </w:rPr>
              <w:t>4.3.3</w:t>
            </w:r>
          </w:p>
        </w:tc>
        <w:tc>
          <w:tcPr>
            <w:tcW w:w="1958" w:type="dxa"/>
            <w:tcBorders>
              <w:tl2br w:val="nil"/>
              <w:tr2bl w:val="nil"/>
            </w:tcBorders>
            <w:vAlign w:val="center"/>
          </w:tcPr>
          <w:p w14:paraId="11F7EEE6">
            <w:pPr>
              <w:rPr>
                <w:rFonts w:ascii="宋体" w:eastAsia="宋体"/>
                <w:color w:val="auto"/>
                <w:spacing w:val="0"/>
                <w:szCs w:val="24"/>
                <w:highlight w:val="none"/>
              </w:rPr>
            </w:pPr>
            <w:r>
              <w:rPr>
                <w:rFonts w:hint="eastAsia" w:ascii="宋体" w:eastAsia="宋体"/>
                <w:color w:val="auto"/>
                <w:spacing w:val="0"/>
                <w:szCs w:val="24"/>
                <w:highlight w:val="none"/>
              </w:rPr>
              <w:t>代码开发和测试</w:t>
            </w:r>
          </w:p>
        </w:tc>
        <w:tc>
          <w:tcPr>
            <w:tcW w:w="5778" w:type="dxa"/>
            <w:tcBorders>
              <w:tl2br w:val="nil"/>
              <w:tr2bl w:val="nil"/>
            </w:tcBorders>
            <w:vAlign w:val="center"/>
          </w:tcPr>
          <w:p w14:paraId="3BBD7126">
            <w:pPr>
              <w:rPr>
                <w:rFonts w:ascii="宋体" w:eastAsia="宋体"/>
                <w:color w:val="auto"/>
                <w:spacing w:val="0"/>
                <w:szCs w:val="24"/>
                <w:highlight w:val="none"/>
              </w:rPr>
            </w:pPr>
            <w:r>
              <w:rPr>
                <w:rFonts w:hint="eastAsia" w:ascii="宋体" w:eastAsia="宋体"/>
                <w:color w:val="auto"/>
                <w:spacing w:val="0"/>
                <w:szCs w:val="24"/>
                <w:highlight w:val="none"/>
              </w:rPr>
              <w:t>编写代码并且完成开发自测与系统测试</w:t>
            </w:r>
          </w:p>
        </w:tc>
      </w:tr>
      <w:tr w14:paraId="639B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1161" w:type="dxa"/>
            <w:tcBorders>
              <w:tl2br w:val="nil"/>
              <w:tr2bl w:val="nil"/>
            </w:tcBorders>
            <w:vAlign w:val="center"/>
          </w:tcPr>
          <w:p w14:paraId="29C3DF14">
            <w:pPr>
              <w:rPr>
                <w:rFonts w:ascii="宋体" w:eastAsia="宋体"/>
                <w:color w:val="auto"/>
                <w:spacing w:val="0"/>
                <w:szCs w:val="24"/>
                <w:highlight w:val="none"/>
              </w:rPr>
            </w:pPr>
            <w:r>
              <w:rPr>
                <w:rFonts w:hint="eastAsia" w:ascii="宋体" w:eastAsia="宋体"/>
                <w:color w:val="auto"/>
                <w:spacing w:val="0"/>
                <w:szCs w:val="24"/>
                <w:highlight w:val="none"/>
              </w:rPr>
              <w:t>4.3.4</w:t>
            </w:r>
          </w:p>
        </w:tc>
        <w:tc>
          <w:tcPr>
            <w:tcW w:w="1958" w:type="dxa"/>
            <w:tcBorders>
              <w:tl2br w:val="nil"/>
              <w:tr2bl w:val="nil"/>
            </w:tcBorders>
            <w:vAlign w:val="center"/>
          </w:tcPr>
          <w:p w14:paraId="676DB73B">
            <w:pPr>
              <w:rPr>
                <w:rFonts w:ascii="宋体" w:eastAsia="宋体"/>
                <w:color w:val="auto"/>
                <w:spacing w:val="0"/>
                <w:szCs w:val="24"/>
                <w:highlight w:val="none"/>
              </w:rPr>
            </w:pPr>
            <w:r>
              <w:rPr>
                <w:rFonts w:hint="eastAsia" w:ascii="宋体" w:eastAsia="宋体"/>
                <w:color w:val="auto"/>
                <w:spacing w:val="0"/>
                <w:szCs w:val="24"/>
                <w:highlight w:val="none"/>
              </w:rPr>
              <w:t>知识转移</w:t>
            </w:r>
          </w:p>
        </w:tc>
        <w:tc>
          <w:tcPr>
            <w:tcW w:w="5778" w:type="dxa"/>
            <w:tcBorders>
              <w:tl2br w:val="nil"/>
              <w:tr2bl w:val="nil"/>
            </w:tcBorders>
            <w:vAlign w:val="center"/>
          </w:tcPr>
          <w:p w14:paraId="0CFB9F94">
            <w:pPr>
              <w:rPr>
                <w:rFonts w:ascii="宋体" w:eastAsia="宋体"/>
                <w:color w:val="auto"/>
                <w:spacing w:val="0"/>
                <w:szCs w:val="24"/>
                <w:highlight w:val="none"/>
              </w:rPr>
            </w:pPr>
            <w:r>
              <w:rPr>
                <w:rFonts w:hint="eastAsia" w:ascii="宋体" w:eastAsia="宋体"/>
                <w:color w:val="auto"/>
                <w:spacing w:val="0"/>
                <w:szCs w:val="24"/>
                <w:highlight w:val="none"/>
              </w:rPr>
              <w:t>负责现场培训</w:t>
            </w:r>
          </w:p>
        </w:tc>
      </w:tr>
      <w:tr w14:paraId="14BC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DADC01B">
            <w:pPr>
              <w:rPr>
                <w:rFonts w:ascii="宋体" w:eastAsia="宋体"/>
                <w:b/>
                <w:color w:val="auto"/>
                <w:spacing w:val="0"/>
                <w:szCs w:val="24"/>
                <w:highlight w:val="none"/>
              </w:rPr>
            </w:pPr>
            <w:r>
              <w:rPr>
                <w:rFonts w:hint="eastAsia" w:ascii="宋体" w:eastAsia="宋体"/>
                <w:b/>
                <w:color w:val="auto"/>
                <w:spacing w:val="0"/>
                <w:szCs w:val="24"/>
                <w:highlight w:val="none"/>
              </w:rPr>
              <w:t>4.4 支持和维护</w:t>
            </w:r>
          </w:p>
        </w:tc>
      </w:tr>
      <w:tr w14:paraId="37F3D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1161" w:type="dxa"/>
            <w:tcBorders>
              <w:tl2br w:val="nil"/>
              <w:tr2bl w:val="nil"/>
            </w:tcBorders>
            <w:vAlign w:val="center"/>
          </w:tcPr>
          <w:p w14:paraId="1BE4740F">
            <w:pPr>
              <w:rPr>
                <w:rFonts w:ascii="宋体" w:eastAsia="宋体"/>
                <w:color w:val="auto"/>
                <w:spacing w:val="0"/>
                <w:szCs w:val="24"/>
                <w:highlight w:val="none"/>
              </w:rPr>
            </w:pPr>
            <w:r>
              <w:rPr>
                <w:rFonts w:hint="eastAsia" w:ascii="宋体" w:eastAsia="宋体"/>
                <w:color w:val="auto"/>
                <w:spacing w:val="0"/>
                <w:szCs w:val="24"/>
                <w:highlight w:val="none"/>
              </w:rPr>
              <w:t>4.4.1</w:t>
            </w:r>
          </w:p>
        </w:tc>
        <w:tc>
          <w:tcPr>
            <w:tcW w:w="1958" w:type="dxa"/>
            <w:tcBorders>
              <w:tl2br w:val="nil"/>
              <w:tr2bl w:val="nil"/>
            </w:tcBorders>
            <w:vAlign w:val="center"/>
          </w:tcPr>
          <w:p w14:paraId="00C40D9C">
            <w:pPr>
              <w:rPr>
                <w:rFonts w:ascii="宋体" w:eastAsia="宋体"/>
                <w:color w:val="auto"/>
                <w:spacing w:val="0"/>
                <w:szCs w:val="24"/>
                <w:highlight w:val="none"/>
              </w:rPr>
            </w:pPr>
            <w:r>
              <w:rPr>
                <w:rFonts w:hint="eastAsia" w:ascii="宋体" w:eastAsia="宋体"/>
                <w:color w:val="auto"/>
                <w:spacing w:val="0"/>
                <w:szCs w:val="24"/>
                <w:highlight w:val="none"/>
              </w:rPr>
              <w:t>变更管理</w:t>
            </w:r>
          </w:p>
        </w:tc>
        <w:tc>
          <w:tcPr>
            <w:tcW w:w="5778" w:type="dxa"/>
            <w:tcBorders>
              <w:tl2br w:val="nil"/>
              <w:tr2bl w:val="nil"/>
            </w:tcBorders>
            <w:vAlign w:val="center"/>
          </w:tcPr>
          <w:p w14:paraId="262312C5">
            <w:pPr>
              <w:rPr>
                <w:rFonts w:ascii="宋体" w:eastAsia="宋体"/>
                <w:color w:val="auto"/>
                <w:spacing w:val="0"/>
                <w:szCs w:val="24"/>
                <w:highlight w:val="none"/>
              </w:rPr>
            </w:pPr>
            <w:r>
              <w:rPr>
                <w:rFonts w:hint="eastAsia" w:ascii="宋体" w:eastAsia="宋体"/>
                <w:color w:val="auto"/>
                <w:spacing w:val="0"/>
                <w:szCs w:val="24"/>
                <w:highlight w:val="none"/>
              </w:rPr>
              <w:t>根据变更需求在甲方的技术环境内设计并且执行所有平台和应用软件变更程序</w:t>
            </w:r>
          </w:p>
        </w:tc>
      </w:tr>
      <w:tr w14:paraId="3A4D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1161" w:type="dxa"/>
            <w:tcBorders>
              <w:tl2br w:val="nil"/>
              <w:tr2bl w:val="nil"/>
            </w:tcBorders>
            <w:vAlign w:val="center"/>
          </w:tcPr>
          <w:p w14:paraId="2C526C2B">
            <w:pPr>
              <w:rPr>
                <w:rFonts w:ascii="宋体" w:eastAsia="宋体"/>
                <w:color w:val="auto"/>
                <w:spacing w:val="0"/>
                <w:szCs w:val="24"/>
                <w:highlight w:val="none"/>
              </w:rPr>
            </w:pPr>
            <w:r>
              <w:rPr>
                <w:rFonts w:hint="eastAsia" w:ascii="宋体" w:eastAsia="宋体"/>
                <w:color w:val="auto"/>
                <w:spacing w:val="0"/>
                <w:szCs w:val="24"/>
                <w:highlight w:val="none"/>
              </w:rPr>
              <w:t>4.4.2</w:t>
            </w:r>
          </w:p>
        </w:tc>
        <w:tc>
          <w:tcPr>
            <w:tcW w:w="1958" w:type="dxa"/>
            <w:tcBorders>
              <w:tl2br w:val="nil"/>
              <w:tr2bl w:val="nil"/>
            </w:tcBorders>
            <w:vAlign w:val="center"/>
          </w:tcPr>
          <w:p w14:paraId="2F586821">
            <w:pPr>
              <w:rPr>
                <w:rFonts w:ascii="宋体" w:eastAsia="宋体"/>
                <w:color w:val="auto"/>
                <w:spacing w:val="0"/>
                <w:szCs w:val="24"/>
                <w:highlight w:val="none"/>
              </w:rPr>
            </w:pPr>
            <w:r>
              <w:rPr>
                <w:rFonts w:hint="eastAsia" w:ascii="宋体" w:eastAsia="宋体"/>
                <w:color w:val="auto"/>
                <w:spacing w:val="0"/>
                <w:szCs w:val="24"/>
                <w:highlight w:val="none"/>
              </w:rPr>
              <w:t>系统监控</w:t>
            </w:r>
          </w:p>
        </w:tc>
        <w:tc>
          <w:tcPr>
            <w:tcW w:w="5778" w:type="dxa"/>
            <w:tcBorders>
              <w:tl2br w:val="nil"/>
              <w:tr2bl w:val="nil"/>
            </w:tcBorders>
            <w:vAlign w:val="center"/>
          </w:tcPr>
          <w:p w14:paraId="11EB88B4">
            <w:pPr>
              <w:rPr>
                <w:rFonts w:ascii="宋体" w:eastAsia="宋体"/>
                <w:color w:val="auto"/>
                <w:spacing w:val="0"/>
                <w:szCs w:val="24"/>
                <w:highlight w:val="none"/>
              </w:rPr>
            </w:pPr>
            <w:r>
              <w:rPr>
                <w:rFonts w:hint="eastAsia" w:ascii="宋体" w:eastAsia="宋体"/>
                <w:color w:val="auto"/>
                <w:spacing w:val="0"/>
                <w:szCs w:val="24"/>
                <w:highlight w:val="none"/>
              </w:rPr>
              <w:t>提供对系统监控的支持，包括专有硬件设备（如有）、应用系统进程、日志、连接等</w:t>
            </w:r>
          </w:p>
        </w:tc>
      </w:tr>
      <w:tr w14:paraId="0406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161" w:type="dxa"/>
            <w:tcBorders>
              <w:tl2br w:val="nil"/>
              <w:tr2bl w:val="nil"/>
            </w:tcBorders>
            <w:vAlign w:val="center"/>
          </w:tcPr>
          <w:p w14:paraId="12CECF30">
            <w:pPr>
              <w:rPr>
                <w:rFonts w:ascii="宋体" w:eastAsia="宋体"/>
                <w:color w:val="auto"/>
                <w:spacing w:val="0"/>
                <w:szCs w:val="24"/>
                <w:highlight w:val="none"/>
              </w:rPr>
            </w:pPr>
            <w:r>
              <w:rPr>
                <w:rFonts w:hint="eastAsia" w:ascii="宋体" w:eastAsia="宋体"/>
                <w:color w:val="auto"/>
                <w:spacing w:val="0"/>
                <w:szCs w:val="24"/>
                <w:highlight w:val="none"/>
              </w:rPr>
              <w:t>4.4.3</w:t>
            </w:r>
          </w:p>
        </w:tc>
        <w:tc>
          <w:tcPr>
            <w:tcW w:w="1958" w:type="dxa"/>
            <w:tcBorders>
              <w:tl2br w:val="nil"/>
              <w:tr2bl w:val="nil"/>
            </w:tcBorders>
            <w:vAlign w:val="center"/>
          </w:tcPr>
          <w:p w14:paraId="49A618E9">
            <w:pPr>
              <w:rPr>
                <w:rFonts w:ascii="宋体" w:eastAsia="宋体"/>
                <w:color w:val="auto"/>
                <w:spacing w:val="0"/>
                <w:szCs w:val="24"/>
                <w:highlight w:val="none"/>
              </w:rPr>
            </w:pPr>
            <w:r>
              <w:rPr>
                <w:rFonts w:hint="eastAsia" w:ascii="宋体" w:eastAsia="宋体"/>
                <w:color w:val="auto"/>
                <w:spacing w:val="0"/>
                <w:szCs w:val="24"/>
                <w:highlight w:val="none"/>
              </w:rPr>
              <w:t>发布管理</w:t>
            </w:r>
          </w:p>
        </w:tc>
        <w:tc>
          <w:tcPr>
            <w:tcW w:w="5778" w:type="dxa"/>
            <w:tcBorders>
              <w:tl2br w:val="nil"/>
              <w:tr2bl w:val="nil"/>
            </w:tcBorders>
            <w:vAlign w:val="center"/>
          </w:tcPr>
          <w:p w14:paraId="2E993611">
            <w:pPr>
              <w:rPr>
                <w:rFonts w:ascii="宋体" w:eastAsia="宋体"/>
                <w:color w:val="auto"/>
                <w:spacing w:val="0"/>
                <w:szCs w:val="24"/>
                <w:highlight w:val="none"/>
              </w:rPr>
            </w:pPr>
            <w:r>
              <w:rPr>
                <w:rFonts w:hint="eastAsia" w:ascii="宋体" w:eastAsia="宋体"/>
                <w:color w:val="auto"/>
                <w:spacing w:val="0"/>
                <w:szCs w:val="24"/>
                <w:highlight w:val="none"/>
              </w:rPr>
              <w:t>制定测试环境发布方案，协助将具体的目标系统从测试环境移植到生产的上线方案</w:t>
            </w:r>
          </w:p>
        </w:tc>
      </w:tr>
      <w:tr w14:paraId="4F8F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161" w:type="dxa"/>
            <w:tcBorders>
              <w:tl2br w:val="nil"/>
              <w:tr2bl w:val="nil"/>
            </w:tcBorders>
            <w:vAlign w:val="center"/>
          </w:tcPr>
          <w:p w14:paraId="13C17028">
            <w:pPr>
              <w:rPr>
                <w:rFonts w:ascii="宋体" w:eastAsia="宋体"/>
                <w:color w:val="auto"/>
                <w:spacing w:val="0"/>
                <w:szCs w:val="24"/>
                <w:highlight w:val="none"/>
              </w:rPr>
            </w:pPr>
            <w:r>
              <w:rPr>
                <w:rFonts w:hint="eastAsia" w:ascii="宋体" w:eastAsia="宋体"/>
                <w:color w:val="auto"/>
                <w:spacing w:val="0"/>
                <w:szCs w:val="24"/>
                <w:highlight w:val="none"/>
              </w:rPr>
              <w:t>4.4.4</w:t>
            </w:r>
          </w:p>
        </w:tc>
        <w:tc>
          <w:tcPr>
            <w:tcW w:w="1958" w:type="dxa"/>
            <w:tcBorders>
              <w:tl2br w:val="nil"/>
              <w:tr2bl w:val="nil"/>
            </w:tcBorders>
            <w:vAlign w:val="center"/>
          </w:tcPr>
          <w:p w14:paraId="24EA6506">
            <w:pPr>
              <w:rPr>
                <w:rFonts w:ascii="宋体" w:eastAsia="宋体"/>
                <w:color w:val="auto"/>
                <w:spacing w:val="0"/>
                <w:szCs w:val="24"/>
                <w:highlight w:val="none"/>
              </w:rPr>
            </w:pPr>
            <w:r>
              <w:rPr>
                <w:rFonts w:hint="eastAsia" w:ascii="宋体" w:eastAsia="宋体"/>
                <w:color w:val="auto"/>
                <w:spacing w:val="0"/>
                <w:szCs w:val="24"/>
                <w:highlight w:val="none"/>
              </w:rPr>
              <w:t>安全管理</w:t>
            </w:r>
          </w:p>
        </w:tc>
        <w:tc>
          <w:tcPr>
            <w:tcW w:w="5778" w:type="dxa"/>
            <w:tcBorders>
              <w:tl2br w:val="nil"/>
              <w:tr2bl w:val="nil"/>
            </w:tcBorders>
            <w:vAlign w:val="center"/>
          </w:tcPr>
          <w:p w14:paraId="6A24521F">
            <w:pPr>
              <w:rPr>
                <w:rFonts w:ascii="宋体" w:eastAsia="宋体"/>
                <w:color w:val="auto"/>
                <w:spacing w:val="0"/>
                <w:szCs w:val="24"/>
                <w:highlight w:val="none"/>
              </w:rPr>
            </w:pPr>
            <w:r>
              <w:rPr>
                <w:rFonts w:hint="eastAsia" w:ascii="宋体" w:eastAsia="宋体"/>
                <w:color w:val="auto"/>
                <w:spacing w:val="0"/>
                <w:szCs w:val="24"/>
                <w:highlight w:val="none"/>
              </w:rPr>
              <w:t>配合甲方完成上线前的漏洞扫描、渗透测试等安全评估工作，根据甲方要求完成发现漏洞的整改工作</w:t>
            </w:r>
          </w:p>
        </w:tc>
      </w:tr>
      <w:tr w14:paraId="3901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75FA72DB">
            <w:pPr>
              <w:rPr>
                <w:rFonts w:ascii="宋体" w:eastAsia="宋体"/>
                <w:b/>
                <w:color w:val="auto"/>
                <w:spacing w:val="0"/>
                <w:szCs w:val="24"/>
                <w:highlight w:val="none"/>
              </w:rPr>
            </w:pPr>
            <w:r>
              <w:rPr>
                <w:rFonts w:hint="eastAsia" w:ascii="宋体" w:eastAsia="宋体"/>
                <w:b/>
                <w:color w:val="auto"/>
                <w:spacing w:val="0"/>
                <w:szCs w:val="24"/>
                <w:highlight w:val="none"/>
              </w:rPr>
              <w:t>4.5 后续支持</w:t>
            </w:r>
          </w:p>
        </w:tc>
      </w:tr>
      <w:tr w14:paraId="53106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161" w:type="dxa"/>
            <w:tcBorders>
              <w:tl2br w:val="nil"/>
              <w:tr2bl w:val="nil"/>
            </w:tcBorders>
            <w:vAlign w:val="center"/>
          </w:tcPr>
          <w:p w14:paraId="091AAF17">
            <w:pPr>
              <w:rPr>
                <w:rFonts w:ascii="宋体" w:eastAsia="宋体"/>
                <w:color w:val="auto"/>
                <w:spacing w:val="0"/>
                <w:szCs w:val="24"/>
                <w:highlight w:val="none"/>
              </w:rPr>
            </w:pPr>
            <w:r>
              <w:rPr>
                <w:rFonts w:hint="eastAsia" w:ascii="宋体" w:eastAsia="宋体"/>
                <w:color w:val="auto"/>
                <w:spacing w:val="0"/>
                <w:szCs w:val="24"/>
                <w:highlight w:val="none"/>
              </w:rPr>
              <w:t>4.5.1</w:t>
            </w:r>
          </w:p>
        </w:tc>
        <w:tc>
          <w:tcPr>
            <w:tcW w:w="1958" w:type="dxa"/>
            <w:tcBorders>
              <w:tl2br w:val="nil"/>
              <w:tr2bl w:val="nil"/>
            </w:tcBorders>
            <w:vAlign w:val="center"/>
          </w:tcPr>
          <w:p w14:paraId="1A4B8426">
            <w:pPr>
              <w:rPr>
                <w:rFonts w:ascii="宋体" w:eastAsia="宋体"/>
                <w:color w:val="auto"/>
                <w:spacing w:val="0"/>
                <w:szCs w:val="24"/>
                <w:highlight w:val="none"/>
              </w:rPr>
            </w:pPr>
            <w:r>
              <w:rPr>
                <w:rFonts w:hint="eastAsia" w:ascii="宋体" w:eastAsia="宋体"/>
                <w:color w:val="auto"/>
                <w:spacing w:val="0"/>
                <w:szCs w:val="24"/>
                <w:highlight w:val="none"/>
              </w:rPr>
              <w:t>版本安装、更新和升级</w:t>
            </w:r>
          </w:p>
        </w:tc>
        <w:tc>
          <w:tcPr>
            <w:tcW w:w="5778" w:type="dxa"/>
            <w:tcBorders>
              <w:tl2br w:val="nil"/>
              <w:tr2bl w:val="nil"/>
            </w:tcBorders>
            <w:vAlign w:val="center"/>
          </w:tcPr>
          <w:p w14:paraId="7F310E99">
            <w:pPr>
              <w:rPr>
                <w:rFonts w:ascii="宋体" w:eastAsia="宋体"/>
                <w:color w:val="auto"/>
                <w:spacing w:val="0"/>
                <w:szCs w:val="24"/>
                <w:highlight w:val="none"/>
              </w:rPr>
            </w:pPr>
            <w:r>
              <w:rPr>
                <w:rFonts w:hint="eastAsia" w:ascii="宋体" w:eastAsia="宋体"/>
                <w:color w:val="auto"/>
                <w:spacing w:val="0"/>
                <w:szCs w:val="24"/>
                <w:highlight w:val="none"/>
              </w:rPr>
              <w:t>提供系统版本安装和升级支持，包括响应甲方对生产、测试、开发、培训环境的安装和升级要求；提供硬件更换服务</w:t>
            </w:r>
          </w:p>
        </w:tc>
      </w:tr>
      <w:tr w14:paraId="6BDB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161" w:type="dxa"/>
            <w:tcBorders>
              <w:tl2br w:val="nil"/>
              <w:tr2bl w:val="nil"/>
            </w:tcBorders>
            <w:vAlign w:val="center"/>
          </w:tcPr>
          <w:p w14:paraId="4C72189A">
            <w:pPr>
              <w:rPr>
                <w:rFonts w:ascii="宋体" w:eastAsia="宋体"/>
                <w:color w:val="auto"/>
                <w:spacing w:val="0"/>
                <w:szCs w:val="24"/>
                <w:highlight w:val="none"/>
              </w:rPr>
            </w:pPr>
            <w:r>
              <w:rPr>
                <w:rFonts w:hint="eastAsia" w:ascii="宋体" w:eastAsia="宋体"/>
                <w:color w:val="auto"/>
                <w:spacing w:val="0"/>
                <w:szCs w:val="24"/>
                <w:highlight w:val="none"/>
              </w:rPr>
              <w:t>4.5.2</w:t>
            </w:r>
          </w:p>
        </w:tc>
        <w:tc>
          <w:tcPr>
            <w:tcW w:w="1958" w:type="dxa"/>
            <w:tcBorders>
              <w:tl2br w:val="nil"/>
              <w:tr2bl w:val="nil"/>
            </w:tcBorders>
            <w:vAlign w:val="center"/>
          </w:tcPr>
          <w:p w14:paraId="10AF097C">
            <w:pPr>
              <w:rPr>
                <w:rFonts w:ascii="宋体" w:eastAsia="宋体"/>
                <w:color w:val="auto"/>
                <w:spacing w:val="0"/>
                <w:szCs w:val="24"/>
                <w:highlight w:val="none"/>
              </w:rPr>
            </w:pPr>
            <w:r>
              <w:rPr>
                <w:rFonts w:hint="eastAsia" w:ascii="宋体" w:eastAsia="宋体"/>
                <w:color w:val="auto"/>
                <w:spacing w:val="0"/>
                <w:szCs w:val="24"/>
                <w:highlight w:val="none"/>
              </w:rPr>
              <w:t>安全漏洞整改</w:t>
            </w:r>
          </w:p>
        </w:tc>
        <w:tc>
          <w:tcPr>
            <w:tcW w:w="5778" w:type="dxa"/>
            <w:tcBorders>
              <w:tl2br w:val="nil"/>
              <w:tr2bl w:val="nil"/>
            </w:tcBorders>
            <w:vAlign w:val="center"/>
          </w:tcPr>
          <w:p w14:paraId="626F0E30">
            <w:pPr>
              <w:rPr>
                <w:rFonts w:ascii="宋体" w:eastAsia="宋体"/>
                <w:color w:val="auto"/>
                <w:spacing w:val="0"/>
                <w:szCs w:val="24"/>
                <w:highlight w:val="none"/>
              </w:rPr>
            </w:pPr>
            <w:r>
              <w:rPr>
                <w:rFonts w:hint="eastAsia" w:ascii="宋体" w:eastAsia="宋体"/>
                <w:color w:val="auto"/>
                <w:spacing w:val="0"/>
                <w:szCs w:val="24"/>
                <w:highlight w:val="none"/>
              </w:rPr>
              <w:t>针对系统运行过程中发现的安全漏洞，根据甲方要求完成整改工作</w:t>
            </w:r>
          </w:p>
        </w:tc>
      </w:tr>
      <w:tr w14:paraId="5731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161" w:type="dxa"/>
            <w:tcBorders>
              <w:tl2br w:val="nil"/>
              <w:tr2bl w:val="nil"/>
            </w:tcBorders>
            <w:vAlign w:val="center"/>
          </w:tcPr>
          <w:p w14:paraId="5291CB09">
            <w:pPr>
              <w:rPr>
                <w:rFonts w:ascii="宋体" w:eastAsia="宋体"/>
                <w:color w:val="auto"/>
                <w:spacing w:val="0"/>
                <w:szCs w:val="24"/>
                <w:highlight w:val="none"/>
              </w:rPr>
            </w:pPr>
            <w:r>
              <w:rPr>
                <w:rFonts w:hint="eastAsia" w:ascii="宋体" w:eastAsia="宋体"/>
                <w:color w:val="auto"/>
                <w:spacing w:val="0"/>
                <w:szCs w:val="24"/>
                <w:highlight w:val="none"/>
              </w:rPr>
              <w:t>4.5.3</w:t>
            </w:r>
          </w:p>
        </w:tc>
        <w:tc>
          <w:tcPr>
            <w:tcW w:w="1958" w:type="dxa"/>
            <w:tcBorders>
              <w:tl2br w:val="nil"/>
              <w:tr2bl w:val="nil"/>
            </w:tcBorders>
            <w:vAlign w:val="center"/>
          </w:tcPr>
          <w:p w14:paraId="348B8A15">
            <w:pPr>
              <w:rPr>
                <w:rFonts w:ascii="宋体" w:eastAsia="宋体"/>
                <w:color w:val="auto"/>
                <w:spacing w:val="0"/>
                <w:szCs w:val="24"/>
                <w:highlight w:val="none"/>
              </w:rPr>
            </w:pPr>
            <w:r>
              <w:rPr>
                <w:rFonts w:hint="eastAsia" w:ascii="宋体" w:eastAsia="宋体"/>
                <w:color w:val="auto"/>
                <w:spacing w:val="0"/>
                <w:szCs w:val="24"/>
                <w:highlight w:val="none"/>
              </w:rPr>
              <w:t>服务台支持</w:t>
            </w:r>
          </w:p>
        </w:tc>
        <w:tc>
          <w:tcPr>
            <w:tcW w:w="5778" w:type="dxa"/>
            <w:tcBorders>
              <w:tl2br w:val="nil"/>
              <w:tr2bl w:val="nil"/>
            </w:tcBorders>
            <w:vAlign w:val="center"/>
          </w:tcPr>
          <w:p w14:paraId="69BB2A58">
            <w:pPr>
              <w:rPr>
                <w:rFonts w:ascii="宋体" w:eastAsia="宋体"/>
                <w:color w:val="auto"/>
                <w:spacing w:val="0"/>
                <w:szCs w:val="24"/>
                <w:highlight w:val="none"/>
              </w:rPr>
            </w:pPr>
            <w:r>
              <w:rPr>
                <w:rFonts w:hint="eastAsia" w:ascii="宋体" w:eastAsia="宋体"/>
                <w:color w:val="auto"/>
                <w:spacing w:val="0"/>
                <w:szCs w:val="24"/>
                <w:highlight w:val="none"/>
              </w:rPr>
              <w:t>提供7×24小时的技术支持服务</w:t>
            </w:r>
          </w:p>
        </w:tc>
      </w:tr>
      <w:tr w14:paraId="3C25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1161" w:type="dxa"/>
            <w:tcBorders>
              <w:tl2br w:val="nil"/>
              <w:tr2bl w:val="nil"/>
            </w:tcBorders>
            <w:vAlign w:val="center"/>
          </w:tcPr>
          <w:p w14:paraId="3A113C9E">
            <w:pPr>
              <w:rPr>
                <w:rFonts w:ascii="宋体" w:eastAsia="宋体"/>
                <w:color w:val="auto"/>
                <w:spacing w:val="0"/>
                <w:szCs w:val="24"/>
                <w:highlight w:val="none"/>
              </w:rPr>
            </w:pPr>
            <w:r>
              <w:rPr>
                <w:rFonts w:hint="eastAsia" w:ascii="宋体" w:eastAsia="宋体"/>
                <w:color w:val="auto"/>
                <w:spacing w:val="0"/>
                <w:szCs w:val="24"/>
                <w:highlight w:val="none"/>
              </w:rPr>
              <w:t>4.5.4</w:t>
            </w:r>
          </w:p>
        </w:tc>
        <w:tc>
          <w:tcPr>
            <w:tcW w:w="1958" w:type="dxa"/>
            <w:tcBorders>
              <w:tl2br w:val="nil"/>
              <w:tr2bl w:val="nil"/>
            </w:tcBorders>
            <w:vAlign w:val="center"/>
          </w:tcPr>
          <w:p w14:paraId="019C6F02">
            <w:pPr>
              <w:rPr>
                <w:rFonts w:ascii="宋体" w:eastAsia="宋体"/>
                <w:color w:val="auto"/>
                <w:spacing w:val="0"/>
                <w:szCs w:val="24"/>
                <w:highlight w:val="none"/>
              </w:rPr>
            </w:pPr>
            <w:r>
              <w:rPr>
                <w:rFonts w:hint="eastAsia" w:ascii="宋体" w:eastAsia="宋体"/>
                <w:color w:val="auto"/>
                <w:spacing w:val="0"/>
                <w:szCs w:val="24"/>
                <w:highlight w:val="none"/>
              </w:rPr>
              <w:t>巡检服务</w:t>
            </w:r>
          </w:p>
        </w:tc>
        <w:tc>
          <w:tcPr>
            <w:tcW w:w="5778" w:type="dxa"/>
            <w:tcBorders>
              <w:tl2br w:val="nil"/>
              <w:tr2bl w:val="nil"/>
            </w:tcBorders>
            <w:vAlign w:val="center"/>
          </w:tcPr>
          <w:p w14:paraId="65CEF854">
            <w:pPr>
              <w:rPr>
                <w:rFonts w:ascii="宋体" w:eastAsia="宋体"/>
                <w:color w:val="auto"/>
                <w:spacing w:val="0"/>
                <w:szCs w:val="24"/>
                <w:highlight w:val="none"/>
              </w:rPr>
            </w:pPr>
            <w:r>
              <w:rPr>
                <w:rFonts w:hint="eastAsia" w:ascii="宋体" w:eastAsia="宋体"/>
                <w:color w:val="auto"/>
                <w:spacing w:val="0"/>
                <w:szCs w:val="24"/>
                <w:highlight w:val="none"/>
              </w:rPr>
              <w:t>提供系统运行状况报告</w:t>
            </w:r>
          </w:p>
        </w:tc>
      </w:tr>
      <w:tr w14:paraId="6531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161" w:type="dxa"/>
            <w:tcBorders>
              <w:tl2br w:val="nil"/>
              <w:tr2bl w:val="nil"/>
            </w:tcBorders>
            <w:vAlign w:val="center"/>
          </w:tcPr>
          <w:p w14:paraId="6A62717C">
            <w:pPr>
              <w:rPr>
                <w:rFonts w:ascii="宋体" w:eastAsia="宋体"/>
                <w:color w:val="auto"/>
                <w:spacing w:val="0"/>
                <w:szCs w:val="24"/>
                <w:highlight w:val="none"/>
              </w:rPr>
            </w:pPr>
            <w:r>
              <w:rPr>
                <w:rFonts w:hint="eastAsia" w:ascii="宋体" w:eastAsia="宋体"/>
                <w:color w:val="auto"/>
                <w:spacing w:val="0"/>
                <w:szCs w:val="24"/>
                <w:highlight w:val="none"/>
              </w:rPr>
              <w:t>4.5.5</w:t>
            </w:r>
          </w:p>
        </w:tc>
        <w:tc>
          <w:tcPr>
            <w:tcW w:w="1958" w:type="dxa"/>
            <w:tcBorders>
              <w:tl2br w:val="nil"/>
              <w:tr2bl w:val="nil"/>
            </w:tcBorders>
            <w:vAlign w:val="center"/>
          </w:tcPr>
          <w:p w14:paraId="65384560">
            <w:pPr>
              <w:rPr>
                <w:rFonts w:ascii="宋体" w:eastAsia="宋体"/>
                <w:color w:val="auto"/>
                <w:spacing w:val="0"/>
                <w:szCs w:val="24"/>
                <w:highlight w:val="none"/>
              </w:rPr>
            </w:pPr>
            <w:r>
              <w:rPr>
                <w:rFonts w:hint="eastAsia" w:ascii="宋体" w:eastAsia="宋体"/>
                <w:color w:val="auto"/>
                <w:spacing w:val="0"/>
                <w:szCs w:val="24"/>
                <w:highlight w:val="none"/>
              </w:rPr>
              <w:t>现场问题解决</w:t>
            </w:r>
          </w:p>
        </w:tc>
        <w:tc>
          <w:tcPr>
            <w:tcW w:w="5778" w:type="dxa"/>
            <w:tcBorders>
              <w:tl2br w:val="nil"/>
              <w:tr2bl w:val="nil"/>
            </w:tcBorders>
            <w:vAlign w:val="center"/>
          </w:tcPr>
          <w:p w14:paraId="062087A7">
            <w:pPr>
              <w:ind w:firstLine="0" w:firstLineChars="0"/>
              <w:rPr>
                <w:rFonts w:ascii="宋体" w:eastAsia="宋体"/>
                <w:color w:val="auto"/>
                <w:spacing w:val="0"/>
                <w:szCs w:val="24"/>
                <w:highlight w:val="none"/>
              </w:rPr>
            </w:pPr>
            <w:r>
              <w:rPr>
                <w:rFonts w:hint="eastAsia" w:ascii="宋体" w:eastAsia="宋体"/>
                <w:color w:val="auto"/>
                <w:spacing w:val="0"/>
                <w:szCs w:val="24"/>
                <w:highlight w:val="none"/>
              </w:rPr>
              <w:t>提供重大问题现场解决，提供系统性能、容量、问题报告</w:t>
            </w:r>
          </w:p>
        </w:tc>
      </w:tr>
      <w:tr w14:paraId="1BEF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1161" w:type="dxa"/>
            <w:tcBorders>
              <w:tl2br w:val="nil"/>
              <w:tr2bl w:val="nil"/>
            </w:tcBorders>
            <w:vAlign w:val="center"/>
          </w:tcPr>
          <w:p w14:paraId="74764DE2">
            <w:pPr>
              <w:rPr>
                <w:rFonts w:ascii="宋体" w:eastAsia="宋体"/>
                <w:color w:val="auto"/>
                <w:spacing w:val="0"/>
                <w:szCs w:val="24"/>
                <w:highlight w:val="none"/>
              </w:rPr>
            </w:pPr>
            <w:r>
              <w:rPr>
                <w:rFonts w:hint="eastAsia" w:ascii="宋体" w:eastAsia="宋体"/>
                <w:color w:val="auto"/>
                <w:spacing w:val="0"/>
                <w:szCs w:val="24"/>
                <w:highlight w:val="none"/>
              </w:rPr>
              <w:t>4.5.6</w:t>
            </w:r>
          </w:p>
        </w:tc>
        <w:tc>
          <w:tcPr>
            <w:tcW w:w="1958" w:type="dxa"/>
            <w:tcBorders>
              <w:tl2br w:val="nil"/>
              <w:tr2bl w:val="nil"/>
            </w:tcBorders>
            <w:vAlign w:val="center"/>
          </w:tcPr>
          <w:p w14:paraId="1B6F25B2">
            <w:pPr>
              <w:rPr>
                <w:rFonts w:ascii="宋体" w:eastAsia="宋体"/>
                <w:color w:val="auto"/>
                <w:spacing w:val="0"/>
                <w:szCs w:val="24"/>
                <w:highlight w:val="none"/>
              </w:rPr>
            </w:pPr>
            <w:r>
              <w:rPr>
                <w:rFonts w:hint="eastAsia" w:ascii="宋体" w:eastAsia="宋体"/>
                <w:color w:val="auto"/>
                <w:spacing w:val="0"/>
                <w:szCs w:val="24"/>
                <w:highlight w:val="none"/>
              </w:rPr>
              <w:t>响应要求</w:t>
            </w:r>
          </w:p>
        </w:tc>
        <w:tc>
          <w:tcPr>
            <w:tcW w:w="5778" w:type="dxa"/>
            <w:tcBorders>
              <w:tl2br w:val="nil"/>
              <w:tr2bl w:val="nil"/>
            </w:tcBorders>
            <w:vAlign w:val="center"/>
          </w:tcPr>
          <w:p w14:paraId="1CE7D051">
            <w:pPr>
              <w:rPr>
                <w:rFonts w:ascii="宋体" w:eastAsia="宋体"/>
                <w:color w:val="auto"/>
                <w:spacing w:val="0"/>
                <w:szCs w:val="24"/>
                <w:highlight w:val="none"/>
              </w:rPr>
            </w:pPr>
            <w:r>
              <w:rPr>
                <w:rFonts w:hint="eastAsia" w:ascii="宋体" w:eastAsia="宋体"/>
                <w:color w:val="auto"/>
                <w:spacing w:val="0"/>
                <w:szCs w:val="24"/>
                <w:highlight w:val="none"/>
              </w:rPr>
              <w:t>要求按服务水平和指标及时响应：</w:t>
            </w:r>
          </w:p>
          <w:p w14:paraId="66B39BEC">
            <w:pPr>
              <w:rPr>
                <w:rFonts w:ascii="宋体" w:eastAsia="宋体"/>
                <w:color w:val="auto"/>
                <w:spacing w:val="0"/>
                <w:szCs w:val="24"/>
                <w:highlight w:val="none"/>
              </w:rPr>
            </w:pPr>
            <w:r>
              <w:rPr>
                <w:rFonts w:hint="eastAsia" w:ascii="宋体" w:eastAsia="宋体"/>
                <w:color w:val="auto"/>
                <w:spacing w:val="0"/>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8E69C86">
            <w:pPr>
              <w:rPr>
                <w:rFonts w:ascii="宋体" w:eastAsia="宋体"/>
                <w:color w:val="auto"/>
                <w:spacing w:val="0"/>
                <w:szCs w:val="24"/>
                <w:highlight w:val="none"/>
              </w:rPr>
            </w:pPr>
            <w:r>
              <w:rPr>
                <w:rFonts w:hint="eastAsia" w:ascii="宋体" w:eastAsia="宋体"/>
                <w:color w:val="auto"/>
                <w:spacing w:val="0"/>
                <w:szCs w:val="24"/>
                <w:highlight w:val="none"/>
              </w:rPr>
              <w:t>二级响应：系统的运行性能严重下降，或性能明显下降，对业务运作产生明显影响。响应时间1小时内，必要时4小时到达，8小时内排除问题；</w:t>
            </w:r>
          </w:p>
          <w:p w14:paraId="68F10A74">
            <w:pPr>
              <w:rPr>
                <w:rFonts w:ascii="宋体" w:eastAsia="宋体"/>
                <w:color w:val="auto"/>
                <w:spacing w:val="0"/>
                <w:szCs w:val="24"/>
                <w:highlight w:val="none"/>
              </w:rPr>
            </w:pPr>
            <w:r>
              <w:rPr>
                <w:rFonts w:hint="eastAsia" w:ascii="宋体" w:eastAsia="宋体"/>
                <w:color w:val="auto"/>
                <w:spacing w:val="0"/>
                <w:szCs w:val="24"/>
                <w:highlight w:val="none"/>
              </w:rPr>
              <w:t>三级响应：系统的运作性能受损，但业务仍可正常运行，响应时间12小时内，必要时24小时到达，1周内排除问题；</w:t>
            </w:r>
          </w:p>
          <w:p w14:paraId="47F3611D">
            <w:pPr>
              <w:rPr>
                <w:rFonts w:ascii="宋体" w:eastAsia="宋体"/>
                <w:color w:val="auto"/>
                <w:spacing w:val="0"/>
                <w:szCs w:val="24"/>
                <w:highlight w:val="none"/>
              </w:rPr>
            </w:pPr>
            <w:r>
              <w:rPr>
                <w:rFonts w:hint="eastAsia" w:ascii="宋体" w:eastAsia="宋体"/>
                <w:color w:val="auto"/>
                <w:spacing w:val="0"/>
                <w:szCs w:val="24"/>
                <w:highlight w:val="none"/>
              </w:rPr>
              <w:t>四级响应：对系统安装或配置方面需要咨询或支援，很显然对业务运作几乎无影响，或根本没有影响。响应时间24小时内，必要时48小时到达，2周内排除问题。</w:t>
            </w:r>
          </w:p>
        </w:tc>
      </w:tr>
    </w:tbl>
    <w:p w14:paraId="7958786E">
      <w:pPr>
        <w:rPr>
          <w:rFonts w:ascii="宋体" w:eastAsia="宋体"/>
          <w:b/>
          <w:bCs/>
          <w:color w:val="auto"/>
          <w:spacing w:val="0"/>
          <w:kern w:val="32"/>
          <w:szCs w:val="24"/>
          <w:highlight w:val="none"/>
        </w:rPr>
      </w:pPr>
      <w:bookmarkStart w:id="289" w:name="_Toc254884645"/>
      <w:r>
        <w:rPr>
          <w:rFonts w:hint="eastAsia" w:ascii="宋体" w:eastAsia="宋体"/>
          <w:b/>
          <w:bCs/>
          <w:color w:val="auto"/>
          <w:spacing w:val="0"/>
          <w:kern w:val="32"/>
          <w:szCs w:val="24"/>
          <w:highlight w:val="none"/>
        </w:rPr>
        <w:t>5. 问题管理流程</w:t>
      </w:r>
      <w:bookmarkEnd w:id="289"/>
    </w:p>
    <w:p w14:paraId="32FE6015">
      <w:pPr>
        <w:rPr>
          <w:rFonts w:ascii="宋体" w:eastAsia="宋体"/>
          <w:b/>
          <w:bCs/>
          <w:color w:val="auto"/>
          <w:spacing w:val="0"/>
          <w:kern w:val="32"/>
          <w:szCs w:val="24"/>
          <w:highlight w:val="none"/>
        </w:rPr>
      </w:pPr>
      <w:bookmarkStart w:id="290" w:name="_Toc254884646"/>
      <w:r>
        <w:rPr>
          <w:rFonts w:hint="eastAsia" w:ascii="宋体" w:eastAsia="宋体"/>
          <w:b/>
          <w:bCs/>
          <w:color w:val="auto"/>
          <w:spacing w:val="0"/>
          <w:kern w:val="32"/>
          <w:szCs w:val="24"/>
          <w:highlight w:val="none"/>
        </w:rPr>
        <w:t>5.1问题处理流程</w:t>
      </w:r>
      <w:bookmarkEnd w:id="290"/>
    </w:p>
    <w:p w14:paraId="76C058B1">
      <w:pPr>
        <w:widowControl/>
        <w:numPr>
          <w:ilvl w:val="0"/>
          <w:numId w:val="47"/>
        </w:numPr>
        <w:spacing w:line="360" w:lineRule="auto"/>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甲方或乙方均可以首先提出对问题解决方案有不同意见的看法；</w:t>
      </w:r>
    </w:p>
    <w:p w14:paraId="7248BE5F">
      <w:pPr>
        <w:widowControl/>
        <w:numPr>
          <w:ilvl w:val="0"/>
          <w:numId w:val="47"/>
        </w:numPr>
        <w:spacing w:line="360" w:lineRule="auto"/>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甲方管理层和乙方管理层将决定问题是否需要提升到更高的管理层；</w:t>
      </w:r>
    </w:p>
    <w:p w14:paraId="5A7F53B6">
      <w:pPr>
        <w:widowControl/>
        <w:numPr>
          <w:ilvl w:val="0"/>
          <w:numId w:val="47"/>
        </w:numPr>
        <w:spacing w:line="360" w:lineRule="auto"/>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及时召开相关的会议讨论和解决问题，问题的相关文档应提前一天发送到与会者；</w:t>
      </w:r>
    </w:p>
    <w:p w14:paraId="2D1CF870">
      <w:pPr>
        <w:widowControl/>
        <w:numPr>
          <w:ilvl w:val="0"/>
          <w:numId w:val="47"/>
        </w:numPr>
        <w:spacing w:line="360" w:lineRule="auto"/>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2DE3896B">
      <w:pPr>
        <w:widowControl/>
        <w:numPr>
          <w:ilvl w:val="0"/>
          <w:numId w:val="47"/>
        </w:numPr>
        <w:spacing w:line="360" w:lineRule="auto"/>
        <w:ind w:left="0" w:firstLine="567" w:firstLineChars="270"/>
        <w:rPr>
          <w:rFonts w:ascii="宋体" w:eastAsia="宋体"/>
          <w:color w:val="auto"/>
          <w:spacing w:val="0"/>
          <w:szCs w:val="24"/>
          <w:highlight w:val="none"/>
        </w:rPr>
      </w:pPr>
      <w:r>
        <w:rPr>
          <w:rFonts w:hint="eastAsia" w:ascii="宋体" w:eastAsia="宋体"/>
          <w:color w:val="auto"/>
          <w:spacing w:val="0"/>
          <w:szCs w:val="24"/>
          <w:highlight w:val="none"/>
        </w:rPr>
        <w:t>如果问题最终仍没解决，甲方和乙方双方可以申请仲裁来达成最终的一致方案。</w:t>
      </w:r>
    </w:p>
    <w:p w14:paraId="3545EB67">
      <w:pPr>
        <w:rPr>
          <w:rFonts w:ascii="宋体" w:eastAsia="宋体"/>
          <w:b/>
          <w:bCs/>
          <w:color w:val="auto"/>
          <w:spacing w:val="0"/>
          <w:kern w:val="32"/>
          <w:szCs w:val="24"/>
          <w:highlight w:val="none"/>
        </w:rPr>
      </w:pPr>
      <w:bookmarkStart w:id="291" w:name="_Toc254884647"/>
      <w:r>
        <w:rPr>
          <w:rFonts w:hint="eastAsia" w:ascii="宋体" w:eastAsia="宋体"/>
          <w:b/>
          <w:bCs/>
          <w:color w:val="auto"/>
          <w:spacing w:val="0"/>
          <w:kern w:val="32"/>
          <w:szCs w:val="24"/>
          <w:highlight w:val="none"/>
        </w:rPr>
        <w:t>5.2问题升级流程</w:t>
      </w:r>
      <w:bookmarkEnd w:id="291"/>
    </w:p>
    <w:p w14:paraId="6AAC51ED">
      <w:pPr>
        <w:widowControl/>
        <w:numPr>
          <w:ilvl w:val="0"/>
          <w:numId w:val="48"/>
        </w:numPr>
        <w:spacing w:line="360" w:lineRule="auto"/>
        <w:ind w:firstLineChars="0"/>
        <w:rPr>
          <w:rFonts w:ascii="宋体" w:eastAsia="宋体"/>
          <w:color w:val="auto"/>
          <w:spacing w:val="0"/>
          <w:szCs w:val="24"/>
          <w:highlight w:val="none"/>
        </w:rPr>
      </w:pPr>
      <w:r>
        <w:rPr>
          <w:rFonts w:hint="eastAsia" w:ascii="宋体" w:eastAsia="宋体"/>
          <w:color w:val="auto"/>
          <w:spacing w:val="0"/>
          <w:szCs w:val="24"/>
          <w:highlight w:val="none"/>
        </w:rPr>
        <w:t>甲方或者乙方都有可能首先提出该流程；</w:t>
      </w:r>
    </w:p>
    <w:p w14:paraId="66F7AFF8">
      <w:pPr>
        <w:widowControl/>
        <w:numPr>
          <w:ilvl w:val="0"/>
          <w:numId w:val="48"/>
        </w:numPr>
        <w:spacing w:line="360" w:lineRule="auto"/>
        <w:ind w:firstLineChars="0"/>
        <w:rPr>
          <w:rFonts w:ascii="宋体" w:eastAsia="宋体"/>
          <w:color w:val="auto"/>
          <w:spacing w:val="0"/>
          <w:szCs w:val="24"/>
          <w:highlight w:val="none"/>
        </w:rPr>
      </w:pPr>
      <w:r>
        <w:rPr>
          <w:rFonts w:hint="eastAsia" w:ascii="宋体" w:eastAsia="宋体"/>
          <w:color w:val="auto"/>
          <w:spacing w:val="0"/>
          <w:szCs w:val="24"/>
          <w:highlight w:val="none"/>
        </w:rPr>
        <w:t>首先提出的一方应及时通知对方问题升级流程已经启动；</w:t>
      </w:r>
    </w:p>
    <w:p w14:paraId="453C820E">
      <w:pPr>
        <w:widowControl/>
        <w:numPr>
          <w:ilvl w:val="0"/>
          <w:numId w:val="48"/>
        </w:numPr>
        <w:spacing w:line="360" w:lineRule="auto"/>
        <w:ind w:firstLineChars="0"/>
        <w:rPr>
          <w:rFonts w:ascii="宋体" w:eastAsia="宋体"/>
          <w:color w:val="auto"/>
          <w:spacing w:val="0"/>
          <w:szCs w:val="24"/>
          <w:highlight w:val="none"/>
        </w:rPr>
      </w:pPr>
      <w:r>
        <w:rPr>
          <w:rFonts w:hint="eastAsia" w:ascii="宋体" w:eastAsia="宋体"/>
          <w:color w:val="auto"/>
          <w:spacing w:val="0"/>
          <w:szCs w:val="24"/>
          <w:highlight w:val="none"/>
        </w:rPr>
        <w:t>问题升级到的管理层应当事先定义在联络人表中；</w:t>
      </w:r>
    </w:p>
    <w:p w14:paraId="38329DC4">
      <w:pPr>
        <w:widowControl/>
        <w:numPr>
          <w:ilvl w:val="0"/>
          <w:numId w:val="48"/>
        </w:numPr>
        <w:spacing w:line="360" w:lineRule="auto"/>
        <w:ind w:firstLineChars="0"/>
        <w:rPr>
          <w:rFonts w:ascii="宋体" w:eastAsia="宋体"/>
          <w:color w:val="auto"/>
          <w:spacing w:val="0"/>
          <w:szCs w:val="24"/>
          <w:highlight w:val="none"/>
        </w:rPr>
      </w:pPr>
      <w:r>
        <w:rPr>
          <w:rFonts w:hint="eastAsia" w:ascii="宋体" w:eastAsia="宋体"/>
          <w:color w:val="auto"/>
          <w:spacing w:val="0"/>
          <w:szCs w:val="24"/>
          <w:highlight w:val="none"/>
        </w:rPr>
        <w:t>问题升级的层次在甲方和乙方之间应当保持一致，直至解决该问题。</w:t>
      </w:r>
    </w:p>
    <w:p w14:paraId="2E70A73F">
      <w:pPr>
        <w:rPr>
          <w:rFonts w:ascii="宋体" w:eastAsia="宋体"/>
          <w:b/>
          <w:bCs/>
          <w:color w:val="auto"/>
          <w:spacing w:val="0"/>
          <w:kern w:val="32"/>
          <w:szCs w:val="24"/>
          <w:highlight w:val="none"/>
        </w:rPr>
      </w:pPr>
      <w:bookmarkStart w:id="292" w:name="_Toc254884648"/>
      <w:r>
        <w:rPr>
          <w:rFonts w:hint="eastAsia" w:ascii="宋体" w:eastAsia="宋体"/>
          <w:b/>
          <w:bCs/>
          <w:color w:val="auto"/>
          <w:spacing w:val="0"/>
          <w:kern w:val="32"/>
          <w:szCs w:val="24"/>
          <w:highlight w:val="none"/>
        </w:rPr>
        <w:t>5.3联络表</w:t>
      </w:r>
      <w:bookmarkEnd w:id="292"/>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E3F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FBE5516">
            <w:pPr>
              <w:spacing w:line="360" w:lineRule="auto"/>
              <w:jc w:val="center"/>
              <w:rPr>
                <w:rFonts w:ascii="宋体" w:eastAsia="宋体"/>
                <w:color w:val="auto"/>
                <w:spacing w:val="0"/>
                <w:szCs w:val="24"/>
                <w:highlight w:val="none"/>
              </w:rPr>
            </w:pPr>
            <w:r>
              <w:rPr>
                <w:rFonts w:hint="eastAsia" w:ascii="宋体" w:eastAsia="宋体"/>
                <w:b/>
                <w:color w:val="auto"/>
                <w:spacing w:val="0"/>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52BE340A">
            <w:pPr>
              <w:spacing w:line="360" w:lineRule="auto"/>
              <w:jc w:val="center"/>
              <w:rPr>
                <w:rFonts w:ascii="宋体" w:eastAsia="宋体"/>
                <w:b/>
                <w:color w:val="auto"/>
                <w:spacing w:val="0"/>
                <w:szCs w:val="24"/>
                <w:highlight w:val="none"/>
              </w:rPr>
            </w:pPr>
            <w:r>
              <w:rPr>
                <w:rFonts w:hint="eastAsia" w:ascii="宋体" w:eastAsia="宋体"/>
                <w:b/>
                <w:color w:val="auto"/>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F857B13">
            <w:pPr>
              <w:spacing w:line="360" w:lineRule="auto"/>
              <w:jc w:val="center"/>
              <w:rPr>
                <w:rFonts w:ascii="宋体" w:eastAsia="宋体"/>
                <w:b/>
                <w:color w:val="auto"/>
                <w:spacing w:val="0"/>
                <w:szCs w:val="24"/>
                <w:highlight w:val="none"/>
              </w:rPr>
            </w:pPr>
            <w:r>
              <w:rPr>
                <w:rFonts w:hint="eastAsia" w:ascii="宋体" w:eastAsia="宋体"/>
                <w:b/>
                <w:color w:val="auto"/>
                <w:spacing w:val="0"/>
                <w:szCs w:val="24"/>
                <w:highlight w:val="none"/>
              </w:rPr>
              <w:t>电话</w:t>
            </w:r>
          </w:p>
        </w:tc>
      </w:tr>
      <w:tr w14:paraId="3BD6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CE94186">
            <w:pPr>
              <w:spacing w:line="360" w:lineRule="auto"/>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8E413E3">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D97D05C">
            <w:pPr>
              <w:spacing w:line="360" w:lineRule="auto"/>
              <w:jc w:val="center"/>
              <w:rPr>
                <w:rFonts w:ascii="宋体" w:eastAsia="宋体"/>
                <w:color w:val="auto"/>
                <w:spacing w:val="0"/>
                <w:szCs w:val="24"/>
                <w:highlight w:val="none"/>
              </w:rPr>
            </w:pPr>
          </w:p>
        </w:tc>
      </w:tr>
      <w:tr w14:paraId="3564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87D18A4">
            <w:pPr>
              <w:spacing w:line="360" w:lineRule="auto"/>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C0B4781">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3331E8B">
            <w:pPr>
              <w:spacing w:line="360" w:lineRule="auto"/>
              <w:jc w:val="center"/>
              <w:rPr>
                <w:rFonts w:ascii="宋体" w:eastAsia="宋体"/>
                <w:color w:val="auto"/>
                <w:spacing w:val="0"/>
                <w:szCs w:val="24"/>
                <w:highlight w:val="none"/>
              </w:rPr>
            </w:pPr>
          </w:p>
        </w:tc>
      </w:tr>
      <w:tr w14:paraId="7F94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F50ADFA">
            <w:pPr>
              <w:spacing w:line="360" w:lineRule="auto"/>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D6B03EA">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52171C2">
            <w:pPr>
              <w:spacing w:line="360" w:lineRule="auto"/>
              <w:jc w:val="center"/>
              <w:rPr>
                <w:rFonts w:ascii="宋体" w:eastAsia="宋体"/>
                <w:color w:val="auto"/>
                <w:spacing w:val="0"/>
                <w:szCs w:val="24"/>
                <w:highlight w:val="none"/>
              </w:rPr>
            </w:pPr>
          </w:p>
        </w:tc>
      </w:tr>
      <w:tr w14:paraId="7E08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9650219">
            <w:pPr>
              <w:spacing w:line="360" w:lineRule="auto"/>
              <w:jc w:val="center"/>
              <w:rPr>
                <w:rFonts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12466F2">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93040BD">
            <w:pPr>
              <w:spacing w:line="360" w:lineRule="auto"/>
              <w:jc w:val="center"/>
              <w:rPr>
                <w:rFonts w:ascii="宋体" w:eastAsia="宋体"/>
                <w:color w:val="auto"/>
                <w:spacing w:val="0"/>
                <w:szCs w:val="24"/>
                <w:highlight w:val="none"/>
              </w:rPr>
            </w:pPr>
          </w:p>
        </w:tc>
      </w:tr>
    </w:tbl>
    <w:p w14:paraId="7EF61A53">
      <w:pPr>
        <w:rPr>
          <w:rFonts w:ascii="宋体" w:eastAsia="宋体"/>
          <w:b/>
          <w:bCs/>
          <w:color w:val="auto"/>
          <w:spacing w:val="0"/>
          <w:kern w:val="32"/>
          <w:szCs w:val="24"/>
          <w:highlight w:val="none"/>
        </w:rPr>
      </w:pPr>
      <w:bookmarkStart w:id="293" w:name="_Toc254884649"/>
      <w:r>
        <w:rPr>
          <w:rFonts w:hint="eastAsia" w:ascii="宋体" w:eastAsia="宋体"/>
          <w:b/>
          <w:bCs/>
          <w:color w:val="auto"/>
          <w:spacing w:val="0"/>
          <w:kern w:val="32"/>
          <w:szCs w:val="24"/>
          <w:highlight w:val="none"/>
        </w:rPr>
        <w:t>6. 汇报</w:t>
      </w:r>
      <w:r>
        <w:rPr>
          <w:rFonts w:ascii="宋体" w:eastAsia="宋体"/>
          <w:b/>
          <w:bCs/>
          <w:color w:val="auto"/>
          <w:spacing w:val="0"/>
          <w:kern w:val="32"/>
          <w:szCs w:val="24"/>
          <w:highlight w:val="none"/>
        </w:rPr>
        <w:t>内容及</w:t>
      </w:r>
      <w:r>
        <w:rPr>
          <w:rFonts w:hint="eastAsia" w:ascii="宋体" w:eastAsia="宋体"/>
          <w:b/>
          <w:bCs/>
          <w:color w:val="auto"/>
          <w:spacing w:val="0"/>
          <w:kern w:val="32"/>
          <w:szCs w:val="24"/>
          <w:highlight w:val="none"/>
        </w:rPr>
        <w:t>流程</w:t>
      </w:r>
      <w:bookmarkEnd w:id="293"/>
    </w:p>
    <w:p w14:paraId="4ABE6FC6">
      <w:pPr>
        <w:spacing w:line="360" w:lineRule="auto"/>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1C4148DF">
      <w:pPr>
        <w:rPr>
          <w:rFonts w:ascii="宋体" w:eastAsia="宋体"/>
          <w:b/>
          <w:bCs/>
          <w:color w:val="auto"/>
          <w:spacing w:val="0"/>
          <w:kern w:val="32"/>
          <w:szCs w:val="24"/>
          <w:highlight w:val="none"/>
        </w:rPr>
      </w:pPr>
      <w:bookmarkStart w:id="294" w:name="_Toc254884650"/>
      <w:r>
        <w:rPr>
          <w:rFonts w:hint="eastAsia" w:ascii="宋体" w:eastAsia="宋体"/>
          <w:b/>
          <w:bCs/>
          <w:color w:val="auto"/>
          <w:spacing w:val="0"/>
          <w:kern w:val="32"/>
          <w:szCs w:val="24"/>
          <w:highlight w:val="none"/>
        </w:rPr>
        <w:t>7. 服务水平和指标</w:t>
      </w:r>
      <w:bookmarkEnd w:id="294"/>
    </w:p>
    <w:p w14:paraId="28FD0C0B">
      <w:pPr>
        <w:spacing w:line="360" w:lineRule="auto"/>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【开发</w:t>
      </w:r>
      <w:r>
        <w:rPr>
          <w:rFonts w:ascii="宋体" w:eastAsia="宋体"/>
          <w:color w:val="auto"/>
          <w:spacing w:val="0"/>
          <w:szCs w:val="24"/>
          <w:highlight w:val="none"/>
        </w:rPr>
        <w:t>】</w:t>
      </w:r>
      <w:r>
        <w:rPr>
          <w:rFonts w:hint="eastAsia" w:ascii="宋体" w:eastAsia="宋体"/>
          <w:color w:val="auto"/>
          <w:spacing w:val="0"/>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2E29C2F7">
      <w:pPr>
        <w:spacing w:line="360" w:lineRule="auto"/>
        <w:rPr>
          <w:rFonts w:ascii="宋体" w:eastAsia="宋体"/>
          <w:color w:val="auto"/>
          <w:spacing w:val="0"/>
          <w:szCs w:val="24"/>
          <w:highlight w:val="none"/>
        </w:rPr>
        <w:sectPr>
          <w:pgSz w:w="11906" w:h="16838"/>
          <w:pgMar w:top="1384" w:right="1800" w:bottom="1440" w:left="1800" w:header="851" w:footer="992" w:gutter="0"/>
          <w:cols w:space="720" w:num="1"/>
          <w:docGrid w:type="lines" w:linePitch="326" w:charSpace="0"/>
        </w:sectPr>
      </w:pPr>
    </w:p>
    <w:tbl>
      <w:tblPr>
        <w:tblStyle w:val="21"/>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14:paraId="0A96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02567C0">
            <w:pPr>
              <w:pStyle w:val="45"/>
              <w:rPr>
                <w:rFonts w:hint="eastAsia"/>
                <w:b/>
                <w:bCs w:val="0"/>
                <w:color w:val="auto"/>
                <w:highlight w:val="none"/>
              </w:rPr>
            </w:pPr>
            <w:r>
              <w:rPr>
                <w:rFonts w:hint="eastAsia"/>
                <w:b/>
                <w:bCs w:val="0"/>
                <w:color w:val="auto"/>
                <w:highlight w:val="none"/>
              </w:rPr>
              <w:t>序号</w:t>
            </w:r>
          </w:p>
        </w:tc>
        <w:tc>
          <w:tcPr>
            <w:tcW w:w="1134" w:type="dxa"/>
            <w:vAlign w:val="center"/>
          </w:tcPr>
          <w:p w14:paraId="4D2EAF1C">
            <w:pPr>
              <w:pStyle w:val="45"/>
              <w:rPr>
                <w:rFonts w:hint="eastAsia"/>
                <w:b/>
                <w:bCs w:val="0"/>
                <w:color w:val="auto"/>
                <w:highlight w:val="none"/>
              </w:rPr>
            </w:pPr>
            <w:r>
              <w:rPr>
                <w:rFonts w:hint="eastAsia"/>
                <w:b/>
                <w:bCs w:val="0"/>
                <w:color w:val="auto"/>
                <w:highlight w:val="none"/>
              </w:rPr>
              <w:t>评价维度</w:t>
            </w:r>
          </w:p>
        </w:tc>
        <w:tc>
          <w:tcPr>
            <w:tcW w:w="1559" w:type="dxa"/>
            <w:vAlign w:val="center"/>
          </w:tcPr>
          <w:p w14:paraId="32AA3172">
            <w:pPr>
              <w:pStyle w:val="45"/>
              <w:rPr>
                <w:rFonts w:hint="eastAsia"/>
                <w:b/>
                <w:bCs w:val="0"/>
                <w:color w:val="auto"/>
                <w:highlight w:val="none"/>
              </w:rPr>
            </w:pPr>
            <w:r>
              <w:rPr>
                <w:rFonts w:hint="eastAsia"/>
                <w:b/>
                <w:bCs w:val="0"/>
                <w:color w:val="auto"/>
                <w:highlight w:val="none"/>
              </w:rPr>
              <w:t>评价指标</w:t>
            </w:r>
          </w:p>
        </w:tc>
        <w:tc>
          <w:tcPr>
            <w:tcW w:w="2268" w:type="dxa"/>
            <w:vAlign w:val="center"/>
          </w:tcPr>
          <w:p w14:paraId="2CC604B5">
            <w:pPr>
              <w:pStyle w:val="45"/>
              <w:rPr>
                <w:rFonts w:hint="eastAsia"/>
                <w:b/>
                <w:bCs w:val="0"/>
                <w:color w:val="auto"/>
                <w:highlight w:val="none"/>
              </w:rPr>
            </w:pPr>
            <w:r>
              <w:rPr>
                <w:rFonts w:hint="eastAsia"/>
                <w:b/>
                <w:bCs w:val="0"/>
                <w:color w:val="auto"/>
                <w:highlight w:val="none"/>
              </w:rPr>
              <w:t>指标定义</w:t>
            </w:r>
          </w:p>
        </w:tc>
        <w:tc>
          <w:tcPr>
            <w:tcW w:w="3686" w:type="dxa"/>
            <w:vAlign w:val="center"/>
          </w:tcPr>
          <w:p w14:paraId="4F784DAB">
            <w:pPr>
              <w:pStyle w:val="45"/>
              <w:rPr>
                <w:rFonts w:hint="eastAsia"/>
                <w:b/>
                <w:bCs w:val="0"/>
                <w:color w:val="auto"/>
                <w:highlight w:val="none"/>
              </w:rPr>
            </w:pPr>
            <w:r>
              <w:rPr>
                <w:rFonts w:hint="eastAsia"/>
                <w:b/>
                <w:bCs w:val="0"/>
                <w:color w:val="auto"/>
                <w:highlight w:val="none"/>
              </w:rPr>
              <w:t>评分/价标准</w:t>
            </w:r>
          </w:p>
        </w:tc>
        <w:tc>
          <w:tcPr>
            <w:tcW w:w="2410" w:type="dxa"/>
            <w:vAlign w:val="center"/>
          </w:tcPr>
          <w:p w14:paraId="73C68C58">
            <w:pPr>
              <w:pStyle w:val="45"/>
              <w:rPr>
                <w:rFonts w:hint="eastAsia"/>
                <w:b/>
                <w:bCs w:val="0"/>
                <w:color w:val="auto"/>
                <w:highlight w:val="none"/>
              </w:rPr>
            </w:pPr>
            <w:r>
              <w:rPr>
                <w:rFonts w:hint="eastAsia"/>
                <w:b/>
                <w:bCs w:val="0"/>
                <w:color w:val="auto"/>
                <w:highlight w:val="none"/>
              </w:rPr>
              <w:t>违约金标准</w:t>
            </w:r>
          </w:p>
        </w:tc>
        <w:tc>
          <w:tcPr>
            <w:tcW w:w="1134" w:type="dxa"/>
            <w:vAlign w:val="center"/>
          </w:tcPr>
          <w:p w14:paraId="5AB52F9F">
            <w:pPr>
              <w:pStyle w:val="45"/>
              <w:rPr>
                <w:rFonts w:hint="eastAsia"/>
                <w:b/>
                <w:bCs w:val="0"/>
                <w:color w:val="auto"/>
                <w:highlight w:val="none"/>
              </w:rPr>
            </w:pPr>
            <w:r>
              <w:rPr>
                <w:rFonts w:hint="eastAsia"/>
                <w:b/>
                <w:bCs w:val="0"/>
                <w:color w:val="auto"/>
                <w:highlight w:val="none"/>
              </w:rPr>
              <w:t>评价结果</w:t>
            </w:r>
          </w:p>
        </w:tc>
        <w:tc>
          <w:tcPr>
            <w:tcW w:w="1086" w:type="dxa"/>
            <w:vAlign w:val="center"/>
          </w:tcPr>
          <w:p w14:paraId="421A58EC">
            <w:pPr>
              <w:pStyle w:val="45"/>
              <w:rPr>
                <w:rFonts w:hint="eastAsia"/>
                <w:b/>
                <w:bCs w:val="0"/>
                <w:color w:val="auto"/>
                <w:highlight w:val="none"/>
              </w:rPr>
            </w:pPr>
            <w:r>
              <w:rPr>
                <w:rFonts w:hint="eastAsia"/>
                <w:b/>
                <w:bCs w:val="0"/>
                <w:color w:val="auto"/>
                <w:highlight w:val="none"/>
              </w:rPr>
              <w:t>评价得分</w:t>
            </w:r>
          </w:p>
        </w:tc>
      </w:tr>
      <w:tr w14:paraId="5651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BC1DAB">
            <w:pPr>
              <w:pStyle w:val="45"/>
              <w:rPr>
                <w:rFonts w:hint="eastAsia"/>
                <w:color w:val="auto"/>
                <w:highlight w:val="none"/>
              </w:rPr>
            </w:pPr>
            <w:r>
              <w:rPr>
                <w:rFonts w:hint="eastAsia"/>
                <w:color w:val="auto"/>
                <w:highlight w:val="none"/>
              </w:rPr>
              <w:t>1</w:t>
            </w:r>
          </w:p>
        </w:tc>
        <w:tc>
          <w:tcPr>
            <w:tcW w:w="1134" w:type="dxa"/>
            <w:vMerge w:val="restart"/>
            <w:tcBorders>
              <w:left w:val="single" w:color="auto" w:sz="4" w:space="0"/>
            </w:tcBorders>
            <w:vAlign w:val="center"/>
          </w:tcPr>
          <w:p w14:paraId="4FC8FE6C">
            <w:pPr>
              <w:pStyle w:val="45"/>
              <w:rPr>
                <w:rFonts w:hint="eastAsia"/>
                <w:color w:val="auto"/>
                <w:highlight w:val="none"/>
              </w:rPr>
            </w:pPr>
            <w:r>
              <w:rPr>
                <w:rFonts w:hint="eastAsia"/>
                <w:color w:val="auto"/>
                <w:highlight w:val="none"/>
              </w:rPr>
              <w:t>服务质量</w:t>
            </w:r>
          </w:p>
        </w:tc>
        <w:tc>
          <w:tcPr>
            <w:tcW w:w="1559" w:type="dxa"/>
            <w:tcBorders>
              <w:left w:val="single" w:color="auto" w:sz="4" w:space="0"/>
            </w:tcBorders>
            <w:vAlign w:val="center"/>
          </w:tcPr>
          <w:p w14:paraId="6DAA3AD8">
            <w:pPr>
              <w:pStyle w:val="45"/>
              <w:rPr>
                <w:rFonts w:hint="eastAsia"/>
                <w:color w:val="auto"/>
                <w:highlight w:val="none"/>
              </w:rPr>
            </w:pPr>
            <w:r>
              <w:rPr>
                <w:rFonts w:hint="eastAsia"/>
                <w:color w:val="auto"/>
                <w:highlight w:val="none"/>
              </w:rPr>
              <w:t>交付成果质量</w:t>
            </w:r>
          </w:p>
        </w:tc>
        <w:tc>
          <w:tcPr>
            <w:tcW w:w="2268" w:type="dxa"/>
            <w:tcBorders>
              <w:left w:val="single" w:color="auto" w:sz="4" w:space="0"/>
            </w:tcBorders>
            <w:vAlign w:val="center"/>
          </w:tcPr>
          <w:p w14:paraId="16ECA6C2">
            <w:pPr>
              <w:pStyle w:val="45"/>
              <w:rPr>
                <w:rFonts w:hint="eastAsia"/>
                <w:color w:val="auto"/>
                <w:highlight w:val="none"/>
              </w:rPr>
            </w:pPr>
            <w:r>
              <w:rPr>
                <w:rFonts w:hint="eastAsia"/>
                <w:color w:val="auto"/>
                <w:highlight w:val="none"/>
              </w:rPr>
              <w:t>用于记录乙方所提交的项目交付成果与甲方要求的项目交付成果的契合度或交付成果质量与合同所约定要求的项目交付成果质量的满足程度</w:t>
            </w:r>
          </w:p>
        </w:tc>
        <w:tc>
          <w:tcPr>
            <w:tcW w:w="3686" w:type="dxa"/>
            <w:tcBorders>
              <w:left w:val="single" w:color="auto" w:sz="4" w:space="0"/>
            </w:tcBorders>
            <w:vAlign w:val="center"/>
          </w:tcPr>
          <w:p w14:paraId="4EE90E15">
            <w:pPr>
              <w:pStyle w:val="45"/>
              <w:rPr>
                <w:rFonts w:hint="eastAsia"/>
                <w:color w:val="auto"/>
                <w:highlight w:val="none"/>
              </w:rPr>
            </w:pPr>
            <w:r>
              <w:rPr>
                <w:rFonts w:hint="eastAsia"/>
                <w:color w:val="auto"/>
                <w:highlight w:val="none"/>
              </w:rPr>
              <w:t>优秀：5分，指乙方能够主动快速与甲方进行有效的沟通，交付成果高度契合需求，完全满足并超出合同约定的预期目标，给甲方带来显著的附加价值；</w:t>
            </w:r>
          </w:p>
          <w:p w14:paraId="6021D049">
            <w:pPr>
              <w:pStyle w:val="45"/>
              <w:rPr>
                <w:rFonts w:hint="eastAsia"/>
                <w:color w:val="auto"/>
                <w:highlight w:val="none"/>
              </w:rPr>
            </w:pPr>
            <w:r>
              <w:rPr>
                <w:rFonts w:hint="eastAsia"/>
                <w:color w:val="auto"/>
                <w:highlight w:val="none"/>
              </w:rPr>
              <w:t>良好：4分，指乙方能够快速响应需求，交付成果达到合同约定的预期目标，基本契合需求，满足合同约定的预期目标；</w:t>
            </w:r>
          </w:p>
          <w:p w14:paraId="4F96DA64">
            <w:pPr>
              <w:pStyle w:val="45"/>
              <w:rPr>
                <w:rFonts w:hint="eastAsia"/>
                <w:color w:val="auto"/>
                <w:highlight w:val="none"/>
              </w:rPr>
            </w:pPr>
            <w:r>
              <w:rPr>
                <w:rFonts w:hint="eastAsia"/>
                <w:color w:val="auto"/>
                <w:highlight w:val="none"/>
              </w:rPr>
              <w:t>合格：3分，指乙方能够按要求响应需求，交付成果基本满足需求，但是总体可满足合同约定的预期目标；</w:t>
            </w:r>
          </w:p>
          <w:p w14:paraId="54D6F304">
            <w:pPr>
              <w:pStyle w:val="45"/>
              <w:rPr>
                <w:rFonts w:hint="eastAsia"/>
                <w:color w:val="auto"/>
                <w:highlight w:val="none"/>
              </w:rPr>
            </w:pPr>
            <w:r>
              <w:rPr>
                <w:rFonts w:hint="eastAsia"/>
                <w:color w:val="auto"/>
                <w:highlight w:val="none"/>
              </w:rPr>
              <w:t>较差/差：0分，指乙方未能够按要求响应需求，或交付成果与需求契合度差距较大，无法达到合同约定的预期目标。</w:t>
            </w:r>
          </w:p>
        </w:tc>
        <w:tc>
          <w:tcPr>
            <w:tcW w:w="2410" w:type="dxa"/>
            <w:tcBorders>
              <w:left w:val="single" w:color="auto" w:sz="4" w:space="0"/>
            </w:tcBorders>
            <w:vAlign w:val="center"/>
          </w:tcPr>
          <w:p w14:paraId="730C70A4">
            <w:pPr>
              <w:pStyle w:val="45"/>
              <w:rPr>
                <w:rFonts w:hint="eastAsia"/>
                <w:color w:val="auto"/>
                <w:highlight w:val="none"/>
              </w:rPr>
            </w:pPr>
            <w:r>
              <w:rPr>
                <w:rFonts w:hint="eastAsia"/>
                <w:color w:val="auto"/>
                <w:highlight w:val="none"/>
              </w:rPr>
              <w:t>交付成果每缺少一项扣除乙方金额人民币2000元；每有一项交付成果质量不合格扣除乙方金额人民币2000元。</w:t>
            </w:r>
          </w:p>
        </w:tc>
        <w:tc>
          <w:tcPr>
            <w:tcW w:w="1134" w:type="dxa"/>
            <w:tcBorders>
              <w:left w:val="single" w:color="auto" w:sz="4" w:space="0"/>
            </w:tcBorders>
            <w:vAlign w:val="center"/>
          </w:tcPr>
          <w:p w14:paraId="42C9FD78">
            <w:pPr>
              <w:jc w:val="left"/>
              <w:rPr>
                <w:rFonts w:ascii="宋体" w:eastAsia="宋体"/>
                <w:color w:val="auto"/>
                <w:szCs w:val="21"/>
                <w:highlight w:val="none"/>
              </w:rPr>
            </w:pPr>
          </w:p>
        </w:tc>
        <w:tc>
          <w:tcPr>
            <w:tcW w:w="1086" w:type="dxa"/>
            <w:tcBorders>
              <w:left w:val="single" w:color="auto" w:sz="4" w:space="0"/>
            </w:tcBorders>
            <w:vAlign w:val="center"/>
          </w:tcPr>
          <w:p w14:paraId="421C88C8">
            <w:pPr>
              <w:jc w:val="left"/>
              <w:rPr>
                <w:rFonts w:ascii="宋体" w:eastAsia="宋体"/>
                <w:color w:val="auto"/>
                <w:szCs w:val="21"/>
                <w:highlight w:val="none"/>
              </w:rPr>
            </w:pPr>
          </w:p>
        </w:tc>
      </w:tr>
      <w:tr w14:paraId="569B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DE14FAC">
            <w:pPr>
              <w:pStyle w:val="45"/>
              <w:rPr>
                <w:rFonts w:hint="eastAsia"/>
                <w:color w:val="auto"/>
                <w:highlight w:val="none"/>
              </w:rPr>
            </w:pPr>
            <w:r>
              <w:rPr>
                <w:rFonts w:hint="eastAsia"/>
                <w:color w:val="auto"/>
                <w:highlight w:val="none"/>
              </w:rPr>
              <w:t>2</w:t>
            </w:r>
          </w:p>
        </w:tc>
        <w:tc>
          <w:tcPr>
            <w:tcW w:w="1134" w:type="dxa"/>
            <w:vMerge w:val="continue"/>
            <w:tcBorders>
              <w:left w:val="single" w:color="auto" w:sz="4" w:space="0"/>
            </w:tcBorders>
          </w:tcPr>
          <w:p w14:paraId="046B7A31"/>
        </w:tc>
        <w:tc>
          <w:tcPr>
            <w:tcW w:w="1559" w:type="dxa"/>
            <w:tcBorders>
              <w:left w:val="single" w:color="auto" w:sz="4" w:space="0"/>
            </w:tcBorders>
            <w:vAlign w:val="center"/>
          </w:tcPr>
          <w:p w14:paraId="74DCD113">
            <w:pPr>
              <w:pStyle w:val="45"/>
              <w:rPr>
                <w:rFonts w:hint="eastAsia"/>
                <w:color w:val="auto"/>
                <w:highlight w:val="none"/>
              </w:rPr>
            </w:pPr>
            <w:r>
              <w:rPr>
                <w:rFonts w:hint="eastAsia"/>
                <w:color w:val="auto"/>
                <w:highlight w:val="none"/>
              </w:rPr>
              <w:t>成果交付延期情况</w:t>
            </w:r>
          </w:p>
        </w:tc>
        <w:tc>
          <w:tcPr>
            <w:tcW w:w="2268" w:type="dxa"/>
            <w:tcBorders>
              <w:left w:val="single" w:color="auto" w:sz="4" w:space="0"/>
            </w:tcBorders>
            <w:vAlign w:val="center"/>
          </w:tcPr>
          <w:p w14:paraId="021BF20C">
            <w:pPr>
              <w:pStyle w:val="45"/>
              <w:rPr>
                <w:rFonts w:hint="eastAsia"/>
                <w:color w:val="auto"/>
                <w:highlight w:val="none"/>
              </w:rPr>
            </w:pPr>
            <w:r>
              <w:rPr>
                <w:rFonts w:hint="eastAsia"/>
                <w:color w:val="auto"/>
                <w:highlight w:val="none"/>
              </w:rPr>
              <w:t>用于记录因乙方原因导致项目交付成果时间与合同规定时间之间的差距</w:t>
            </w:r>
          </w:p>
        </w:tc>
        <w:tc>
          <w:tcPr>
            <w:tcW w:w="3686" w:type="dxa"/>
            <w:tcBorders>
              <w:left w:val="single" w:color="auto" w:sz="4" w:space="0"/>
            </w:tcBorders>
            <w:vAlign w:val="center"/>
          </w:tcPr>
          <w:p w14:paraId="24C54D4C">
            <w:pPr>
              <w:pStyle w:val="45"/>
              <w:rPr>
                <w:rFonts w:hint="eastAsia"/>
                <w:color w:val="auto"/>
                <w:highlight w:val="none"/>
              </w:rPr>
            </w:pPr>
            <w:r>
              <w:rPr>
                <w:rFonts w:hint="eastAsia"/>
                <w:color w:val="auto"/>
                <w:highlight w:val="none"/>
              </w:rPr>
              <w:t>实际交付成果日期与合同约定交付日期之差</w:t>
            </w:r>
          </w:p>
          <w:p w14:paraId="02FE4C85">
            <w:pPr>
              <w:pStyle w:val="45"/>
              <w:rPr>
                <w:rFonts w:hint="eastAsia"/>
                <w:color w:val="auto"/>
                <w:highlight w:val="none"/>
              </w:rPr>
            </w:pPr>
            <w:r>
              <w:rPr>
                <w:rFonts w:hint="eastAsia"/>
                <w:color w:val="auto"/>
                <w:highlight w:val="none"/>
              </w:rPr>
              <w:t>【得分上限5分】</w:t>
            </w:r>
          </w:p>
          <w:p w14:paraId="2C40BDDF">
            <w:pPr>
              <w:pStyle w:val="45"/>
              <w:rPr>
                <w:rFonts w:hint="eastAsia"/>
                <w:color w:val="auto"/>
                <w:highlight w:val="none"/>
              </w:rPr>
            </w:pPr>
            <w:r>
              <w:rPr>
                <w:rFonts w:hint="eastAsia"/>
                <w:color w:val="auto"/>
                <w:highlight w:val="none"/>
              </w:rPr>
              <w:t>无延期：指未出现延期，该项指标满分；</w:t>
            </w:r>
          </w:p>
          <w:p w14:paraId="68F8357C">
            <w:pPr>
              <w:pStyle w:val="45"/>
              <w:rPr>
                <w:rFonts w:hint="eastAsia"/>
                <w:color w:val="auto"/>
                <w:highlight w:val="none"/>
              </w:rPr>
            </w:pPr>
            <w:r>
              <w:rPr>
                <w:rFonts w:hint="eastAsia"/>
                <w:color w:val="auto"/>
                <w:highlight w:val="none"/>
              </w:rPr>
              <w:t>0＜延期≤3个月：扣2分，指出现延期3个月（含）以内；</w:t>
            </w:r>
          </w:p>
          <w:p w14:paraId="5625C152">
            <w:pPr>
              <w:pStyle w:val="45"/>
              <w:rPr>
                <w:rFonts w:hint="eastAsia"/>
                <w:color w:val="auto"/>
                <w:highlight w:val="none"/>
              </w:rPr>
            </w:pPr>
            <w:r>
              <w:rPr>
                <w:rFonts w:hint="eastAsia"/>
                <w:color w:val="auto"/>
                <w:highlight w:val="none"/>
              </w:rPr>
              <w:t>3＜延期≤6个月：扣3分，指出现延期大于3个月且小于等于6个月；</w:t>
            </w:r>
          </w:p>
          <w:p w14:paraId="3791FDAF">
            <w:pPr>
              <w:pStyle w:val="45"/>
              <w:rPr>
                <w:rFonts w:hint="eastAsia"/>
                <w:color w:val="auto"/>
                <w:highlight w:val="none"/>
              </w:rPr>
            </w:pPr>
            <w:r>
              <w:rPr>
                <w:rFonts w:hint="eastAsia"/>
                <w:color w:val="auto"/>
                <w:highlight w:val="none"/>
              </w:rPr>
              <w:t>延期6个月以上：扣5分，指出现延期6个月以上。</w:t>
            </w:r>
          </w:p>
        </w:tc>
        <w:tc>
          <w:tcPr>
            <w:tcW w:w="2410" w:type="dxa"/>
            <w:tcBorders>
              <w:left w:val="single" w:color="auto" w:sz="4" w:space="0"/>
            </w:tcBorders>
            <w:vAlign w:val="center"/>
          </w:tcPr>
          <w:p w14:paraId="2DE0F292">
            <w:pPr>
              <w:pStyle w:val="45"/>
              <w:rPr>
                <w:rFonts w:hint="eastAsia"/>
                <w:color w:val="auto"/>
                <w:highlight w:val="none"/>
              </w:rPr>
            </w:pPr>
            <w:r>
              <w:rPr>
                <w:rFonts w:hint="eastAsia"/>
                <w:color w:val="auto"/>
                <w:highlight w:val="none"/>
              </w:rPr>
              <w:t>若延期超过1个月，每延期增加一天扣除合同总金额的0.1%（注：最多扣除不超过合同总金额的10%）。</w:t>
            </w:r>
          </w:p>
        </w:tc>
        <w:tc>
          <w:tcPr>
            <w:tcW w:w="1134" w:type="dxa"/>
            <w:tcBorders>
              <w:left w:val="single" w:color="auto" w:sz="4" w:space="0"/>
            </w:tcBorders>
            <w:vAlign w:val="center"/>
          </w:tcPr>
          <w:p w14:paraId="567FE3B5">
            <w:pPr>
              <w:jc w:val="left"/>
              <w:rPr>
                <w:rFonts w:ascii="宋体" w:eastAsia="宋体"/>
                <w:color w:val="auto"/>
                <w:szCs w:val="21"/>
                <w:highlight w:val="none"/>
              </w:rPr>
            </w:pPr>
          </w:p>
        </w:tc>
        <w:tc>
          <w:tcPr>
            <w:tcW w:w="1086" w:type="dxa"/>
            <w:tcBorders>
              <w:left w:val="single" w:color="auto" w:sz="4" w:space="0"/>
            </w:tcBorders>
            <w:vAlign w:val="center"/>
          </w:tcPr>
          <w:p w14:paraId="39B10AFA">
            <w:pPr>
              <w:jc w:val="left"/>
              <w:rPr>
                <w:rFonts w:ascii="宋体" w:eastAsia="宋体"/>
                <w:color w:val="auto"/>
                <w:szCs w:val="21"/>
                <w:highlight w:val="none"/>
              </w:rPr>
            </w:pPr>
          </w:p>
        </w:tc>
      </w:tr>
      <w:tr w14:paraId="157F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AE08D80">
            <w:pPr>
              <w:pStyle w:val="45"/>
              <w:rPr>
                <w:rFonts w:hint="eastAsia"/>
                <w:color w:val="auto"/>
                <w:highlight w:val="none"/>
              </w:rPr>
            </w:pPr>
            <w:r>
              <w:rPr>
                <w:rFonts w:hint="eastAsia"/>
                <w:color w:val="auto"/>
                <w:highlight w:val="none"/>
              </w:rPr>
              <w:t>3</w:t>
            </w:r>
          </w:p>
        </w:tc>
        <w:tc>
          <w:tcPr>
            <w:tcW w:w="1134" w:type="dxa"/>
            <w:vMerge w:val="continue"/>
            <w:tcBorders>
              <w:left w:val="single" w:color="auto" w:sz="4" w:space="0"/>
            </w:tcBorders>
          </w:tcPr>
          <w:p w14:paraId="35C5E516"/>
        </w:tc>
        <w:tc>
          <w:tcPr>
            <w:tcW w:w="1559" w:type="dxa"/>
            <w:tcBorders>
              <w:left w:val="single" w:color="auto" w:sz="4" w:space="0"/>
            </w:tcBorders>
            <w:vAlign w:val="center"/>
          </w:tcPr>
          <w:p w14:paraId="7DC0933F">
            <w:pPr>
              <w:pStyle w:val="45"/>
              <w:rPr>
                <w:rFonts w:hint="eastAsia"/>
                <w:color w:val="auto"/>
                <w:highlight w:val="none"/>
              </w:rPr>
            </w:pPr>
            <w:r>
              <w:rPr>
                <w:rFonts w:hint="eastAsia"/>
                <w:color w:val="auto"/>
                <w:highlight w:val="none"/>
              </w:rPr>
              <w:t>产品缺陷密度</w:t>
            </w:r>
          </w:p>
        </w:tc>
        <w:tc>
          <w:tcPr>
            <w:tcW w:w="2268" w:type="dxa"/>
            <w:tcBorders>
              <w:left w:val="single" w:color="auto" w:sz="4" w:space="0"/>
            </w:tcBorders>
            <w:vAlign w:val="center"/>
          </w:tcPr>
          <w:p w14:paraId="2A00019C">
            <w:pPr>
              <w:pStyle w:val="45"/>
              <w:rPr>
                <w:rFonts w:hint="eastAsia"/>
                <w:color w:val="auto"/>
                <w:highlight w:val="none"/>
              </w:rPr>
            </w:pPr>
            <w:r>
              <w:rPr>
                <w:rFonts w:hint="eastAsia"/>
                <w:color w:val="auto"/>
                <w:highlight w:val="none"/>
              </w:rPr>
              <w:t>用于记录统计周期内单位功能（案例）点发现的缺陷数量</w:t>
            </w:r>
          </w:p>
        </w:tc>
        <w:tc>
          <w:tcPr>
            <w:tcW w:w="3686" w:type="dxa"/>
            <w:tcBorders>
              <w:left w:val="single" w:color="auto" w:sz="4" w:space="0"/>
            </w:tcBorders>
            <w:vAlign w:val="center"/>
          </w:tcPr>
          <w:p w14:paraId="31A95EA0">
            <w:pPr>
              <w:pStyle w:val="45"/>
              <w:rPr>
                <w:rFonts w:hint="eastAsia"/>
                <w:color w:val="auto"/>
                <w:highlight w:val="none"/>
              </w:rPr>
            </w:pPr>
            <w:r>
              <w:rPr>
                <w:rFonts w:hint="eastAsia"/>
                <w:color w:val="auto"/>
                <w:highlight w:val="none"/>
              </w:rPr>
              <w:t>产品缺陷密度=统计周期内发现的该系统有效缺陷数/统计周期内该系统功能点总数（案例数）</w:t>
            </w:r>
          </w:p>
          <w:p w14:paraId="16EB365D">
            <w:pPr>
              <w:pStyle w:val="45"/>
              <w:rPr>
                <w:rFonts w:hint="eastAsia"/>
                <w:color w:val="auto"/>
                <w:highlight w:val="none"/>
              </w:rPr>
            </w:pPr>
            <w:r>
              <w:rPr>
                <w:rFonts w:hint="eastAsia"/>
                <w:color w:val="auto"/>
                <w:highlight w:val="none"/>
              </w:rPr>
              <w:t>10分【0-5%】</w:t>
            </w:r>
          </w:p>
          <w:p w14:paraId="6877591D">
            <w:pPr>
              <w:pStyle w:val="45"/>
              <w:rPr>
                <w:rFonts w:hint="eastAsia"/>
                <w:color w:val="auto"/>
                <w:highlight w:val="none"/>
              </w:rPr>
            </w:pPr>
            <w:r>
              <w:rPr>
                <w:rFonts w:hint="eastAsia"/>
                <w:color w:val="auto"/>
                <w:highlight w:val="none"/>
              </w:rPr>
              <w:t>5分【5%-20%】</w:t>
            </w:r>
          </w:p>
          <w:p w14:paraId="53714697">
            <w:pPr>
              <w:pStyle w:val="45"/>
              <w:rPr>
                <w:rFonts w:hint="eastAsia"/>
                <w:color w:val="auto"/>
                <w:highlight w:val="none"/>
              </w:rPr>
            </w:pPr>
            <w:r>
              <w:rPr>
                <w:rFonts w:hint="eastAsia"/>
                <w:color w:val="auto"/>
                <w:highlight w:val="none"/>
              </w:rPr>
              <w:t>0分【超过20%】</w:t>
            </w:r>
          </w:p>
        </w:tc>
        <w:tc>
          <w:tcPr>
            <w:tcW w:w="2410" w:type="dxa"/>
            <w:tcBorders>
              <w:left w:val="single" w:color="auto" w:sz="4" w:space="0"/>
            </w:tcBorders>
            <w:vAlign w:val="center"/>
          </w:tcPr>
          <w:p w14:paraId="193F7EB0">
            <w:pPr>
              <w:pStyle w:val="45"/>
              <w:rPr>
                <w:rFonts w:hint="eastAsia"/>
                <w:color w:val="auto"/>
                <w:highlight w:val="none"/>
              </w:rPr>
            </w:pPr>
            <w:r>
              <w:rPr>
                <w:rFonts w:hint="eastAsia"/>
                <w:color w:val="auto"/>
                <w:highlight w:val="none"/>
              </w:rPr>
              <w:t>产品缺陷密度超过20%，缺陷密度每增加1%扣除合同总金额的0.1%。</w:t>
            </w:r>
          </w:p>
        </w:tc>
        <w:tc>
          <w:tcPr>
            <w:tcW w:w="1134" w:type="dxa"/>
            <w:tcBorders>
              <w:left w:val="single" w:color="auto" w:sz="4" w:space="0"/>
            </w:tcBorders>
            <w:vAlign w:val="center"/>
          </w:tcPr>
          <w:p w14:paraId="779978B8">
            <w:pPr>
              <w:jc w:val="left"/>
              <w:rPr>
                <w:rFonts w:ascii="宋体" w:eastAsia="宋体"/>
                <w:color w:val="auto"/>
                <w:szCs w:val="21"/>
                <w:highlight w:val="none"/>
              </w:rPr>
            </w:pPr>
          </w:p>
        </w:tc>
        <w:tc>
          <w:tcPr>
            <w:tcW w:w="1086" w:type="dxa"/>
            <w:tcBorders>
              <w:left w:val="single" w:color="auto" w:sz="4" w:space="0"/>
            </w:tcBorders>
            <w:vAlign w:val="center"/>
          </w:tcPr>
          <w:p w14:paraId="2DEE9223">
            <w:pPr>
              <w:jc w:val="left"/>
              <w:rPr>
                <w:rFonts w:ascii="宋体" w:eastAsia="宋体"/>
                <w:color w:val="auto"/>
                <w:szCs w:val="21"/>
                <w:highlight w:val="none"/>
              </w:rPr>
            </w:pPr>
          </w:p>
        </w:tc>
      </w:tr>
      <w:tr w14:paraId="2CCA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BB4234">
            <w:pPr>
              <w:pStyle w:val="45"/>
              <w:rPr>
                <w:rFonts w:hint="eastAsia"/>
                <w:color w:val="auto"/>
                <w:highlight w:val="none"/>
              </w:rPr>
            </w:pPr>
            <w:r>
              <w:rPr>
                <w:rFonts w:hint="eastAsia"/>
                <w:color w:val="auto"/>
                <w:highlight w:val="none"/>
              </w:rPr>
              <w:t>4</w:t>
            </w:r>
          </w:p>
        </w:tc>
        <w:tc>
          <w:tcPr>
            <w:tcW w:w="1134" w:type="dxa"/>
            <w:vMerge w:val="continue"/>
            <w:tcBorders>
              <w:left w:val="single" w:color="auto" w:sz="4" w:space="0"/>
            </w:tcBorders>
          </w:tcPr>
          <w:p w14:paraId="1CAB20D6"/>
        </w:tc>
        <w:tc>
          <w:tcPr>
            <w:tcW w:w="1559" w:type="dxa"/>
            <w:tcBorders>
              <w:left w:val="single" w:color="auto" w:sz="4" w:space="0"/>
            </w:tcBorders>
            <w:vAlign w:val="center"/>
          </w:tcPr>
          <w:p w14:paraId="12172CEE">
            <w:pPr>
              <w:pStyle w:val="45"/>
              <w:rPr>
                <w:rFonts w:hint="eastAsia"/>
                <w:color w:val="auto"/>
                <w:highlight w:val="none"/>
              </w:rPr>
            </w:pPr>
            <w:r>
              <w:rPr>
                <w:rFonts w:hint="eastAsia"/>
                <w:color w:val="auto"/>
                <w:highlight w:val="none"/>
              </w:rPr>
              <w:t>缺陷解决率</w:t>
            </w:r>
          </w:p>
        </w:tc>
        <w:tc>
          <w:tcPr>
            <w:tcW w:w="2268" w:type="dxa"/>
            <w:tcBorders>
              <w:left w:val="single" w:color="auto" w:sz="4" w:space="0"/>
            </w:tcBorders>
            <w:vAlign w:val="center"/>
          </w:tcPr>
          <w:p w14:paraId="7B7B0F1E">
            <w:pPr>
              <w:pStyle w:val="45"/>
              <w:rPr>
                <w:rFonts w:hint="eastAsia"/>
                <w:color w:val="auto"/>
                <w:highlight w:val="none"/>
              </w:rPr>
            </w:pPr>
            <w:r>
              <w:rPr>
                <w:rFonts w:hint="eastAsia"/>
                <w:color w:val="auto"/>
                <w:highlight w:val="none"/>
              </w:rPr>
              <w:t>用于记录统计周期内测试发现的缺陷中已解决缺陷的比例</w:t>
            </w:r>
          </w:p>
        </w:tc>
        <w:tc>
          <w:tcPr>
            <w:tcW w:w="3686" w:type="dxa"/>
            <w:tcBorders>
              <w:left w:val="single" w:color="auto" w:sz="4" w:space="0"/>
            </w:tcBorders>
            <w:vAlign w:val="center"/>
          </w:tcPr>
          <w:p w14:paraId="47ECF05F">
            <w:pPr>
              <w:pStyle w:val="45"/>
              <w:rPr>
                <w:rFonts w:hint="eastAsia"/>
                <w:color w:val="auto"/>
                <w:highlight w:val="none"/>
              </w:rPr>
            </w:pPr>
            <w:r>
              <w:rPr>
                <w:rFonts w:hint="eastAsia"/>
                <w:color w:val="auto"/>
                <w:highlight w:val="none"/>
              </w:rPr>
              <w:t>缺陷解决率=统计周期内测试发现的有效缺陷中已解决的数量/统计周期内测试发现的有效缺陷总数量</w:t>
            </w:r>
          </w:p>
          <w:p w14:paraId="7D4F29EB">
            <w:pPr>
              <w:pStyle w:val="45"/>
              <w:rPr>
                <w:rFonts w:hint="eastAsia"/>
                <w:color w:val="auto"/>
                <w:highlight w:val="none"/>
              </w:rPr>
            </w:pPr>
            <w:r>
              <w:rPr>
                <w:rFonts w:hint="eastAsia"/>
                <w:color w:val="auto"/>
                <w:highlight w:val="none"/>
              </w:rPr>
              <w:t>10分【98%-100%】</w:t>
            </w:r>
          </w:p>
          <w:p w14:paraId="0FCB5E6F">
            <w:pPr>
              <w:pStyle w:val="45"/>
              <w:rPr>
                <w:rFonts w:hint="eastAsia"/>
                <w:color w:val="auto"/>
                <w:highlight w:val="none"/>
              </w:rPr>
            </w:pPr>
            <w:r>
              <w:rPr>
                <w:rFonts w:hint="eastAsia"/>
                <w:color w:val="auto"/>
                <w:highlight w:val="none"/>
              </w:rPr>
              <w:t>5分【95%-97%】</w:t>
            </w:r>
          </w:p>
          <w:p w14:paraId="24611A9D">
            <w:pPr>
              <w:pStyle w:val="45"/>
              <w:rPr>
                <w:rFonts w:hint="eastAsia"/>
                <w:color w:val="auto"/>
                <w:highlight w:val="none"/>
              </w:rPr>
            </w:pPr>
            <w:r>
              <w:rPr>
                <w:rFonts w:hint="eastAsia"/>
                <w:color w:val="auto"/>
                <w:highlight w:val="none"/>
              </w:rPr>
              <w:t>0分【低于95%】</w:t>
            </w:r>
          </w:p>
        </w:tc>
        <w:tc>
          <w:tcPr>
            <w:tcW w:w="2410" w:type="dxa"/>
            <w:tcBorders>
              <w:left w:val="single" w:color="auto" w:sz="4" w:space="0"/>
            </w:tcBorders>
            <w:vAlign w:val="center"/>
          </w:tcPr>
          <w:p w14:paraId="179C9E87">
            <w:pPr>
              <w:pStyle w:val="45"/>
              <w:rPr>
                <w:rFonts w:hint="eastAsia"/>
                <w:color w:val="auto"/>
                <w:highlight w:val="none"/>
              </w:rPr>
            </w:pPr>
            <w:r>
              <w:rPr>
                <w:rFonts w:hint="eastAsia"/>
                <w:color w:val="auto"/>
                <w:highlight w:val="none"/>
              </w:rPr>
              <w:t>若缺陷解决率低于95%，缺陷解决率每低1%扣除合同总金额的0.1%。</w:t>
            </w:r>
          </w:p>
        </w:tc>
        <w:tc>
          <w:tcPr>
            <w:tcW w:w="1134" w:type="dxa"/>
            <w:tcBorders>
              <w:left w:val="single" w:color="auto" w:sz="4" w:space="0"/>
            </w:tcBorders>
            <w:vAlign w:val="center"/>
          </w:tcPr>
          <w:p w14:paraId="36A1F18D">
            <w:pPr>
              <w:jc w:val="left"/>
              <w:rPr>
                <w:rFonts w:ascii="宋体" w:eastAsia="宋体"/>
                <w:color w:val="auto"/>
                <w:szCs w:val="21"/>
                <w:highlight w:val="none"/>
              </w:rPr>
            </w:pPr>
          </w:p>
        </w:tc>
        <w:tc>
          <w:tcPr>
            <w:tcW w:w="1086" w:type="dxa"/>
            <w:tcBorders>
              <w:left w:val="single" w:color="auto" w:sz="4" w:space="0"/>
            </w:tcBorders>
            <w:vAlign w:val="center"/>
          </w:tcPr>
          <w:p w14:paraId="234ABF85">
            <w:pPr>
              <w:jc w:val="left"/>
              <w:rPr>
                <w:rFonts w:ascii="宋体" w:eastAsia="宋体"/>
                <w:color w:val="auto"/>
                <w:szCs w:val="21"/>
                <w:highlight w:val="none"/>
              </w:rPr>
            </w:pPr>
          </w:p>
        </w:tc>
      </w:tr>
      <w:tr w14:paraId="5A47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CFB0B13">
            <w:pPr>
              <w:pStyle w:val="45"/>
              <w:rPr>
                <w:rFonts w:hint="eastAsia"/>
                <w:color w:val="auto"/>
                <w:highlight w:val="none"/>
              </w:rPr>
            </w:pPr>
            <w:r>
              <w:rPr>
                <w:rFonts w:hint="eastAsia"/>
                <w:color w:val="auto"/>
                <w:highlight w:val="none"/>
              </w:rPr>
              <w:t>5</w:t>
            </w:r>
          </w:p>
        </w:tc>
        <w:tc>
          <w:tcPr>
            <w:tcW w:w="1134" w:type="dxa"/>
            <w:vMerge w:val="restart"/>
            <w:tcBorders>
              <w:left w:val="single" w:color="auto" w:sz="4" w:space="0"/>
            </w:tcBorders>
            <w:vAlign w:val="center"/>
          </w:tcPr>
          <w:p w14:paraId="664D53B8">
            <w:pPr>
              <w:pStyle w:val="45"/>
              <w:rPr>
                <w:rFonts w:hint="eastAsia"/>
                <w:color w:val="auto"/>
                <w:highlight w:val="none"/>
              </w:rPr>
            </w:pPr>
            <w:r>
              <w:rPr>
                <w:rFonts w:hint="eastAsia"/>
                <w:color w:val="auto"/>
                <w:highlight w:val="none"/>
              </w:rPr>
              <w:t>协议履行</w:t>
            </w:r>
          </w:p>
        </w:tc>
        <w:tc>
          <w:tcPr>
            <w:tcW w:w="1559" w:type="dxa"/>
            <w:tcBorders>
              <w:left w:val="single" w:color="auto" w:sz="4" w:space="0"/>
            </w:tcBorders>
            <w:vAlign w:val="center"/>
          </w:tcPr>
          <w:p w14:paraId="07FC228B">
            <w:pPr>
              <w:pStyle w:val="45"/>
              <w:rPr>
                <w:rFonts w:hint="eastAsia"/>
                <w:color w:val="auto"/>
                <w:highlight w:val="none"/>
              </w:rPr>
            </w:pPr>
            <w:r>
              <w:rPr>
                <w:rFonts w:hint="eastAsia"/>
                <w:color w:val="auto"/>
                <w:highlight w:val="none"/>
              </w:rPr>
              <w:t>重大事项报告</w:t>
            </w:r>
          </w:p>
        </w:tc>
        <w:tc>
          <w:tcPr>
            <w:tcW w:w="2268" w:type="dxa"/>
            <w:tcBorders>
              <w:left w:val="single" w:color="auto" w:sz="4" w:space="0"/>
            </w:tcBorders>
            <w:vAlign w:val="center"/>
          </w:tcPr>
          <w:p w14:paraId="734C8340">
            <w:pPr>
              <w:pStyle w:val="45"/>
              <w:rPr>
                <w:rFonts w:hint="eastAsia"/>
                <w:color w:val="auto"/>
                <w:highlight w:val="none"/>
              </w:rPr>
            </w:pPr>
            <w:r>
              <w:rPr>
                <w:rFonts w:hint="eastAsia"/>
                <w:color w:val="auto"/>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718FAF56">
            <w:pPr>
              <w:pStyle w:val="45"/>
              <w:rPr>
                <w:rFonts w:hint="eastAsia"/>
                <w:color w:val="auto"/>
                <w:highlight w:val="none"/>
              </w:rPr>
            </w:pPr>
            <w:r>
              <w:rPr>
                <w:rFonts w:hint="eastAsia"/>
                <w:color w:val="auto"/>
                <w:highlight w:val="none"/>
              </w:rPr>
              <w:t>优秀：5分，指无重大事项或当发生重大事项时，能够于24小时内告知甲方；</w:t>
            </w:r>
          </w:p>
          <w:p w14:paraId="4C934EA0">
            <w:pPr>
              <w:pStyle w:val="45"/>
              <w:rPr>
                <w:rFonts w:hint="eastAsia"/>
                <w:color w:val="auto"/>
                <w:highlight w:val="none"/>
              </w:rPr>
            </w:pPr>
            <w:r>
              <w:rPr>
                <w:rFonts w:hint="eastAsia"/>
                <w:color w:val="auto"/>
                <w:highlight w:val="none"/>
              </w:rPr>
              <w:t>良好：4分，指当发生重大事项时，能够于一周内告知甲方；</w:t>
            </w:r>
          </w:p>
          <w:p w14:paraId="3284440E">
            <w:pPr>
              <w:pStyle w:val="45"/>
              <w:rPr>
                <w:rFonts w:hint="eastAsia"/>
                <w:color w:val="auto"/>
                <w:highlight w:val="none"/>
              </w:rPr>
            </w:pPr>
            <w:r>
              <w:rPr>
                <w:rFonts w:hint="eastAsia"/>
                <w:color w:val="auto"/>
                <w:highlight w:val="none"/>
              </w:rPr>
              <w:t>合格：3分，指当发生重大事项时，能够于一月内告知甲方；</w:t>
            </w:r>
          </w:p>
          <w:p w14:paraId="332196D7">
            <w:pPr>
              <w:pStyle w:val="45"/>
              <w:rPr>
                <w:rFonts w:hint="eastAsia"/>
                <w:color w:val="auto"/>
                <w:highlight w:val="none"/>
              </w:rPr>
            </w:pPr>
            <w:r>
              <w:rPr>
                <w:rFonts w:hint="eastAsia"/>
                <w:color w:val="auto"/>
                <w:highlight w:val="none"/>
              </w:rPr>
              <w:t>较差/差：0分，指当发生重大事项时，未告知甲方。</w:t>
            </w:r>
          </w:p>
        </w:tc>
        <w:tc>
          <w:tcPr>
            <w:tcW w:w="2410" w:type="dxa"/>
            <w:tcBorders>
              <w:left w:val="single" w:color="auto" w:sz="4" w:space="0"/>
            </w:tcBorders>
            <w:vAlign w:val="center"/>
          </w:tcPr>
          <w:p w14:paraId="19906CE4">
            <w:pPr>
              <w:pStyle w:val="45"/>
              <w:rPr>
                <w:rFonts w:hint="eastAsia"/>
                <w:color w:val="auto"/>
                <w:highlight w:val="none"/>
              </w:rPr>
            </w:pPr>
            <w:r>
              <w:rPr>
                <w:rFonts w:hint="eastAsia"/>
                <w:color w:val="auto"/>
                <w:highlight w:val="none"/>
              </w:rPr>
              <w:t>评价为较差/差时，甲方根据实际情况有权终止合同，并要求乙方赔偿实际损失。</w:t>
            </w:r>
          </w:p>
        </w:tc>
        <w:tc>
          <w:tcPr>
            <w:tcW w:w="1134" w:type="dxa"/>
            <w:tcBorders>
              <w:left w:val="single" w:color="auto" w:sz="4" w:space="0"/>
            </w:tcBorders>
            <w:vAlign w:val="center"/>
          </w:tcPr>
          <w:p w14:paraId="2B2A6762">
            <w:pPr>
              <w:jc w:val="left"/>
              <w:rPr>
                <w:rFonts w:ascii="宋体" w:eastAsia="宋体"/>
                <w:color w:val="auto"/>
                <w:szCs w:val="21"/>
                <w:highlight w:val="none"/>
              </w:rPr>
            </w:pPr>
          </w:p>
        </w:tc>
        <w:tc>
          <w:tcPr>
            <w:tcW w:w="1086" w:type="dxa"/>
            <w:tcBorders>
              <w:left w:val="single" w:color="auto" w:sz="4" w:space="0"/>
            </w:tcBorders>
            <w:vAlign w:val="center"/>
          </w:tcPr>
          <w:p w14:paraId="582807FF">
            <w:pPr>
              <w:jc w:val="left"/>
              <w:rPr>
                <w:rFonts w:ascii="宋体" w:eastAsia="宋体"/>
                <w:color w:val="auto"/>
                <w:szCs w:val="21"/>
                <w:highlight w:val="none"/>
              </w:rPr>
            </w:pPr>
          </w:p>
        </w:tc>
      </w:tr>
      <w:tr w14:paraId="0D48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B561A3D">
            <w:pPr>
              <w:pStyle w:val="45"/>
              <w:rPr>
                <w:rFonts w:hint="eastAsia"/>
                <w:color w:val="auto"/>
                <w:highlight w:val="none"/>
              </w:rPr>
            </w:pPr>
            <w:r>
              <w:rPr>
                <w:rFonts w:hint="eastAsia"/>
                <w:color w:val="auto"/>
                <w:highlight w:val="none"/>
              </w:rPr>
              <w:t>6</w:t>
            </w:r>
          </w:p>
        </w:tc>
        <w:tc>
          <w:tcPr>
            <w:tcW w:w="1134" w:type="dxa"/>
            <w:vMerge w:val="continue"/>
            <w:tcBorders>
              <w:left w:val="single" w:color="auto" w:sz="4" w:space="0"/>
            </w:tcBorders>
          </w:tcPr>
          <w:p w14:paraId="2B176C06"/>
        </w:tc>
        <w:tc>
          <w:tcPr>
            <w:tcW w:w="1559" w:type="dxa"/>
            <w:tcBorders>
              <w:left w:val="single" w:color="auto" w:sz="4" w:space="0"/>
            </w:tcBorders>
            <w:vAlign w:val="center"/>
          </w:tcPr>
          <w:p w14:paraId="6C44D6F2">
            <w:pPr>
              <w:pStyle w:val="45"/>
              <w:rPr>
                <w:rFonts w:hint="eastAsia"/>
                <w:color w:val="auto"/>
                <w:highlight w:val="none"/>
              </w:rPr>
            </w:pPr>
            <w:r>
              <w:rPr>
                <w:rFonts w:hint="eastAsia"/>
                <w:color w:val="auto"/>
                <w:highlight w:val="none"/>
              </w:rPr>
              <w:t>重大事件及质量缺陷</w:t>
            </w:r>
          </w:p>
        </w:tc>
        <w:tc>
          <w:tcPr>
            <w:tcW w:w="2268" w:type="dxa"/>
            <w:tcBorders>
              <w:left w:val="single" w:color="auto" w:sz="4" w:space="0"/>
            </w:tcBorders>
            <w:vAlign w:val="center"/>
          </w:tcPr>
          <w:p w14:paraId="47F3FA03">
            <w:pPr>
              <w:pStyle w:val="45"/>
              <w:rPr>
                <w:rFonts w:hint="eastAsia"/>
                <w:color w:val="auto"/>
                <w:highlight w:val="none"/>
              </w:rPr>
            </w:pPr>
            <w:r>
              <w:rPr>
                <w:rFonts w:hint="eastAsia"/>
                <w:color w:val="auto"/>
                <w:highlight w:val="none"/>
              </w:rPr>
              <w:t>用于记录乙方在服务期内出现以下重大事件及质量缺陷次数：</w:t>
            </w:r>
          </w:p>
          <w:p w14:paraId="3F9301B3">
            <w:pPr>
              <w:pStyle w:val="45"/>
              <w:rPr>
                <w:rFonts w:hint="eastAsia"/>
                <w:color w:val="auto"/>
                <w:highlight w:val="none"/>
              </w:rPr>
            </w:pPr>
            <w:r>
              <w:rPr>
                <w:rFonts w:hint="eastAsia"/>
                <w:color w:val="auto"/>
                <w:highlight w:val="none"/>
              </w:rPr>
              <w:t>a.应用软件出现III级（含）以上的运营中断事件；</w:t>
            </w:r>
          </w:p>
          <w:p w14:paraId="10255BBB">
            <w:pPr>
              <w:pStyle w:val="45"/>
              <w:rPr>
                <w:rFonts w:hint="eastAsia"/>
                <w:color w:val="auto"/>
                <w:highlight w:val="none"/>
              </w:rPr>
            </w:pPr>
            <w:r>
              <w:rPr>
                <w:rFonts w:hint="eastAsia"/>
                <w:color w:val="auto"/>
                <w:highlight w:val="none"/>
              </w:rPr>
              <w:t>b.因乙方原因（含乙方合作的第三方）导致甲方发生网络安全事件；</w:t>
            </w:r>
          </w:p>
          <w:p w14:paraId="38E09E7C">
            <w:pPr>
              <w:pStyle w:val="45"/>
              <w:rPr>
                <w:rFonts w:hint="eastAsia"/>
                <w:color w:val="auto"/>
                <w:highlight w:val="none"/>
              </w:rPr>
            </w:pPr>
            <w:r>
              <w:rPr>
                <w:rFonts w:hint="eastAsia"/>
                <w:color w:val="auto"/>
                <w:highlight w:val="none"/>
              </w:rPr>
              <w:t>c.应用软件出现严重缺陷和致命缺陷。</w:t>
            </w:r>
          </w:p>
        </w:tc>
        <w:tc>
          <w:tcPr>
            <w:tcW w:w="3686" w:type="dxa"/>
            <w:tcBorders>
              <w:left w:val="single" w:color="auto" w:sz="4" w:space="0"/>
            </w:tcBorders>
            <w:vAlign w:val="center"/>
          </w:tcPr>
          <w:p w14:paraId="7911628F">
            <w:pPr>
              <w:pStyle w:val="45"/>
              <w:rPr>
                <w:rFonts w:hint="eastAsia"/>
                <w:color w:val="auto"/>
                <w:highlight w:val="none"/>
              </w:rPr>
            </w:pPr>
            <w:r>
              <w:rPr>
                <w:rFonts w:hint="eastAsia"/>
                <w:color w:val="auto"/>
                <w:highlight w:val="none"/>
              </w:rPr>
              <w:t>【得分上限10分】</w:t>
            </w:r>
          </w:p>
          <w:p w14:paraId="67008D6D">
            <w:pPr>
              <w:pStyle w:val="45"/>
              <w:rPr>
                <w:rFonts w:hint="eastAsia"/>
                <w:color w:val="auto"/>
                <w:highlight w:val="none"/>
              </w:rPr>
            </w:pPr>
            <w:r>
              <w:rPr>
                <w:rFonts w:hint="eastAsia"/>
                <w:color w:val="auto"/>
                <w:highlight w:val="none"/>
              </w:rPr>
              <w:t>0次：指未出现重大事件及质量缺陷，该项指标满分；</w:t>
            </w:r>
          </w:p>
          <w:p w14:paraId="600BB971">
            <w:pPr>
              <w:pStyle w:val="45"/>
              <w:rPr>
                <w:rFonts w:hint="eastAsia"/>
                <w:color w:val="auto"/>
                <w:highlight w:val="none"/>
              </w:rPr>
            </w:pPr>
            <w:r>
              <w:rPr>
                <w:rFonts w:hint="eastAsia"/>
                <w:color w:val="auto"/>
                <w:highlight w:val="none"/>
              </w:rPr>
              <w:t>1次及以上：0分，指出现1次及以上任意一项重大事件或质量缺陷。</w:t>
            </w:r>
          </w:p>
        </w:tc>
        <w:tc>
          <w:tcPr>
            <w:tcW w:w="2410" w:type="dxa"/>
            <w:tcBorders>
              <w:left w:val="single" w:color="auto" w:sz="4" w:space="0"/>
            </w:tcBorders>
            <w:vAlign w:val="center"/>
          </w:tcPr>
          <w:p w14:paraId="6951C4B0">
            <w:pPr>
              <w:pStyle w:val="45"/>
              <w:rPr>
                <w:rFonts w:hint="eastAsia"/>
                <w:color w:val="auto"/>
                <w:highlight w:val="none"/>
              </w:rPr>
            </w:pPr>
            <w:r>
              <w:rPr>
                <w:rFonts w:hint="eastAsia"/>
                <w:color w:val="auto"/>
                <w:highlight w:val="none"/>
              </w:rPr>
              <w:t>每出现一次重大事件或质量缺陷，扣除乙方合同总金额不低于5%（不低于2万元），并要求乙方赔偿实际损失。</w:t>
            </w:r>
          </w:p>
        </w:tc>
        <w:tc>
          <w:tcPr>
            <w:tcW w:w="1134" w:type="dxa"/>
            <w:tcBorders>
              <w:left w:val="single" w:color="auto" w:sz="4" w:space="0"/>
            </w:tcBorders>
            <w:vAlign w:val="center"/>
          </w:tcPr>
          <w:p w14:paraId="76DE5F30">
            <w:pPr>
              <w:jc w:val="left"/>
              <w:rPr>
                <w:rFonts w:ascii="宋体" w:eastAsia="宋体"/>
                <w:color w:val="auto"/>
                <w:szCs w:val="21"/>
                <w:highlight w:val="none"/>
              </w:rPr>
            </w:pPr>
          </w:p>
        </w:tc>
        <w:tc>
          <w:tcPr>
            <w:tcW w:w="1086" w:type="dxa"/>
            <w:tcBorders>
              <w:left w:val="single" w:color="auto" w:sz="4" w:space="0"/>
            </w:tcBorders>
            <w:vAlign w:val="center"/>
          </w:tcPr>
          <w:p w14:paraId="5E92AA95">
            <w:pPr>
              <w:jc w:val="left"/>
              <w:rPr>
                <w:rFonts w:ascii="宋体" w:eastAsia="宋体"/>
                <w:color w:val="auto"/>
                <w:szCs w:val="21"/>
                <w:highlight w:val="none"/>
              </w:rPr>
            </w:pPr>
          </w:p>
        </w:tc>
      </w:tr>
      <w:tr w14:paraId="66E8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8557916">
            <w:pPr>
              <w:pStyle w:val="45"/>
              <w:rPr>
                <w:rFonts w:hint="eastAsia"/>
                <w:color w:val="auto"/>
                <w:highlight w:val="none"/>
              </w:rPr>
            </w:pPr>
            <w:r>
              <w:rPr>
                <w:rFonts w:hint="eastAsia"/>
                <w:color w:val="auto"/>
                <w:highlight w:val="none"/>
              </w:rPr>
              <w:t>7</w:t>
            </w:r>
          </w:p>
        </w:tc>
        <w:tc>
          <w:tcPr>
            <w:tcW w:w="1134" w:type="dxa"/>
            <w:vMerge w:val="continue"/>
            <w:tcBorders>
              <w:left w:val="single" w:color="auto" w:sz="4" w:space="0"/>
            </w:tcBorders>
          </w:tcPr>
          <w:p w14:paraId="7DDA0750"/>
        </w:tc>
        <w:tc>
          <w:tcPr>
            <w:tcW w:w="1559" w:type="dxa"/>
            <w:tcBorders>
              <w:left w:val="single" w:color="auto" w:sz="4" w:space="0"/>
            </w:tcBorders>
            <w:vAlign w:val="center"/>
          </w:tcPr>
          <w:p w14:paraId="3030064A">
            <w:pPr>
              <w:pStyle w:val="45"/>
              <w:rPr>
                <w:rFonts w:hint="eastAsia"/>
                <w:color w:val="auto"/>
                <w:highlight w:val="none"/>
              </w:rPr>
            </w:pPr>
            <w:r>
              <w:rPr>
                <w:rFonts w:hint="eastAsia"/>
                <w:color w:val="auto"/>
                <w:highlight w:val="none"/>
              </w:rPr>
              <w:t>信息安全管理</w:t>
            </w:r>
          </w:p>
        </w:tc>
        <w:tc>
          <w:tcPr>
            <w:tcW w:w="2268" w:type="dxa"/>
            <w:tcBorders>
              <w:left w:val="single" w:color="auto" w:sz="4" w:space="0"/>
            </w:tcBorders>
            <w:vAlign w:val="center"/>
          </w:tcPr>
          <w:p w14:paraId="02F8AAA6">
            <w:pPr>
              <w:pStyle w:val="45"/>
              <w:rPr>
                <w:rFonts w:hint="eastAsia"/>
                <w:color w:val="auto"/>
                <w:highlight w:val="none"/>
              </w:rPr>
            </w:pPr>
            <w:r>
              <w:rPr>
                <w:rFonts w:hint="eastAsia"/>
                <w:color w:val="auto"/>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48F1C3CC">
            <w:pPr>
              <w:pStyle w:val="45"/>
              <w:rPr>
                <w:rFonts w:hint="eastAsia"/>
                <w:color w:val="auto"/>
                <w:highlight w:val="none"/>
              </w:rPr>
            </w:pPr>
            <w:r>
              <w:rPr>
                <w:rFonts w:hint="eastAsia"/>
                <w:color w:val="auto"/>
                <w:highlight w:val="none"/>
              </w:rPr>
              <w:t>互联网或电子银行类系统：</w:t>
            </w:r>
          </w:p>
          <w:p w14:paraId="4C9419EA">
            <w:pPr>
              <w:pStyle w:val="45"/>
              <w:rPr>
                <w:rFonts w:hint="eastAsia"/>
                <w:color w:val="auto"/>
                <w:highlight w:val="none"/>
              </w:rPr>
            </w:pPr>
            <w:r>
              <w:rPr>
                <w:rFonts w:hint="eastAsia"/>
                <w:color w:val="auto"/>
                <w:highlight w:val="none"/>
              </w:rPr>
              <w:t>1.安全漏洞及安全缺陷整改及时率=100%</w:t>
            </w:r>
          </w:p>
          <w:p w14:paraId="7990FA31">
            <w:pPr>
              <w:pStyle w:val="45"/>
              <w:rPr>
                <w:rFonts w:hint="eastAsia"/>
                <w:color w:val="auto"/>
                <w:highlight w:val="none"/>
              </w:rPr>
            </w:pPr>
            <w:r>
              <w:rPr>
                <w:rFonts w:hint="eastAsia"/>
                <w:color w:val="auto"/>
                <w:highlight w:val="none"/>
              </w:rPr>
              <w:t>2.安全漏洞及安全缺陷整改通过率=100%</w:t>
            </w:r>
          </w:p>
          <w:p w14:paraId="1EFF5BD4">
            <w:pPr>
              <w:pStyle w:val="45"/>
              <w:rPr>
                <w:rFonts w:hint="eastAsia"/>
                <w:color w:val="auto"/>
                <w:highlight w:val="none"/>
              </w:rPr>
            </w:pPr>
            <w:r>
              <w:rPr>
                <w:rFonts w:hint="eastAsia"/>
                <w:color w:val="auto"/>
                <w:highlight w:val="none"/>
              </w:rPr>
              <w:t>非互联网或电子银行类系统：</w:t>
            </w:r>
          </w:p>
          <w:p w14:paraId="02FA0984">
            <w:pPr>
              <w:pStyle w:val="45"/>
              <w:rPr>
                <w:rFonts w:hint="eastAsia"/>
                <w:color w:val="auto"/>
                <w:highlight w:val="none"/>
              </w:rPr>
            </w:pPr>
            <w:r>
              <w:rPr>
                <w:rFonts w:hint="eastAsia"/>
                <w:color w:val="auto"/>
                <w:highlight w:val="none"/>
              </w:rPr>
              <w:t>1.中高危安全漏洞及安全缺陷整改及时率=100%</w:t>
            </w:r>
          </w:p>
          <w:p w14:paraId="304C5AF8">
            <w:pPr>
              <w:pStyle w:val="45"/>
              <w:rPr>
                <w:rFonts w:hint="eastAsia"/>
                <w:color w:val="auto"/>
                <w:highlight w:val="none"/>
              </w:rPr>
            </w:pPr>
            <w:r>
              <w:rPr>
                <w:rFonts w:hint="eastAsia"/>
                <w:color w:val="auto"/>
                <w:highlight w:val="none"/>
              </w:rPr>
              <w:t>2.中高危安全漏洞及安全缺陷整改通过率=100%</w:t>
            </w:r>
          </w:p>
          <w:p w14:paraId="382115F3">
            <w:pPr>
              <w:pStyle w:val="45"/>
              <w:rPr>
                <w:rFonts w:hint="eastAsia"/>
                <w:color w:val="auto"/>
                <w:highlight w:val="none"/>
              </w:rPr>
            </w:pPr>
            <w:r>
              <w:rPr>
                <w:rFonts w:hint="eastAsia"/>
                <w:color w:val="auto"/>
                <w:highlight w:val="none"/>
              </w:rPr>
              <w:t>优秀：5分，指未出现安全漏洞及安全缺陷，该项指标满分；</w:t>
            </w:r>
          </w:p>
          <w:p w14:paraId="071CDE62">
            <w:pPr>
              <w:pStyle w:val="45"/>
              <w:rPr>
                <w:rFonts w:hint="eastAsia"/>
                <w:color w:val="auto"/>
                <w:highlight w:val="none"/>
              </w:rPr>
            </w:pPr>
            <w:r>
              <w:rPr>
                <w:rFonts w:hint="eastAsia"/>
                <w:color w:val="auto"/>
                <w:highlight w:val="none"/>
              </w:rPr>
              <w:t>合格：3分，指出现安全漏洞或安全缺陷，但整改及时率、通过率均为100%；</w:t>
            </w:r>
          </w:p>
          <w:p w14:paraId="7428CF70">
            <w:pPr>
              <w:pStyle w:val="45"/>
              <w:rPr>
                <w:rFonts w:hint="eastAsia"/>
                <w:color w:val="auto"/>
                <w:highlight w:val="none"/>
              </w:rPr>
            </w:pPr>
            <w:r>
              <w:rPr>
                <w:rFonts w:hint="eastAsia"/>
                <w:color w:val="auto"/>
                <w:highlight w:val="none"/>
              </w:rPr>
              <w:t>较差/差：0分，指出现安全漏洞及安全缺陷，但整改及时率或通过率未达到100%。</w:t>
            </w:r>
          </w:p>
        </w:tc>
        <w:tc>
          <w:tcPr>
            <w:tcW w:w="2410" w:type="dxa"/>
            <w:tcBorders>
              <w:left w:val="single" w:color="auto" w:sz="4" w:space="0"/>
            </w:tcBorders>
            <w:vAlign w:val="center"/>
          </w:tcPr>
          <w:p w14:paraId="4CF2A7FE">
            <w:pPr>
              <w:pStyle w:val="45"/>
              <w:rPr>
                <w:rFonts w:hint="eastAsia"/>
                <w:color w:val="auto"/>
                <w:highlight w:val="none"/>
              </w:rPr>
            </w:pPr>
            <w:r>
              <w:rPr>
                <w:rFonts w:hint="eastAsia"/>
                <w:color w:val="auto"/>
                <w:highlight w:val="none"/>
              </w:rPr>
              <w:t>若评价为较差/差时，扣除乙方金额人民币不低于2万元，并要求乙方赔偿实际损失。</w:t>
            </w:r>
          </w:p>
          <w:p w14:paraId="37C1F0CF">
            <w:pPr>
              <w:pStyle w:val="45"/>
              <w:rPr>
                <w:rFonts w:hint="eastAsia"/>
                <w:color w:val="auto"/>
                <w:highlight w:val="none"/>
              </w:rPr>
            </w:pPr>
            <w:r>
              <w:rPr>
                <w:rFonts w:hint="eastAsia"/>
                <w:color w:val="auto"/>
                <w:highlight w:val="none"/>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120C9A2A">
            <w:pPr>
              <w:jc w:val="left"/>
              <w:rPr>
                <w:rFonts w:ascii="宋体" w:eastAsia="宋体"/>
                <w:color w:val="auto"/>
                <w:szCs w:val="21"/>
                <w:highlight w:val="none"/>
              </w:rPr>
            </w:pPr>
          </w:p>
        </w:tc>
        <w:tc>
          <w:tcPr>
            <w:tcW w:w="1086" w:type="dxa"/>
            <w:tcBorders>
              <w:left w:val="single" w:color="auto" w:sz="4" w:space="0"/>
            </w:tcBorders>
            <w:vAlign w:val="center"/>
          </w:tcPr>
          <w:p w14:paraId="159B2C59">
            <w:pPr>
              <w:jc w:val="left"/>
              <w:rPr>
                <w:rFonts w:ascii="宋体" w:eastAsia="宋体"/>
                <w:color w:val="auto"/>
                <w:szCs w:val="21"/>
                <w:highlight w:val="none"/>
              </w:rPr>
            </w:pPr>
          </w:p>
        </w:tc>
      </w:tr>
      <w:tr w14:paraId="5B1F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05961F">
            <w:pPr>
              <w:pStyle w:val="45"/>
              <w:rPr>
                <w:rFonts w:hint="eastAsia"/>
                <w:color w:val="auto"/>
                <w:highlight w:val="none"/>
              </w:rPr>
            </w:pPr>
            <w:r>
              <w:rPr>
                <w:rFonts w:hint="eastAsia"/>
                <w:color w:val="auto"/>
                <w:highlight w:val="none"/>
              </w:rPr>
              <w:t>8</w:t>
            </w:r>
          </w:p>
        </w:tc>
        <w:tc>
          <w:tcPr>
            <w:tcW w:w="1134" w:type="dxa"/>
            <w:vMerge w:val="continue"/>
            <w:tcBorders>
              <w:left w:val="single" w:color="auto" w:sz="4" w:space="0"/>
            </w:tcBorders>
          </w:tcPr>
          <w:p w14:paraId="6A2E6A52"/>
        </w:tc>
        <w:tc>
          <w:tcPr>
            <w:tcW w:w="1559" w:type="dxa"/>
            <w:tcBorders>
              <w:left w:val="single" w:color="auto" w:sz="4" w:space="0"/>
            </w:tcBorders>
            <w:vAlign w:val="center"/>
          </w:tcPr>
          <w:p w14:paraId="7C29D930">
            <w:pPr>
              <w:pStyle w:val="45"/>
              <w:rPr>
                <w:rFonts w:hint="eastAsia"/>
                <w:color w:val="auto"/>
                <w:highlight w:val="none"/>
              </w:rPr>
            </w:pPr>
            <w:r>
              <w:rPr>
                <w:rFonts w:hint="eastAsia"/>
                <w:color w:val="auto"/>
                <w:highlight w:val="none"/>
              </w:rPr>
              <w:t>外包安全行为</w:t>
            </w:r>
          </w:p>
        </w:tc>
        <w:tc>
          <w:tcPr>
            <w:tcW w:w="2268" w:type="dxa"/>
            <w:tcBorders>
              <w:left w:val="single" w:color="auto" w:sz="4" w:space="0"/>
            </w:tcBorders>
            <w:vAlign w:val="center"/>
          </w:tcPr>
          <w:p w14:paraId="144B924B">
            <w:pPr>
              <w:pStyle w:val="45"/>
              <w:rPr>
                <w:rFonts w:hint="eastAsia"/>
                <w:color w:val="auto"/>
                <w:highlight w:val="none"/>
              </w:rPr>
            </w:pPr>
            <w:r>
              <w:rPr>
                <w:rFonts w:hint="eastAsia"/>
                <w:color w:val="auto"/>
                <w:highlight w:val="none"/>
              </w:rPr>
              <w:t>用于记录在外包人员安全防护意识方面的管理有效性</w:t>
            </w:r>
          </w:p>
        </w:tc>
        <w:tc>
          <w:tcPr>
            <w:tcW w:w="3686" w:type="dxa"/>
            <w:tcBorders>
              <w:left w:val="single" w:color="auto" w:sz="4" w:space="0"/>
            </w:tcBorders>
            <w:vAlign w:val="center"/>
          </w:tcPr>
          <w:p w14:paraId="5B291D45">
            <w:pPr>
              <w:pStyle w:val="45"/>
              <w:rPr>
                <w:rFonts w:hint="eastAsia"/>
                <w:color w:val="auto"/>
                <w:highlight w:val="none"/>
              </w:rPr>
            </w:pPr>
            <w:r>
              <w:rPr>
                <w:rFonts w:hint="eastAsia"/>
                <w:color w:val="auto"/>
                <w:highlight w:val="none"/>
              </w:rPr>
              <w:t>统计周期内安全防护失效的次数。</w:t>
            </w:r>
          </w:p>
          <w:p w14:paraId="3812EF0E">
            <w:pPr>
              <w:pStyle w:val="45"/>
              <w:rPr>
                <w:rFonts w:hint="eastAsia"/>
                <w:color w:val="auto"/>
                <w:highlight w:val="none"/>
              </w:rPr>
            </w:pPr>
            <w:r>
              <w:rPr>
                <w:rFonts w:hint="eastAsia"/>
                <w:color w:val="auto"/>
                <w:highlight w:val="none"/>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7C80DBAF">
            <w:pPr>
              <w:pStyle w:val="45"/>
              <w:rPr>
                <w:rFonts w:hint="eastAsia"/>
                <w:color w:val="auto"/>
                <w:highlight w:val="none"/>
              </w:rPr>
            </w:pPr>
            <w:r>
              <w:rPr>
                <w:rFonts w:hint="eastAsia"/>
                <w:color w:val="auto"/>
                <w:highlight w:val="none"/>
              </w:rPr>
              <w:t>【得分上限10分】</w:t>
            </w:r>
          </w:p>
          <w:p w14:paraId="3FDBC2B4">
            <w:pPr>
              <w:pStyle w:val="45"/>
              <w:rPr>
                <w:rFonts w:hint="eastAsia"/>
                <w:color w:val="auto"/>
                <w:highlight w:val="none"/>
              </w:rPr>
            </w:pPr>
            <w:r>
              <w:rPr>
                <w:rFonts w:hint="eastAsia"/>
                <w:color w:val="auto"/>
                <w:highlight w:val="none"/>
              </w:rPr>
              <w:t>0次：未出现安全防护失效行为，10分；</w:t>
            </w:r>
          </w:p>
          <w:p w14:paraId="366A86DD">
            <w:pPr>
              <w:pStyle w:val="45"/>
              <w:rPr>
                <w:rFonts w:hint="eastAsia"/>
                <w:color w:val="auto"/>
                <w:highlight w:val="none"/>
              </w:rPr>
            </w:pPr>
            <w:r>
              <w:rPr>
                <w:rFonts w:hint="eastAsia"/>
                <w:color w:val="auto"/>
                <w:highlight w:val="none"/>
              </w:rPr>
              <w:t>1次及以上：出现安全防护失效行为，每出现一次扣5分，最多扣10分。</w:t>
            </w:r>
          </w:p>
        </w:tc>
        <w:tc>
          <w:tcPr>
            <w:tcW w:w="2410" w:type="dxa"/>
            <w:tcBorders>
              <w:left w:val="single" w:color="auto" w:sz="4" w:space="0"/>
            </w:tcBorders>
            <w:vAlign w:val="center"/>
          </w:tcPr>
          <w:p w14:paraId="491CEC45">
            <w:pPr>
              <w:pStyle w:val="45"/>
              <w:rPr>
                <w:rFonts w:hint="eastAsia"/>
                <w:color w:val="auto"/>
                <w:highlight w:val="none"/>
              </w:rPr>
            </w:pPr>
            <w:r>
              <w:rPr>
                <w:rFonts w:hint="eastAsia"/>
                <w:color w:val="auto"/>
                <w:highlight w:val="none"/>
              </w:rPr>
              <w:t>若出现信息安全防护失效行为未导致严重后果的，扣除乙方金额人民币不低于1万元；</w:t>
            </w:r>
          </w:p>
          <w:p w14:paraId="332459DA">
            <w:pPr>
              <w:pStyle w:val="45"/>
              <w:rPr>
                <w:rFonts w:hint="eastAsia"/>
                <w:color w:val="auto"/>
                <w:highlight w:val="none"/>
              </w:rPr>
            </w:pPr>
            <w:r>
              <w:rPr>
                <w:rFonts w:hint="eastAsia"/>
                <w:color w:val="auto"/>
                <w:highlight w:val="none"/>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6F45279A">
            <w:pPr>
              <w:jc w:val="left"/>
              <w:rPr>
                <w:rFonts w:ascii="宋体" w:eastAsia="宋体"/>
                <w:color w:val="auto"/>
                <w:szCs w:val="21"/>
                <w:highlight w:val="none"/>
              </w:rPr>
            </w:pPr>
          </w:p>
        </w:tc>
        <w:tc>
          <w:tcPr>
            <w:tcW w:w="1086" w:type="dxa"/>
            <w:tcBorders>
              <w:left w:val="single" w:color="auto" w:sz="4" w:space="0"/>
            </w:tcBorders>
            <w:vAlign w:val="center"/>
          </w:tcPr>
          <w:p w14:paraId="1B14E0BF">
            <w:pPr>
              <w:jc w:val="left"/>
              <w:rPr>
                <w:rFonts w:ascii="宋体" w:eastAsia="宋体"/>
                <w:color w:val="auto"/>
                <w:szCs w:val="21"/>
                <w:highlight w:val="none"/>
              </w:rPr>
            </w:pPr>
          </w:p>
        </w:tc>
      </w:tr>
      <w:tr w14:paraId="164A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689A5ED">
            <w:pPr>
              <w:pStyle w:val="45"/>
              <w:rPr>
                <w:rFonts w:hint="eastAsia"/>
                <w:color w:val="auto"/>
                <w:highlight w:val="none"/>
              </w:rPr>
            </w:pPr>
            <w:r>
              <w:rPr>
                <w:rFonts w:hint="eastAsia"/>
                <w:color w:val="auto"/>
                <w:highlight w:val="none"/>
              </w:rPr>
              <w:t>9</w:t>
            </w:r>
          </w:p>
        </w:tc>
        <w:tc>
          <w:tcPr>
            <w:tcW w:w="1134" w:type="dxa"/>
            <w:vMerge w:val="continue"/>
            <w:tcBorders>
              <w:left w:val="single" w:color="auto" w:sz="4" w:space="0"/>
            </w:tcBorders>
          </w:tcPr>
          <w:p w14:paraId="15BB55D4"/>
        </w:tc>
        <w:tc>
          <w:tcPr>
            <w:tcW w:w="1559" w:type="dxa"/>
            <w:tcBorders>
              <w:left w:val="single" w:color="auto" w:sz="4" w:space="0"/>
            </w:tcBorders>
            <w:vAlign w:val="center"/>
          </w:tcPr>
          <w:p w14:paraId="0DB07174">
            <w:pPr>
              <w:pStyle w:val="45"/>
              <w:rPr>
                <w:rFonts w:hint="eastAsia"/>
                <w:color w:val="auto"/>
                <w:highlight w:val="none"/>
              </w:rPr>
            </w:pPr>
            <w:r>
              <w:rPr>
                <w:rFonts w:hint="eastAsia"/>
                <w:color w:val="auto"/>
                <w:highlight w:val="none"/>
              </w:rPr>
              <w:t>响应与解决及时性</w:t>
            </w:r>
          </w:p>
        </w:tc>
        <w:tc>
          <w:tcPr>
            <w:tcW w:w="2268" w:type="dxa"/>
            <w:tcBorders>
              <w:left w:val="single" w:color="auto" w:sz="4" w:space="0"/>
            </w:tcBorders>
            <w:vAlign w:val="center"/>
          </w:tcPr>
          <w:p w14:paraId="1B215A93">
            <w:pPr>
              <w:pStyle w:val="45"/>
              <w:rPr>
                <w:rFonts w:hint="eastAsia"/>
                <w:color w:val="auto"/>
                <w:highlight w:val="none"/>
              </w:rPr>
            </w:pPr>
            <w:r>
              <w:rPr>
                <w:rFonts w:hint="eastAsia"/>
                <w:color w:val="auto"/>
                <w:highlight w:val="none"/>
              </w:rPr>
              <w:t>用于记录乙方或服务项目对甲方的响应与解决的及时性</w:t>
            </w:r>
          </w:p>
        </w:tc>
        <w:tc>
          <w:tcPr>
            <w:tcW w:w="3686" w:type="dxa"/>
            <w:tcBorders>
              <w:left w:val="single" w:color="auto" w:sz="4" w:space="0"/>
            </w:tcBorders>
            <w:vAlign w:val="center"/>
          </w:tcPr>
          <w:p w14:paraId="6E7AEA61">
            <w:pPr>
              <w:pStyle w:val="45"/>
              <w:rPr>
                <w:rFonts w:hint="eastAsia"/>
                <w:color w:val="auto"/>
                <w:highlight w:val="none"/>
              </w:rPr>
            </w:pPr>
            <w:r>
              <w:rPr>
                <w:rFonts w:hint="eastAsia"/>
                <w:color w:val="auto"/>
                <w:highlight w:val="none"/>
              </w:rPr>
              <w:t>优秀：5分，指乙方或服务项目能够迅速响应需求，主动快速与甲方进行有效的沟通，第一时间从专业角度给出解决方案并解决问题；</w:t>
            </w:r>
          </w:p>
          <w:p w14:paraId="27394685">
            <w:pPr>
              <w:pStyle w:val="45"/>
              <w:rPr>
                <w:rFonts w:hint="eastAsia"/>
                <w:color w:val="auto"/>
                <w:highlight w:val="none"/>
              </w:rPr>
            </w:pPr>
            <w:r>
              <w:rPr>
                <w:rFonts w:hint="eastAsia"/>
                <w:color w:val="auto"/>
                <w:highlight w:val="none"/>
              </w:rPr>
              <w:t>良好：4分，指乙方或服务项目能够按要求响应需求，及时与甲方进行有效的沟通，快速给出处理方案并解决问题；</w:t>
            </w:r>
          </w:p>
          <w:p w14:paraId="72172919">
            <w:pPr>
              <w:pStyle w:val="45"/>
              <w:rPr>
                <w:rFonts w:hint="eastAsia"/>
                <w:color w:val="auto"/>
                <w:highlight w:val="none"/>
              </w:rPr>
            </w:pPr>
            <w:r>
              <w:rPr>
                <w:rFonts w:hint="eastAsia"/>
                <w:color w:val="auto"/>
                <w:highlight w:val="none"/>
              </w:rPr>
              <w:t>合格：3分，指乙方或服务项目能够基本按要求响应需求，保持与甲方的沟通，按时解决问题；</w:t>
            </w:r>
          </w:p>
          <w:p w14:paraId="27B451BB">
            <w:pPr>
              <w:pStyle w:val="45"/>
              <w:rPr>
                <w:rFonts w:hint="eastAsia"/>
                <w:color w:val="auto"/>
                <w:highlight w:val="none"/>
              </w:rPr>
            </w:pPr>
            <w:r>
              <w:rPr>
                <w:rFonts w:hint="eastAsia"/>
                <w:color w:val="auto"/>
                <w:highlight w:val="none"/>
              </w:rPr>
              <w:t>较差/差：0分，指乙方或服务项目未及时响应需求，或响应需求后无法及时解决问题。</w:t>
            </w:r>
          </w:p>
        </w:tc>
        <w:tc>
          <w:tcPr>
            <w:tcW w:w="2410" w:type="dxa"/>
            <w:tcBorders>
              <w:left w:val="single" w:color="auto" w:sz="4" w:space="0"/>
            </w:tcBorders>
            <w:vAlign w:val="center"/>
          </w:tcPr>
          <w:p w14:paraId="016277AF">
            <w:pPr>
              <w:pStyle w:val="45"/>
              <w:rPr>
                <w:rFonts w:hint="eastAsia"/>
                <w:color w:val="auto"/>
                <w:highlight w:val="none"/>
              </w:rPr>
            </w:pPr>
            <w:r>
              <w:rPr>
                <w:rFonts w:hint="eastAsia"/>
                <w:color w:val="auto"/>
                <w:highlight w:val="none"/>
              </w:rPr>
              <w:t>评价为较差/差，即乙方或服务项目未及时响应需求，或响应需求后无法及时解决问题，扣除乙方金额人民币不低于1000元。</w:t>
            </w:r>
          </w:p>
        </w:tc>
        <w:tc>
          <w:tcPr>
            <w:tcW w:w="1134" w:type="dxa"/>
            <w:tcBorders>
              <w:left w:val="single" w:color="auto" w:sz="4" w:space="0"/>
            </w:tcBorders>
            <w:vAlign w:val="center"/>
          </w:tcPr>
          <w:p w14:paraId="3A0EDB8A">
            <w:pPr>
              <w:jc w:val="left"/>
              <w:rPr>
                <w:rFonts w:ascii="宋体" w:eastAsia="宋体"/>
                <w:color w:val="auto"/>
                <w:szCs w:val="21"/>
                <w:highlight w:val="none"/>
              </w:rPr>
            </w:pPr>
          </w:p>
        </w:tc>
        <w:tc>
          <w:tcPr>
            <w:tcW w:w="1086" w:type="dxa"/>
            <w:tcBorders>
              <w:left w:val="single" w:color="auto" w:sz="4" w:space="0"/>
            </w:tcBorders>
            <w:vAlign w:val="center"/>
          </w:tcPr>
          <w:p w14:paraId="759EC5B3">
            <w:pPr>
              <w:jc w:val="left"/>
              <w:rPr>
                <w:rFonts w:ascii="宋体" w:eastAsia="宋体"/>
                <w:color w:val="auto"/>
                <w:szCs w:val="21"/>
                <w:highlight w:val="none"/>
              </w:rPr>
            </w:pPr>
          </w:p>
        </w:tc>
      </w:tr>
      <w:tr w14:paraId="378F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DAF81C">
            <w:pPr>
              <w:pStyle w:val="45"/>
              <w:rPr>
                <w:rFonts w:hint="eastAsia"/>
                <w:color w:val="auto"/>
                <w:highlight w:val="none"/>
              </w:rPr>
            </w:pPr>
            <w:r>
              <w:rPr>
                <w:rFonts w:hint="eastAsia"/>
                <w:color w:val="auto"/>
                <w:highlight w:val="none"/>
              </w:rPr>
              <w:t>10</w:t>
            </w:r>
          </w:p>
        </w:tc>
        <w:tc>
          <w:tcPr>
            <w:tcW w:w="1134" w:type="dxa"/>
            <w:vMerge w:val="continue"/>
            <w:tcBorders>
              <w:left w:val="single" w:color="auto" w:sz="4" w:space="0"/>
            </w:tcBorders>
          </w:tcPr>
          <w:p w14:paraId="150E4FEE"/>
        </w:tc>
        <w:tc>
          <w:tcPr>
            <w:tcW w:w="1559" w:type="dxa"/>
            <w:tcBorders>
              <w:left w:val="single" w:color="auto" w:sz="4" w:space="0"/>
            </w:tcBorders>
            <w:vAlign w:val="center"/>
          </w:tcPr>
          <w:p w14:paraId="00584D73">
            <w:pPr>
              <w:pStyle w:val="45"/>
              <w:rPr>
                <w:rFonts w:hint="eastAsia"/>
                <w:color w:val="auto"/>
                <w:highlight w:val="none"/>
              </w:rPr>
            </w:pPr>
            <w:r>
              <w:rPr>
                <w:rFonts w:hint="eastAsia"/>
                <w:color w:val="auto"/>
                <w:highlight w:val="none"/>
              </w:rPr>
              <w:t>需求排期率</w:t>
            </w:r>
          </w:p>
        </w:tc>
        <w:tc>
          <w:tcPr>
            <w:tcW w:w="2268" w:type="dxa"/>
            <w:tcBorders>
              <w:left w:val="single" w:color="auto" w:sz="4" w:space="0"/>
            </w:tcBorders>
            <w:vAlign w:val="center"/>
          </w:tcPr>
          <w:p w14:paraId="3F6815FD">
            <w:pPr>
              <w:pStyle w:val="45"/>
              <w:rPr>
                <w:rFonts w:hint="eastAsia"/>
                <w:color w:val="auto"/>
                <w:highlight w:val="none"/>
              </w:rPr>
            </w:pPr>
            <w:r>
              <w:rPr>
                <w:rFonts w:hint="eastAsia"/>
                <w:color w:val="auto"/>
                <w:highlight w:val="none"/>
              </w:rPr>
              <w:t>用于记录统计周期内对甲方需求进行投产计划安排的比例</w:t>
            </w:r>
          </w:p>
        </w:tc>
        <w:tc>
          <w:tcPr>
            <w:tcW w:w="3686" w:type="dxa"/>
            <w:tcBorders>
              <w:left w:val="single" w:color="auto" w:sz="4" w:space="0"/>
            </w:tcBorders>
            <w:vAlign w:val="center"/>
          </w:tcPr>
          <w:p w14:paraId="4100CE1F">
            <w:pPr>
              <w:pStyle w:val="45"/>
              <w:rPr>
                <w:rFonts w:hint="eastAsia"/>
                <w:color w:val="auto"/>
                <w:highlight w:val="none"/>
              </w:rPr>
            </w:pPr>
            <w:r>
              <w:rPr>
                <w:rFonts w:hint="eastAsia"/>
                <w:color w:val="auto"/>
                <w:highlight w:val="none"/>
              </w:rPr>
              <w:t>需求排期率=已排期需求数/总需求数</w:t>
            </w:r>
          </w:p>
          <w:p w14:paraId="2EDDFD69">
            <w:pPr>
              <w:pStyle w:val="45"/>
              <w:rPr>
                <w:rFonts w:hint="eastAsia"/>
                <w:color w:val="auto"/>
                <w:highlight w:val="none"/>
              </w:rPr>
            </w:pPr>
            <w:r>
              <w:rPr>
                <w:rFonts w:hint="eastAsia"/>
                <w:color w:val="auto"/>
                <w:highlight w:val="none"/>
              </w:rPr>
              <w:t>注：已排期需求数指统计周期内已经纳入投产计划的需求个数。总需求数指统计周期内由甲方提出到达服务商项目组的需求数。</w:t>
            </w:r>
          </w:p>
          <w:p w14:paraId="417824F5">
            <w:pPr>
              <w:pStyle w:val="45"/>
              <w:rPr>
                <w:rFonts w:hint="eastAsia"/>
                <w:color w:val="auto"/>
                <w:highlight w:val="none"/>
              </w:rPr>
            </w:pPr>
            <w:r>
              <w:rPr>
                <w:rFonts w:hint="eastAsia"/>
                <w:color w:val="auto"/>
                <w:highlight w:val="none"/>
              </w:rPr>
              <w:t>5分【98%-100%】</w:t>
            </w:r>
          </w:p>
          <w:p w14:paraId="57B34E3C">
            <w:pPr>
              <w:pStyle w:val="45"/>
              <w:rPr>
                <w:rFonts w:hint="eastAsia"/>
                <w:color w:val="auto"/>
                <w:highlight w:val="none"/>
              </w:rPr>
            </w:pPr>
            <w:r>
              <w:rPr>
                <w:rFonts w:hint="eastAsia"/>
                <w:color w:val="auto"/>
                <w:highlight w:val="none"/>
              </w:rPr>
              <w:t>3分【95%-97%】</w:t>
            </w:r>
          </w:p>
          <w:p w14:paraId="5AE05B4A">
            <w:pPr>
              <w:pStyle w:val="45"/>
              <w:rPr>
                <w:rFonts w:hint="eastAsia"/>
                <w:color w:val="auto"/>
                <w:highlight w:val="none"/>
              </w:rPr>
            </w:pPr>
            <w:r>
              <w:rPr>
                <w:rFonts w:hint="eastAsia"/>
                <w:color w:val="auto"/>
                <w:highlight w:val="none"/>
              </w:rPr>
              <w:t>0分【低于95%】</w:t>
            </w:r>
          </w:p>
        </w:tc>
        <w:tc>
          <w:tcPr>
            <w:tcW w:w="2410" w:type="dxa"/>
            <w:tcBorders>
              <w:left w:val="single" w:color="auto" w:sz="4" w:space="0"/>
            </w:tcBorders>
            <w:vAlign w:val="center"/>
          </w:tcPr>
          <w:p w14:paraId="7B5824B2">
            <w:pPr>
              <w:pStyle w:val="45"/>
              <w:rPr>
                <w:rFonts w:hint="eastAsia"/>
                <w:color w:val="auto"/>
                <w:highlight w:val="none"/>
              </w:rPr>
            </w:pPr>
          </w:p>
        </w:tc>
        <w:tc>
          <w:tcPr>
            <w:tcW w:w="1134" w:type="dxa"/>
            <w:tcBorders>
              <w:left w:val="single" w:color="auto" w:sz="4" w:space="0"/>
            </w:tcBorders>
            <w:vAlign w:val="center"/>
          </w:tcPr>
          <w:p w14:paraId="2B3C3B9B">
            <w:pPr>
              <w:jc w:val="left"/>
              <w:rPr>
                <w:rFonts w:ascii="宋体" w:eastAsia="宋体"/>
                <w:color w:val="auto"/>
                <w:szCs w:val="21"/>
                <w:highlight w:val="none"/>
              </w:rPr>
            </w:pPr>
          </w:p>
        </w:tc>
        <w:tc>
          <w:tcPr>
            <w:tcW w:w="1086" w:type="dxa"/>
            <w:tcBorders>
              <w:left w:val="single" w:color="auto" w:sz="4" w:space="0"/>
            </w:tcBorders>
            <w:vAlign w:val="center"/>
          </w:tcPr>
          <w:p w14:paraId="0BBE1E58">
            <w:pPr>
              <w:jc w:val="left"/>
              <w:rPr>
                <w:rFonts w:ascii="宋体" w:eastAsia="宋体"/>
                <w:color w:val="auto"/>
                <w:szCs w:val="21"/>
                <w:highlight w:val="none"/>
              </w:rPr>
            </w:pPr>
          </w:p>
        </w:tc>
      </w:tr>
      <w:tr w14:paraId="768B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44581D8">
            <w:pPr>
              <w:pStyle w:val="45"/>
              <w:rPr>
                <w:rFonts w:hint="eastAsia"/>
                <w:color w:val="auto"/>
                <w:highlight w:val="none"/>
              </w:rPr>
            </w:pPr>
            <w:r>
              <w:rPr>
                <w:rFonts w:hint="eastAsia"/>
                <w:color w:val="auto"/>
                <w:highlight w:val="none"/>
              </w:rPr>
              <w:t>11</w:t>
            </w:r>
          </w:p>
        </w:tc>
        <w:tc>
          <w:tcPr>
            <w:tcW w:w="1134" w:type="dxa"/>
            <w:vMerge w:val="continue"/>
            <w:tcBorders>
              <w:left w:val="single" w:color="auto" w:sz="4" w:space="0"/>
            </w:tcBorders>
          </w:tcPr>
          <w:p w14:paraId="5F80A458"/>
        </w:tc>
        <w:tc>
          <w:tcPr>
            <w:tcW w:w="1559" w:type="dxa"/>
            <w:tcBorders>
              <w:left w:val="single" w:color="auto" w:sz="4" w:space="0"/>
            </w:tcBorders>
            <w:vAlign w:val="center"/>
          </w:tcPr>
          <w:p w14:paraId="0C96D699">
            <w:pPr>
              <w:pStyle w:val="45"/>
              <w:rPr>
                <w:rFonts w:hint="eastAsia"/>
                <w:color w:val="auto"/>
                <w:highlight w:val="none"/>
              </w:rPr>
            </w:pPr>
            <w:r>
              <w:rPr>
                <w:rFonts w:hint="eastAsia"/>
                <w:color w:val="auto"/>
                <w:highlight w:val="none"/>
              </w:rPr>
              <w:t>需求完成率</w:t>
            </w:r>
          </w:p>
        </w:tc>
        <w:tc>
          <w:tcPr>
            <w:tcW w:w="2268" w:type="dxa"/>
            <w:tcBorders>
              <w:left w:val="single" w:color="auto" w:sz="4" w:space="0"/>
            </w:tcBorders>
            <w:vAlign w:val="center"/>
          </w:tcPr>
          <w:p w14:paraId="0FBF0852">
            <w:pPr>
              <w:pStyle w:val="45"/>
              <w:rPr>
                <w:rFonts w:hint="eastAsia"/>
                <w:color w:val="auto"/>
                <w:highlight w:val="none"/>
              </w:rPr>
            </w:pPr>
            <w:r>
              <w:rPr>
                <w:rFonts w:hint="eastAsia"/>
                <w:color w:val="auto"/>
                <w:highlight w:val="none"/>
              </w:rPr>
              <w:t>用于记录统计周期内甲方需求完成投产的比例</w:t>
            </w:r>
          </w:p>
        </w:tc>
        <w:tc>
          <w:tcPr>
            <w:tcW w:w="3686" w:type="dxa"/>
            <w:tcBorders>
              <w:left w:val="single" w:color="auto" w:sz="4" w:space="0"/>
            </w:tcBorders>
            <w:vAlign w:val="center"/>
          </w:tcPr>
          <w:p w14:paraId="7C8D1852">
            <w:pPr>
              <w:pStyle w:val="45"/>
              <w:rPr>
                <w:rFonts w:hint="eastAsia"/>
                <w:color w:val="auto"/>
                <w:highlight w:val="none"/>
              </w:rPr>
            </w:pPr>
            <w:r>
              <w:rPr>
                <w:rFonts w:hint="eastAsia"/>
                <w:color w:val="auto"/>
                <w:highlight w:val="none"/>
              </w:rPr>
              <w:t>需求完成率=流程完结需求数/总需求数</w:t>
            </w:r>
          </w:p>
          <w:p w14:paraId="66DC4682">
            <w:pPr>
              <w:pStyle w:val="45"/>
              <w:rPr>
                <w:rFonts w:hint="eastAsia"/>
                <w:color w:val="auto"/>
                <w:highlight w:val="none"/>
              </w:rPr>
            </w:pPr>
            <w:r>
              <w:rPr>
                <w:rFonts w:hint="eastAsia"/>
                <w:color w:val="auto"/>
                <w:highlight w:val="none"/>
              </w:rPr>
              <w:t>注：流程完结需求数指统计周期内已完成投产的需求个数；总需求数指统计周期内由甲方提出到达服务商项目组的需求个数。</w:t>
            </w:r>
          </w:p>
          <w:p w14:paraId="2793CDCD">
            <w:pPr>
              <w:pStyle w:val="45"/>
              <w:rPr>
                <w:rFonts w:hint="eastAsia"/>
                <w:color w:val="auto"/>
                <w:highlight w:val="none"/>
              </w:rPr>
            </w:pPr>
            <w:r>
              <w:rPr>
                <w:rFonts w:hint="eastAsia"/>
                <w:color w:val="auto"/>
                <w:highlight w:val="none"/>
              </w:rPr>
              <w:t>5分【98%-100%】</w:t>
            </w:r>
          </w:p>
          <w:p w14:paraId="2AB99652">
            <w:pPr>
              <w:pStyle w:val="45"/>
              <w:rPr>
                <w:rFonts w:hint="eastAsia"/>
                <w:color w:val="auto"/>
                <w:highlight w:val="none"/>
              </w:rPr>
            </w:pPr>
            <w:r>
              <w:rPr>
                <w:rFonts w:hint="eastAsia"/>
                <w:color w:val="auto"/>
                <w:highlight w:val="none"/>
              </w:rPr>
              <w:t>3分【95%-97%】</w:t>
            </w:r>
          </w:p>
          <w:p w14:paraId="17661A06">
            <w:pPr>
              <w:pStyle w:val="45"/>
              <w:rPr>
                <w:rFonts w:hint="eastAsia"/>
                <w:color w:val="auto"/>
                <w:highlight w:val="none"/>
              </w:rPr>
            </w:pPr>
            <w:r>
              <w:rPr>
                <w:rFonts w:hint="eastAsia"/>
                <w:color w:val="auto"/>
                <w:highlight w:val="none"/>
              </w:rPr>
              <w:t>0分【低于95%】</w:t>
            </w:r>
          </w:p>
        </w:tc>
        <w:tc>
          <w:tcPr>
            <w:tcW w:w="2410" w:type="dxa"/>
            <w:tcBorders>
              <w:left w:val="single" w:color="auto" w:sz="4" w:space="0"/>
            </w:tcBorders>
            <w:vAlign w:val="center"/>
          </w:tcPr>
          <w:p w14:paraId="305876D5">
            <w:pPr>
              <w:pStyle w:val="45"/>
              <w:rPr>
                <w:rFonts w:hint="eastAsia"/>
                <w:color w:val="auto"/>
                <w:highlight w:val="none"/>
              </w:rPr>
            </w:pPr>
          </w:p>
        </w:tc>
        <w:tc>
          <w:tcPr>
            <w:tcW w:w="1134" w:type="dxa"/>
            <w:tcBorders>
              <w:left w:val="single" w:color="auto" w:sz="4" w:space="0"/>
            </w:tcBorders>
            <w:vAlign w:val="center"/>
          </w:tcPr>
          <w:p w14:paraId="2BA5C349">
            <w:pPr>
              <w:jc w:val="left"/>
              <w:rPr>
                <w:rFonts w:ascii="宋体" w:eastAsia="宋体"/>
                <w:color w:val="auto"/>
                <w:szCs w:val="21"/>
                <w:highlight w:val="none"/>
              </w:rPr>
            </w:pPr>
          </w:p>
        </w:tc>
        <w:tc>
          <w:tcPr>
            <w:tcW w:w="1086" w:type="dxa"/>
            <w:tcBorders>
              <w:left w:val="single" w:color="auto" w:sz="4" w:space="0"/>
            </w:tcBorders>
            <w:vAlign w:val="center"/>
          </w:tcPr>
          <w:p w14:paraId="5D9F5184">
            <w:pPr>
              <w:jc w:val="left"/>
              <w:rPr>
                <w:rFonts w:ascii="宋体" w:eastAsia="宋体"/>
                <w:color w:val="auto"/>
                <w:szCs w:val="21"/>
                <w:highlight w:val="none"/>
              </w:rPr>
            </w:pPr>
          </w:p>
        </w:tc>
      </w:tr>
      <w:tr w14:paraId="1D7D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B652502">
            <w:pPr>
              <w:pStyle w:val="45"/>
              <w:rPr>
                <w:rFonts w:hint="eastAsia"/>
                <w:color w:val="auto"/>
                <w:highlight w:val="none"/>
              </w:rPr>
            </w:pPr>
            <w:r>
              <w:rPr>
                <w:rFonts w:hint="eastAsia"/>
                <w:color w:val="auto"/>
                <w:highlight w:val="none"/>
              </w:rPr>
              <w:t>12</w:t>
            </w:r>
          </w:p>
        </w:tc>
        <w:tc>
          <w:tcPr>
            <w:tcW w:w="1134" w:type="dxa"/>
            <w:vMerge w:val="continue"/>
            <w:tcBorders>
              <w:left w:val="single" w:color="auto" w:sz="4" w:space="0"/>
            </w:tcBorders>
          </w:tcPr>
          <w:p w14:paraId="4846C9FC"/>
        </w:tc>
        <w:tc>
          <w:tcPr>
            <w:tcW w:w="1559" w:type="dxa"/>
            <w:tcBorders>
              <w:left w:val="single" w:color="auto" w:sz="4" w:space="0"/>
            </w:tcBorders>
            <w:vAlign w:val="center"/>
          </w:tcPr>
          <w:p w14:paraId="68BF2B13">
            <w:pPr>
              <w:pStyle w:val="45"/>
              <w:rPr>
                <w:rFonts w:hint="eastAsia"/>
                <w:color w:val="auto"/>
                <w:highlight w:val="none"/>
              </w:rPr>
            </w:pPr>
            <w:r>
              <w:rPr>
                <w:rFonts w:hint="eastAsia"/>
                <w:color w:val="auto"/>
                <w:highlight w:val="none"/>
              </w:rPr>
              <w:t>人员行为规范性</w:t>
            </w:r>
          </w:p>
        </w:tc>
        <w:tc>
          <w:tcPr>
            <w:tcW w:w="2268" w:type="dxa"/>
            <w:tcBorders>
              <w:left w:val="single" w:color="auto" w:sz="4" w:space="0"/>
            </w:tcBorders>
            <w:vAlign w:val="center"/>
          </w:tcPr>
          <w:p w14:paraId="03008A87">
            <w:pPr>
              <w:pStyle w:val="45"/>
              <w:rPr>
                <w:rFonts w:hint="eastAsia"/>
                <w:color w:val="auto"/>
                <w:highlight w:val="none"/>
              </w:rPr>
            </w:pPr>
            <w:r>
              <w:rPr>
                <w:rFonts w:hint="eastAsia"/>
                <w:color w:val="auto"/>
                <w:highlight w:val="none"/>
              </w:rPr>
              <w:t>用于记录外包场地日常管理或检查过程中发现外包人员行为违规（包括但不限于办公纪律、造成办公环境物理安全隐患等）的次数</w:t>
            </w:r>
          </w:p>
        </w:tc>
        <w:tc>
          <w:tcPr>
            <w:tcW w:w="3686" w:type="dxa"/>
            <w:tcBorders>
              <w:left w:val="single" w:color="auto" w:sz="4" w:space="0"/>
            </w:tcBorders>
            <w:vAlign w:val="center"/>
          </w:tcPr>
          <w:p w14:paraId="24601B04">
            <w:pPr>
              <w:pStyle w:val="45"/>
              <w:rPr>
                <w:rFonts w:hint="eastAsia"/>
                <w:color w:val="auto"/>
                <w:highlight w:val="none"/>
              </w:rPr>
            </w:pPr>
            <w:r>
              <w:rPr>
                <w:rFonts w:hint="eastAsia"/>
                <w:color w:val="auto"/>
                <w:highlight w:val="none"/>
              </w:rPr>
              <w:t>【得分上限10分】</w:t>
            </w:r>
          </w:p>
          <w:p w14:paraId="3A3C5DAC">
            <w:pPr>
              <w:pStyle w:val="45"/>
              <w:rPr>
                <w:rFonts w:hint="eastAsia"/>
                <w:color w:val="auto"/>
                <w:highlight w:val="none"/>
              </w:rPr>
            </w:pPr>
            <w:r>
              <w:rPr>
                <w:rFonts w:hint="eastAsia"/>
                <w:color w:val="auto"/>
                <w:highlight w:val="none"/>
              </w:rPr>
              <w:t>0次：指未出现外包人员行为违规，该项指标满分；</w:t>
            </w:r>
          </w:p>
          <w:p w14:paraId="41F5880D">
            <w:pPr>
              <w:pStyle w:val="45"/>
              <w:rPr>
                <w:rFonts w:hint="eastAsia"/>
                <w:color w:val="auto"/>
                <w:highlight w:val="none"/>
              </w:rPr>
            </w:pPr>
            <w:r>
              <w:rPr>
                <w:rFonts w:hint="eastAsia"/>
                <w:color w:val="auto"/>
                <w:highlight w:val="none"/>
              </w:rPr>
              <w:t>1次及以上：指检查发现外包人员行为违规1次及以上（每人次扣5分，最高扣除10分）</w:t>
            </w:r>
          </w:p>
        </w:tc>
        <w:tc>
          <w:tcPr>
            <w:tcW w:w="2410" w:type="dxa"/>
            <w:tcBorders>
              <w:left w:val="single" w:color="auto" w:sz="4" w:space="0"/>
            </w:tcBorders>
            <w:vAlign w:val="center"/>
          </w:tcPr>
          <w:p w14:paraId="6C92291D">
            <w:pPr>
              <w:pStyle w:val="45"/>
              <w:rPr>
                <w:rFonts w:hint="eastAsia"/>
                <w:color w:val="auto"/>
                <w:highlight w:val="none"/>
              </w:rPr>
            </w:pPr>
            <w:r>
              <w:rPr>
                <w:rFonts w:hint="eastAsia"/>
                <w:color w:val="auto"/>
                <w:highlight w:val="none"/>
              </w:rPr>
              <w:t>每出现一次人员行为违规，扣除乙方金额人民币不低于500元。</w:t>
            </w:r>
          </w:p>
        </w:tc>
        <w:tc>
          <w:tcPr>
            <w:tcW w:w="1134" w:type="dxa"/>
            <w:tcBorders>
              <w:left w:val="single" w:color="auto" w:sz="4" w:space="0"/>
            </w:tcBorders>
            <w:vAlign w:val="center"/>
          </w:tcPr>
          <w:p w14:paraId="0E5F9597">
            <w:pPr>
              <w:jc w:val="left"/>
              <w:rPr>
                <w:rFonts w:ascii="宋体" w:eastAsia="宋体"/>
                <w:color w:val="auto"/>
                <w:szCs w:val="21"/>
                <w:highlight w:val="none"/>
              </w:rPr>
            </w:pPr>
          </w:p>
        </w:tc>
        <w:tc>
          <w:tcPr>
            <w:tcW w:w="1086" w:type="dxa"/>
            <w:tcBorders>
              <w:left w:val="single" w:color="auto" w:sz="4" w:space="0"/>
            </w:tcBorders>
            <w:vAlign w:val="center"/>
          </w:tcPr>
          <w:p w14:paraId="0FFCCEEA">
            <w:pPr>
              <w:jc w:val="left"/>
              <w:rPr>
                <w:rFonts w:ascii="宋体" w:eastAsia="宋体"/>
                <w:color w:val="auto"/>
                <w:szCs w:val="21"/>
                <w:highlight w:val="none"/>
              </w:rPr>
            </w:pPr>
          </w:p>
        </w:tc>
      </w:tr>
      <w:tr w14:paraId="52DF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9172C77">
            <w:pPr>
              <w:pStyle w:val="45"/>
              <w:rPr>
                <w:rFonts w:hint="eastAsia"/>
                <w:color w:val="auto"/>
                <w:highlight w:val="none"/>
              </w:rPr>
            </w:pPr>
            <w:r>
              <w:rPr>
                <w:rFonts w:hint="eastAsia"/>
                <w:color w:val="auto"/>
                <w:highlight w:val="none"/>
              </w:rPr>
              <w:t>13</w:t>
            </w:r>
          </w:p>
        </w:tc>
        <w:tc>
          <w:tcPr>
            <w:tcW w:w="1134" w:type="dxa"/>
            <w:vMerge w:val="continue"/>
            <w:tcBorders>
              <w:left w:val="single" w:color="auto" w:sz="4" w:space="0"/>
            </w:tcBorders>
          </w:tcPr>
          <w:p w14:paraId="3D1D3C21"/>
        </w:tc>
        <w:tc>
          <w:tcPr>
            <w:tcW w:w="1559" w:type="dxa"/>
            <w:tcBorders>
              <w:left w:val="single" w:color="auto" w:sz="4" w:space="0"/>
            </w:tcBorders>
            <w:vAlign w:val="center"/>
          </w:tcPr>
          <w:p w14:paraId="7A727802">
            <w:pPr>
              <w:pStyle w:val="45"/>
              <w:rPr>
                <w:rFonts w:hint="eastAsia"/>
                <w:color w:val="auto"/>
                <w:highlight w:val="none"/>
              </w:rPr>
            </w:pPr>
            <w:r>
              <w:rPr>
                <w:rFonts w:hint="eastAsia"/>
                <w:color w:val="auto"/>
                <w:highlight w:val="none"/>
              </w:rPr>
              <w:t>人员变动率</w:t>
            </w:r>
          </w:p>
        </w:tc>
        <w:tc>
          <w:tcPr>
            <w:tcW w:w="2268" w:type="dxa"/>
            <w:tcBorders>
              <w:left w:val="single" w:color="auto" w:sz="4" w:space="0"/>
            </w:tcBorders>
            <w:vAlign w:val="center"/>
          </w:tcPr>
          <w:p w14:paraId="64808FF9">
            <w:pPr>
              <w:pStyle w:val="45"/>
              <w:rPr>
                <w:rFonts w:hint="eastAsia"/>
                <w:color w:val="auto"/>
                <w:highlight w:val="none"/>
              </w:rPr>
            </w:pPr>
            <w:r>
              <w:rPr>
                <w:rFonts w:hint="eastAsia"/>
                <w:color w:val="auto"/>
                <w:highlight w:val="none"/>
              </w:rPr>
              <w:t>用于记录统计周期内乙方未经甲方同意更换外包人员数量占乙方驻场外包人员总数量的比率</w:t>
            </w:r>
          </w:p>
        </w:tc>
        <w:tc>
          <w:tcPr>
            <w:tcW w:w="3686" w:type="dxa"/>
            <w:tcBorders>
              <w:left w:val="single" w:color="auto" w:sz="4" w:space="0"/>
            </w:tcBorders>
            <w:vAlign w:val="center"/>
          </w:tcPr>
          <w:p w14:paraId="58C3F6BD">
            <w:pPr>
              <w:pStyle w:val="45"/>
              <w:rPr>
                <w:rFonts w:hint="eastAsia"/>
                <w:color w:val="auto"/>
                <w:highlight w:val="none"/>
              </w:rPr>
            </w:pPr>
            <w:r>
              <w:rPr>
                <w:rFonts w:hint="eastAsia"/>
                <w:color w:val="auto"/>
                <w:highlight w:val="none"/>
              </w:rPr>
              <w:t>人员变动率=乙方未经甲方同意更换外包人员数量/乙方驻场外包人员总数量</w:t>
            </w:r>
          </w:p>
          <w:p w14:paraId="30760FCB">
            <w:pPr>
              <w:pStyle w:val="45"/>
              <w:rPr>
                <w:rFonts w:hint="eastAsia"/>
                <w:color w:val="auto"/>
                <w:highlight w:val="none"/>
              </w:rPr>
            </w:pPr>
            <w:r>
              <w:rPr>
                <w:rFonts w:hint="eastAsia"/>
                <w:color w:val="auto"/>
                <w:highlight w:val="none"/>
              </w:rPr>
              <w:t>10分【0-20%】</w:t>
            </w:r>
          </w:p>
          <w:p w14:paraId="1F3E8508">
            <w:pPr>
              <w:pStyle w:val="45"/>
              <w:rPr>
                <w:rFonts w:hint="eastAsia"/>
                <w:color w:val="auto"/>
                <w:highlight w:val="none"/>
              </w:rPr>
            </w:pPr>
            <w:r>
              <w:rPr>
                <w:rFonts w:hint="eastAsia"/>
                <w:color w:val="auto"/>
                <w:highlight w:val="none"/>
              </w:rPr>
              <w:t>5分【20%-40%】</w:t>
            </w:r>
          </w:p>
          <w:p w14:paraId="5F7949C7">
            <w:pPr>
              <w:pStyle w:val="45"/>
              <w:rPr>
                <w:rFonts w:hint="eastAsia"/>
                <w:color w:val="auto"/>
                <w:highlight w:val="none"/>
              </w:rPr>
            </w:pPr>
            <w:r>
              <w:rPr>
                <w:rFonts w:hint="eastAsia"/>
                <w:color w:val="auto"/>
                <w:highlight w:val="none"/>
              </w:rPr>
              <w:t>0分【超过40%】</w:t>
            </w:r>
          </w:p>
        </w:tc>
        <w:tc>
          <w:tcPr>
            <w:tcW w:w="2410" w:type="dxa"/>
            <w:tcBorders>
              <w:left w:val="single" w:color="auto" w:sz="4" w:space="0"/>
            </w:tcBorders>
            <w:vAlign w:val="center"/>
          </w:tcPr>
          <w:p w14:paraId="5C163CFA">
            <w:pPr>
              <w:pStyle w:val="45"/>
              <w:rPr>
                <w:rFonts w:hint="eastAsia"/>
                <w:color w:val="auto"/>
                <w:highlight w:val="none"/>
              </w:rPr>
            </w:pPr>
            <w:r>
              <w:rPr>
                <w:rFonts w:hint="eastAsia"/>
                <w:color w:val="auto"/>
                <w:highlight w:val="none"/>
              </w:rPr>
              <w:t>技术骨干或项目经理未经甲方同意变动，扣除乙方金额人民币不低于3万元；其余人员变动率超过40%，扣除不低于合同总金额的1%。</w:t>
            </w:r>
          </w:p>
        </w:tc>
        <w:tc>
          <w:tcPr>
            <w:tcW w:w="1134" w:type="dxa"/>
            <w:tcBorders>
              <w:left w:val="single" w:color="auto" w:sz="4" w:space="0"/>
            </w:tcBorders>
            <w:vAlign w:val="center"/>
          </w:tcPr>
          <w:p w14:paraId="307B68FE">
            <w:pPr>
              <w:jc w:val="left"/>
              <w:rPr>
                <w:rFonts w:ascii="宋体" w:eastAsia="宋体"/>
                <w:color w:val="auto"/>
                <w:szCs w:val="21"/>
                <w:highlight w:val="none"/>
              </w:rPr>
            </w:pPr>
          </w:p>
        </w:tc>
        <w:tc>
          <w:tcPr>
            <w:tcW w:w="1086" w:type="dxa"/>
            <w:tcBorders>
              <w:left w:val="single" w:color="auto" w:sz="4" w:space="0"/>
            </w:tcBorders>
            <w:vAlign w:val="center"/>
          </w:tcPr>
          <w:p w14:paraId="107857DD">
            <w:pPr>
              <w:jc w:val="left"/>
              <w:rPr>
                <w:rFonts w:ascii="宋体" w:eastAsia="宋体"/>
                <w:color w:val="auto"/>
                <w:szCs w:val="21"/>
                <w:highlight w:val="none"/>
              </w:rPr>
            </w:pPr>
          </w:p>
        </w:tc>
      </w:tr>
      <w:tr w14:paraId="31D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59611F6">
            <w:pPr>
              <w:pStyle w:val="45"/>
              <w:rPr>
                <w:rFonts w:hint="eastAsia"/>
                <w:color w:val="auto"/>
                <w:highlight w:val="none"/>
              </w:rPr>
            </w:pPr>
            <w:r>
              <w:rPr>
                <w:rFonts w:hint="eastAsia"/>
                <w:color w:val="auto"/>
                <w:highlight w:val="none"/>
              </w:rPr>
              <w:t>14</w:t>
            </w:r>
          </w:p>
        </w:tc>
        <w:tc>
          <w:tcPr>
            <w:tcW w:w="1134" w:type="dxa"/>
            <w:vMerge w:val="continue"/>
            <w:tcBorders>
              <w:left w:val="single" w:color="auto" w:sz="4" w:space="0"/>
            </w:tcBorders>
          </w:tcPr>
          <w:p w14:paraId="71208C21"/>
        </w:tc>
        <w:tc>
          <w:tcPr>
            <w:tcW w:w="1559" w:type="dxa"/>
            <w:tcBorders>
              <w:left w:val="single" w:color="auto" w:sz="4" w:space="0"/>
            </w:tcBorders>
            <w:vAlign w:val="center"/>
          </w:tcPr>
          <w:p w14:paraId="5770B83E">
            <w:pPr>
              <w:pStyle w:val="45"/>
              <w:rPr>
                <w:rFonts w:hint="eastAsia"/>
                <w:color w:val="auto"/>
                <w:highlight w:val="none"/>
              </w:rPr>
            </w:pPr>
            <w:r>
              <w:rPr>
                <w:rFonts w:hint="eastAsia"/>
                <w:color w:val="auto"/>
                <w:highlight w:val="none"/>
              </w:rPr>
              <w:t>人员满意度评价</w:t>
            </w:r>
          </w:p>
        </w:tc>
        <w:tc>
          <w:tcPr>
            <w:tcW w:w="2268" w:type="dxa"/>
            <w:tcBorders>
              <w:left w:val="single" w:color="auto" w:sz="4" w:space="0"/>
            </w:tcBorders>
            <w:vAlign w:val="center"/>
          </w:tcPr>
          <w:p w14:paraId="290AE337">
            <w:pPr>
              <w:pStyle w:val="45"/>
              <w:rPr>
                <w:rFonts w:hint="eastAsia"/>
                <w:color w:val="auto"/>
                <w:highlight w:val="none"/>
              </w:rPr>
            </w:pPr>
            <w:r>
              <w:rPr>
                <w:rFonts w:hint="eastAsia"/>
                <w:color w:val="auto"/>
                <w:highlight w:val="none"/>
              </w:rPr>
              <w:t>甲方对乙方外包人员表现的满意度评价</w:t>
            </w:r>
          </w:p>
        </w:tc>
        <w:tc>
          <w:tcPr>
            <w:tcW w:w="3686" w:type="dxa"/>
            <w:tcBorders>
              <w:left w:val="single" w:color="auto" w:sz="4" w:space="0"/>
            </w:tcBorders>
            <w:vAlign w:val="center"/>
          </w:tcPr>
          <w:p w14:paraId="4864697A">
            <w:pPr>
              <w:pStyle w:val="45"/>
              <w:rPr>
                <w:rFonts w:hint="eastAsia"/>
                <w:color w:val="auto"/>
                <w:highlight w:val="none"/>
              </w:rPr>
            </w:pPr>
            <w:r>
              <w:rPr>
                <w:rFonts w:hint="eastAsia"/>
                <w:color w:val="auto"/>
                <w:highlight w:val="none"/>
              </w:rPr>
              <w:t>优秀：5分，指工作效率高，态度积极主动，保质保量完成工作任务，对团队有突出贡献，日常行为能起到模范带头作用的；</w:t>
            </w:r>
          </w:p>
          <w:p w14:paraId="4407D25C">
            <w:pPr>
              <w:pStyle w:val="45"/>
              <w:rPr>
                <w:rFonts w:hint="eastAsia"/>
                <w:color w:val="auto"/>
                <w:highlight w:val="none"/>
              </w:rPr>
            </w:pPr>
            <w:r>
              <w:rPr>
                <w:rFonts w:hint="eastAsia"/>
                <w:color w:val="auto"/>
                <w:highlight w:val="none"/>
              </w:rPr>
              <w:t>良好：4分，指工作效率较高，态度比较主动，较好完成工作任务，对团队有一定贡献，日常行为表现较好的；</w:t>
            </w:r>
          </w:p>
          <w:p w14:paraId="4661C4A3">
            <w:pPr>
              <w:pStyle w:val="45"/>
              <w:rPr>
                <w:rFonts w:hint="eastAsia"/>
                <w:color w:val="auto"/>
                <w:highlight w:val="none"/>
              </w:rPr>
            </w:pPr>
            <w:r>
              <w:rPr>
                <w:rFonts w:hint="eastAsia"/>
                <w:color w:val="auto"/>
                <w:highlight w:val="none"/>
              </w:rPr>
              <w:t>合格：3分，指工作效率一般，态度合格，能够按时完成工作任务的；</w:t>
            </w:r>
          </w:p>
          <w:p w14:paraId="2F0BC4F6">
            <w:pPr>
              <w:pStyle w:val="45"/>
              <w:rPr>
                <w:rFonts w:hint="eastAsia"/>
                <w:color w:val="auto"/>
                <w:highlight w:val="none"/>
              </w:rPr>
            </w:pPr>
            <w:r>
              <w:rPr>
                <w:rFonts w:hint="eastAsia"/>
                <w:color w:val="auto"/>
                <w:highlight w:val="none"/>
              </w:rPr>
              <w:t>较差/差：0分，指工作效率低下，态度懈怠散漫，不能按时完成工作任务的。</w:t>
            </w:r>
          </w:p>
        </w:tc>
        <w:tc>
          <w:tcPr>
            <w:tcW w:w="2410" w:type="dxa"/>
            <w:tcBorders>
              <w:left w:val="single" w:color="auto" w:sz="4" w:space="0"/>
            </w:tcBorders>
            <w:vAlign w:val="center"/>
          </w:tcPr>
          <w:p w14:paraId="5EF7323D">
            <w:pPr>
              <w:pStyle w:val="45"/>
              <w:rPr>
                <w:rFonts w:hint="eastAsia"/>
                <w:color w:val="auto"/>
                <w:highlight w:val="none"/>
              </w:rPr>
            </w:pPr>
            <w:r>
              <w:rPr>
                <w:rFonts w:hint="eastAsia"/>
                <w:color w:val="auto"/>
                <w:highlight w:val="none"/>
              </w:rPr>
              <w:t>评价为较差/差时，甲方有权要求乙方更换人员并赔偿实际损失。</w:t>
            </w:r>
          </w:p>
        </w:tc>
        <w:tc>
          <w:tcPr>
            <w:tcW w:w="1134" w:type="dxa"/>
            <w:tcBorders>
              <w:left w:val="single" w:color="auto" w:sz="4" w:space="0"/>
            </w:tcBorders>
            <w:vAlign w:val="center"/>
          </w:tcPr>
          <w:p w14:paraId="2D2ECF77">
            <w:pPr>
              <w:jc w:val="left"/>
              <w:rPr>
                <w:rFonts w:ascii="宋体" w:eastAsia="宋体"/>
                <w:color w:val="auto"/>
                <w:szCs w:val="21"/>
                <w:highlight w:val="none"/>
              </w:rPr>
            </w:pPr>
          </w:p>
        </w:tc>
        <w:tc>
          <w:tcPr>
            <w:tcW w:w="1086" w:type="dxa"/>
            <w:tcBorders>
              <w:left w:val="single" w:color="auto" w:sz="4" w:space="0"/>
            </w:tcBorders>
            <w:vAlign w:val="center"/>
          </w:tcPr>
          <w:p w14:paraId="1A1A6E2D">
            <w:pPr>
              <w:jc w:val="left"/>
              <w:rPr>
                <w:rFonts w:ascii="宋体" w:eastAsia="宋体"/>
                <w:color w:val="auto"/>
                <w:szCs w:val="21"/>
                <w:highlight w:val="none"/>
              </w:rPr>
            </w:pPr>
          </w:p>
        </w:tc>
      </w:tr>
      <w:tr w14:paraId="2E10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58F84CFF">
            <w:pPr>
              <w:jc w:val="right"/>
              <w:rPr>
                <w:rFonts w:ascii="宋体" w:eastAsia="宋体"/>
                <w:color w:val="auto"/>
                <w:szCs w:val="21"/>
                <w:highlight w:val="none"/>
              </w:rPr>
            </w:pPr>
            <w:r>
              <w:rPr>
                <w:rFonts w:hint="eastAsia" w:ascii="宋体" w:eastAsia="宋体"/>
                <w:color w:val="auto"/>
                <w:szCs w:val="21"/>
                <w:highlight w:val="none"/>
              </w:rPr>
              <w:t>综合得分：</w:t>
            </w:r>
          </w:p>
        </w:tc>
        <w:tc>
          <w:tcPr>
            <w:tcW w:w="1086" w:type="dxa"/>
            <w:tcBorders>
              <w:left w:val="single" w:color="auto" w:sz="4" w:space="0"/>
            </w:tcBorders>
          </w:tcPr>
          <w:p w14:paraId="7988C9BD">
            <w:pPr>
              <w:jc w:val="left"/>
              <w:rPr>
                <w:rFonts w:ascii="宋体" w:eastAsia="宋体"/>
                <w:color w:val="auto"/>
                <w:szCs w:val="21"/>
                <w:highlight w:val="none"/>
              </w:rPr>
            </w:pPr>
          </w:p>
        </w:tc>
      </w:tr>
      <w:tr w14:paraId="5CFA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13B7F42B">
            <w:pPr>
              <w:pStyle w:val="45"/>
              <w:rPr>
                <w:rFonts w:hint="eastAsia"/>
                <w:color w:val="auto"/>
                <w:highlight w:val="none"/>
              </w:rPr>
            </w:pPr>
            <w:r>
              <w:rPr>
                <w:rFonts w:hint="eastAsia"/>
                <w:color w:val="auto"/>
                <w:highlight w:val="none"/>
              </w:rPr>
              <w:t>综合评价结果：</w:t>
            </w:r>
          </w:p>
          <w:p w14:paraId="64E55874">
            <w:pPr>
              <w:pStyle w:val="45"/>
              <w:rPr>
                <w:rFonts w:hint="eastAsia"/>
                <w:color w:val="auto"/>
                <w:highlight w:val="none"/>
              </w:rPr>
            </w:pPr>
            <w:r>
              <w:rPr>
                <w:rFonts w:hint="eastAsia"/>
                <w:color w:val="auto"/>
                <w:highlight w:val="none"/>
              </w:rPr>
              <w:t>（注：根据评价得分填写评价等级，填写完成后删除此内容）</w:t>
            </w:r>
          </w:p>
          <w:p w14:paraId="5F99E3A1">
            <w:pPr>
              <w:pStyle w:val="45"/>
              <w:rPr>
                <w:rFonts w:hint="eastAsia"/>
                <w:color w:val="auto"/>
                <w:highlight w:val="none"/>
              </w:rPr>
            </w:pPr>
            <w:r>
              <w:rPr>
                <w:rFonts w:hint="eastAsia"/>
                <w:color w:val="auto"/>
                <w:highlight w:val="none"/>
              </w:rPr>
              <w:t>综合评价描述：</w:t>
            </w:r>
          </w:p>
          <w:p w14:paraId="6D69106E">
            <w:pPr>
              <w:pStyle w:val="45"/>
              <w:rPr>
                <w:rFonts w:ascii="宋体" w:eastAsia="宋体"/>
                <w:color w:val="auto"/>
                <w:szCs w:val="21"/>
                <w:highlight w:val="none"/>
              </w:rPr>
            </w:pPr>
            <w:r>
              <w:rPr>
                <w:rFonts w:hint="eastAsia"/>
                <w:color w:val="auto"/>
                <w:highlight w:val="none"/>
              </w:rPr>
              <w:t>（注：不满足服务要求的情况，需详细阐述不满足的内容及扣除合同违约金，填写完成后删除此内容）</w:t>
            </w:r>
          </w:p>
          <w:p w14:paraId="3E1CBF51">
            <w:pPr>
              <w:wordWrap w:val="0"/>
              <w:autoSpaceDE w:val="0"/>
              <w:autoSpaceDN w:val="0"/>
              <w:jc w:val="right"/>
              <w:rPr>
                <w:rFonts w:ascii="宋体" w:eastAsia="宋体"/>
                <w:color w:val="auto"/>
                <w:szCs w:val="21"/>
                <w:highlight w:val="none"/>
              </w:rPr>
            </w:pPr>
            <w:r>
              <w:rPr>
                <w:rFonts w:hint="eastAsia" w:ascii="宋体" w:eastAsia="宋体"/>
                <w:color w:val="auto"/>
                <w:szCs w:val="21"/>
                <w:highlight w:val="none"/>
              </w:rPr>
              <w:t xml:space="preserve">评价人：                                       </w:t>
            </w:r>
          </w:p>
        </w:tc>
      </w:tr>
    </w:tbl>
    <w:p w14:paraId="20C9DD80">
      <w:pPr>
        <w:spacing w:line="360" w:lineRule="auto"/>
        <w:rPr>
          <w:rFonts w:hint="eastAsia" w:ascii="宋体" w:eastAsia="宋体"/>
          <w:color w:val="auto"/>
          <w:spacing w:val="0"/>
          <w:highlight w:val="none"/>
        </w:rPr>
      </w:pPr>
    </w:p>
    <w:p w14:paraId="3CC2669F">
      <w:pPr>
        <w:spacing w:line="360" w:lineRule="auto"/>
        <w:rPr>
          <w:rFonts w:ascii="宋体" w:eastAsia="宋体"/>
          <w:color w:val="auto"/>
          <w:spacing w:val="0"/>
          <w:highlight w:val="none"/>
        </w:rPr>
      </w:pPr>
      <w:r>
        <w:rPr>
          <w:rFonts w:hint="eastAsia" w:ascii="宋体" w:eastAsia="宋体"/>
          <w:color w:val="auto"/>
          <w:spacing w:val="0"/>
          <w:highlight w:val="none"/>
        </w:rPr>
        <w:t>注：综合评价等级划分优秀、良好、合格、差</w:t>
      </w:r>
    </w:p>
    <w:p w14:paraId="21A88579">
      <w:pPr>
        <w:spacing w:line="360" w:lineRule="auto"/>
        <w:rPr>
          <w:rFonts w:ascii="宋体" w:eastAsia="宋体"/>
          <w:color w:val="auto"/>
          <w:spacing w:val="0"/>
          <w:highlight w:val="none"/>
        </w:rPr>
      </w:pPr>
      <w:r>
        <w:rPr>
          <w:rFonts w:hint="eastAsia" w:ascii="宋体" w:eastAsia="宋体"/>
          <w:color w:val="auto"/>
          <w:spacing w:val="0"/>
          <w:highlight w:val="none"/>
        </w:rPr>
        <w:t>优秀：评价得分达90分以上；</w:t>
      </w:r>
    </w:p>
    <w:p w14:paraId="499BEFD6">
      <w:pPr>
        <w:spacing w:line="360" w:lineRule="auto"/>
        <w:rPr>
          <w:rFonts w:ascii="宋体" w:eastAsia="宋体"/>
          <w:color w:val="auto"/>
          <w:spacing w:val="0"/>
          <w:highlight w:val="none"/>
        </w:rPr>
      </w:pPr>
      <w:r>
        <w:rPr>
          <w:rFonts w:hint="eastAsia" w:ascii="宋体" w:eastAsia="宋体"/>
          <w:color w:val="auto"/>
          <w:spacing w:val="0"/>
          <w:highlight w:val="none"/>
        </w:rPr>
        <w:t>良好：评价得分达75-90分；</w:t>
      </w:r>
    </w:p>
    <w:p w14:paraId="293C733F">
      <w:pPr>
        <w:spacing w:line="360" w:lineRule="auto"/>
        <w:rPr>
          <w:rFonts w:ascii="宋体" w:eastAsia="宋体"/>
          <w:color w:val="auto"/>
          <w:spacing w:val="0"/>
          <w:highlight w:val="none"/>
        </w:rPr>
      </w:pPr>
      <w:r>
        <w:rPr>
          <w:rFonts w:hint="eastAsia" w:ascii="宋体" w:eastAsia="宋体"/>
          <w:color w:val="auto"/>
          <w:spacing w:val="0"/>
          <w:highlight w:val="none"/>
        </w:rPr>
        <w:t>合格：评价得分达60-75分；</w:t>
      </w:r>
    </w:p>
    <w:p w14:paraId="61C3D3AC">
      <w:pPr>
        <w:spacing w:line="360" w:lineRule="auto"/>
        <w:rPr>
          <w:rFonts w:ascii="宋体" w:eastAsia="宋体"/>
          <w:color w:val="auto"/>
          <w:spacing w:val="0"/>
          <w:highlight w:val="none"/>
        </w:rPr>
      </w:pPr>
      <w:r>
        <w:rPr>
          <w:rFonts w:hint="eastAsia" w:ascii="宋体" w:eastAsia="宋体"/>
          <w:color w:val="auto"/>
          <w:spacing w:val="0"/>
          <w:highlight w:val="none"/>
        </w:rPr>
        <w:t>差：评价得分在60分以下。</w:t>
      </w:r>
    </w:p>
    <w:p w14:paraId="1B7641C7">
      <w:pPr>
        <w:spacing w:line="360" w:lineRule="auto"/>
        <w:rPr>
          <w:rFonts w:ascii="宋体" w:eastAsia="宋体"/>
          <w:color w:val="auto"/>
          <w:spacing w:val="0"/>
          <w:highlight w:val="none"/>
        </w:rPr>
      </w:pPr>
      <w:r>
        <w:rPr>
          <w:rFonts w:hint="eastAsia" w:ascii="宋体" w:eastAsia="宋体"/>
          <w:color w:val="auto"/>
          <w:spacing w:val="0"/>
          <w:highlight w:val="none"/>
        </w:rPr>
        <w:t>评价结果将作为服务提供商后续准入的重要参考依据。</w:t>
      </w:r>
    </w:p>
    <w:p w14:paraId="3BE0D570">
      <w:pPr>
        <w:spacing w:line="360" w:lineRule="auto"/>
        <w:rPr>
          <w:rFonts w:ascii="宋体" w:eastAsia="宋体"/>
          <w:color w:val="auto"/>
          <w:spacing w:val="0"/>
          <w:szCs w:val="24"/>
          <w:highlight w:val="none"/>
        </w:rPr>
        <w:sectPr>
          <w:pgSz w:w="16838" w:h="11906" w:orient="landscape"/>
          <w:pgMar w:top="1800" w:right="1384" w:bottom="1800" w:left="1440" w:header="851" w:footer="992" w:gutter="0"/>
          <w:cols w:space="720" w:num="1"/>
          <w:docGrid w:type="lines" w:linePitch="326" w:charSpace="0"/>
        </w:sectPr>
      </w:pPr>
    </w:p>
    <w:p w14:paraId="68AD174A">
      <w:pPr>
        <w:spacing w:line="360" w:lineRule="auto"/>
        <w:ind w:firstLine="420" w:firstLineChars="200"/>
        <w:rPr>
          <w:rFonts w:ascii="宋体" w:eastAsia="宋体"/>
          <w:color w:val="auto"/>
          <w:spacing w:val="0"/>
          <w:szCs w:val="24"/>
          <w:highlight w:val="none"/>
        </w:rPr>
      </w:pPr>
      <w:r>
        <w:rPr>
          <w:rFonts w:hint="eastAsia" w:ascii="宋体" w:eastAsia="宋体"/>
          <w:color w:val="auto"/>
          <w:spacing w:val="0"/>
          <w:szCs w:val="24"/>
          <w:highlight w:val="none"/>
        </w:rPr>
        <w:t>【测试</w:t>
      </w:r>
      <w:r>
        <w:rPr>
          <w:rFonts w:ascii="宋体" w:eastAsia="宋体"/>
          <w:color w:val="auto"/>
          <w:spacing w:val="0"/>
          <w:szCs w:val="24"/>
          <w:highlight w:val="none"/>
        </w:rPr>
        <w:t>】</w:t>
      </w:r>
      <w:r>
        <w:rPr>
          <w:rFonts w:hint="eastAsia" w:ascii="宋体" w:eastAsia="宋体"/>
          <w:color w:val="auto"/>
          <w:spacing w:val="0"/>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7A177D2">
      <w:pPr>
        <w:spacing w:line="360" w:lineRule="auto"/>
        <w:rPr>
          <w:rFonts w:ascii="宋体" w:eastAsia="宋体"/>
          <w:color w:val="auto"/>
          <w:spacing w:val="0"/>
          <w:szCs w:val="24"/>
          <w:highlight w:val="none"/>
        </w:rPr>
        <w:sectPr>
          <w:pgSz w:w="11906" w:h="16838"/>
          <w:pgMar w:top="1384" w:right="1800" w:bottom="1440" w:left="1800" w:header="851" w:footer="992" w:gutter="0"/>
          <w:cols w:space="720" w:num="1"/>
          <w:docGrid w:type="lines" w:linePitch="326" w:charSpace="0"/>
        </w:sectPr>
      </w:pPr>
    </w:p>
    <w:tbl>
      <w:tblPr>
        <w:tblStyle w:val="21"/>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14:paraId="6D72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D1801F">
            <w:pPr>
              <w:pStyle w:val="45"/>
              <w:rPr>
                <w:rFonts w:hint="eastAsia"/>
                <w:color w:val="auto"/>
                <w:highlight w:val="none"/>
              </w:rPr>
            </w:pPr>
            <w:r>
              <w:rPr>
                <w:rFonts w:hint="eastAsia"/>
                <w:color w:val="auto"/>
                <w:highlight w:val="none"/>
              </w:rPr>
              <w:t>序号</w:t>
            </w:r>
          </w:p>
        </w:tc>
        <w:tc>
          <w:tcPr>
            <w:tcW w:w="1134" w:type="dxa"/>
            <w:vAlign w:val="center"/>
          </w:tcPr>
          <w:p w14:paraId="42252965">
            <w:pPr>
              <w:pStyle w:val="45"/>
              <w:rPr>
                <w:rFonts w:hint="eastAsia"/>
                <w:color w:val="auto"/>
                <w:highlight w:val="none"/>
              </w:rPr>
            </w:pPr>
            <w:r>
              <w:rPr>
                <w:rFonts w:hint="eastAsia"/>
                <w:color w:val="auto"/>
                <w:highlight w:val="none"/>
              </w:rPr>
              <w:t>评价维度</w:t>
            </w:r>
          </w:p>
        </w:tc>
        <w:tc>
          <w:tcPr>
            <w:tcW w:w="1559" w:type="dxa"/>
            <w:vAlign w:val="center"/>
          </w:tcPr>
          <w:p w14:paraId="6A6D3848">
            <w:pPr>
              <w:pStyle w:val="45"/>
              <w:rPr>
                <w:rFonts w:hint="eastAsia"/>
                <w:color w:val="auto"/>
                <w:highlight w:val="none"/>
              </w:rPr>
            </w:pPr>
            <w:r>
              <w:rPr>
                <w:rFonts w:hint="eastAsia"/>
                <w:color w:val="auto"/>
                <w:highlight w:val="none"/>
              </w:rPr>
              <w:t>评价指标</w:t>
            </w:r>
          </w:p>
        </w:tc>
        <w:tc>
          <w:tcPr>
            <w:tcW w:w="2268" w:type="dxa"/>
            <w:vAlign w:val="center"/>
          </w:tcPr>
          <w:p w14:paraId="08613CFF">
            <w:pPr>
              <w:pStyle w:val="45"/>
              <w:rPr>
                <w:rFonts w:hint="eastAsia"/>
                <w:color w:val="auto"/>
                <w:highlight w:val="none"/>
              </w:rPr>
            </w:pPr>
            <w:r>
              <w:rPr>
                <w:rFonts w:hint="eastAsia"/>
                <w:color w:val="auto"/>
                <w:highlight w:val="none"/>
              </w:rPr>
              <w:t>指标定义</w:t>
            </w:r>
          </w:p>
        </w:tc>
        <w:tc>
          <w:tcPr>
            <w:tcW w:w="3686" w:type="dxa"/>
            <w:vAlign w:val="center"/>
          </w:tcPr>
          <w:p w14:paraId="33D8F2F0">
            <w:pPr>
              <w:pStyle w:val="45"/>
              <w:rPr>
                <w:rFonts w:hint="eastAsia"/>
                <w:color w:val="auto"/>
                <w:highlight w:val="none"/>
              </w:rPr>
            </w:pPr>
            <w:r>
              <w:rPr>
                <w:rFonts w:hint="eastAsia"/>
                <w:color w:val="auto"/>
                <w:highlight w:val="none"/>
              </w:rPr>
              <w:t>评分/价标准</w:t>
            </w:r>
          </w:p>
        </w:tc>
        <w:tc>
          <w:tcPr>
            <w:tcW w:w="2410" w:type="dxa"/>
            <w:vAlign w:val="center"/>
          </w:tcPr>
          <w:p w14:paraId="69429CC7">
            <w:pPr>
              <w:pStyle w:val="45"/>
              <w:rPr>
                <w:rFonts w:hint="eastAsia"/>
                <w:color w:val="auto"/>
                <w:highlight w:val="none"/>
              </w:rPr>
            </w:pPr>
            <w:r>
              <w:rPr>
                <w:rFonts w:hint="eastAsia"/>
                <w:color w:val="auto"/>
                <w:highlight w:val="none"/>
              </w:rPr>
              <w:t>违约金标准</w:t>
            </w:r>
          </w:p>
        </w:tc>
        <w:tc>
          <w:tcPr>
            <w:tcW w:w="1134" w:type="dxa"/>
            <w:vAlign w:val="center"/>
          </w:tcPr>
          <w:p w14:paraId="5C36F418">
            <w:pPr>
              <w:pStyle w:val="45"/>
              <w:rPr>
                <w:rFonts w:hint="eastAsia"/>
                <w:color w:val="auto"/>
                <w:highlight w:val="none"/>
              </w:rPr>
            </w:pPr>
            <w:r>
              <w:rPr>
                <w:rFonts w:hint="eastAsia"/>
                <w:color w:val="auto"/>
                <w:highlight w:val="none"/>
              </w:rPr>
              <w:t>评价结果</w:t>
            </w:r>
          </w:p>
        </w:tc>
        <w:tc>
          <w:tcPr>
            <w:tcW w:w="1086" w:type="dxa"/>
            <w:vAlign w:val="center"/>
          </w:tcPr>
          <w:p w14:paraId="720CA3CA">
            <w:pPr>
              <w:pStyle w:val="45"/>
              <w:rPr>
                <w:rFonts w:hint="eastAsia"/>
                <w:color w:val="auto"/>
                <w:highlight w:val="none"/>
              </w:rPr>
            </w:pPr>
            <w:r>
              <w:rPr>
                <w:rFonts w:hint="eastAsia"/>
                <w:color w:val="auto"/>
                <w:highlight w:val="none"/>
              </w:rPr>
              <w:t>评价得分</w:t>
            </w:r>
          </w:p>
        </w:tc>
      </w:tr>
      <w:tr w14:paraId="21D9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3588430">
            <w:pPr>
              <w:pStyle w:val="45"/>
              <w:rPr>
                <w:rFonts w:hint="eastAsia"/>
                <w:color w:val="auto"/>
                <w:highlight w:val="none"/>
              </w:rPr>
            </w:pPr>
            <w:r>
              <w:rPr>
                <w:rFonts w:hint="eastAsia"/>
                <w:color w:val="auto"/>
                <w:highlight w:val="none"/>
              </w:rPr>
              <w:t>1</w:t>
            </w:r>
          </w:p>
        </w:tc>
        <w:tc>
          <w:tcPr>
            <w:tcW w:w="1134" w:type="dxa"/>
            <w:vMerge w:val="restart"/>
            <w:tcBorders>
              <w:left w:val="single" w:color="auto" w:sz="4" w:space="0"/>
            </w:tcBorders>
            <w:vAlign w:val="center"/>
          </w:tcPr>
          <w:p w14:paraId="3EC753DA">
            <w:pPr>
              <w:pStyle w:val="45"/>
              <w:rPr>
                <w:rFonts w:hint="eastAsia"/>
                <w:color w:val="auto"/>
                <w:highlight w:val="none"/>
              </w:rPr>
            </w:pPr>
            <w:r>
              <w:rPr>
                <w:rFonts w:hint="eastAsia"/>
                <w:color w:val="auto"/>
                <w:highlight w:val="none"/>
              </w:rPr>
              <w:t>服务质量</w:t>
            </w:r>
          </w:p>
        </w:tc>
        <w:tc>
          <w:tcPr>
            <w:tcW w:w="1559" w:type="dxa"/>
            <w:tcBorders>
              <w:left w:val="single" w:color="auto" w:sz="4" w:space="0"/>
            </w:tcBorders>
            <w:vAlign w:val="center"/>
          </w:tcPr>
          <w:p w14:paraId="2FA77582">
            <w:pPr>
              <w:pStyle w:val="45"/>
              <w:rPr>
                <w:rFonts w:hint="eastAsia"/>
                <w:color w:val="auto"/>
                <w:highlight w:val="none"/>
              </w:rPr>
            </w:pPr>
            <w:r>
              <w:rPr>
                <w:rFonts w:hint="eastAsia"/>
                <w:color w:val="auto"/>
                <w:highlight w:val="none"/>
              </w:rPr>
              <w:t>交付成果质量</w:t>
            </w:r>
          </w:p>
        </w:tc>
        <w:tc>
          <w:tcPr>
            <w:tcW w:w="2268" w:type="dxa"/>
            <w:tcBorders>
              <w:left w:val="single" w:color="auto" w:sz="4" w:space="0"/>
            </w:tcBorders>
            <w:vAlign w:val="center"/>
          </w:tcPr>
          <w:p w14:paraId="0FDFA227">
            <w:pPr>
              <w:pStyle w:val="45"/>
              <w:rPr>
                <w:rFonts w:hint="eastAsia"/>
                <w:color w:val="auto"/>
                <w:highlight w:val="none"/>
              </w:rPr>
            </w:pPr>
            <w:r>
              <w:rPr>
                <w:rFonts w:hint="eastAsia"/>
                <w:color w:val="auto"/>
                <w:highlight w:val="none"/>
              </w:rPr>
              <w:t>用于记录乙方所提交的项目交付成果与甲方要求的项目交付成果的契合度或交付成果质量与合同所约定要求的项目交付成果质量的满足程度</w:t>
            </w:r>
          </w:p>
        </w:tc>
        <w:tc>
          <w:tcPr>
            <w:tcW w:w="3686" w:type="dxa"/>
            <w:tcBorders>
              <w:left w:val="single" w:color="auto" w:sz="4" w:space="0"/>
            </w:tcBorders>
            <w:vAlign w:val="center"/>
          </w:tcPr>
          <w:p w14:paraId="0BDB165E">
            <w:pPr>
              <w:pStyle w:val="45"/>
              <w:rPr>
                <w:rFonts w:hint="eastAsia"/>
                <w:color w:val="auto"/>
                <w:highlight w:val="none"/>
              </w:rPr>
            </w:pPr>
            <w:r>
              <w:rPr>
                <w:rFonts w:hint="eastAsia"/>
                <w:color w:val="auto"/>
                <w:highlight w:val="none"/>
              </w:rPr>
              <w:t>优秀：5分，指乙方能够主动快速与甲方进行有效的沟通，交付成果高度契合需求，完全满足并超出合同约定的预期目标，给甲方带来显著的附加价值；</w:t>
            </w:r>
          </w:p>
          <w:p w14:paraId="761742BB">
            <w:pPr>
              <w:pStyle w:val="45"/>
              <w:rPr>
                <w:rFonts w:hint="eastAsia"/>
                <w:color w:val="auto"/>
                <w:highlight w:val="none"/>
              </w:rPr>
            </w:pPr>
            <w:r>
              <w:rPr>
                <w:rFonts w:hint="eastAsia"/>
                <w:color w:val="auto"/>
                <w:highlight w:val="none"/>
              </w:rPr>
              <w:t>良好：4分，指乙方能够快速响应需求，交付成果达到合同约定的预期目标，基本契合需求，满足合同约定的预期目标；</w:t>
            </w:r>
          </w:p>
          <w:p w14:paraId="029CC99A">
            <w:pPr>
              <w:pStyle w:val="45"/>
              <w:rPr>
                <w:rFonts w:hint="eastAsia"/>
                <w:color w:val="auto"/>
                <w:highlight w:val="none"/>
              </w:rPr>
            </w:pPr>
            <w:r>
              <w:rPr>
                <w:rFonts w:hint="eastAsia"/>
                <w:color w:val="auto"/>
                <w:highlight w:val="none"/>
              </w:rPr>
              <w:t>合格：3分，指乙方能够按要求响应需求，交付成果基本满足需求，但是总体可满足合同约定的预期目标；</w:t>
            </w:r>
          </w:p>
          <w:p w14:paraId="79CC251E">
            <w:pPr>
              <w:pStyle w:val="45"/>
              <w:rPr>
                <w:rFonts w:hint="eastAsia"/>
                <w:color w:val="auto"/>
                <w:highlight w:val="none"/>
              </w:rPr>
            </w:pPr>
            <w:r>
              <w:rPr>
                <w:rFonts w:hint="eastAsia"/>
                <w:color w:val="auto"/>
                <w:highlight w:val="none"/>
              </w:rPr>
              <w:t>较差/差：0分，指乙方未能够按要求响应需求，或交付成果与需求契合度差距较大，无法达到合同约定的预期目标。</w:t>
            </w:r>
          </w:p>
        </w:tc>
        <w:tc>
          <w:tcPr>
            <w:tcW w:w="2410" w:type="dxa"/>
            <w:tcBorders>
              <w:left w:val="single" w:color="auto" w:sz="4" w:space="0"/>
            </w:tcBorders>
            <w:vAlign w:val="center"/>
          </w:tcPr>
          <w:p w14:paraId="43D4785B">
            <w:pPr>
              <w:pStyle w:val="45"/>
              <w:rPr>
                <w:rFonts w:hint="eastAsia"/>
                <w:color w:val="auto"/>
                <w:highlight w:val="none"/>
              </w:rPr>
            </w:pPr>
            <w:r>
              <w:rPr>
                <w:rFonts w:hint="eastAsia"/>
                <w:color w:val="auto"/>
                <w:highlight w:val="none"/>
              </w:rPr>
              <w:t>交付成果每缺少一项扣除乙方金额人民币2000元；每有一项交付成果质量不合格扣除乙方金额人民币2000元。</w:t>
            </w:r>
          </w:p>
        </w:tc>
        <w:tc>
          <w:tcPr>
            <w:tcW w:w="1134" w:type="dxa"/>
            <w:tcBorders>
              <w:left w:val="single" w:color="auto" w:sz="4" w:space="0"/>
            </w:tcBorders>
            <w:vAlign w:val="center"/>
          </w:tcPr>
          <w:p w14:paraId="75D31DE9">
            <w:pPr>
              <w:pStyle w:val="45"/>
              <w:rPr>
                <w:rFonts w:hint="eastAsia"/>
                <w:color w:val="auto"/>
                <w:highlight w:val="none"/>
              </w:rPr>
            </w:pPr>
          </w:p>
        </w:tc>
        <w:tc>
          <w:tcPr>
            <w:tcW w:w="1086" w:type="dxa"/>
            <w:tcBorders>
              <w:left w:val="single" w:color="auto" w:sz="4" w:space="0"/>
            </w:tcBorders>
            <w:vAlign w:val="center"/>
          </w:tcPr>
          <w:p w14:paraId="1AF6C0A6">
            <w:pPr>
              <w:pStyle w:val="45"/>
              <w:rPr>
                <w:rFonts w:hint="eastAsia"/>
                <w:color w:val="auto"/>
                <w:highlight w:val="none"/>
              </w:rPr>
            </w:pPr>
          </w:p>
        </w:tc>
      </w:tr>
      <w:tr w14:paraId="3EA4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012DFD8">
            <w:pPr>
              <w:pStyle w:val="45"/>
              <w:rPr>
                <w:rFonts w:hint="eastAsia"/>
                <w:color w:val="auto"/>
                <w:highlight w:val="none"/>
              </w:rPr>
            </w:pPr>
            <w:r>
              <w:rPr>
                <w:rFonts w:hint="eastAsia"/>
                <w:color w:val="auto"/>
                <w:highlight w:val="none"/>
              </w:rPr>
              <w:t>2</w:t>
            </w:r>
          </w:p>
        </w:tc>
        <w:tc>
          <w:tcPr>
            <w:tcW w:w="1134" w:type="dxa"/>
            <w:vMerge w:val="continue"/>
            <w:tcBorders>
              <w:left w:val="single" w:color="auto" w:sz="4" w:space="0"/>
            </w:tcBorders>
          </w:tcPr>
          <w:p w14:paraId="36E2C72E"/>
        </w:tc>
        <w:tc>
          <w:tcPr>
            <w:tcW w:w="1559" w:type="dxa"/>
            <w:tcBorders>
              <w:left w:val="single" w:color="auto" w:sz="4" w:space="0"/>
            </w:tcBorders>
            <w:vAlign w:val="center"/>
          </w:tcPr>
          <w:p w14:paraId="2E505300">
            <w:pPr>
              <w:pStyle w:val="45"/>
              <w:rPr>
                <w:rFonts w:hint="eastAsia"/>
                <w:color w:val="auto"/>
                <w:highlight w:val="none"/>
              </w:rPr>
            </w:pPr>
            <w:r>
              <w:rPr>
                <w:rFonts w:hint="eastAsia"/>
                <w:color w:val="auto"/>
                <w:highlight w:val="none"/>
              </w:rPr>
              <w:t>成果交付延期情况</w:t>
            </w:r>
          </w:p>
        </w:tc>
        <w:tc>
          <w:tcPr>
            <w:tcW w:w="2268" w:type="dxa"/>
            <w:tcBorders>
              <w:left w:val="single" w:color="auto" w:sz="4" w:space="0"/>
            </w:tcBorders>
            <w:vAlign w:val="center"/>
          </w:tcPr>
          <w:p w14:paraId="33C92729">
            <w:pPr>
              <w:pStyle w:val="45"/>
              <w:rPr>
                <w:rFonts w:hint="eastAsia"/>
                <w:color w:val="auto"/>
                <w:highlight w:val="none"/>
              </w:rPr>
            </w:pPr>
            <w:r>
              <w:rPr>
                <w:rFonts w:hint="eastAsia"/>
                <w:color w:val="auto"/>
                <w:highlight w:val="none"/>
              </w:rPr>
              <w:t>用于记录因乙方原因导致项目交付成果时间与合同规定时间之间的差距</w:t>
            </w:r>
          </w:p>
        </w:tc>
        <w:tc>
          <w:tcPr>
            <w:tcW w:w="3686" w:type="dxa"/>
            <w:tcBorders>
              <w:left w:val="single" w:color="auto" w:sz="4" w:space="0"/>
            </w:tcBorders>
            <w:vAlign w:val="center"/>
          </w:tcPr>
          <w:p w14:paraId="0F34F2E0">
            <w:pPr>
              <w:pStyle w:val="45"/>
              <w:rPr>
                <w:rFonts w:hint="eastAsia"/>
                <w:color w:val="auto"/>
                <w:highlight w:val="none"/>
              </w:rPr>
            </w:pPr>
            <w:r>
              <w:rPr>
                <w:rFonts w:hint="eastAsia"/>
                <w:color w:val="auto"/>
                <w:highlight w:val="none"/>
              </w:rPr>
              <w:t>实际交付成果日期与合同约定交付日期之差</w:t>
            </w:r>
          </w:p>
          <w:p w14:paraId="55E72F7A">
            <w:pPr>
              <w:pStyle w:val="45"/>
              <w:rPr>
                <w:rFonts w:hint="eastAsia"/>
                <w:color w:val="auto"/>
                <w:highlight w:val="none"/>
              </w:rPr>
            </w:pPr>
            <w:r>
              <w:rPr>
                <w:rFonts w:hint="eastAsia"/>
                <w:color w:val="auto"/>
                <w:highlight w:val="none"/>
              </w:rPr>
              <w:t>【得分上限5分】</w:t>
            </w:r>
          </w:p>
          <w:p w14:paraId="7C8EE51A">
            <w:pPr>
              <w:pStyle w:val="45"/>
              <w:rPr>
                <w:rFonts w:hint="eastAsia"/>
                <w:color w:val="auto"/>
                <w:highlight w:val="none"/>
              </w:rPr>
            </w:pPr>
            <w:r>
              <w:rPr>
                <w:rFonts w:hint="eastAsia"/>
                <w:color w:val="auto"/>
                <w:highlight w:val="none"/>
              </w:rPr>
              <w:t>无延期：指未出现延期，该项指标满分；</w:t>
            </w:r>
          </w:p>
          <w:p w14:paraId="47F4AA26">
            <w:pPr>
              <w:pStyle w:val="45"/>
              <w:rPr>
                <w:rFonts w:hint="eastAsia"/>
                <w:color w:val="auto"/>
                <w:highlight w:val="none"/>
              </w:rPr>
            </w:pPr>
            <w:r>
              <w:rPr>
                <w:rFonts w:hint="eastAsia"/>
                <w:color w:val="auto"/>
                <w:highlight w:val="none"/>
              </w:rPr>
              <w:t>0＜延期≤3个月：扣2分，指出现延期3个月（含）以内；</w:t>
            </w:r>
          </w:p>
          <w:p w14:paraId="064B7E95">
            <w:pPr>
              <w:pStyle w:val="45"/>
              <w:rPr>
                <w:rFonts w:hint="eastAsia"/>
                <w:color w:val="auto"/>
                <w:highlight w:val="none"/>
              </w:rPr>
            </w:pPr>
            <w:r>
              <w:rPr>
                <w:rFonts w:hint="eastAsia"/>
                <w:color w:val="auto"/>
                <w:highlight w:val="none"/>
              </w:rPr>
              <w:t>3＜延期≤6个月：扣3分，指出现延期大于3个月且小于等于6个月；</w:t>
            </w:r>
          </w:p>
          <w:p w14:paraId="4ABF24DD">
            <w:pPr>
              <w:pStyle w:val="45"/>
              <w:rPr>
                <w:rFonts w:hint="eastAsia"/>
                <w:color w:val="auto"/>
                <w:highlight w:val="none"/>
              </w:rPr>
            </w:pPr>
            <w:r>
              <w:rPr>
                <w:rFonts w:hint="eastAsia"/>
                <w:color w:val="auto"/>
                <w:highlight w:val="none"/>
              </w:rPr>
              <w:t>延期6个月以上：扣5分，指出现延期6个月以上。</w:t>
            </w:r>
          </w:p>
        </w:tc>
        <w:tc>
          <w:tcPr>
            <w:tcW w:w="2410" w:type="dxa"/>
            <w:tcBorders>
              <w:left w:val="single" w:color="auto" w:sz="4" w:space="0"/>
            </w:tcBorders>
            <w:vAlign w:val="center"/>
          </w:tcPr>
          <w:p w14:paraId="2E7BBE84">
            <w:pPr>
              <w:pStyle w:val="45"/>
              <w:rPr>
                <w:rFonts w:hint="eastAsia"/>
                <w:color w:val="auto"/>
                <w:highlight w:val="none"/>
              </w:rPr>
            </w:pPr>
            <w:r>
              <w:rPr>
                <w:rFonts w:hint="eastAsia"/>
                <w:color w:val="auto"/>
                <w:highlight w:val="none"/>
              </w:rPr>
              <w:t>若延期超过合同约定最后期限时间，每延期增加一天扣除合同总金额的0.1%（注：最多扣除不超过合同总金额的10%）</w:t>
            </w:r>
          </w:p>
        </w:tc>
        <w:tc>
          <w:tcPr>
            <w:tcW w:w="1134" w:type="dxa"/>
            <w:tcBorders>
              <w:left w:val="single" w:color="auto" w:sz="4" w:space="0"/>
            </w:tcBorders>
            <w:vAlign w:val="center"/>
          </w:tcPr>
          <w:p w14:paraId="2D733E3C">
            <w:pPr>
              <w:pStyle w:val="45"/>
              <w:rPr>
                <w:rFonts w:hint="eastAsia"/>
                <w:color w:val="auto"/>
                <w:highlight w:val="none"/>
              </w:rPr>
            </w:pPr>
          </w:p>
        </w:tc>
        <w:tc>
          <w:tcPr>
            <w:tcW w:w="1086" w:type="dxa"/>
            <w:tcBorders>
              <w:left w:val="single" w:color="auto" w:sz="4" w:space="0"/>
            </w:tcBorders>
            <w:vAlign w:val="center"/>
          </w:tcPr>
          <w:p w14:paraId="1D8C23EB">
            <w:pPr>
              <w:pStyle w:val="45"/>
              <w:rPr>
                <w:rFonts w:hint="eastAsia"/>
                <w:color w:val="auto"/>
                <w:highlight w:val="none"/>
              </w:rPr>
            </w:pPr>
          </w:p>
        </w:tc>
      </w:tr>
      <w:tr w14:paraId="1373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F92460">
            <w:pPr>
              <w:pStyle w:val="45"/>
              <w:rPr>
                <w:rFonts w:hint="eastAsia"/>
                <w:color w:val="auto"/>
                <w:highlight w:val="none"/>
              </w:rPr>
            </w:pPr>
            <w:r>
              <w:rPr>
                <w:rFonts w:hint="eastAsia"/>
                <w:color w:val="auto"/>
                <w:highlight w:val="none"/>
              </w:rPr>
              <w:t>3</w:t>
            </w:r>
          </w:p>
        </w:tc>
        <w:tc>
          <w:tcPr>
            <w:tcW w:w="1134" w:type="dxa"/>
            <w:vMerge w:val="continue"/>
            <w:tcBorders>
              <w:left w:val="single" w:color="auto" w:sz="4" w:space="0"/>
            </w:tcBorders>
          </w:tcPr>
          <w:p w14:paraId="07F26DB5"/>
        </w:tc>
        <w:tc>
          <w:tcPr>
            <w:tcW w:w="1559" w:type="dxa"/>
            <w:tcBorders>
              <w:left w:val="single" w:color="auto" w:sz="4" w:space="0"/>
            </w:tcBorders>
            <w:shd w:val="clear" w:color="auto" w:fill="auto"/>
            <w:vAlign w:val="center"/>
          </w:tcPr>
          <w:p w14:paraId="19E38D3F">
            <w:pPr>
              <w:pStyle w:val="45"/>
              <w:rPr>
                <w:rFonts w:hint="eastAsia"/>
                <w:color w:val="auto"/>
                <w:highlight w:val="none"/>
              </w:rPr>
            </w:pPr>
            <w:r>
              <w:rPr>
                <w:rFonts w:hint="eastAsia"/>
                <w:color w:val="auto"/>
                <w:highlight w:val="none"/>
              </w:rPr>
              <w:t>缺陷发现数</w:t>
            </w:r>
          </w:p>
        </w:tc>
        <w:tc>
          <w:tcPr>
            <w:tcW w:w="2268" w:type="dxa"/>
            <w:tcBorders>
              <w:left w:val="single" w:color="auto" w:sz="4" w:space="0"/>
            </w:tcBorders>
            <w:shd w:val="clear" w:color="auto" w:fill="auto"/>
            <w:vAlign w:val="center"/>
          </w:tcPr>
          <w:p w14:paraId="4B5732D3">
            <w:pPr>
              <w:pStyle w:val="45"/>
              <w:rPr>
                <w:rFonts w:hint="eastAsia"/>
                <w:color w:val="auto"/>
                <w:highlight w:val="none"/>
              </w:rPr>
            </w:pPr>
            <w:r>
              <w:rPr>
                <w:rFonts w:hint="eastAsia"/>
                <w:color w:val="auto"/>
                <w:highlight w:val="none"/>
              </w:rPr>
              <w:t>用于记录统计周期内参与完成的投产需求中发现的缺陷数量</w:t>
            </w:r>
          </w:p>
          <w:p w14:paraId="4C2111A5">
            <w:pPr>
              <w:pStyle w:val="45"/>
              <w:rPr>
                <w:rFonts w:hint="eastAsia"/>
                <w:color w:val="auto"/>
                <w:highlight w:val="none"/>
              </w:rPr>
            </w:pPr>
          </w:p>
        </w:tc>
        <w:tc>
          <w:tcPr>
            <w:tcW w:w="3686" w:type="dxa"/>
            <w:tcBorders>
              <w:left w:val="single" w:color="auto" w:sz="4" w:space="0"/>
            </w:tcBorders>
            <w:shd w:val="clear" w:color="auto" w:fill="auto"/>
            <w:vAlign w:val="center"/>
          </w:tcPr>
          <w:p w14:paraId="13AA0D19">
            <w:pPr>
              <w:pStyle w:val="45"/>
              <w:rPr>
                <w:rFonts w:hint="eastAsia"/>
                <w:color w:val="auto"/>
                <w:highlight w:val="none"/>
              </w:rPr>
            </w:pPr>
            <w:r>
              <w:rPr>
                <w:rFonts w:hint="eastAsia"/>
                <w:color w:val="auto"/>
                <w:highlight w:val="none"/>
              </w:rPr>
              <w:t>统计周期内参与完成的投产需求中发现的缺陷数量及质量满足甲方要求的程度。</w:t>
            </w:r>
          </w:p>
          <w:p w14:paraId="36643D7D">
            <w:pPr>
              <w:pStyle w:val="45"/>
              <w:rPr>
                <w:rFonts w:hint="eastAsia"/>
                <w:color w:val="auto"/>
                <w:highlight w:val="none"/>
              </w:rPr>
            </w:pPr>
            <w:r>
              <w:rPr>
                <w:rFonts w:hint="eastAsia"/>
                <w:color w:val="auto"/>
                <w:highlight w:val="none"/>
              </w:rPr>
              <w:t>优秀：10分，指乙方参与完成投产需求中的缺陷发现数量和质量完全满足甲方要求并超出合同约定的预期目标，为甲方带来显著的测试价值；</w:t>
            </w:r>
          </w:p>
          <w:p w14:paraId="11DF96FF">
            <w:pPr>
              <w:pStyle w:val="45"/>
              <w:rPr>
                <w:rFonts w:hint="eastAsia"/>
                <w:color w:val="auto"/>
                <w:highlight w:val="none"/>
              </w:rPr>
            </w:pPr>
            <w:r>
              <w:rPr>
                <w:rFonts w:hint="eastAsia"/>
                <w:color w:val="auto"/>
                <w:highlight w:val="none"/>
              </w:rPr>
              <w:t>良好：8分，指乙方参与完成投产需求中的缺陷发现数量和质量达到甲方要求并符合合同约定的预期目标；</w:t>
            </w:r>
          </w:p>
          <w:p w14:paraId="363D1407">
            <w:pPr>
              <w:pStyle w:val="45"/>
              <w:rPr>
                <w:rFonts w:hint="eastAsia"/>
                <w:color w:val="auto"/>
                <w:highlight w:val="none"/>
              </w:rPr>
            </w:pPr>
            <w:r>
              <w:rPr>
                <w:rFonts w:hint="eastAsia"/>
                <w:color w:val="auto"/>
                <w:highlight w:val="none"/>
              </w:rPr>
              <w:t>合格：6分，指乙方参与完成投产需求中的缺陷发现数量和质量基本符合甲方要求及合同约定的预期目标；</w:t>
            </w:r>
          </w:p>
          <w:p w14:paraId="76A9C698">
            <w:pPr>
              <w:pStyle w:val="45"/>
              <w:rPr>
                <w:rFonts w:hint="eastAsia"/>
                <w:color w:val="auto"/>
                <w:highlight w:val="none"/>
              </w:rPr>
            </w:pPr>
            <w:r>
              <w:rPr>
                <w:rFonts w:hint="eastAsia"/>
                <w:color w:val="auto"/>
                <w:highlight w:val="none"/>
              </w:rPr>
              <w:t>较差/差：0分，指乙方未能够按甲方要求完成投产需求中的缺陷发现数量和质量，或与需求契合度差距较大，无法达到合同约定的预期目标。</w:t>
            </w:r>
          </w:p>
        </w:tc>
        <w:tc>
          <w:tcPr>
            <w:tcW w:w="2410" w:type="dxa"/>
            <w:tcBorders>
              <w:left w:val="single" w:color="auto" w:sz="4" w:space="0"/>
            </w:tcBorders>
            <w:vAlign w:val="center"/>
          </w:tcPr>
          <w:p w14:paraId="60E6FB4D">
            <w:pPr>
              <w:pStyle w:val="45"/>
              <w:rPr>
                <w:rFonts w:hint="eastAsia"/>
                <w:color w:val="auto"/>
                <w:highlight w:val="none"/>
              </w:rPr>
            </w:pPr>
          </w:p>
        </w:tc>
        <w:tc>
          <w:tcPr>
            <w:tcW w:w="1134" w:type="dxa"/>
            <w:tcBorders>
              <w:left w:val="single" w:color="auto" w:sz="4" w:space="0"/>
            </w:tcBorders>
            <w:vAlign w:val="center"/>
          </w:tcPr>
          <w:p w14:paraId="4DFF1722">
            <w:pPr>
              <w:pStyle w:val="45"/>
              <w:rPr>
                <w:rFonts w:hint="eastAsia"/>
                <w:color w:val="auto"/>
                <w:highlight w:val="none"/>
              </w:rPr>
            </w:pPr>
          </w:p>
        </w:tc>
        <w:tc>
          <w:tcPr>
            <w:tcW w:w="1086" w:type="dxa"/>
            <w:tcBorders>
              <w:left w:val="single" w:color="auto" w:sz="4" w:space="0"/>
            </w:tcBorders>
            <w:vAlign w:val="center"/>
          </w:tcPr>
          <w:p w14:paraId="3BFF7323">
            <w:pPr>
              <w:pStyle w:val="45"/>
              <w:rPr>
                <w:rFonts w:hint="eastAsia"/>
                <w:color w:val="auto"/>
                <w:highlight w:val="none"/>
              </w:rPr>
            </w:pPr>
          </w:p>
        </w:tc>
      </w:tr>
      <w:tr w14:paraId="25FF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4F10F2">
            <w:pPr>
              <w:pStyle w:val="45"/>
              <w:rPr>
                <w:rFonts w:hint="eastAsia"/>
                <w:color w:val="auto"/>
                <w:highlight w:val="none"/>
              </w:rPr>
            </w:pPr>
            <w:r>
              <w:rPr>
                <w:rFonts w:hint="eastAsia"/>
                <w:color w:val="auto"/>
                <w:highlight w:val="none"/>
              </w:rPr>
              <w:t>4</w:t>
            </w:r>
          </w:p>
        </w:tc>
        <w:tc>
          <w:tcPr>
            <w:tcW w:w="1134" w:type="dxa"/>
            <w:vMerge w:val="restart"/>
            <w:tcBorders>
              <w:left w:val="single" w:color="auto" w:sz="4" w:space="0"/>
            </w:tcBorders>
            <w:vAlign w:val="center"/>
          </w:tcPr>
          <w:p w14:paraId="018657A3">
            <w:pPr>
              <w:pStyle w:val="45"/>
              <w:rPr>
                <w:rFonts w:hint="eastAsia"/>
                <w:color w:val="auto"/>
                <w:highlight w:val="none"/>
              </w:rPr>
            </w:pPr>
            <w:r>
              <w:rPr>
                <w:rFonts w:hint="eastAsia"/>
                <w:color w:val="auto"/>
                <w:highlight w:val="none"/>
              </w:rPr>
              <w:t>协议履行</w:t>
            </w:r>
          </w:p>
        </w:tc>
        <w:tc>
          <w:tcPr>
            <w:tcW w:w="1559" w:type="dxa"/>
            <w:tcBorders>
              <w:left w:val="single" w:color="auto" w:sz="4" w:space="0"/>
            </w:tcBorders>
            <w:vAlign w:val="center"/>
          </w:tcPr>
          <w:p w14:paraId="5DF9B35B">
            <w:pPr>
              <w:pStyle w:val="45"/>
              <w:rPr>
                <w:rFonts w:hint="eastAsia"/>
                <w:color w:val="auto"/>
                <w:highlight w:val="none"/>
              </w:rPr>
            </w:pPr>
            <w:r>
              <w:rPr>
                <w:rFonts w:hint="eastAsia"/>
                <w:color w:val="auto"/>
                <w:highlight w:val="none"/>
              </w:rPr>
              <w:t>重大事项报告</w:t>
            </w:r>
          </w:p>
        </w:tc>
        <w:tc>
          <w:tcPr>
            <w:tcW w:w="2268" w:type="dxa"/>
            <w:tcBorders>
              <w:left w:val="single" w:color="auto" w:sz="4" w:space="0"/>
            </w:tcBorders>
            <w:vAlign w:val="center"/>
          </w:tcPr>
          <w:p w14:paraId="6547BFCE">
            <w:pPr>
              <w:pStyle w:val="45"/>
              <w:rPr>
                <w:rFonts w:hint="eastAsia"/>
                <w:color w:val="auto"/>
                <w:highlight w:val="none"/>
              </w:rPr>
            </w:pPr>
            <w:r>
              <w:rPr>
                <w:rFonts w:hint="eastAsia"/>
                <w:color w:val="auto"/>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3EB62615">
            <w:pPr>
              <w:pStyle w:val="45"/>
              <w:rPr>
                <w:rFonts w:hint="eastAsia"/>
                <w:color w:val="auto"/>
                <w:highlight w:val="none"/>
              </w:rPr>
            </w:pPr>
            <w:r>
              <w:rPr>
                <w:rFonts w:hint="eastAsia"/>
                <w:color w:val="auto"/>
                <w:highlight w:val="none"/>
              </w:rPr>
              <w:t>优秀：5分，指无重大事项或当发生重大事项时，能够于24小时内告知甲方；</w:t>
            </w:r>
          </w:p>
          <w:p w14:paraId="5DC19CE2">
            <w:pPr>
              <w:pStyle w:val="45"/>
              <w:rPr>
                <w:rFonts w:hint="eastAsia"/>
                <w:color w:val="auto"/>
                <w:highlight w:val="none"/>
              </w:rPr>
            </w:pPr>
            <w:r>
              <w:rPr>
                <w:rFonts w:hint="eastAsia"/>
                <w:color w:val="auto"/>
                <w:highlight w:val="none"/>
              </w:rPr>
              <w:t>良好：4分，指当发生重大事项时，能够于一周内告知甲方；</w:t>
            </w:r>
          </w:p>
          <w:p w14:paraId="050607CD">
            <w:pPr>
              <w:pStyle w:val="45"/>
              <w:rPr>
                <w:rFonts w:hint="eastAsia"/>
                <w:color w:val="auto"/>
                <w:highlight w:val="none"/>
              </w:rPr>
            </w:pPr>
            <w:r>
              <w:rPr>
                <w:rFonts w:hint="eastAsia"/>
                <w:color w:val="auto"/>
                <w:highlight w:val="none"/>
              </w:rPr>
              <w:t>合格：3分，指当发生重大事项时，能够于一月内告知甲方；</w:t>
            </w:r>
          </w:p>
          <w:p w14:paraId="063BCF47">
            <w:pPr>
              <w:pStyle w:val="45"/>
              <w:rPr>
                <w:rFonts w:hint="eastAsia"/>
                <w:color w:val="auto"/>
                <w:highlight w:val="none"/>
              </w:rPr>
            </w:pPr>
            <w:r>
              <w:rPr>
                <w:rFonts w:hint="eastAsia"/>
                <w:color w:val="auto"/>
                <w:highlight w:val="none"/>
              </w:rPr>
              <w:t>较差/差：0分，指当发生重大事项时，未告知甲方。</w:t>
            </w:r>
          </w:p>
        </w:tc>
        <w:tc>
          <w:tcPr>
            <w:tcW w:w="2410" w:type="dxa"/>
            <w:tcBorders>
              <w:left w:val="single" w:color="auto" w:sz="4" w:space="0"/>
            </w:tcBorders>
            <w:vAlign w:val="center"/>
          </w:tcPr>
          <w:p w14:paraId="57519327">
            <w:pPr>
              <w:pStyle w:val="45"/>
              <w:rPr>
                <w:rFonts w:hint="eastAsia"/>
                <w:color w:val="auto"/>
                <w:highlight w:val="none"/>
              </w:rPr>
            </w:pPr>
            <w:r>
              <w:rPr>
                <w:rFonts w:hint="eastAsia"/>
                <w:color w:val="auto"/>
                <w:highlight w:val="none"/>
              </w:rPr>
              <w:t>评价为较差/差时，甲方根据实际情况有权终止合同，并要求乙方赔偿实际损失。</w:t>
            </w:r>
          </w:p>
        </w:tc>
        <w:tc>
          <w:tcPr>
            <w:tcW w:w="1134" w:type="dxa"/>
            <w:tcBorders>
              <w:left w:val="single" w:color="auto" w:sz="4" w:space="0"/>
            </w:tcBorders>
            <w:vAlign w:val="center"/>
          </w:tcPr>
          <w:p w14:paraId="2C54E35C">
            <w:pPr>
              <w:pStyle w:val="45"/>
              <w:rPr>
                <w:rFonts w:hint="eastAsia"/>
                <w:color w:val="auto"/>
                <w:highlight w:val="none"/>
              </w:rPr>
            </w:pPr>
          </w:p>
        </w:tc>
        <w:tc>
          <w:tcPr>
            <w:tcW w:w="1086" w:type="dxa"/>
            <w:tcBorders>
              <w:left w:val="single" w:color="auto" w:sz="4" w:space="0"/>
            </w:tcBorders>
            <w:vAlign w:val="center"/>
          </w:tcPr>
          <w:p w14:paraId="7C7A693B">
            <w:pPr>
              <w:pStyle w:val="45"/>
              <w:rPr>
                <w:rFonts w:hint="eastAsia"/>
                <w:color w:val="auto"/>
                <w:highlight w:val="none"/>
              </w:rPr>
            </w:pPr>
          </w:p>
        </w:tc>
      </w:tr>
      <w:tr w14:paraId="1959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476DAC5">
            <w:pPr>
              <w:pStyle w:val="45"/>
              <w:rPr>
                <w:rFonts w:hint="eastAsia"/>
                <w:color w:val="auto"/>
                <w:highlight w:val="none"/>
              </w:rPr>
            </w:pPr>
            <w:r>
              <w:rPr>
                <w:rFonts w:hint="eastAsia"/>
                <w:color w:val="auto"/>
                <w:highlight w:val="none"/>
              </w:rPr>
              <w:t>5</w:t>
            </w:r>
          </w:p>
        </w:tc>
        <w:tc>
          <w:tcPr>
            <w:tcW w:w="1134" w:type="dxa"/>
            <w:vMerge w:val="continue"/>
            <w:tcBorders>
              <w:left w:val="single" w:color="auto" w:sz="4" w:space="0"/>
            </w:tcBorders>
          </w:tcPr>
          <w:p w14:paraId="0AEDDD5B"/>
        </w:tc>
        <w:tc>
          <w:tcPr>
            <w:tcW w:w="1559" w:type="dxa"/>
            <w:tcBorders>
              <w:left w:val="single" w:color="auto" w:sz="4" w:space="0"/>
            </w:tcBorders>
            <w:vAlign w:val="center"/>
          </w:tcPr>
          <w:p w14:paraId="047086E4">
            <w:pPr>
              <w:pStyle w:val="45"/>
              <w:rPr>
                <w:rFonts w:hint="eastAsia"/>
                <w:color w:val="auto"/>
                <w:highlight w:val="none"/>
              </w:rPr>
            </w:pPr>
            <w:r>
              <w:rPr>
                <w:rFonts w:hint="eastAsia"/>
                <w:color w:val="auto"/>
                <w:highlight w:val="none"/>
              </w:rPr>
              <w:t>重大事件及质量缺陷</w:t>
            </w:r>
          </w:p>
        </w:tc>
        <w:tc>
          <w:tcPr>
            <w:tcW w:w="2268" w:type="dxa"/>
            <w:tcBorders>
              <w:left w:val="single" w:color="auto" w:sz="4" w:space="0"/>
            </w:tcBorders>
            <w:vAlign w:val="center"/>
          </w:tcPr>
          <w:p w14:paraId="2E15586D">
            <w:pPr>
              <w:pStyle w:val="45"/>
              <w:rPr>
                <w:rFonts w:hint="eastAsia"/>
                <w:color w:val="auto"/>
                <w:highlight w:val="none"/>
              </w:rPr>
            </w:pPr>
            <w:r>
              <w:rPr>
                <w:rFonts w:hint="eastAsia"/>
                <w:color w:val="auto"/>
                <w:highlight w:val="none"/>
              </w:rPr>
              <w:t>用于记录乙方在服务期内出现以下重大事件及质量缺陷次数：</w:t>
            </w:r>
          </w:p>
          <w:p w14:paraId="534658B9">
            <w:pPr>
              <w:pStyle w:val="45"/>
              <w:rPr>
                <w:rFonts w:hint="eastAsia"/>
                <w:color w:val="auto"/>
                <w:highlight w:val="none"/>
              </w:rPr>
            </w:pPr>
            <w:r>
              <w:rPr>
                <w:rFonts w:hint="eastAsia"/>
                <w:color w:val="auto"/>
                <w:highlight w:val="none"/>
              </w:rPr>
              <w:t>a.应用软件出现III级（含）以上的运营中断事件；</w:t>
            </w:r>
          </w:p>
          <w:p w14:paraId="63854144">
            <w:pPr>
              <w:pStyle w:val="45"/>
              <w:rPr>
                <w:rFonts w:hint="eastAsia"/>
                <w:color w:val="auto"/>
                <w:highlight w:val="none"/>
              </w:rPr>
            </w:pPr>
            <w:r>
              <w:rPr>
                <w:rFonts w:hint="eastAsia"/>
                <w:color w:val="auto"/>
                <w:highlight w:val="none"/>
              </w:rPr>
              <w:t>b.因乙方原因（含乙方合作的第三方）导致甲方发生网络安全事件；</w:t>
            </w:r>
          </w:p>
          <w:p w14:paraId="77E22F37">
            <w:pPr>
              <w:pStyle w:val="45"/>
              <w:rPr>
                <w:rFonts w:hint="eastAsia"/>
                <w:color w:val="auto"/>
                <w:highlight w:val="none"/>
              </w:rPr>
            </w:pPr>
            <w:r>
              <w:rPr>
                <w:rFonts w:hint="eastAsia"/>
                <w:color w:val="auto"/>
                <w:highlight w:val="none"/>
              </w:rPr>
              <w:t>c.应用软件出现严重缺陷和致命缺陷。</w:t>
            </w:r>
          </w:p>
        </w:tc>
        <w:tc>
          <w:tcPr>
            <w:tcW w:w="3686" w:type="dxa"/>
            <w:tcBorders>
              <w:left w:val="single" w:color="auto" w:sz="4" w:space="0"/>
            </w:tcBorders>
            <w:vAlign w:val="center"/>
          </w:tcPr>
          <w:p w14:paraId="690485FF">
            <w:pPr>
              <w:pStyle w:val="45"/>
              <w:rPr>
                <w:rFonts w:hint="eastAsia"/>
                <w:color w:val="auto"/>
                <w:highlight w:val="none"/>
              </w:rPr>
            </w:pPr>
            <w:r>
              <w:rPr>
                <w:rFonts w:hint="eastAsia"/>
                <w:color w:val="auto"/>
                <w:highlight w:val="none"/>
              </w:rPr>
              <w:t>【得分上限10分】</w:t>
            </w:r>
          </w:p>
          <w:p w14:paraId="5E246864">
            <w:pPr>
              <w:pStyle w:val="45"/>
              <w:rPr>
                <w:rFonts w:hint="eastAsia"/>
                <w:color w:val="auto"/>
                <w:highlight w:val="none"/>
              </w:rPr>
            </w:pPr>
            <w:r>
              <w:rPr>
                <w:rFonts w:hint="eastAsia"/>
                <w:color w:val="auto"/>
                <w:highlight w:val="none"/>
              </w:rPr>
              <w:t>0次：指未出现重大事件及质量缺陷，该项指标满分；</w:t>
            </w:r>
          </w:p>
          <w:p w14:paraId="34225144">
            <w:pPr>
              <w:pStyle w:val="45"/>
              <w:rPr>
                <w:rFonts w:hint="eastAsia"/>
                <w:color w:val="auto"/>
                <w:highlight w:val="none"/>
              </w:rPr>
            </w:pPr>
            <w:r>
              <w:rPr>
                <w:rFonts w:hint="eastAsia"/>
                <w:color w:val="auto"/>
                <w:highlight w:val="none"/>
              </w:rPr>
              <w:t>1次及以上：0分，指出现1次及以上任意一项重大事件或质量缺陷。</w:t>
            </w:r>
          </w:p>
        </w:tc>
        <w:tc>
          <w:tcPr>
            <w:tcW w:w="2410" w:type="dxa"/>
            <w:tcBorders>
              <w:left w:val="single" w:color="auto" w:sz="4" w:space="0"/>
            </w:tcBorders>
            <w:vAlign w:val="center"/>
          </w:tcPr>
          <w:p w14:paraId="5BDB9FF5">
            <w:pPr>
              <w:pStyle w:val="45"/>
              <w:rPr>
                <w:rFonts w:hint="eastAsia"/>
                <w:color w:val="auto"/>
                <w:highlight w:val="none"/>
              </w:rPr>
            </w:pPr>
            <w:r>
              <w:rPr>
                <w:rFonts w:hint="eastAsia"/>
                <w:color w:val="auto"/>
                <w:highlight w:val="none"/>
              </w:rPr>
              <w:t>每出现一次因测试遗漏导致的重大事件或质量缺陷，扣除乙方合同总金额不低于5%（不低于2万元），并要求乙方赔偿实际损失。</w:t>
            </w:r>
          </w:p>
        </w:tc>
        <w:tc>
          <w:tcPr>
            <w:tcW w:w="1134" w:type="dxa"/>
            <w:tcBorders>
              <w:left w:val="single" w:color="auto" w:sz="4" w:space="0"/>
            </w:tcBorders>
            <w:vAlign w:val="center"/>
          </w:tcPr>
          <w:p w14:paraId="7D9E1662">
            <w:pPr>
              <w:pStyle w:val="45"/>
              <w:rPr>
                <w:rFonts w:hint="eastAsia"/>
                <w:color w:val="auto"/>
                <w:highlight w:val="none"/>
              </w:rPr>
            </w:pPr>
          </w:p>
        </w:tc>
        <w:tc>
          <w:tcPr>
            <w:tcW w:w="1086" w:type="dxa"/>
            <w:tcBorders>
              <w:left w:val="single" w:color="auto" w:sz="4" w:space="0"/>
            </w:tcBorders>
            <w:vAlign w:val="center"/>
          </w:tcPr>
          <w:p w14:paraId="02EAA77D">
            <w:pPr>
              <w:pStyle w:val="45"/>
              <w:rPr>
                <w:rFonts w:hint="eastAsia"/>
                <w:color w:val="auto"/>
                <w:highlight w:val="none"/>
              </w:rPr>
            </w:pPr>
          </w:p>
        </w:tc>
      </w:tr>
      <w:tr w14:paraId="4B4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F57E858">
            <w:pPr>
              <w:pStyle w:val="45"/>
              <w:rPr>
                <w:rFonts w:hint="eastAsia"/>
                <w:color w:val="auto"/>
                <w:highlight w:val="none"/>
              </w:rPr>
            </w:pPr>
            <w:r>
              <w:rPr>
                <w:rFonts w:hint="eastAsia"/>
                <w:color w:val="auto"/>
                <w:highlight w:val="none"/>
              </w:rPr>
              <w:t>6</w:t>
            </w:r>
          </w:p>
        </w:tc>
        <w:tc>
          <w:tcPr>
            <w:tcW w:w="1134" w:type="dxa"/>
            <w:vMerge w:val="continue"/>
            <w:tcBorders>
              <w:left w:val="single" w:color="auto" w:sz="4" w:space="0"/>
            </w:tcBorders>
          </w:tcPr>
          <w:p w14:paraId="6B9B19F0"/>
        </w:tc>
        <w:tc>
          <w:tcPr>
            <w:tcW w:w="1559" w:type="dxa"/>
            <w:tcBorders>
              <w:left w:val="single" w:color="auto" w:sz="4" w:space="0"/>
            </w:tcBorders>
            <w:vAlign w:val="center"/>
          </w:tcPr>
          <w:p w14:paraId="7A961620">
            <w:pPr>
              <w:pStyle w:val="45"/>
              <w:rPr>
                <w:rFonts w:hint="eastAsia"/>
                <w:color w:val="auto"/>
                <w:highlight w:val="none"/>
              </w:rPr>
            </w:pPr>
            <w:r>
              <w:rPr>
                <w:rFonts w:hint="eastAsia"/>
                <w:color w:val="auto"/>
                <w:highlight w:val="none"/>
              </w:rPr>
              <w:t>信息安全管理</w:t>
            </w:r>
          </w:p>
        </w:tc>
        <w:tc>
          <w:tcPr>
            <w:tcW w:w="2268" w:type="dxa"/>
            <w:tcBorders>
              <w:left w:val="single" w:color="auto" w:sz="4" w:space="0"/>
            </w:tcBorders>
            <w:vAlign w:val="center"/>
          </w:tcPr>
          <w:p w14:paraId="6C86F143">
            <w:pPr>
              <w:pStyle w:val="45"/>
              <w:rPr>
                <w:rFonts w:hint="eastAsia"/>
                <w:color w:val="auto"/>
                <w:highlight w:val="none"/>
              </w:rPr>
            </w:pPr>
            <w:r>
              <w:rPr>
                <w:rFonts w:hint="eastAsia"/>
                <w:color w:val="auto"/>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11F29FDF">
            <w:pPr>
              <w:pStyle w:val="45"/>
              <w:rPr>
                <w:rFonts w:hint="eastAsia"/>
                <w:color w:val="auto"/>
                <w:highlight w:val="none"/>
              </w:rPr>
            </w:pPr>
            <w:r>
              <w:rPr>
                <w:rFonts w:hint="eastAsia"/>
                <w:color w:val="auto"/>
                <w:highlight w:val="none"/>
              </w:rPr>
              <w:t>互联网或电子银行类系统：</w:t>
            </w:r>
          </w:p>
          <w:p w14:paraId="2D3CF497">
            <w:pPr>
              <w:pStyle w:val="45"/>
              <w:rPr>
                <w:rFonts w:hint="eastAsia"/>
                <w:color w:val="auto"/>
                <w:highlight w:val="none"/>
              </w:rPr>
            </w:pPr>
            <w:r>
              <w:rPr>
                <w:rFonts w:hint="eastAsia"/>
                <w:color w:val="auto"/>
                <w:highlight w:val="none"/>
              </w:rPr>
              <w:t>1.安全漏洞及安全缺陷整改及时率=100%</w:t>
            </w:r>
          </w:p>
          <w:p w14:paraId="2A311193">
            <w:pPr>
              <w:pStyle w:val="45"/>
              <w:rPr>
                <w:rFonts w:hint="eastAsia"/>
                <w:color w:val="auto"/>
                <w:highlight w:val="none"/>
              </w:rPr>
            </w:pPr>
            <w:r>
              <w:rPr>
                <w:rFonts w:hint="eastAsia"/>
                <w:color w:val="auto"/>
                <w:highlight w:val="none"/>
              </w:rPr>
              <w:t>2.安全漏洞及安全缺陷整改通过率=100%</w:t>
            </w:r>
          </w:p>
          <w:p w14:paraId="42A9AB93">
            <w:pPr>
              <w:pStyle w:val="45"/>
              <w:rPr>
                <w:rFonts w:hint="eastAsia"/>
                <w:color w:val="auto"/>
                <w:highlight w:val="none"/>
              </w:rPr>
            </w:pPr>
            <w:r>
              <w:rPr>
                <w:rFonts w:hint="eastAsia"/>
                <w:color w:val="auto"/>
                <w:highlight w:val="none"/>
              </w:rPr>
              <w:t>非互联网或电子银行类系统：</w:t>
            </w:r>
          </w:p>
          <w:p w14:paraId="7A48C595">
            <w:pPr>
              <w:pStyle w:val="45"/>
              <w:rPr>
                <w:rFonts w:hint="eastAsia"/>
                <w:color w:val="auto"/>
                <w:highlight w:val="none"/>
              </w:rPr>
            </w:pPr>
            <w:r>
              <w:rPr>
                <w:rFonts w:hint="eastAsia"/>
                <w:color w:val="auto"/>
                <w:highlight w:val="none"/>
              </w:rPr>
              <w:t>1.中高危安全漏洞及安全缺陷整改及时率=100%</w:t>
            </w:r>
          </w:p>
          <w:p w14:paraId="7B6E4BCD">
            <w:pPr>
              <w:pStyle w:val="45"/>
              <w:rPr>
                <w:rFonts w:hint="eastAsia"/>
                <w:color w:val="auto"/>
                <w:highlight w:val="none"/>
              </w:rPr>
            </w:pPr>
            <w:r>
              <w:rPr>
                <w:rFonts w:hint="eastAsia"/>
                <w:color w:val="auto"/>
                <w:highlight w:val="none"/>
              </w:rPr>
              <w:t>2.中高危安全漏洞及安全缺陷整改通过率=100%</w:t>
            </w:r>
          </w:p>
          <w:p w14:paraId="7B9C8B0B">
            <w:pPr>
              <w:pStyle w:val="45"/>
              <w:rPr>
                <w:rFonts w:hint="eastAsia"/>
                <w:color w:val="auto"/>
                <w:highlight w:val="none"/>
              </w:rPr>
            </w:pPr>
            <w:r>
              <w:rPr>
                <w:rFonts w:hint="eastAsia"/>
                <w:color w:val="auto"/>
                <w:highlight w:val="none"/>
              </w:rPr>
              <w:t>优秀：10分，指未出现安全漏洞及安全缺陷，该项指标满分；</w:t>
            </w:r>
          </w:p>
          <w:p w14:paraId="5B4ECC0B">
            <w:pPr>
              <w:pStyle w:val="45"/>
              <w:rPr>
                <w:rFonts w:hint="eastAsia"/>
                <w:color w:val="auto"/>
                <w:highlight w:val="none"/>
              </w:rPr>
            </w:pPr>
            <w:r>
              <w:rPr>
                <w:rFonts w:hint="eastAsia"/>
                <w:color w:val="auto"/>
                <w:highlight w:val="none"/>
              </w:rPr>
              <w:t>合格：6分，指出现安全漏洞或安全缺陷，但整改及时率、通过率均为100%；</w:t>
            </w:r>
          </w:p>
          <w:p w14:paraId="3C8F1B96">
            <w:pPr>
              <w:pStyle w:val="45"/>
              <w:rPr>
                <w:rFonts w:hint="eastAsia"/>
                <w:color w:val="auto"/>
                <w:highlight w:val="none"/>
              </w:rPr>
            </w:pPr>
            <w:r>
              <w:rPr>
                <w:rFonts w:hint="eastAsia"/>
                <w:color w:val="auto"/>
                <w:highlight w:val="none"/>
              </w:rPr>
              <w:t>较差/差：0分，指出现安全漏洞及安全缺陷，但整改及时率或通过率未达到100%。</w:t>
            </w:r>
          </w:p>
        </w:tc>
        <w:tc>
          <w:tcPr>
            <w:tcW w:w="2410" w:type="dxa"/>
            <w:tcBorders>
              <w:left w:val="single" w:color="auto" w:sz="4" w:space="0"/>
            </w:tcBorders>
            <w:vAlign w:val="center"/>
          </w:tcPr>
          <w:p w14:paraId="1B31D016">
            <w:pPr>
              <w:pStyle w:val="45"/>
              <w:rPr>
                <w:rFonts w:hint="eastAsia"/>
                <w:color w:val="auto"/>
                <w:highlight w:val="none"/>
              </w:rPr>
            </w:pPr>
            <w:r>
              <w:rPr>
                <w:rFonts w:hint="eastAsia"/>
                <w:color w:val="auto"/>
                <w:highlight w:val="none"/>
              </w:rPr>
              <w:t>若评价为较差/差时，扣除乙方金额人民币不低于2万元，并要求乙方赔偿实际损失。</w:t>
            </w:r>
          </w:p>
          <w:p w14:paraId="640FFD48">
            <w:pPr>
              <w:pStyle w:val="45"/>
              <w:rPr>
                <w:rFonts w:hint="eastAsia"/>
                <w:color w:val="auto"/>
                <w:highlight w:val="none"/>
              </w:rPr>
            </w:pPr>
            <w:r>
              <w:rPr>
                <w:rFonts w:hint="eastAsia"/>
                <w:color w:val="auto"/>
                <w:highlight w:val="none"/>
              </w:rPr>
              <w:t>若出现的安全漏洞或安全缺陷被上级或监管单位通报的，扣除乙方合同总金额不低于5%（不低于2万元），并要求乙方赔偿实际损失。</w:t>
            </w:r>
          </w:p>
          <w:p w14:paraId="418B2594">
            <w:pPr>
              <w:pStyle w:val="45"/>
              <w:rPr>
                <w:rFonts w:hint="eastAsia"/>
                <w:color w:val="auto"/>
                <w:highlight w:val="none"/>
              </w:rPr>
            </w:pPr>
          </w:p>
        </w:tc>
        <w:tc>
          <w:tcPr>
            <w:tcW w:w="1134" w:type="dxa"/>
            <w:tcBorders>
              <w:left w:val="single" w:color="auto" w:sz="4" w:space="0"/>
            </w:tcBorders>
            <w:vAlign w:val="center"/>
          </w:tcPr>
          <w:p w14:paraId="396BA2AF">
            <w:pPr>
              <w:pStyle w:val="45"/>
              <w:rPr>
                <w:rFonts w:hint="eastAsia"/>
                <w:color w:val="auto"/>
                <w:highlight w:val="none"/>
              </w:rPr>
            </w:pPr>
          </w:p>
        </w:tc>
        <w:tc>
          <w:tcPr>
            <w:tcW w:w="1086" w:type="dxa"/>
            <w:tcBorders>
              <w:left w:val="single" w:color="auto" w:sz="4" w:space="0"/>
            </w:tcBorders>
            <w:vAlign w:val="center"/>
          </w:tcPr>
          <w:p w14:paraId="4F1A2ACF">
            <w:pPr>
              <w:pStyle w:val="45"/>
              <w:rPr>
                <w:rFonts w:hint="eastAsia"/>
                <w:color w:val="auto"/>
                <w:highlight w:val="none"/>
              </w:rPr>
            </w:pPr>
          </w:p>
        </w:tc>
      </w:tr>
      <w:tr w14:paraId="4B6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8096EC">
            <w:pPr>
              <w:pStyle w:val="45"/>
              <w:rPr>
                <w:rFonts w:hint="eastAsia"/>
                <w:color w:val="auto"/>
                <w:highlight w:val="none"/>
              </w:rPr>
            </w:pPr>
            <w:r>
              <w:rPr>
                <w:rFonts w:hint="eastAsia"/>
                <w:color w:val="auto"/>
                <w:highlight w:val="none"/>
              </w:rPr>
              <w:t>7</w:t>
            </w:r>
          </w:p>
        </w:tc>
        <w:tc>
          <w:tcPr>
            <w:tcW w:w="1134" w:type="dxa"/>
            <w:vMerge w:val="continue"/>
            <w:tcBorders>
              <w:left w:val="single" w:color="auto" w:sz="4" w:space="0"/>
            </w:tcBorders>
          </w:tcPr>
          <w:p w14:paraId="3F930A06"/>
        </w:tc>
        <w:tc>
          <w:tcPr>
            <w:tcW w:w="1559" w:type="dxa"/>
            <w:tcBorders>
              <w:left w:val="single" w:color="auto" w:sz="4" w:space="0"/>
            </w:tcBorders>
            <w:vAlign w:val="center"/>
          </w:tcPr>
          <w:p w14:paraId="04B0E174">
            <w:pPr>
              <w:pStyle w:val="45"/>
              <w:rPr>
                <w:rFonts w:hint="eastAsia"/>
                <w:color w:val="auto"/>
                <w:highlight w:val="none"/>
              </w:rPr>
            </w:pPr>
            <w:r>
              <w:rPr>
                <w:rFonts w:hint="eastAsia"/>
                <w:color w:val="auto"/>
                <w:highlight w:val="none"/>
              </w:rPr>
              <w:t>外包安全行为</w:t>
            </w:r>
          </w:p>
        </w:tc>
        <w:tc>
          <w:tcPr>
            <w:tcW w:w="2268" w:type="dxa"/>
            <w:tcBorders>
              <w:left w:val="single" w:color="auto" w:sz="4" w:space="0"/>
            </w:tcBorders>
            <w:vAlign w:val="center"/>
          </w:tcPr>
          <w:p w14:paraId="4A380A62">
            <w:pPr>
              <w:pStyle w:val="45"/>
              <w:rPr>
                <w:rFonts w:hint="eastAsia"/>
                <w:color w:val="auto"/>
                <w:highlight w:val="none"/>
              </w:rPr>
            </w:pPr>
            <w:r>
              <w:rPr>
                <w:rFonts w:hint="eastAsia"/>
                <w:color w:val="auto"/>
                <w:highlight w:val="none"/>
              </w:rPr>
              <w:t>用于记录在外包人员安全防护意识方面的管理有效性</w:t>
            </w:r>
          </w:p>
        </w:tc>
        <w:tc>
          <w:tcPr>
            <w:tcW w:w="3686" w:type="dxa"/>
            <w:tcBorders>
              <w:left w:val="single" w:color="auto" w:sz="4" w:space="0"/>
            </w:tcBorders>
            <w:vAlign w:val="center"/>
          </w:tcPr>
          <w:p w14:paraId="5632F549">
            <w:pPr>
              <w:pStyle w:val="45"/>
              <w:rPr>
                <w:rFonts w:hint="eastAsia"/>
                <w:color w:val="auto"/>
                <w:highlight w:val="none"/>
              </w:rPr>
            </w:pPr>
            <w:r>
              <w:rPr>
                <w:rFonts w:hint="eastAsia"/>
                <w:color w:val="auto"/>
                <w:highlight w:val="none"/>
              </w:rPr>
              <w:t>统计周期内安全防护失效的次数。</w:t>
            </w:r>
          </w:p>
          <w:p w14:paraId="5347144C">
            <w:pPr>
              <w:pStyle w:val="45"/>
              <w:rPr>
                <w:rFonts w:hint="eastAsia"/>
                <w:color w:val="auto"/>
                <w:highlight w:val="none"/>
              </w:rPr>
            </w:pPr>
            <w:r>
              <w:rPr>
                <w:rFonts w:hint="eastAsia"/>
                <w:color w:val="auto"/>
                <w:highlight w:val="none"/>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13E2CC5D">
            <w:pPr>
              <w:pStyle w:val="45"/>
              <w:rPr>
                <w:rFonts w:hint="eastAsia"/>
                <w:color w:val="auto"/>
                <w:highlight w:val="none"/>
              </w:rPr>
            </w:pPr>
            <w:r>
              <w:rPr>
                <w:rFonts w:hint="eastAsia"/>
                <w:color w:val="auto"/>
                <w:highlight w:val="none"/>
              </w:rPr>
              <w:t>【得分上限10分】</w:t>
            </w:r>
          </w:p>
          <w:p w14:paraId="4DA1E84B">
            <w:pPr>
              <w:pStyle w:val="45"/>
              <w:rPr>
                <w:rFonts w:hint="eastAsia"/>
                <w:color w:val="auto"/>
                <w:highlight w:val="none"/>
              </w:rPr>
            </w:pPr>
            <w:r>
              <w:rPr>
                <w:rFonts w:hint="eastAsia"/>
                <w:color w:val="auto"/>
                <w:highlight w:val="none"/>
              </w:rPr>
              <w:t>0次：未出现安全防护失效行为，10分；</w:t>
            </w:r>
          </w:p>
          <w:p w14:paraId="57A97B34">
            <w:pPr>
              <w:pStyle w:val="45"/>
              <w:rPr>
                <w:rFonts w:hint="eastAsia"/>
                <w:color w:val="auto"/>
                <w:highlight w:val="none"/>
              </w:rPr>
            </w:pPr>
            <w:r>
              <w:rPr>
                <w:rFonts w:hint="eastAsia"/>
                <w:color w:val="auto"/>
                <w:highlight w:val="none"/>
              </w:rPr>
              <w:t>1次及以上：出现安全防护失效行为，每出现一次扣5分，最多扣10分。</w:t>
            </w:r>
          </w:p>
        </w:tc>
        <w:tc>
          <w:tcPr>
            <w:tcW w:w="2410" w:type="dxa"/>
            <w:tcBorders>
              <w:left w:val="single" w:color="auto" w:sz="4" w:space="0"/>
            </w:tcBorders>
            <w:vAlign w:val="center"/>
          </w:tcPr>
          <w:p w14:paraId="7BB08533">
            <w:pPr>
              <w:pStyle w:val="45"/>
              <w:rPr>
                <w:rFonts w:hint="eastAsia"/>
                <w:color w:val="auto"/>
                <w:highlight w:val="none"/>
              </w:rPr>
            </w:pPr>
            <w:r>
              <w:rPr>
                <w:rFonts w:hint="eastAsia"/>
                <w:color w:val="auto"/>
                <w:highlight w:val="none"/>
              </w:rPr>
              <w:t>若出现信息安全防护失效行为未导致严重后果的，扣除乙方金额人民币不低于1万元；</w:t>
            </w:r>
          </w:p>
          <w:p w14:paraId="57B6B1F6">
            <w:pPr>
              <w:pStyle w:val="45"/>
              <w:rPr>
                <w:rFonts w:hint="eastAsia"/>
                <w:color w:val="auto"/>
                <w:highlight w:val="none"/>
              </w:rPr>
            </w:pPr>
            <w:r>
              <w:rPr>
                <w:rFonts w:hint="eastAsia"/>
                <w:color w:val="auto"/>
                <w:highlight w:val="none"/>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760FE8A1">
            <w:pPr>
              <w:pStyle w:val="45"/>
              <w:rPr>
                <w:rFonts w:hint="eastAsia"/>
                <w:color w:val="auto"/>
                <w:highlight w:val="none"/>
              </w:rPr>
            </w:pPr>
          </w:p>
        </w:tc>
        <w:tc>
          <w:tcPr>
            <w:tcW w:w="1086" w:type="dxa"/>
            <w:tcBorders>
              <w:left w:val="single" w:color="auto" w:sz="4" w:space="0"/>
            </w:tcBorders>
            <w:vAlign w:val="center"/>
          </w:tcPr>
          <w:p w14:paraId="741913F8">
            <w:pPr>
              <w:pStyle w:val="45"/>
              <w:rPr>
                <w:rFonts w:hint="eastAsia"/>
                <w:color w:val="auto"/>
                <w:highlight w:val="none"/>
              </w:rPr>
            </w:pPr>
          </w:p>
        </w:tc>
      </w:tr>
      <w:tr w14:paraId="5931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CCB9ED0">
            <w:pPr>
              <w:pStyle w:val="45"/>
              <w:rPr>
                <w:rFonts w:hint="eastAsia"/>
                <w:color w:val="auto"/>
                <w:highlight w:val="none"/>
              </w:rPr>
            </w:pPr>
            <w:r>
              <w:rPr>
                <w:rFonts w:hint="eastAsia"/>
                <w:color w:val="auto"/>
                <w:highlight w:val="none"/>
              </w:rPr>
              <w:t>8</w:t>
            </w:r>
          </w:p>
        </w:tc>
        <w:tc>
          <w:tcPr>
            <w:tcW w:w="1134" w:type="dxa"/>
            <w:vMerge w:val="continue"/>
            <w:tcBorders>
              <w:left w:val="single" w:color="auto" w:sz="4" w:space="0"/>
            </w:tcBorders>
          </w:tcPr>
          <w:p w14:paraId="1E790F9E"/>
        </w:tc>
        <w:tc>
          <w:tcPr>
            <w:tcW w:w="1559" w:type="dxa"/>
            <w:tcBorders>
              <w:left w:val="single" w:color="auto" w:sz="4" w:space="0"/>
            </w:tcBorders>
            <w:vAlign w:val="center"/>
          </w:tcPr>
          <w:p w14:paraId="0857ECC7">
            <w:pPr>
              <w:pStyle w:val="45"/>
              <w:rPr>
                <w:rFonts w:hint="eastAsia"/>
                <w:color w:val="auto"/>
                <w:highlight w:val="none"/>
              </w:rPr>
            </w:pPr>
            <w:r>
              <w:rPr>
                <w:rFonts w:hint="eastAsia"/>
                <w:color w:val="auto"/>
                <w:highlight w:val="none"/>
              </w:rPr>
              <w:t>响应与解决及时性</w:t>
            </w:r>
          </w:p>
        </w:tc>
        <w:tc>
          <w:tcPr>
            <w:tcW w:w="2268" w:type="dxa"/>
            <w:tcBorders>
              <w:left w:val="single" w:color="auto" w:sz="4" w:space="0"/>
            </w:tcBorders>
            <w:vAlign w:val="center"/>
          </w:tcPr>
          <w:p w14:paraId="7109ACD9">
            <w:pPr>
              <w:pStyle w:val="45"/>
              <w:rPr>
                <w:rFonts w:hint="eastAsia"/>
                <w:color w:val="auto"/>
                <w:highlight w:val="none"/>
              </w:rPr>
            </w:pPr>
            <w:r>
              <w:rPr>
                <w:rFonts w:hint="eastAsia"/>
                <w:color w:val="auto"/>
                <w:highlight w:val="none"/>
              </w:rPr>
              <w:t>用于记录乙方或服务项目对甲方的响应与解决的及时性</w:t>
            </w:r>
          </w:p>
        </w:tc>
        <w:tc>
          <w:tcPr>
            <w:tcW w:w="3686" w:type="dxa"/>
            <w:tcBorders>
              <w:left w:val="single" w:color="auto" w:sz="4" w:space="0"/>
            </w:tcBorders>
            <w:vAlign w:val="center"/>
          </w:tcPr>
          <w:p w14:paraId="7C403181">
            <w:pPr>
              <w:pStyle w:val="45"/>
              <w:rPr>
                <w:rFonts w:hint="eastAsia"/>
                <w:color w:val="auto"/>
                <w:highlight w:val="none"/>
              </w:rPr>
            </w:pPr>
            <w:r>
              <w:rPr>
                <w:rFonts w:hint="eastAsia"/>
                <w:color w:val="auto"/>
                <w:highlight w:val="none"/>
              </w:rPr>
              <w:t>优秀：10分，指乙方或服务项目能够迅速响应需求，主动快速与甲方进行有效的沟通，第一时间从专业角度给出解决方案并解决问题；</w:t>
            </w:r>
          </w:p>
          <w:p w14:paraId="524DBFB1">
            <w:pPr>
              <w:pStyle w:val="45"/>
              <w:rPr>
                <w:rFonts w:hint="eastAsia"/>
                <w:color w:val="auto"/>
                <w:highlight w:val="none"/>
              </w:rPr>
            </w:pPr>
            <w:r>
              <w:rPr>
                <w:rFonts w:hint="eastAsia"/>
                <w:color w:val="auto"/>
                <w:highlight w:val="none"/>
              </w:rPr>
              <w:t>良好：8分，指乙方或服务项目能够按要求响应需求，及时与甲方进行有效的沟通，快速给出处理方案并解决问题；</w:t>
            </w:r>
          </w:p>
          <w:p w14:paraId="75484C6E">
            <w:pPr>
              <w:pStyle w:val="45"/>
              <w:rPr>
                <w:rFonts w:hint="eastAsia"/>
                <w:color w:val="auto"/>
                <w:highlight w:val="none"/>
              </w:rPr>
            </w:pPr>
            <w:r>
              <w:rPr>
                <w:rFonts w:hint="eastAsia"/>
                <w:color w:val="auto"/>
                <w:highlight w:val="none"/>
              </w:rPr>
              <w:t>合格：6分，指乙方或服务项目能够基本按要求响应需求，保持与甲方的沟通，按时解决问题；</w:t>
            </w:r>
          </w:p>
          <w:p w14:paraId="3ED70CBC">
            <w:pPr>
              <w:pStyle w:val="45"/>
              <w:rPr>
                <w:rFonts w:hint="eastAsia"/>
                <w:color w:val="auto"/>
                <w:highlight w:val="none"/>
              </w:rPr>
            </w:pPr>
            <w:r>
              <w:rPr>
                <w:rFonts w:hint="eastAsia"/>
                <w:color w:val="auto"/>
                <w:highlight w:val="none"/>
              </w:rPr>
              <w:t>较差/差：0分，指乙方或服务项目未及时响应需求，或响应需求后无法及时解决问题。</w:t>
            </w:r>
          </w:p>
        </w:tc>
        <w:tc>
          <w:tcPr>
            <w:tcW w:w="2410" w:type="dxa"/>
            <w:tcBorders>
              <w:left w:val="single" w:color="auto" w:sz="4" w:space="0"/>
            </w:tcBorders>
            <w:vAlign w:val="center"/>
          </w:tcPr>
          <w:p w14:paraId="2E1F8CE3">
            <w:pPr>
              <w:pStyle w:val="45"/>
              <w:rPr>
                <w:rFonts w:hint="eastAsia"/>
                <w:color w:val="auto"/>
                <w:highlight w:val="none"/>
              </w:rPr>
            </w:pPr>
            <w:r>
              <w:rPr>
                <w:rFonts w:hint="eastAsia"/>
                <w:color w:val="auto"/>
                <w:highlight w:val="none"/>
              </w:rPr>
              <w:t>评价为较差/差，即乙方或服务项目未及时响应需求，或响应需求后无法及时解决问题，扣除乙方金额人民币不低于1000元。</w:t>
            </w:r>
          </w:p>
        </w:tc>
        <w:tc>
          <w:tcPr>
            <w:tcW w:w="1134" w:type="dxa"/>
            <w:tcBorders>
              <w:left w:val="single" w:color="auto" w:sz="4" w:space="0"/>
            </w:tcBorders>
            <w:vAlign w:val="center"/>
          </w:tcPr>
          <w:p w14:paraId="4173E106">
            <w:pPr>
              <w:pStyle w:val="45"/>
              <w:rPr>
                <w:rFonts w:hint="eastAsia"/>
                <w:color w:val="auto"/>
                <w:highlight w:val="none"/>
              </w:rPr>
            </w:pPr>
          </w:p>
        </w:tc>
        <w:tc>
          <w:tcPr>
            <w:tcW w:w="1086" w:type="dxa"/>
            <w:tcBorders>
              <w:left w:val="single" w:color="auto" w:sz="4" w:space="0"/>
            </w:tcBorders>
            <w:vAlign w:val="center"/>
          </w:tcPr>
          <w:p w14:paraId="486DD47C">
            <w:pPr>
              <w:pStyle w:val="45"/>
              <w:rPr>
                <w:rFonts w:hint="eastAsia"/>
                <w:color w:val="auto"/>
                <w:highlight w:val="none"/>
              </w:rPr>
            </w:pPr>
          </w:p>
        </w:tc>
      </w:tr>
      <w:tr w14:paraId="6AED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F5BF739">
            <w:pPr>
              <w:pStyle w:val="45"/>
              <w:rPr>
                <w:rFonts w:hint="eastAsia"/>
                <w:color w:val="auto"/>
                <w:highlight w:val="none"/>
              </w:rPr>
            </w:pPr>
            <w:r>
              <w:rPr>
                <w:rFonts w:hint="eastAsia"/>
                <w:color w:val="auto"/>
                <w:highlight w:val="none"/>
              </w:rPr>
              <w:t>9</w:t>
            </w:r>
          </w:p>
        </w:tc>
        <w:tc>
          <w:tcPr>
            <w:tcW w:w="1134" w:type="dxa"/>
            <w:vMerge w:val="continue"/>
            <w:tcBorders>
              <w:left w:val="single" w:color="auto" w:sz="4" w:space="0"/>
            </w:tcBorders>
          </w:tcPr>
          <w:p w14:paraId="3718B55B"/>
        </w:tc>
        <w:tc>
          <w:tcPr>
            <w:tcW w:w="1559" w:type="dxa"/>
            <w:tcBorders>
              <w:left w:val="single" w:color="auto" w:sz="4" w:space="0"/>
            </w:tcBorders>
            <w:shd w:val="clear" w:color="auto" w:fill="auto"/>
            <w:vAlign w:val="center"/>
          </w:tcPr>
          <w:p w14:paraId="7543371C">
            <w:pPr>
              <w:pStyle w:val="45"/>
              <w:rPr>
                <w:rFonts w:hint="eastAsia"/>
                <w:color w:val="auto"/>
                <w:highlight w:val="none"/>
              </w:rPr>
            </w:pPr>
            <w:r>
              <w:rPr>
                <w:rFonts w:hint="eastAsia"/>
                <w:color w:val="auto"/>
                <w:highlight w:val="none"/>
              </w:rPr>
              <w:t>需求排期率</w:t>
            </w:r>
          </w:p>
        </w:tc>
        <w:tc>
          <w:tcPr>
            <w:tcW w:w="2268" w:type="dxa"/>
            <w:tcBorders>
              <w:left w:val="single" w:color="auto" w:sz="4" w:space="0"/>
            </w:tcBorders>
            <w:shd w:val="clear" w:color="auto" w:fill="auto"/>
            <w:vAlign w:val="center"/>
          </w:tcPr>
          <w:p w14:paraId="4569DBEF">
            <w:pPr>
              <w:pStyle w:val="45"/>
              <w:rPr>
                <w:rFonts w:hint="eastAsia"/>
                <w:color w:val="auto"/>
                <w:highlight w:val="none"/>
              </w:rPr>
            </w:pPr>
            <w:r>
              <w:rPr>
                <w:rFonts w:hint="eastAsia"/>
                <w:color w:val="auto"/>
                <w:highlight w:val="none"/>
              </w:rPr>
              <w:t>用于记录统计周期内对甲方需求进行投产计划安排的比例</w:t>
            </w:r>
          </w:p>
        </w:tc>
        <w:tc>
          <w:tcPr>
            <w:tcW w:w="3686" w:type="dxa"/>
            <w:tcBorders>
              <w:left w:val="single" w:color="auto" w:sz="4" w:space="0"/>
            </w:tcBorders>
            <w:shd w:val="clear" w:color="auto" w:fill="auto"/>
            <w:vAlign w:val="center"/>
          </w:tcPr>
          <w:p w14:paraId="2AC078DD">
            <w:pPr>
              <w:pStyle w:val="45"/>
              <w:rPr>
                <w:rFonts w:hint="eastAsia"/>
                <w:color w:val="auto"/>
                <w:highlight w:val="none"/>
              </w:rPr>
            </w:pPr>
            <w:r>
              <w:rPr>
                <w:rFonts w:hint="eastAsia"/>
                <w:color w:val="auto"/>
                <w:highlight w:val="none"/>
              </w:rPr>
              <w:t>需求排期率=已排期需求数/总需求数</w:t>
            </w:r>
          </w:p>
          <w:p w14:paraId="0BBCF365">
            <w:pPr>
              <w:pStyle w:val="45"/>
              <w:rPr>
                <w:rFonts w:hint="eastAsia"/>
                <w:color w:val="auto"/>
                <w:highlight w:val="none"/>
              </w:rPr>
            </w:pPr>
            <w:r>
              <w:rPr>
                <w:rFonts w:hint="eastAsia"/>
                <w:color w:val="auto"/>
                <w:highlight w:val="none"/>
              </w:rPr>
              <w:t>注：已排期需求数指统计周期内已经纳入投产计划的需求个数。总需求数指统计周期内由甲方提出到达服务商项目组的需求数。</w:t>
            </w:r>
          </w:p>
          <w:p w14:paraId="0914F313">
            <w:pPr>
              <w:pStyle w:val="45"/>
              <w:rPr>
                <w:rFonts w:hint="eastAsia"/>
                <w:color w:val="auto"/>
                <w:highlight w:val="none"/>
              </w:rPr>
            </w:pPr>
            <w:r>
              <w:rPr>
                <w:rFonts w:hint="eastAsia"/>
                <w:color w:val="auto"/>
                <w:highlight w:val="none"/>
              </w:rPr>
              <w:t>5分【98%-100%】</w:t>
            </w:r>
          </w:p>
          <w:p w14:paraId="15FC156E">
            <w:pPr>
              <w:pStyle w:val="45"/>
              <w:rPr>
                <w:rFonts w:hint="eastAsia"/>
                <w:color w:val="auto"/>
                <w:highlight w:val="none"/>
              </w:rPr>
            </w:pPr>
            <w:r>
              <w:rPr>
                <w:rFonts w:hint="eastAsia"/>
                <w:color w:val="auto"/>
                <w:highlight w:val="none"/>
              </w:rPr>
              <w:t>3分【95%-97%】</w:t>
            </w:r>
          </w:p>
          <w:p w14:paraId="07257526">
            <w:pPr>
              <w:pStyle w:val="45"/>
              <w:rPr>
                <w:rFonts w:hint="eastAsia"/>
                <w:color w:val="auto"/>
                <w:highlight w:val="none"/>
              </w:rPr>
            </w:pPr>
            <w:r>
              <w:rPr>
                <w:rFonts w:hint="eastAsia"/>
                <w:color w:val="auto"/>
                <w:highlight w:val="none"/>
              </w:rPr>
              <w:t>0分【低于95%】</w:t>
            </w:r>
          </w:p>
        </w:tc>
        <w:tc>
          <w:tcPr>
            <w:tcW w:w="2410" w:type="dxa"/>
            <w:tcBorders>
              <w:left w:val="single" w:color="auto" w:sz="4" w:space="0"/>
            </w:tcBorders>
            <w:vAlign w:val="center"/>
          </w:tcPr>
          <w:p w14:paraId="2090BCF5">
            <w:pPr>
              <w:pStyle w:val="45"/>
              <w:rPr>
                <w:rFonts w:hint="eastAsia"/>
                <w:color w:val="auto"/>
                <w:highlight w:val="none"/>
              </w:rPr>
            </w:pPr>
          </w:p>
        </w:tc>
        <w:tc>
          <w:tcPr>
            <w:tcW w:w="1134" w:type="dxa"/>
            <w:tcBorders>
              <w:left w:val="single" w:color="auto" w:sz="4" w:space="0"/>
            </w:tcBorders>
            <w:vAlign w:val="center"/>
          </w:tcPr>
          <w:p w14:paraId="5DEBBE44">
            <w:pPr>
              <w:pStyle w:val="45"/>
              <w:rPr>
                <w:rFonts w:hint="eastAsia"/>
                <w:color w:val="auto"/>
                <w:highlight w:val="none"/>
              </w:rPr>
            </w:pPr>
          </w:p>
        </w:tc>
        <w:tc>
          <w:tcPr>
            <w:tcW w:w="1086" w:type="dxa"/>
            <w:tcBorders>
              <w:left w:val="single" w:color="auto" w:sz="4" w:space="0"/>
            </w:tcBorders>
            <w:vAlign w:val="center"/>
          </w:tcPr>
          <w:p w14:paraId="3B7A7657">
            <w:pPr>
              <w:pStyle w:val="45"/>
              <w:rPr>
                <w:rFonts w:hint="eastAsia"/>
                <w:color w:val="auto"/>
                <w:highlight w:val="none"/>
              </w:rPr>
            </w:pPr>
          </w:p>
        </w:tc>
      </w:tr>
      <w:tr w14:paraId="68C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DF84702">
            <w:pPr>
              <w:pStyle w:val="45"/>
              <w:rPr>
                <w:rFonts w:hint="eastAsia"/>
                <w:color w:val="auto"/>
                <w:highlight w:val="none"/>
              </w:rPr>
            </w:pPr>
            <w:r>
              <w:rPr>
                <w:rFonts w:hint="eastAsia"/>
                <w:color w:val="auto"/>
                <w:highlight w:val="none"/>
              </w:rPr>
              <w:t>10</w:t>
            </w:r>
          </w:p>
        </w:tc>
        <w:tc>
          <w:tcPr>
            <w:tcW w:w="1134" w:type="dxa"/>
            <w:vMerge w:val="continue"/>
            <w:tcBorders>
              <w:left w:val="single" w:color="auto" w:sz="4" w:space="0"/>
            </w:tcBorders>
          </w:tcPr>
          <w:p w14:paraId="236EAD42"/>
        </w:tc>
        <w:tc>
          <w:tcPr>
            <w:tcW w:w="1559" w:type="dxa"/>
            <w:tcBorders>
              <w:left w:val="single" w:color="auto" w:sz="4" w:space="0"/>
            </w:tcBorders>
            <w:shd w:val="clear" w:color="auto" w:fill="auto"/>
            <w:vAlign w:val="center"/>
          </w:tcPr>
          <w:p w14:paraId="4CC79D26">
            <w:pPr>
              <w:pStyle w:val="45"/>
              <w:rPr>
                <w:rFonts w:hint="eastAsia"/>
                <w:color w:val="auto"/>
                <w:highlight w:val="none"/>
              </w:rPr>
            </w:pPr>
            <w:r>
              <w:rPr>
                <w:rFonts w:hint="eastAsia"/>
                <w:color w:val="auto"/>
                <w:highlight w:val="none"/>
              </w:rPr>
              <w:t>需求完成率</w:t>
            </w:r>
          </w:p>
        </w:tc>
        <w:tc>
          <w:tcPr>
            <w:tcW w:w="2268" w:type="dxa"/>
            <w:tcBorders>
              <w:left w:val="single" w:color="auto" w:sz="4" w:space="0"/>
            </w:tcBorders>
            <w:shd w:val="clear" w:color="auto" w:fill="auto"/>
            <w:vAlign w:val="center"/>
          </w:tcPr>
          <w:p w14:paraId="62BC6808">
            <w:pPr>
              <w:pStyle w:val="45"/>
              <w:rPr>
                <w:rFonts w:hint="eastAsia"/>
                <w:color w:val="auto"/>
                <w:highlight w:val="none"/>
              </w:rPr>
            </w:pPr>
            <w:r>
              <w:rPr>
                <w:rFonts w:hint="eastAsia"/>
                <w:color w:val="auto"/>
                <w:highlight w:val="none"/>
              </w:rPr>
              <w:t>用于记录统计周期内甲方需求完成投产的比例</w:t>
            </w:r>
          </w:p>
        </w:tc>
        <w:tc>
          <w:tcPr>
            <w:tcW w:w="3686" w:type="dxa"/>
            <w:tcBorders>
              <w:left w:val="single" w:color="auto" w:sz="4" w:space="0"/>
            </w:tcBorders>
            <w:shd w:val="clear" w:color="auto" w:fill="auto"/>
            <w:vAlign w:val="center"/>
          </w:tcPr>
          <w:p w14:paraId="6E629F85">
            <w:pPr>
              <w:pStyle w:val="45"/>
              <w:rPr>
                <w:rFonts w:hint="eastAsia"/>
                <w:color w:val="auto"/>
                <w:highlight w:val="none"/>
              </w:rPr>
            </w:pPr>
            <w:r>
              <w:rPr>
                <w:rFonts w:hint="eastAsia"/>
                <w:color w:val="auto"/>
                <w:highlight w:val="none"/>
              </w:rPr>
              <w:t>需求完成率=流程完结需求数/总需求数</w:t>
            </w:r>
          </w:p>
          <w:p w14:paraId="1B8F67FD">
            <w:pPr>
              <w:pStyle w:val="45"/>
              <w:rPr>
                <w:rFonts w:hint="eastAsia"/>
                <w:color w:val="auto"/>
                <w:highlight w:val="none"/>
              </w:rPr>
            </w:pPr>
            <w:r>
              <w:rPr>
                <w:rFonts w:hint="eastAsia"/>
                <w:color w:val="auto"/>
                <w:highlight w:val="none"/>
              </w:rPr>
              <w:t>注：流程完结需求数指统计周期内已完成投产的需求个数；总需求数指统计周期内由甲方提出到达服务商项目组的需求个数。</w:t>
            </w:r>
          </w:p>
          <w:p w14:paraId="4DBC4F45">
            <w:pPr>
              <w:pStyle w:val="45"/>
              <w:rPr>
                <w:rFonts w:hint="eastAsia"/>
                <w:color w:val="auto"/>
                <w:highlight w:val="none"/>
              </w:rPr>
            </w:pPr>
            <w:r>
              <w:rPr>
                <w:rFonts w:hint="eastAsia"/>
                <w:color w:val="auto"/>
                <w:highlight w:val="none"/>
              </w:rPr>
              <w:t>5分【98%-100%】</w:t>
            </w:r>
          </w:p>
          <w:p w14:paraId="47900BA3">
            <w:pPr>
              <w:pStyle w:val="45"/>
              <w:rPr>
                <w:rFonts w:hint="eastAsia"/>
                <w:color w:val="auto"/>
                <w:highlight w:val="none"/>
              </w:rPr>
            </w:pPr>
            <w:r>
              <w:rPr>
                <w:rFonts w:hint="eastAsia"/>
                <w:color w:val="auto"/>
                <w:highlight w:val="none"/>
              </w:rPr>
              <w:t>3分【95%-97%】</w:t>
            </w:r>
          </w:p>
          <w:p w14:paraId="16EB20D4">
            <w:pPr>
              <w:pStyle w:val="45"/>
              <w:rPr>
                <w:rFonts w:hint="eastAsia"/>
                <w:color w:val="auto"/>
                <w:highlight w:val="none"/>
              </w:rPr>
            </w:pPr>
            <w:r>
              <w:rPr>
                <w:rFonts w:hint="eastAsia"/>
                <w:color w:val="auto"/>
                <w:highlight w:val="none"/>
              </w:rPr>
              <w:t>0分【低于95%】</w:t>
            </w:r>
          </w:p>
        </w:tc>
        <w:tc>
          <w:tcPr>
            <w:tcW w:w="2410" w:type="dxa"/>
            <w:tcBorders>
              <w:left w:val="single" w:color="auto" w:sz="4" w:space="0"/>
            </w:tcBorders>
            <w:vAlign w:val="center"/>
          </w:tcPr>
          <w:p w14:paraId="4C4663EA">
            <w:pPr>
              <w:pStyle w:val="45"/>
              <w:rPr>
                <w:rFonts w:hint="eastAsia"/>
                <w:color w:val="auto"/>
                <w:highlight w:val="none"/>
              </w:rPr>
            </w:pPr>
          </w:p>
        </w:tc>
        <w:tc>
          <w:tcPr>
            <w:tcW w:w="1134" w:type="dxa"/>
            <w:tcBorders>
              <w:left w:val="single" w:color="auto" w:sz="4" w:space="0"/>
            </w:tcBorders>
            <w:vAlign w:val="center"/>
          </w:tcPr>
          <w:p w14:paraId="002D9DA8">
            <w:pPr>
              <w:pStyle w:val="45"/>
              <w:rPr>
                <w:rFonts w:hint="eastAsia"/>
                <w:color w:val="auto"/>
                <w:highlight w:val="none"/>
              </w:rPr>
            </w:pPr>
          </w:p>
        </w:tc>
        <w:tc>
          <w:tcPr>
            <w:tcW w:w="1086" w:type="dxa"/>
            <w:tcBorders>
              <w:left w:val="single" w:color="auto" w:sz="4" w:space="0"/>
            </w:tcBorders>
            <w:vAlign w:val="center"/>
          </w:tcPr>
          <w:p w14:paraId="4EE37737">
            <w:pPr>
              <w:pStyle w:val="45"/>
              <w:rPr>
                <w:rFonts w:hint="eastAsia"/>
                <w:color w:val="auto"/>
                <w:highlight w:val="none"/>
              </w:rPr>
            </w:pPr>
          </w:p>
        </w:tc>
      </w:tr>
      <w:tr w14:paraId="72FB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2DD94B">
            <w:pPr>
              <w:pStyle w:val="45"/>
              <w:rPr>
                <w:rFonts w:hint="eastAsia"/>
                <w:color w:val="auto"/>
                <w:highlight w:val="none"/>
              </w:rPr>
            </w:pPr>
            <w:r>
              <w:rPr>
                <w:rFonts w:hint="eastAsia"/>
                <w:color w:val="auto"/>
                <w:highlight w:val="none"/>
              </w:rPr>
              <w:t>11</w:t>
            </w:r>
          </w:p>
        </w:tc>
        <w:tc>
          <w:tcPr>
            <w:tcW w:w="1134" w:type="dxa"/>
            <w:vMerge w:val="continue"/>
            <w:tcBorders>
              <w:left w:val="single" w:color="auto" w:sz="4" w:space="0"/>
            </w:tcBorders>
          </w:tcPr>
          <w:p w14:paraId="6D635AA6"/>
        </w:tc>
        <w:tc>
          <w:tcPr>
            <w:tcW w:w="1559" w:type="dxa"/>
            <w:tcBorders>
              <w:left w:val="single" w:color="auto" w:sz="4" w:space="0"/>
            </w:tcBorders>
            <w:vAlign w:val="center"/>
          </w:tcPr>
          <w:p w14:paraId="056DCF6E">
            <w:pPr>
              <w:pStyle w:val="45"/>
              <w:rPr>
                <w:rFonts w:hint="eastAsia"/>
                <w:color w:val="auto"/>
                <w:highlight w:val="none"/>
              </w:rPr>
            </w:pPr>
            <w:r>
              <w:rPr>
                <w:rFonts w:hint="eastAsia"/>
                <w:color w:val="auto"/>
                <w:highlight w:val="none"/>
              </w:rPr>
              <w:t>人员行为规范性</w:t>
            </w:r>
          </w:p>
        </w:tc>
        <w:tc>
          <w:tcPr>
            <w:tcW w:w="2268" w:type="dxa"/>
            <w:tcBorders>
              <w:left w:val="single" w:color="auto" w:sz="4" w:space="0"/>
            </w:tcBorders>
            <w:vAlign w:val="center"/>
          </w:tcPr>
          <w:p w14:paraId="4BCC45CA">
            <w:pPr>
              <w:pStyle w:val="45"/>
              <w:rPr>
                <w:rFonts w:hint="eastAsia"/>
                <w:color w:val="auto"/>
                <w:highlight w:val="none"/>
              </w:rPr>
            </w:pPr>
            <w:r>
              <w:rPr>
                <w:rFonts w:hint="eastAsia"/>
                <w:color w:val="auto"/>
                <w:highlight w:val="none"/>
              </w:rPr>
              <w:t>用于记录外包场地日常管理或检查过程中发现外包人员行为违规（包括但不限于办公纪律、造成办公环境物理安全隐患等）的次数</w:t>
            </w:r>
          </w:p>
        </w:tc>
        <w:tc>
          <w:tcPr>
            <w:tcW w:w="3686" w:type="dxa"/>
            <w:tcBorders>
              <w:left w:val="single" w:color="auto" w:sz="4" w:space="0"/>
            </w:tcBorders>
            <w:vAlign w:val="center"/>
          </w:tcPr>
          <w:p w14:paraId="26EFDF72">
            <w:pPr>
              <w:pStyle w:val="45"/>
              <w:rPr>
                <w:rFonts w:hint="eastAsia"/>
                <w:color w:val="auto"/>
                <w:highlight w:val="none"/>
              </w:rPr>
            </w:pPr>
            <w:r>
              <w:rPr>
                <w:rFonts w:hint="eastAsia"/>
                <w:color w:val="auto"/>
                <w:highlight w:val="none"/>
              </w:rPr>
              <w:t>【得分上限10分】</w:t>
            </w:r>
          </w:p>
          <w:p w14:paraId="6B5F2155">
            <w:pPr>
              <w:pStyle w:val="45"/>
              <w:rPr>
                <w:rFonts w:hint="eastAsia"/>
                <w:color w:val="auto"/>
                <w:highlight w:val="none"/>
              </w:rPr>
            </w:pPr>
            <w:r>
              <w:rPr>
                <w:rFonts w:hint="eastAsia"/>
                <w:color w:val="auto"/>
                <w:highlight w:val="none"/>
              </w:rPr>
              <w:t>0次：指未出现外包人员行为违规，该项指标满分；</w:t>
            </w:r>
          </w:p>
          <w:p w14:paraId="13186253">
            <w:pPr>
              <w:pStyle w:val="45"/>
              <w:rPr>
                <w:rFonts w:hint="eastAsia"/>
                <w:color w:val="auto"/>
                <w:highlight w:val="none"/>
              </w:rPr>
            </w:pPr>
            <w:r>
              <w:rPr>
                <w:rFonts w:hint="eastAsia"/>
                <w:color w:val="auto"/>
                <w:highlight w:val="none"/>
              </w:rPr>
              <w:t>1次及以上：指检查发现外包人员行为违规1次及以上（每人次扣5分，最高扣除10分）</w:t>
            </w:r>
          </w:p>
        </w:tc>
        <w:tc>
          <w:tcPr>
            <w:tcW w:w="2410" w:type="dxa"/>
            <w:tcBorders>
              <w:left w:val="single" w:color="auto" w:sz="4" w:space="0"/>
            </w:tcBorders>
            <w:vAlign w:val="center"/>
          </w:tcPr>
          <w:p w14:paraId="4509BC70">
            <w:pPr>
              <w:pStyle w:val="45"/>
              <w:rPr>
                <w:rFonts w:hint="eastAsia"/>
                <w:color w:val="auto"/>
                <w:highlight w:val="none"/>
              </w:rPr>
            </w:pPr>
            <w:r>
              <w:rPr>
                <w:rFonts w:hint="eastAsia"/>
                <w:color w:val="auto"/>
                <w:highlight w:val="none"/>
              </w:rPr>
              <w:t>每出现一次人员行为违规，扣除乙方金额人民币不低于500元。</w:t>
            </w:r>
          </w:p>
        </w:tc>
        <w:tc>
          <w:tcPr>
            <w:tcW w:w="1134" w:type="dxa"/>
            <w:tcBorders>
              <w:left w:val="single" w:color="auto" w:sz="4" w:space="0"/>
            </w:tcBorders>
            <w:vAlign w:val="center"/>
          </w:tcPr>
          <w:p w14:paraId="70303E48">
            <w:pPr>
              <w:pStyle w:val="45"/>
              <w:rPr>
                <w:rFonts w:hint="eastAsia"/>
                <w:color w:val="auto"/>
                <w:highlight w:val="none"/>
              </w:rPr>
            </w:pPr>
          </w:p>
        </w:tc>
        <w:tc>
          <w:tcPr>
            <w:tcW w:w="1086" w:type="dxa"/>
            <w:tcBorders>
              <w:left w:val="single" w:color="auto" w:sz="4" w:space="0"/>
            </w:tcBorders>
            <w:vAlign w:val="center"/>
          </w:tcPr>
          <w:p w14:paraId="04A8DAFE">
            <w:pPr>
              <w:pStyle w:val="45"/>
              <w:rPr>
                <w:rFonts w:hint="eastAsia"/>
                <w:color w:val="auto"/>
                <w:highlight w:val="none"/>
              </w:rPr>
            </w:pPr>
          </w:p>
        </w:tc>
      </w:tr>
      <w:tr w14:paraId="18ED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FC3B13E">
            <w:pPr>
              <w:pStyle w:val="45"/>
              <w:rPr>
                <w:rFonts w:hint="eastAsia"/>
                <w:color w:val="auto"/>
                <w:highlight w:val="none"/>
              </w:rPr>
            </w:pPr>
            <w:r>
              <w:rPr>
                <w:rFonts w:hint="eastAsia"/>
                <w:color w:val="auto"/>
                <w:highlight w:val="none"/>
              </w:rPr>
              <w:t>12</w:t>
            </w:r>
          </w:p>
        </w:tc>
        <w:tc>
          <w:tcPr>
            <w:tcW w:w="1134" w:type="dxa"/>
            <w:vMerge w:val="continue"/>
            <w:tcBorders>
              <w:left w:val="single" w:color="auto" w:sz="4" w:space="0"/>
            </w:tcBorders>
          </w:tcPr>
          <w:p w14:paraId="6F1C87CE"/>
        </w:tc>
        <w:tc>
          <w:tcPr>
            <w:tcW w:w="1559" w:type="dxa"/>
            <w:tcBorders>
              <w:left w:val="single" w:color="auto" w:sz="4" w:space="0"/>
            </w:tcBorders>
            <w:vAlign w:val="center"/>
          </w:tcPr>
          <w:p w14:paraId="2B4185E0">
            <w:pPr>
              <w:pStyle w:val="45"/>
              <w:rPr>
                <w:rFonts w:hint="eastAsia"/>
                <w:color w:val="auto"/>
                <w:highlight w:val="none"/>
              </w:rPr>
            </w:pPr>
            <w:r>
              <w:rPr>
                <w:rFonts w:hint="eastAsia"/>
                <w:color w:val="auto"/>
                <w:highlight w:val="none"/>
              </w:rPr>
              <w:t>人员变动率</w:t>
            </w:r>
          </w:p>
        </w:tc>
        <w:tc>
          <w:tcPr>
            <w:tcW w:w="2268" w:type="dxa"/>
            <w:tcBorders>
              <w:left w:val="single" w:color="auto" w:sz="4" w:space="0"/>
            </w:tcBorders>
            <w:vAlign w:val="center"/>
          </w:tcPr>
          <w:p w14:paraId="0EDB45C7">
            <w:pPr>
              <w:pStyle w:val="45"/>
              <w:rPr>
                <w:rFonts w:hint="eastAsia"/>
                <w:color w:val="auto"/>
                <w:highlight w:val="none"/>
              </w:rPr>
            </w:pPr>
            <w:r>
              <w:rPr>
                <w:rFonts w:hint="eastAsia"/>
                <w:color w:val="auto"/>
                <w:highlight w:val="none"/>
              </w:rPr>
              <w:t>用于记录统计周期内乙方未经甲方同意更换外包人员数量占乙方驻场外包人员总数量的比率</w:t>
            </w:r>
          </w:p>
        </w:tc>
        <w:tc>
          <w:tcPr>
            <w:tcW w:w="3686" w:type="dxa"/>
            <w:tcBorders>
              <w:left w:val="single" w:color="auto" w:sz="4" w:space="0"/>
            </w:tcBorders>
            <w:vAlign w:val="center"/>
          </w:tcPr>
          <w:p w14:paraId="5CF49DD7">
            <w:pPr>
              <w:pStyle w:val="45"/>
              <w:rPr>
                <w:rFonts w:hint="eastAsia"/>
                <w:color w:val="auto"/>
                <w:highlight w:val="none"/>
              </w:rPr>
            </w:pPr>
            <w:r>
              <w:rPr>
                <w:rFonts w:hint="eastAsia"/>
                <w:color w:val="auto"/>
                <w:highlight w:val="none"/>
              </w:rPr>
              <w:t>人员变动率=乙方未经甲方同意更换外包人员数量/乙方驻场外包人员总数量</w:t>
            </w:r>
          </w:p>
          <w:p w14:paraId="4E98BE33">
            <w:pPr>
              <w:pStyle w:val="45"/>
              <w:rPr>
                <w:rFonts w:hint="eastAsia"/>
                <w:color w:val="auto"/>
                <w:highlight w:val="none"/>
              </w:rPr>
            </w:pPr>
            <w:r>
              <w:rPr>
                <w:rFonts w:hint="eastAsia"/>
                <w:color w:val="auto"/>
                <w:highlight w:val="none"/>
              </w:rPr>
              <w:t>10分【0-20%】</w:t>
            </w:r>
          </w:p>
          <w:p w14:paraId="4A0902D9">
            <w:pPr>
              <w:pStyle w:val="45"/>
              <w:rPr>
                <w:rFonts w:hint="eastAsia"/>
                <w:color w:val="auto"/>
                <w:highlight w:val="none"/>
              </w:rPr>
            </w:pPr>
            <w:r>
              <w:rPr>
                <w:rFonts w:hint="eastAsia"/>
                <w:color w:val="auto"/>
                <w:highlight w:val="none"/>
              </w:rPr>
              <w:t>5分【20%-40%】</w:t>
            </w:r>
          </w:p>
          <w:p w14:paraId="0414EA5D">
            <w:pPr>
              <w:pStyle w:val="45"/>
              <w:rPr>
                <w:rFonts w:hint="eastAsia"/>
                <w:color w:val="auto"/>
                <w:highlight w:val="none"/>
              </w:rPr>
            </w:pPr>
            <w:r>
              <w:rPr>
                <w:rFonts w:hint="eastAsia"/>
                <w:color w:val="auto"/>
                <w:highlight w:val="none"/>
              </w:rPr>
              <w:t>0分【超过40%】</w:t>
            </w:r>
          </w:p>
        </w:tc>
        <w:tc>
          <w:tcPr>
            <w:tcW w:w="2410" w:type="dxa"/>
            <w:tcBorders>
              <w:left w:val="single" w:color="auto" w:sz="4" w:space="0"/>
            </w:tcBorders>
            <w:vAlign w:val="center"/>
          </w:tcPr>
          <w:p w14:paraId="4C1D5D6C">
            <w:pPr>
              <w:pStyle w:val="45"/>
              <w:rPr>
                <w:rFonts w:hint="eastAsia"/>
                <w:color w:val="auto"/>
                <w:highlight w:val="none"/>
              </w:rPr>
            </w:pPr>
            <w:r>
              <w:rPr>
                <w:rFonts w:hint="eastAsia"/>
                <w:color w:val="auto"/>
                <w:highlight w:val="none"/>
              </w:rPr>
              <w:t>技术骨干或项目经理未经甲方同意变动，扣除乙方金额人民币不低于3万元；其余人员变动率超过40%，扣除不低于合同总金额的1%。</w:t>
            </w:r>
          </w:p>
        </w:tc>
        <w:tc>
          <w:tcPr>
            <w:tcW w:w="1134" w:type="dxa"/>
            <w:tcBorders>
              <w:left w:val="single" w:color="auto" w:sz="4" w:space="0"/>
            </w:tcBorders>
            <w:vAlign w:val="center"/>
          </w:tcPr>
          <w:p w14:paraId="5A5728BA">
            <w:pPr>
              <w:pStyle w:val="45"/>
              <w:rPr>
                <w:rFonts w:hint="eastAsia"/>
                <w:color w:val="auto"/>
                <w:highlight w:val="none"/>
              </w:rPr>
            </w:pPr>
          </w:p>
        </w:tc>
        <w:tc>
          <w:tcPr>
            <w:tcW w:w="1086" w:type="dxa"/>
            <w:tcBorders>
              <w:left w:val="single" w:color="auto" w:sz="4" w:space="0"/>
            </w:tcBorders>
            <w:vAlign w:val="center"/>
          </w:tcPr>
          <w:p w14:paraId="21629B67">
            <w:pPr>
              <w:pStyle w:val="45"/>
              <w:rPr>
                <w:rFonts w:hint="eastAsia"/>
                <w:color w:val="auto"/>
                <w:highlight w:val="none"/>
              </w:rPr>
            </w:pPr>
          </w:p>
        </w:tc>
      </w:tr>
      <w:tr w14:paraId="71BB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F3A4152">
            <w:pPr>
              <w:pStyle w:val="45"/>
              <w:rPr>
                <w:rFonts w:hint="eastAsia"/>
                <w:color w:val="auto"/>
                <w:highlight w:val="none"/>
              </w:rPr>
            </w:pPr>
            <w:r>
              <w:rPr>
                <w:rFonts w:hint="eastAsia"/>
                <w:color w:val="auto"/>
                <w:highlight w:val="none"/>
              </w:rPr>
              <w:t>13</w:t>
            </w:r>
          </w:p>
        </w:tc>
        <w:tc>
          <w:tcPr>
            <w:tcW w:w="1134" w:type="dxa"/>
            <w:vMerge w:val="continue"/>
            <w:tcBorders>
              <w:left w:val="single" w:color="auto" w:sz="4" w:space="0"/>
            </w:tcBorders>
          </w:tcPr>
          <w:p w14:paraId="46AC8229"/>
        </w:tc>
        <w:tc>
          <w:tcPr>
            <w:tcW w:w="1559" w:type="dxa"/>
            <w:tcBorders>
              <w:left w:val="single" w:color="auto" w:sz="4" w:space="0"/>
            </w:tcBorders>
            <w:vAlign w:val="center"/>
          </w:tcPr>
          <w:p w14:paraId="03C4D1B5">
            <w:pPr>
              <w:pStyle w:val="45"/>
              <w:rPr>
                <w:rFonts w:hint="eastAsia"/>
                <w:color w:val="auto"/>
                <w:highlight w:val="none"/>
              </w:rPr>
            </w:pPr>
            <w:r>
              <w:rPr>
                <w:rFonts w:hint="eastAsia"/>
                <w:color w:val="auto"/>
                <w:highlight w:val="none"/>
              </w:rPr>
              <w:t>人员满意度评价</w:t>
            </w:r>
          </w:p>
        </w:tc>
        <w:tc>
          <w:tcPr>
            <w:tcW w:w="2268" w:type="dxa"/>
            <w:tcBorders>
              <w:left w:val="single" w:color="auto" w:sz="4" w:space="0"/>
            </w:tcBorders>
            <w:vAlign w:val="center"/>
          </w:tcPr>
          <w:p w14:paraId="1AEB997E">
            <w:pPr>
              <w:pStyle w:val="45"/>
              <w:rPr>
                <w:rFonts w:hint="eastAsia"/>
                <w:color w:val="auto"/>
                <w:highlight w:val="none"/>
              </w:rPr>
            </w:pPr>
            <w:r>
              <w:rPr>
                <w:rFonts w:hint="eastAsia"/>
                <w:color w:val="auto"/>
                <w:highlight w:val="none"/>
              </w:rPr>
              <w:t>甲方对乙方外包人员表现的满意度评价</w:t>
            </w:r>
          </w:p>
        </w:tc>
        <w:tc>
          <w:tcPr>
            <w:tcW w:w="3686" w:type="dxa"/>
            <w:tcBorders>
              <w:left w:val="single" w:color="auto" w:sz="4" w:space="0"/>
            </w:tcBorders>
            <w:vAlign w:val="center"/>
          </w:tcPr>
          <w:p w14:paraId="464252FA">
            <w:pPr>
              <w:pStyle w:val="45"/>
              <w:rPr>
                <w:rFonts w:hint="eastAsia"/>
                <w:color w:val="auto"/>
                <w:highlight w:val="none"/>
              </w:rPr>
            </w:pPr>
            <w:r>
              <w:rPr>
                <w:rFonts w:hint="eastAsia"/>
                <w:color w:val="auto"/>
                <w:highlight w:val="none"/>
              </w:rPr>
              <w:t>优秀：5分，指工作效率高，态度积极主动，保质保量完成工作任务，对团队有突出贡献，日常行为能起到模范带头作用的；</w:t>
            </w:r>
          </w:p>
          <w:p w14:paraId="37DE02D5">
            <w:pPr>
              <w:pStyle w:val="45"/>
              <w:rPr>
                <w:rFonts w:hint="eastAsia"/>
                <w:color w:val="auto"/>
                <w:highlight w:val="none"/>
              </w:rPr>
            </w:pPr>
            <w:r>
              <w:rPr>
                <w:rFonts w:hint="eastAsia"/>
                <w:color w:val="auto"/>
                <w:highlight w:val="none"/>
              </w:rPr>
              <w:t>良好：4分，指工作效率较高，态度比较主动，较好完成工作任务，对团队有一定贡献，日常行为表现较好的；</w:t>
            </w:r>
          </w:p>
          <w:p w14:paraId="00BB727E">
            <w:pPr>
              <w:pStyle w:val="45"/>
              <w:rPr>
                <w:rFonts w:hint="eastAsia"/>
                <w:color w:val="auto"/>
                <w:highlight w:val="none"/>
              </w:rPr>
            </w:pPr>
            <w:r>
              <w:rPr>
                <w:rFonts w:hint="eastAsia"/>
                <w:color w:val="auto"/>
                <w:highlight w:val="none"/>
              </w:rPr>
              <w:t>合格：3分，指工作效率一般，态度合格，能够按时完成工作任务的；</w:t>
            </w:r>
          </w:p>
          <w:p w14:paraId="7CCC496A">
            <w:pPr>
              <w:pStyle w:val="45"/>
              <w:rPr>
                <w:rFonts w:hint="eastAsia"/>
                <w:color w:val="auto"/>
                <w:highlight w:val="none"/>
              </w:rPr>
            </w:pPr>
            <w:r>
              <w:rPr>
                <w:rFonts w:hint="eastAsia"/>
                <w:color w:val="auto"/>
                <w:highlight w:val="none"/>
              </w:rPr>
              <w:t>较差/差：0分，指工作效率低下，态度懈怠散漫，不能按时完成工作任务的。</w:t>
            </w:r>
          </w:p>
        </w:tc>
        <w:tc>
          <w:tcPr>
            <w:tcW w:w="2410" w:type="dxa"/>
            <w:tcBorders>
              <w:left w:val="single" w:color="auto" w:sz="4" w:space="0"/>
            </w:tcBorders>
            <w:vAlign w:val="center"/>
          </w:tcPr>
          <w:p w14:paraId="17C08D4A">
            <w:pPr>
              <w:pStyle w:val="45"/>
              <w:rPr>
                <w:rFonts w:hint="eastAsia"/>
                <w:color w:val="auto"/>
                <w:highlight w:val="none"/>
              </w:rPr>
            </w:pPr>
            <w:r>
              <w:rPr>
                <w:rFonts w:hint="eastAsia"/>
                <w:color w:val="auto"/>
                <w:highlight w:val="none"/>
              </w:rPr>
              <w:t>评价为较差/差时，甲方有权要求乙方更换人员并赔偿实际损失。</w:t>
            </w:r>
          </w:p>
        </w:tc>
        <w:tc>
          <w:tcPr>
            <w:tcW w:w="1134" w:type="dxa"/>
            <w:tcBorders>
              <w:left w:val="single" w:color="auto" w:sz="4" w:space="0"/>
            </w:tcBorders>
            <w:vAlign w:val="center"/>
          </w:tcPr>
          <w:p w14:paraId="244A63F0">
            <w:pPr>
              <w:pStyle w:val="45"/>
              <w:rPr>
                <w:rFonts w:hint="eastAsia"/>
                <w:color w:val="auto"/>
                <w:highlight w:val="none"/>
              </w:rPr>
            </w:pPr>
          </w:p>
        </w:tc>
        <w:tc>
          <w:tcPr>
            <w:tcW w:w="1086" w:type="dxa"/>
            <w:tcBorders>
              <w:left w:val="single" w:color="auto" w:sz="4" w:space="0"/>
            </w:tcBorders>
            <w:vAlign w:val="center"/>
          </w:tcPr>
          <w:p w14:paraId="3469E573">
            <w:pPr>
              <w:pStyle w:val="45"/>
              <w:rPr>
                <w:rFonts w:hint="eastAsia"/>
                <w:color w:val="auto"/>
                <w:highlight w:val="none"/>
              </w:rPr>
            </w:pPr>
          </w:p>
        </w:tc>
      </w:tr>
      <w:tr w14:paraId="1512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182D9A7C">
            <w:pPr>
              <w:pStyle w:val="45"/>
              <w:rPr>
                <w:rFonts w:hint="eastAsia"/>
                <w:color w:val="auto"/>
                <w:highlight w:val="none"/>
              </w:rPr>
            </w:pPr>
            <w:r>
              <w:rPr>
                <w:rFonts w:hint="eastAsia"/>
                <w:color w:val="auto"/>
                <w:highlight w:val="none"/>
              </w:rPr>
              <w:t>综合得分：</w:t>
            </w:r>
          </w:p>
        </w:tc>
        <w:tc>
          <w:tcPr>
            <w:tcW w:w="1086" w:type="dxa"/>
            <w:tcBorders>
              <w:left w:val="single" w:color="auto" w:sz="4" w:space="0"/>
            </w:tcBorders>
          </w:tcPr>
          <w:p w14:paraId="1105AED8">
            <w:pPr>
              <w:pStyle w:val="45"/>
              <w:rPr>
                <w:rFonts w:hint="eastAsia"/>
                <w:color w:val="auto"/>
                <w:highlight w:val="none"/>
              </w:rPr>
            </w:pPr>
          </w:p>
        </w:tc>
      </w:tr>
      <w:tr w14:paraId="4974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3981" w:type="dxa"/>
            <w:gridSpan w:val="8"/>
          </w:tcPr>
          <w:p w14:paraId="31EAEC6E">
            <w:pPr>
              <w:pStyle w:val="45"/>
              <w:rPr>
                <w:rFonts w:hint="eastAsia"/>
                <w:color w:val="auto"/>
                <w:highlight w:val="none"/>
              </w:rPr>
            </w:pPr>
            <w:r>
              <w:rPr>
                <w:rFonts w:hint="eastAsia"/>
                <w:color w:val="auto"/>
                <w:highlight w:val="none"/>
              </w:rPr>
              <w:t>综合评价结果：</w:t>
            </w:r>
          </w:p>
          <w:p w14:paraId="3708207F">
            <w:pPr>
              <w:pStyle w:val="45"/>
              <w:rPr>
                <w:rFonts w:hint="eastAsia"/>
                <w:color w:val="auto"/>
                <w:highlight w:val="none"/>
              </w:rPr>
            </w:pPr>
            <w:r>
              <w:rPr>
                <w:rFonts w:hint="eastAsia"/>
                <w:color w:val="auto"/>
                <w:highlight w:val="none"/>
              </w:rPr>
              <w:t>（注：根据评价得分填写评价等级，填写完成后删除此内容）</w:t>
            </w:r>
          </w:p>
          <w:p w14:paraId="7BC08D7C">
            <w:pPr>
              <w:pStyle w:val="45"/>
              <w:rPr>
                <w:rFonts w:hint="eastAsia"/>
                <w:color w:val="auto"/>
                <w:highlight w:val="none"/>
              </w:rPr>
            </w:pPr>
            <w:r>
              <w:rPr>
                <w:rFonts w:hint="eastAsia"/>
                <w:color w:val="auto"/>
                <w:highlight w:val="none"/>
              </w:rPr>
              <w:t>综合评价描述：</w:t>
            </w:r>
          </w:p>
          <w:p w14:paraId="6C5ACB8B">
            <w:pPr>
              <w:pStyle w:val="45"/>
              <w:rPr>
                <w:rFonts w:hint="eastAsia"/>
                <w:color w:val="auto"/>
                <w:highlight w:val="none"/>
              </w:rPr>
            </w:pPr>
            <w:r>
              <w:rPr>
                <w:rFonts w:hint="eastAsia"/>
                <w:color w:val="auto"/>
                <w:highlight w:val="none"/>
              </w:rPr>
              <w:t>（注：不满足服务要求的情况，需详细阐述不满足的内容及扣除合同违约金，填写完成后删除此内容）</w:t>
            </w:r>
          </w:p>
          <w:p w14:paraId="6CF370B8">
            <w:pPr>
              <w:pStyle w:val="45"/>
              <w:rPr>
                <w:rFonts w:hint="eastAsia"/>
                <w:color w:val="auto"/>
                <w:highlight w:val="none"/>
              </w:rPr>
            </w:pPr>
          </w:p>
          <w:p w14:paraId="4E7A0E7D">
            <w:pPr>
              <w:pStyle w:val="45"/>
              <w:rPr>
                <w:rFonts w:hint="eastAsia"/>
                <w:color w:val="auto"/>
                <w:highlight w:val="none"/>
              </w:rPr>
            </w:pPr>
            <w:r>
              <w:rPr>
                <w:rFonts w:hint="eastAsia"/>
                <w:color w:val="auto"/>
                <w:highlight w:val="none"/>
              </w:rPr>
              <w:t xml:space="preserve">评价人：                                       </w:t>
            </w:r>
          </w:p>
        </w:tc>
      </w:tr>
    </w:tbl>
    <w:p w14:paraId="709CE15E">
      <w:pPr>
        <w:spacing w:line="360" w:lineRule="auto"/>
        <w:rPr>
          <w:rFonts w:ascii="宋体" w:eastAsia="宋体"/>
          <w:color w:val="auto"/>
          <w:spacing w:val="0"/>
          <w:highlight w:val="none"/>
        </w:rPr>
      </w:pPr>
      <w:r>
        <w:rPr>
          <w:rFonts w:hint="eastAsia" w:ascii="宋体" w:eastAsia="宋体"/>
          <w:color w:val="auto"/>
          <w:spacing w:val="0"/>
          <w:highlight w:val="none"/>
        </w:rPr>
        <w:t>注：综合评价等级划分优秀、良好、合格、差</w:t>
      </w:r>
    </w:p>
    <w:p w14:paraId="2D5D9758">
      <w:pPr>
        <w:spacing w:line="360" w:lineRule="auto"/>
        <w:rPr>
          <w:rFonts w:ascii="宋体" w:eastAsia="宋体"/>
          <w:color w:val="auto"/>
          <w:spacing w:val="0"/>
          <w:highlight w:val="none"/>
        </w:rPr>
      </w:pPr>
      <w:r>
        <w:rPr>
          <w:rFonts w:hint="eastAsia" w:ascii="宋体" w:eastAsia="宋体"/>
          <w:color w:val="auto"/>
          <w:spacing w:val="0"/>
          <w:highlight w:val="none"/>
        </w:rPr>
        <w:t>优秀：评价得分达90分以上；</w:t>
      </w:r>
    </w:p>
    <w:p w14:paraId="4C607BC4">
      <w:pPr>
        <w:spacing w:line="360" w:lineRule="auto"/>
        <w:rPr>
          <w:rFonts w:ascii="宋体" w:eastAsia="宋体"/>
          <w:color w:val="auto"/>
          <w:spacing w:val="0"/>
          <w:highlight w:val="none"/>
        </w:rPr>
      </w:pPr>
      <w:r>
        <w:rPr>
          <w:rFonts w:hint="eastAsia" w:ascii="宋体" w:eastAsia="宋体"/>
          <w:color w:val="auto"/>
          <w:spacing w:val="0"/>
          <w:highlight w:val="none"/>
        </w:rPr>
        <w:t>良好：评价得分达75-90分；</w:t>
      </w:r>
    </w:p>
    <w:p w14:paraId="2E1087F3">
      <w:pPr>
        <w:spacing w:line="360" w:lineRule="auto"/>
        <w:rPr>
          <w:rFonts w:ascii="宋体" w:eastAsia="宋体"/>
          <w:color w:val="auto"/>
          <w:spacing w:val="0"/>
          <w:highlight w:val="none"/>
        </w:rPr>
      </w:pPr>
      <w:r>
        <w:rPr>
          <w:rFonts w:hint="eastAsia" w:ascii="宋体" w:eastAsia="宋体"/>
          <w:color w:val="auto"/>
          <w:spacing w:val="0"/>
          <w:highlight w:val="none"/>
        </w:rPr>
        <w:t>合格：评价得分达60-75分；</w:t>
      </w:r>
    </w:p>
    <w:p w14:paraId="7126D2B2">
      <w:pPr>
        <w:spacing w:line="360" w:lineRule="auto"/>
        <w:rPr>
          <w:rFonts w:ascii="宋体" w:eastAsia="宋体"/>
          <w:color w:val="auto"/>
          <w:spacing w:val="0"/>
          <w:highlight w:val="none"/>
        </w:rPr>
      </w:pPr>
      <w:r>
        <w:rPr>
          <w:rFonts w:hint="eastAsia" w:ascii="宋体" w:eastAsia="宋体"/>
          <w:color w:val="auto"/>
          <w:spacing w:val="0"/>
          <w:highlight w:val="none"/>
        </w:rPr>
        <w:t>差：评价得分在60分以下。</w:t>
      </w:r>
    </w:p>
    <w:p w14:paraId="54906E24">
      <w:pPr>
        <w:spacing w:line="360" w:lineRule="auto"/>
        <w:rPr>
          <w:rFonts w:ascii="宋体" w:eastAsia="宋体"/>
          <w:color w:val="auto"/>
          <w:spacing w:val="0"/>
          <w:highlight w:val="none"/>
        </w:rPr>
      </w:pPr>
      <w:r>
        <w:rPr>
          <w:rFonts w:hint="eastAsia" w:ascii="宋体" w:eastAsia="宋体"/>
          <w:color w:val="auto"/>
          <w:spacing w:val="0"/>
          <w:highlight w:val="none"/>
        </w:rPr>
        <w:t>评价结果将作为服务提供商后续准入的重要参考依据。</w:t>
      </w:r>
    </w:p>
    <w:p w14:paraId="62AACEB7">
      <w:pPr>
        <w:spacing w:line="360" w:lineRule="auto"/>
        <w:rPr>
          <w:rFonts w:ascii="宋体" w:eastAsia="宋体"/>
          <w:color w:val="auto"/>
          <w:spacing w:val="0"/>
          <w:szCs w:val="24"/>
          <w:highlight w:val="none"/>
        </w:rPr>
      </w:pPr>
    </w:p>
    <w:p w14:paraId="0E5CAD98">
      <w:pPr>
        <w:spacing w:line="360" w:lineRule="auto"/>
        <w:rPr>
          <w:rFonts w:ascii="宋体" w:eastAsia="宋体"/>
          <w:color w:val="auto"/>
          <w:spacing w:val="0"/>
          <w:szCs w:val="24"/>
          <w:highlight w:val="none"/>
        </w:rPr>
        <w:sectPr>
          <w:pgSz w:w="16838" w:h="11906" w:orient="landscape"/>
          <w:pgMar w:top="1800" w:right="1384" w:bottom="1800" w:left="1440" w:header="851" w:footer="992" w:gutter="0"/>
          <w:cols w:space="720" w:num="1"/>
          <w:docGrid w:type="lines" w:linePitch="326" w:charSpace="0"/>
        </w:sectPr>
      </w:pPr>
    </w:p>
    <w:p w14:paraId="3D6CC168">
      <w:pPr>
        <w:keepNext w:val="0"/>
        <w:keepLines w:val="0"/>
        <w:pageBreakBefore w:val="0"/>
        <w:widowControl w:val="0"/>
        <w:kinsoku/>
        <w:wordWrap/>
        <w:overflowPunct/>
        <w:topLinePunct w:val="0"/>
        <w:autoSpaceDE w:val="0"/>
        <w:autoSpaceDN w:val="0"/>
        <w:bidi w:val="0"/>
        <w:adjustRightInd/>
        <w:snapToGrid/>
        <w:spacing w:line="360" w:lineRule="auto"/>
        <w:ind w:firstLine="472" w:firstLineChars="196"/>
        <w:jc w:val="left"/>
        <w:textAlignment w:val="auto"/>
        <w:outlineLvl w:val="9"/>
        <w:rPr>
          <w:rFonts w:hint="eastAsia" w:ascii="Times New Roman" w:hAnsi="Times New Roman" w:eastAsia="宋体" w:cs="Times New Roman"/>
          <w:b/>
          <w:color w:val="auto"/>
          <w:spacing w:val="0"/>
          <w:sz w:val="24"/>
          <w:szCs w:val="20"/>
          <w:highlight w:val="none"/>
        </w:rPr>
      </w:pPr>
      <w:r>
        <w:rPr>
          <w:rFonts w:hint="eastAsia" w:ascii="Times New Roman" w:hAnsi="Times New Roman" w:eastAsia="宋体" w:cs="Times New Roman"/>
          <w:b/>
          <w:color w:val="auto"/>
          <w:spacing w:val="0"/>
          <w:sz w:val="24"/>
          <w:szCs w:val="20"/>
          <w:highlight w:val="none"/>
        </w:rPr>
        <w:t>附件六：服务连续性预案</w:t>
      </w:r>
    </w:p>
    <w:p w14:paraId="5B10B655">
      <w:pPr>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7904D120">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一、目的</w:t>
      </w:r>
    </w:p>
    <w:p w14:paraId="15EDE33A">
      <w:pPr>
        <w:spacing w:line="360" w:lineRule="auto"/>
        <w:ind w:firstLine="489" w:firstLineChars="233"/>
        <w:rPr>
          <w:rFonts w:eastAsia="宋体"/>
          <w:color w:val="auto"/>
          <w:spacing w:val="0"/>
          <w:szCs w:val="24"/>
          <w:highlight w:val="none"/>
        </w:rPr>
      </w:pPr>
      <w:r>
        <w:rPr>
          <w:rFonts w:hint="eastAsia" w:ascii="宋体" w:eastAsia="宋体"/>
          <w:color w:val="auto"/>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7E1AEBD6">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二、应急组织架构及职责</w:t>
      </w:r>
    </w:p>
    <w:p w14:paraId="7DA284D3">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5E7F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088E308">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5EF28E3A">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5F65C9B0">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9B1502A">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2EEA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0C9AA35">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1ECD2DA5">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0C115F68">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0BEBB84">
            <w:pPr>
              <w:widowControl/>
              <w:jc w:val="center"/>
              <w:rPr>
                <w:rFonts w:ascii="宋体" w:eastAsia="宋体"/>
                <w:color w:val="auto"/>
                <w:spacing w:val="0"/>
                <w:sz w:val="21"/>
                <w:szCs w:val="24"/>
                <w:highlight w:val="none"/>
              </w:rPr>
            </w:pPr>
          </w:p>
        </w:tc>
      </w:tr>
      <w:tr w14:paraId="04FD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823F288">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A324EA4">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D20662B">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D596360">
            <w:pPr>
              <w:widowControl/>
              <w:jc w:val="center"/>
              <w:rPr>
                <w:rFonts w:ascii="宋体" w:eastAsia="宋体"/>
                <w:color w:val="auto"/>
                <w:spacing w:val="0"/>
                <w:sz w:val="21"/>
                <w:szCs w:val="24"/>
                <w:highlight w:val="none"/>
              </w:rPr>
            </w:pPr>
          </w:p>
        </w:tc>
      </w:tr>
      <w:tr w14:paraId="1E7F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D004886">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CC69275">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58A884F">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7927345">
            <w:pPr>
              <w:widowControl/>
              <w:jc w:val="center"/>
              <w:rPr>
                <w:rFonts w:ascii="宋体" w:eastAsia="宋体"/>
                <w:color w:val="auto"/>
                <w:spacing w:val="0"/>
                <w:sz w:val="21"/>
                <w:szCs w:val="24"/>
                <w:highlight w:val="none"/>
              </w:rPr>
            </w:pPr>
          </w:p>
        </w:tc>
      </w:tr>
    </w:tbl>
    <w:p w14:paraId="43C66E13">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0B97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5DF0120">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373E979">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DD2E7B4">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9B422BF">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183D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08658DF">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D452850">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D2785C3">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119C4AA">
            <w:pPr>
              <w:widowControl/>
              <w:jc w:val="center"/>
              <w:rPr>
                <w:rFonts w:ascii="宋体" w:eastAsia="宋体"/>
                <w:color w:val="auto"/>
                <w:spacing w:val="0"/>
                <w:sz w:val="21"/>
                <w:szCs w:val="24"/>
                <w:highlight w:val="none"/>
              </w:rPr>
            </w:pPr>
          </w:p>
        </w:tc>
      </w:tr>
      <w:tr w14:paraId="2ECF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FF1B4BE">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A82D4E0">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2CB7364">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4174C60">
            <w:pPr>
              <w:widowControl/>
              <w:jc w:val="center"/>
              <w:rPr>
                <w:rFonts w:ascii="宋体" w:eastAsia="宋体"/>
                <w:color w:val="auto"/>
                <w:spacing w:val="0"/>
                <w:sz w:val="21"/>
                <w:szCs w:val="24"/>
                <w:highlight w:val="none"/>
              </w:rPr>
            </w:pPr>
          </w:p>
        </w:tc>
      </w:tr>
    </w:tbl>
    <w:p w14:paraId="0B6A3C0D">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BF9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8915431">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83CE434">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F1A7976">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7434E67">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71CE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8617629">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1AA2BA9">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1D50BFE">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5C012C0">
            <w:pPr>
              <w:widowControl/>
              <w:jc w:val="center"/>
              <w:rPr>
                <w:rFonts w:ascii="宋体" w:eastAsia="宋体"/>
                <w:color w:val="auto"/>
                <w:spacing w:val="0"/>
                <w:sz w:val="21"/>
                <w:szCs w:val="24"/>
                <w:highlight w:val="none"/>
              </w:rPr>
            </w:pPr>
          </w:p>
        </w:tc>
      </w:tr>
      <w:tr w14:paraId="38D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CFF3975">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5E16AF5">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53D7A8E">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2B5CD0E">
            <w:pPr>
              <w:widowControl/>
              <w:jc w:val="center"/>
              <w:rPr>
                <w:rFonts w:ascii="宋体" w:eastAsia="宋体"/>
                <w:color w:val="auto"/>
                <w:spacing w:val="0"/>
                <w:sz w:val="21"/>
                <w:szCs w:val="24"/>
                <w:highlight w:val="none"/>
              </w:rPr>
            </w:pPr>
          </w:p>
        </w:tc>
      </w:tr>
    </w:tbl>
    <w:p w14:paraId="17EDB67C">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（四）应急领导小组职责</w:t>
      </w:r>
    </w:p>
    <w:p w14:paraId="3D016B21">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w:t>
      </w:r>
      <w:r>
        <w:rPr>
          <w:rFonts w:ascii="宋体" w:eastAsia="宋体"/>
          <w:color w:val="auto"/>
          <w:spacing w:val="0"/>
          <w:szCs w:val="24"/>
          <w:highlight w:val="none"/>
        </w:rPr>
        <w:t>.</w:t>
      </w:r>
      <w:r>
        <w:rPr>
          <w:rFonts w:hint="eastAsia" w:ascii="宋体" w:eastAsia="宋体"/>
          <w:color w:val="auto"/>
          <w:spacing w:val="0"/>
          <w:szCs w:val="24"/>
          <w:highlight w:val="none"/>
        </w:rPr>
        <w:t>启动应急预案</w:t>
      </w:r>
    </w:p>
    <w:p w14:paraId="78AFCA33">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1A779146">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w:t>
      </w:r>
      <w:r>
        <w:rPr>
          <w:rFonts w:ascii="宋体" w:eastAsia="宋体"/>
          <w:color w:val="auto"/>
          <w:spacing w:val="0"/>
          <w:szCs w:val="24"/>
          <w:highlight w:val="none"/>
        </w:rPr>
        <w:t>.</w:t>
      </w:r>
      <w:r>
        <w:rPr>
          <w:rFonts w:hint="eastAsia" w:ascii="宋体" w:eastAsia="宋体"/>
          <w:color w:val="auto"/>
          <w:spacing w:val="0"/>
          <w:szCs w:val="24"/>
          <w:highlight w:val="none"/>
        </w:rPr>
        <w:t>应急事件处理</w:t>
      </w:r>
    </w:p>
    <w:p w14:paraId="17E7C5B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AEEEB3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3</w:t>
      </w:r>
      <w:r>
        <w:rPr>
          <w:rFonts w:ascii="宋体" w:eastAsia="宋体"/>
          <w:color w:val="auto"/>
          <w:spacing w:val="0"/>
          <w:szCs w:val="24"/>
          <w:highlight w:val="none"/>
        </w:rPr>
        <w:t>.</w:t>
      </w:r>
      <w:r>
        <w:rPr>
          <w:rFonts w:hint="eastAsia" w:ascii="宋体" w:eastAsia="宋体"/>
          <w:color w:val="auto"/>
          <w:spacing w:val="0"/>
          <w:szCs w:val="24"/>
          <w:highlight w:val="none"/>
        </w:rPr>
        <w:t>业务持续性计划及应急预案优化</w:t>
      </w:r>
    </w:p>
    <w:p w14:paraId="7DA77026">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0A98E0B">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三、应急场景</w:t>
      </w:r>
    </w:p>
    <w:p w14:paraId="7AB47F7C">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（一）单个核心成员或某个角色无法提供正常服务</w:t>
      </w:r>
    </w:p>
    <w:p w14:paraId="4908E96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1.影响程度：外包服务部分中断</w:t>
      </w:r>
    </w:p>
    <w:p w14:paraId="66410520">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1EEE0FD4">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1</w:t>
      </w:r>
      <w:r>
        <w:rPr>
          <w:rFonts w:hint="eastAsia" w:ascii="宋体" w:eastAsia="宋体"/>
          <w:color w:val="auto"/>
          <w:spacing w:val="0"/>
          <w:szCs w:val="24"/>
          <w:highlight w:val="none"/>
        </w:rPr>
        <w:t>）乙方在2小时内协调重庆本地高于该成员资历水平的的员工来甲方现场进行顶替，直到合适的补充人员入场能够接替该成员的工作为止，否则按照SLA第</w:t>
      </w:r>
      <w:r>
        <w:rPr>
          <w:rFonts w:ascii="宋体" w:eastAsia="宋体"/>
          <w:color w:val="auto"/>
          <w:spacing w:val="0"/>
          <w:szCs w:val="24"/>
          <w:highlight w:val="none"/>
        </w:rPr>
        <w:t>13</w:t>
      </w:r>
      <w:r>
        <w:rPr>
          <w:rFonts w:hint="eastAsia" w:ascii="宋体" w:eastAsia="宋体"/>
          <w:color w:val="auto"/>
          <w:spacing w:val="0"/>
          <w:szCs w:val="24"/>
          <w:highlight w:val="none"/>
        </w:rPr>
        <w:t>条更换人员的相关条款进行罚款。</w:t>
      </w:r>
    </w:p>
    <w:p w14:paraId="7FCBF973">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）乙方服务团队在合同有效期内，建立人才储备机制和培训机制，同时由A角和B角对项目进行支持工作。</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w:t>
      </w:r>
      <w:r>
        <w:rPr>
          <w:rFonts w:hint="eastAsia" w:ascii="宋体" w:eastAsia="宋体"/>
          <w:color w:val="auto"/>
          <w:spacing w:val="0"/>
          <w:szCs w:val="24"/>
          <w:highlight w:val="none"/>
        </w:rPr>
        <w:t>按照SLA进行</w:t>
      </w:r>
      <w:r>
        <w:rPr>
          <w:rFonts w:ascii="宋体" w:eastAsia="宋体"/>
          <w:color w:val="auto"/>
          <w:spacing w:val="0"/>
          <w:szCs w:val="24"/>
          <w:highlight w:val="none"/>
        </w:rPr>
        <w:t>赔偿。</w:t>
      </w:r>
    </w:p>
    <w:p w14:paraId="5C5E0B12">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（二）乙方服务团队无法提供正常服务，但乙方仍具备履约能力</w:t>
      </w:r>
    </w:p>
    <w:p w14:paraId="424F13EB">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409FA122">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787E2BB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1）乙方服务团队需按时按照甲方流程及制度规范提交项目各类文档；</w:t>
      </w:r>
    </w:p>
    <w:p w14:paraId="4D618CB7">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2）乙方服务团队需制定合理的培训计划和培训内容，加强知识转移；</w:t>
      </w:r>
    </w:p>
    <w:p w14:paraId="50B6FEB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3）如遇类似事件乙方提前10个工作日书面通知甲方项目经理；</w:t>
      </w:r>
    </w:p>
    <w:p w14:paraId="0D897DDD">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14:paraId="5C034F94">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（三）乙方服务团队无法提供正常服务且乙方不具备恢复服务能力或意愿</w:t>
      </w:r>
    </w:p>
    <w:p w14:paraId="353BA85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57A023F2">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515F7CB1">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1）如遇类似事件乙方提前15个工作日书面通知甲方项目经理；</w:t>
      </w:r>
    </w:p>
    <w:p w14:paraId="51A0ACDC">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）乙方保证提前沟通协调人力资源，于10个工作日内提交所有阶段性项目文档，并完成甲方认可的所有工作交接和知识转移，包括不限于对替代供应商进行培训；</w:t>
      </w:r>
    </w:p>
    <w:p w14:paraId="212CA995">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14:paraId="0109DB14">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（四）乙方因资质变更、被收购、兼并或破产等原因致使其无法继续提供服务</w:t>
      </w:r>
    </w:p>
    <w:p w14:paraId="5ACD154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61258BEB">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3314EB3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1）如遇类似事件乙方提前20个工作日通知甲方项目经理；</w:t>
      </w:r>
    </w:p>
    <w:p w14:paraId="53AF5EEF">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）根据开发合同约定提前与甲方进行沟通协商，做好代码、文档、服务等交接工作，减少对甲方的影响；</w:t>
      </w:r>
    </w:p>
    <w:p w14:paraId="4F495351">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14:paraId="1533C66F">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）允许推荐项目成员到与甲方合作良好的其他供应商任职或由甲方直接聘用。</w:t>
      </w:r>
    </w:p>
    <w:p w14:paraId="12D1BD6A">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（五）乙方因不可抗力导致其主动退出（国家相关法律法规调整、遭受大规模自然灾害等）</w:t>
      </w:r>
    </w:p>
    <w:p w14:paraId="1629EE9B">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1B82EE4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327CDD72">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1）如遇类似事件乙方应立即通知甲方项目经理。</w:t>
      </w:r>
    </w:p>
    <w:p w14:paraId="633228A5">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）乙方与甲方及时进行协商，得出一致性解决方案，于15个工作日内提交所有阶段性项目文档，并完成甲方认可的所有工作交接和知识转移，降低突发事件的影响；</w:t>
      </w:r>
    </w:p>
    <w:p w14:paraId="70D3B95E">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14:paraId="2DB62A77">
      <w:pPr>
        <w:ind w:firstLine="422" w:firstLineChars="200"/>
        <w:rPr>
          <w:rFonts w:ascii="宋体" w:eastAsia="宋体"/>
          <w:color w:val="auto"/>
          <w:spacing w:val="0"/>
          <w:szCs w:val="24"/>
          <w:highlight w:val="none"/>
        </w:rPr>
      </w:pPr>
      <w:r>
        <w:rPr>
          <w:rFonts w:hint="eastAsia" w:ascii="宋体" w:eastAsia="宋体"/>
          <w:b/>
          <w:color w:val="auto"/>
          <w:spacing w:val="0"/>
          <w:szCs w:val="24"/>
          <w:highlight w:val="none"/>
        </w:rPr>
        <w:t>四、应急处理阶段</w:t>
      </w:r>
    </w:p>
    <w:p w14:paraId="73293344">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（一）项目实施过程中应急服务</w:t>
      </w:r>
    </w:p>
    <w:p w14:paraId="3CBC19B7">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0F3C6DE">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在应急事件处理完毕后，由乙方应急小组</w:t>
      </w:r>
      <w:r>
        <w:rPr>
          <w:rFonts w:ascii="宋体" w:eastAsia="宋体"/>
          <w:color w:val="auto"/>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color w:val="auto"/>
          <w:spacing w:val="0"/>
          <w:szCs w:val="24"/>
          <w:highlight w:val="none"/>
        </w:rPr>
        <w:t>项目服务过程中</w:t>
      </w:r>
      <w:r>
        <w:rPr>
          <w:rFonts w:ascii="宋体" w:eastAsia="宋体"/>
          <w:color w:val="auto"/>
          <w:spacing w:val="0"/>
          <w:szCs w:val="24"/>
          <w:highlight w:val="none"/>
        </w:rPr>
        <w:t>存在的隐患</w:t>
      </w:r>
      <w:r>
        <w:rPr>
          <w:rFonts w:hint="eastAsia" w:ascii="宋体" w:eastAsia="宋体"/>
          <w:color w:val="auto"/>
          <w:spacing w:val="0"/>
          <w:szCs w:val="24"/>
          <w:highlight w:val="none"/>
        </w:rPr>
        <w:t>问题</w:t>
      </w:r>
      <w:r>
        <w:rPr>
          <w:rFonts w:ascii="宋体" w:eastAsia="宋体"/>
          <w:color w:val="auto"/>
          <w:spacing w:val="0"/>
          <w:szCs w:val="24"/>
          <w:highlight w:val="none"/>
        </w:rPr>
        <w:t>。</w:t>
      </w:r>
    </w:p>
    <w:p w14:paraId="1108C246">
      <w:pPr>
        <w:ind w:firstLine="422" w:firstLineChars="200"/>
        <w:rPr>
          <w:rFonts w:ascii="宋体" w:eastAsia="宋体"/>
          <w:b/>
          <w:color w:val="auto"/>
          <w:spacing w:val="0"/>
          <w:szCs w:val="24"/>
          <w:highlight w:val="none"/>
        </w:rPr>
      </w:pPr>
      <w:r>
        <w:rPr>
          <w:rFonts w:hint="eastAsia" w:ascii="宋体" w:eastAsia="宋体"/>
          <w:b/>
          <w:color w:val="auto"/>
          <w:spacing w:val="0"/>
          <w:szCs w:val="24"/>
          <w:highlight w:val="none"/>
        </w:rPr>
        <w:t>（二）系统上线后应急服务</w:t>
      </w:r>
    </w:p>
    <w:p w14:paraId="04A7C071">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1BDBB74D">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姓名:        手机号码：        邮箱：</w:t>
      </w:r>
    </w:p>
    <w:p w14:paraId="5B6D9AA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姓名:        手机号码：        邮箱：</w:t>
      </w:r>
    </w:p>
    <w:p w14:paraId="62A1E418">
      <w:pPr>
        <w:spacing w:line="360" w:lineRule="auto"/>
        <w:rPr>
          <w:rFonts w:eastAsia="宋体"/>
          <w:color w:val="auto"/>
          <w:spacing w:val="0"/>
          <w:kern w:val="0"/>
          <w:sz w:val="21"/>
          <w:szCs w:val="24"/>
          <w:highlight w:val="none"/>
        </w:rPr>
      </w:pPr>
    </w:p>
    <w:p w14:paraId="7CB853CB">
      <w:pPr>
        <w:spacing w:line="360" w:lineRule="auto"/>
        <w:rPr>
          <w:rStyle w:val="53"/>
          <w:rFonts w:ascii="宋体" w:eastAsia="宋体"/>
          <w:color w:val="auto"/>
          <w:spacing w:val="0"/>
          <w:kern w:val="0"/>
          <w:highlight w:val="none"/>
        </w:rPr>
      </w:pPr>
    </w:p>
    <w:p w14:paraId="231C3AD3">
      <w:pPr>
        <w:rPr>
          <w:rFonts w:hint="eastAsia"/>
          <w:color w:val="auto"/>
          <w:highlight w:val="none"/>
        </w:rPr>
      </w:pPr>
    </w:p>
    <w:p w14:paraId="4C650502">
      <w:pPr>
        <w:rPr>
          <w:rFonts w:hint="eastAsia"/>
          <w:color w:val="auto"/>
          <w:highlight w:val="none"/>
        </w:rPr>
      </w:pPr>
    </w:p>
    <w:p w14:paraId="04BCFE88">
      <w:pPr>
        <w:rPr>
          <w:rFonts w:hint="eastAsia"/>
          <w:color w:val="auto"/>
          <w:highlight w:val="none"/>
        </w:rPr>
      </w:pPr>
    </w:p>
    <w:p w14:paraId="037C02B0">
      <w:pPr>
        <w:rPr>
          <w:rFonts w:hint="eastAsia"/>
          <w:color w:val="auto"/>
          <w:highlight w:val="none"/>
        </w:rPr>
      </w:pPr>
    </w:p>
    <w:p w14:paraId="54332EB8">
      <w:pPr>
        <w:rPr>
          <w:rFonts w:hint="eastAsia"/>
          <w:color w:val="auto"/>
          <w:highlight w:val="none"/>
        </w:rPr>
      </w:pPr>
    </w:p>
    <w:p w14:paraId="477DC976">
      <w:pPr>
        <w:rPr>
          <w:rFonts w:hint="eastAsia"/>
          <w:color w:val="auto"/>
          <w:highlight w:val="none"/>
        </w:rPr>
      </w:pPr>
    </w:p>
    <w:p w14:paraId="4BB90545">
      <w:pPr>
        <w:rPr>
          <w:rFonts w:hint="eastAsia"/>
          <w:color w:val="auto"/>
          <w:highlight w:val="none"/>
        </w:rPr>
      </w:pPr>
    </w:p>
    <w:p w14:paraId="6F5AA8D5">
      <w:pPr>
        <w:rPr>
          <w:rFonts w:hint="eastAsia"/>
          <w:color w:val="auto"/>
          <w:highlight w:val="none"/>
        </w:rPr>
      </w:pPr>
    </w:p>
    <w:p w14:paraId="36A0C175">
      <w:pPr>
        <w:rPr>
          <w:rFonts w:hint="eastAsia"/>
          <w:color w:val="auto"/>
          <w:highlight w:val="none"/>
        </w:rPr>
      </w:pPr>
    </w:p>
    <w:p w14:paraId="224916E4">
      <w:pPr>
        <w:rPr>
          <w:rFonts w:hint="eastAsia"/>
          <w:color w:val="auto"/>
          <w:highlight w:val="none"/>
        </w:rPr>
      </w:pPr>
    </w:p>
    <w:p w14:paraId="13281033">
      <w:pPr>
        <w:rPr>
          <w:rFonts w:hint="eastAsia"/>
          <w:color w:val="auto"/>
          <w:highlight w:val="none"/>
        </w:rPr>
      </w:pPr>
    </w:p>
    <w:p w14:paraId="0904D729">
      <w:pPr>
        <w:rPr>
          <w:rFonts w:hint="eastAsia"/>
          <w:color w:val="auto"/>
          <w:highlight w:val="none"/>
        </w:rPr>
      </w:pPr>
    </w:p>
    <w:p w14:paraId="6C7B4D1B">
      <w:pPr>
        <w:rPr>
          <w:rFonts w:hint="eastAsia"/>
          <w:color w:val="auto"/>
          <w:highlight w:val="none"/>
        </w:rPr>
      </w:pPr>
    </w:p>
    <w:p w14:paraId="25FFFE3E">
      <w:pPr>
        <w:rPr>
          <w:rFonts w:hint="eastAsia"/>
          <w:color w:val="auto"/>
          <w:highlight w:val="none"/>
        </w:rPr>
      </w:pPr>
    </w:p>
    <w:p w14:paraId="44E565DD">
      <w:pPr>
        <w:rPr>
          <w:rFonts w:hint="eastAsia"/>
          <w:color w:val="auto"/>
          <w:highlight w:val="none"/>
        </w:rPr>
      </w:pPr>
    </w:p>
    <w:p w14:paraId="2D2B3FEC">
      <w:pPr>
        <w:rPr>
          <w:rFonts w:hint="eastAsia"/>
          <w:color w:val="auto"/>
          <w:highlight w:val="none"/>
        </w:rPr>
      </w:pPr>
    </w:p>
    <w:p w14:paraId="6D928AE0">
      <w:pPr>
        <w:rPr>
          <w:rFonts w:hint="eastAsia"/>
          <w:color w:val="auto"/>
          <w:highlight w:val="none"/>
        </w:rPr>
      </w:pPr>
    </w:p>
    <w:p w14:paraId="6BD40B2F">
      <w:pPr>
        <w:rPr>
          <w:rFonts w:hint="eastAsia"/>
          <w:color w:val="auto"/>
          <w:highlight w:val="none"/>
        </w:rPr>
      </w:pPr>
    </w:p>
    <w:p w14:paraId="1E22D5D1">
      <w:pPr>
        <w:rPr>
          <w:rFonts w:hint="eastAsia"/>
          <w:color w:val="auto"/>
          <w:highlight w:val="none"/>
        </w:rPr>
      </w:pPr>
    </w:p>
    <w:p w14:paraId="251BF139">
      <w:pPr>
        <w:rPr>
          <w:rFonts w:hint="eastAsia"/>
          <w:color w:val="auto"/>
          <w:highlight w:val="none"/>
        </w:rPr>
      </w:pPr>
    </w:p>
    <w:p w14:paraId="5550FAA2">
      <w:pPr>
        <w:rPr>
          <w:rFonts w:hint="eastAsia"/>
          <w:color w:val="auto"/>
          <w:highlight w:val="none"/>
        </w:rPr>
      </w:pPr>
    </w:p>
    <w:p w14:paraId="57DC7D48">
      <w:pPr>
        <w:rPr>
          <w:rFonts w:hint="eastAsia"/>
          <w:color w:val="auto"/>
          <w:highlight w:val="none"/>
        </w:rPr>
      </w:pPr>
    </w:p>
    <w:p w14:paraId="57E3AD38">
      <w:pPr>
        <w:rPr>
          <w:rFonts w:hint="eastAsia"/>
          <w:color w:val="auto"/>
          <w:highlight w:val="none"/>
        </w:rPr>
      </w:pPr>
    </w:p>
    <w:p w14:paraId="60803A56">
      <w:pPr>
        <w:rPr>
          <w:rFonts w:hint="eastAsia"/>
          <w:color w:val="auto"/>
          <w:highlight w:val="none"/>
        </w:rPr>
      </w:pPr>
    </w:p>
    <w:p w14:paraId="27355395">
      <w:pPr>
        <w:pStyle w:val="3"/>
        <w:rPr>
          <w:color w:val="auto"/>
          <w:highlight w:val="none"/>
        </w:rPr>
      </w:pPr>
      <w:bookmarkStart w:id="295" w:name="_Toc12341"/>
      <w:bookmarkStart w:id="296" w:name="_Toc23849"/>
      <w:r>
        <w:rPr>
          <w:rFonts w:hint="eastAsia"/>
          <w:color w:val="auto"/>
          <w:highlight w:val="none"/>
        </w:rPr>
        <w:t xml:space="preserve">第六章 </w:t>
      </w:r>
      <w:bookmarkEnd w:id="243"/>
      <w:bookmarkEnd w:id="244"/>
      <w:bookmarkStart w:id="297" w:name="_Toc303066035"/>
      <w:r>
        <w:rPr>
          <w:rFonts w:hint="eastAsia"/>
          <w:color w:val="auto"/>
          <w:highlight w:val="none"/>
        </w:rPr>
        <w:t>响应文件格式</w:t>
      </w:r>
      <w:bookmarkEnd w:id="295"/>
      <w:bookmarkEnd w:id="296"/>
    </w:p>
    <w:bookmarkEnd w:id="297"/>
    <w:p w14:paraId="1782BE4E">
      <w:pPr>
        <w:tabs>
          <w:tab w:val="left" w:pos="6516"/>
        </w:tabs>
        <w:adjustRightInd w:val="0"/>
        <w:snapToGrid w:val="0"/>
        <w:ind w:firstLine="0" w:firstLineChars="0"/>
        <w:jc w:val="center"/>
        <w:rPr>
          <w:rFonts w:ascii="宋体" w:hAnsi="宋体"/>
          <w:b/>
          <w:color w:val="auto"/>
          <w:kern w:val="0"/>
          <w:highlight w:val="none"/>
          <w:u w:val="single"/>
        </w:rPr>
      </w:pPr>
    </w:p>
    <w:p w14:paraId="1B129EFD">
      <w:pPr>
        <w:tabs>
          <w:tab w:val="left" w:pos="6516"/>
        </w:tabs>
        <w:adjustRightInd w:val="0"/>
        <w:snapToGrid w:val="0"/>
        <w:ind w:firstLine="0" w:firstLineChars="0"/>
        <w:jc w:val="center"/>
        <w:rPr>
          <w:rFonts w:ascii="宋体" w:hAnsi="宋体"/>
          <w:b/>
          <w:color w:val="auto"/>
          <w:kern w:val="0"/>
          <w:highlight w:val="none"/>
          <w:u w:val="single"/>
        </w:rPr>
      </w:pPr>
    </w:p>
    <w:p w14:paraId="7B707D16">
      <w:pPr>
        <w:tabs>
          <w:tab w:val="left" w:pos="6516"/>
        </w:tabs>
        <w:adjustRightInd w:val="0"/>
        <w:snapToGrid w:val="0"/>
        <w:ind w:firstLine="0" w:firstLineChars="0"/>
        <w:jc w:val="center"/>
        <w:rPr>
          <w:rFonts w:ascii="宋体" w:hAnsi="宋体"/>
          <w:b/>
          <w:color w:val="auto"/>
          <w:kern w:val="0"/>
          <w:highlight w:val="none"/>
          <w:u w:val="single"/>
        </w:rPr>
      </w:pPr>
    </w:p>
    <w:p w14:paraId="1848D137">
      <w:pPr>
        <w:pStyle w:val="50"/>
        <w:rPr>
          <w:color w:val="auto"/>
          <w:highlight w:val="none"/>
        </w:rPr>
      </w:pPr>
      <w:r>
        <w:rPr>
          <w:color w:val="auto"/>
          <w:highlight w:val="none"/>
        </w:rPr>
        <w:t>重庆三峡银行</w:t>
      </w:r>
    </w:p>
    <w:p w14:paraId="51EED753">
      <w:pPr>
        <w:pStyle w:val="50"/>
        <w:rPr>
          <w:color w:val="auto"/>
          <w:highlight w:val="none"/>
        </w:rPr>
      </w:pPr>
      <w:r>
        <w:rPr>
          <w:rFonts w:hint="eastAsia"/>
          <w:color w:val="auto"/>
          <w:highlight w:val="none"/>
        </w:rPr>
        <w:t>数据资产管理平台建设项目</w:t>
      </w:r>
    </w:p>
    <w:p w14:paraId="1D4880D7">
      <w:pPr>
        <w:rPr>
          <w:color w:val="auto"/>
          <w:highlight w:val="none"/>
        </w:rPr>
      </w:pPr>
    </w:p>
    <w:p w14:paraId="7026E780">
      <w:pPr>
        <w:rPr>
          <w:color w:val="auto"/>
          <w:highlight w:val="none"/>
        </w:rPr>
      </w:pPr>
    </w:p>
    <w:p w14:paraId="2649A2F4">
      <w:pPr>
        <w:rPr>
          <w:color w:val="auto"/>
          <w:highlight w:val="none"/>
        </w:rPr>
      </w:pPr>
    </w:p>
    <w:p w14:paraId="4A9C5B8E">
      <w:pPr>
        <w:rPr>
          <w:color w:val="auto"/>
          <w:highlight w:val="none"/>
        </w:rPr>
      </w:pPr>
    </w:p>
    <w:p w14:paraId="7DDB2BAF">
      <w:pPr>
        <w:rPr>
          <w:color w:val="auto"/>
          <w:highlight w:val="none"/>
        </w:rPr>
      </w:pPr>
    </w:p>
    <w:p w14:paraId="29E2EBE2">
      <w:pPr>
        <w:rPr>
          <w:color w:val="auto"/>
          <w:highlight w:val="none"/>
        </w:rPr>
      </w:pPr>
    </w:p>
    <w:p w14:paraId="06085CD5">
      <w:pPr>
        <w:pStyle w:val="51"/>
        <w:rPr>
          <w:color w:val="auto"/>
          <w:highlight w:val="none"/>
        </w:rPr>
      </w:pPr>
      <w:r>
        <w:rPr>
          <w:color w:val="auto"/>
          <w:highlight w:val="none"/>
        </w:rPr>
        <w:t>响  应  文  件</w:t>
      </w:r>
    </w:p>
    <w:p w14:paraId="2F2D9C6B">
      <w:pPr>
        <w:rPr>
          <w:color w:val="auto"/>
          <w:highlight w:val="none"/>
        </w:rPr>
      </w:pPr>
    </w:p>
    <w:p w14:paraId="20D8B8C1">
      <w:pPr>
        <w:rPr>
          <w:color w:val="auto"/>
          <w:highlight w:val="none"/>
        </w:rPr>
      </w:pPr>
    </w:p>
    <w:p w14:paraId="24650EAA">
      <w:pPr>
        <w:rPr>
          <w:color w:val="auto"/>
          <w:highlight w:val="none"/>
        </w:rPr>
      </w:pPr>
    </w:p>
    <w:p w14:paraId="58A3FDB7">
      <w:pPr>
        <w:rPr>
          <w:color w:val="auto"/>
          <w:highlight w:val="none"/>
        </w:rPr>
      </w:pPr>
    </w:p>
    <w:p w14:paraId="1D45F917">
      <w:pPr>
        <w:rPr>
          <w:color w:val="auto"/>
          <w:highlight w:val="none"/>
        </w:rPr>
      </w:pPr>
    </w:p>
    <w:p w14:paraId="554F8AA6">
      <w:pPr>
        <w:rPr>
          <w:color w:val="auto"/>
          <w:highlight w:val="none"/>
        </w:rPr>
      </w:pPr>
    </w:p>
    <w:p w14:paraId="566D5D35">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14:paraId="1B649289">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9B386FE">
      <w:pPr>
        <w:rPr>
          <w:color w:val="auto"/>
          <w:highlight w:val="none"/>
        </w:rPr>
      </w:pPr>
    </w:p>
    <w:p w14:paraId="77716C60">
      <w:pPr>
        <w:rPr>
          <w:color w:val="auto"/>
          <w:highlight w:val="none"/>
        </w:rPr>
      </w:pPr>
    </w:p>
    <w:p w14:paraId="26108B04">
      <w:pPr>
        <w:rPr>
          <w:color w:val="auto"/>
          <w:highlight w:val="none"/>
        </w:rPr>
      </w:pPr>
    </w:p>
    <w:p w14:paraId="4A1DB517">
      <w:pPr>
        <w:rPr>
          <w:color w:val="auto"/>
          <w:highlight w:val="none"/>
        </w:rPr>
        <w:sectPr>
          <w:pgSz w:w="11906" w:h="16838"/>
          <w:pgMar w:top="1440" w:right="1800" w:bottom="1440" w:left="1800" w:header="851" w:footer="992" w:gutter="0"/>
          <w:cols w:space="720" w:num="1"/>
          <w:docGrid w:type="lines" w:linePitch="312" w:charSpace="0"/>
        </w:sectPr>
      </w:pPr>
    </w:p>
    <w:p w14:paraId="7C93470E">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4A4CCC9D">
      <w:pPr>
        <w:widowControl/>
        <w:autoSpaceDE/>
        <w:autoSpaceDN/>
        <w:spacing w:line="240" w:lineRule="auto"/>
        <w:ind w:firstLine="0" w:firstLineChars="0"/>
        <w:jc w:val="left"/>
        <w:rPr>
          <w:color w:val="auto"/>
          <w:highlight w:val="none"/>
        </w:rPr>
      </w:pPr>
      <w:r>
        <w:rPr>
          <w:rFonts w:hint="eastAsia"/>
          <w:color w:val="auto"/>
          <w:highlight w:val="none"/>
        </w:rPr>
        <w:t>一、响应函</w:t>
      </w:r>
    </w:p>
    <w:p w14:paraId="36DBF8A7">
      <w:pPr>
        <w:widowControl/>
        <w:autoSpaceDE/>
        <w:autoSpaceDN/>
        <w:spacing w:line="240" w:lineRule="auto"/>
        <w:ind w:firstLine="0" w:firstLineChars="0"/>
        <w:jc w:val="left"/>
        <w:rPr>
          <w:color w:val="auto"/>
          <w:highlight w:val="none"/>
        </w:rPr>
      </w:pPr>
      <w:r>
        <w:rPr>
          <w:rFonts w:hint="eastAsia"/>
          <w:color w:val="auto"/>
          <w:highlight w:val="none"/>
        </w:rPr>
        <w:t>二、报价一览表</w:t>
      </w:r>
    </w:p>
    <w:p w14:paraId="46DF03EB">
      <w:pPr>
        <w:widowControl/>
        <w:autoSpaceDE/>
        <w:autoSpaceDN/>
        <w:spacing w:line="240" w:lineRule="auto"/>
        <w:ind w:firstLine="0" w:firstLineChars="0"/>
        <w:jc w:val="left"/>
        <w:rPr>
          <w:color w:val="auto"/>
          <w:highlight w:val="none"/>
        </w:rPr>
      </w:pPr>
      <w:r>
        <w:rPr>
          <w:rFonts w:hint="eastAsia"/>
          <w:color w:val="auto"/>
          <w:highlight w:val="none"/>
        </w:rPr>
        <w:t>三、资格性文件</w:t>
      </w:r>
    </w:p>
    <w:p w14:paraId="102BC708">
      <w:pPr>
        <w:widowControl/>
        <w:autoSpaceDE/>
        <w:autoSpaceDN/>
        <w:spacing w:line="240" w:lineRule="auto"/>
        <w:ind w:firstLine="420" w:firstLineChars="0"/>
        <w:jc w:val="left"/>
        <w:rPr>
          <w:color w:val="auto"/>
          <w:highlight w:val="none"/>
        </w:rPr>
      </w:pPr>
      <w:r>
        <w:rPr>
          <w:rFonts w:hint="eastAsia"/>
          <w:color w:val="auto"/>
          <w:highlight w:val="none"/>
        </w:rPr>
        <w:t>（一）响应人基本情况介绍，资质证明等</w:t>
      </w:r>
    </w:p>
    <w:p w14:paraId="150AC2F5">
      <w:pPr>
        <w:widowControl/>
        <w:autoSpaceDE/>
        <w:autoSpaceDN/>
        <w:spacing w:line="240" w:lineRule="auto"/>
        <w:ind w:firstLine="420" w:firstLineChars="0"/>
        <w:jc w:val="left"/>
        <w:rPr>
          <w:color w:val="auto"/>
          <w:highlight w:val="none"/>
        </w:rPr>
      </w:pPr>
      <w:r>
        <w:rPr>
          <w:rFonts w:hint="eastAsia"/>
          <w:color w:val="auto"/>
          <w:highlight w:val="none"/>
        </w:rPr>
        <w:t>（二）法定代表人身份证明及授权委托书</w:t>
      </w:r>
    </w:p>
    <w:p w14:paraId="1EDC495C">
      <w:pPr>
        <w:widowControl/>
        <w:autoSpaceDE/>
        <w:autoSpaceDN/>
        <w:spacing w:line="240" w:lineRule="auto"/>
        <w:ind w:firstLine="420" w:firstLineChars="0"/>
        <w:jc w:val="left"/>
        <w:rPr>
          <w:color w:val="auto"/>
          <w:highlight w:val="none"/>
        </w:rPr>
      </w:pPr>
      <w:r>
        <w:rPr>
          <w:rFonts w:hint="eastAsia"/>
          <w:color w:val="auto"/>
          <w:highlight w:val="none"/>
        </w:rPr>
        <w:t>（三）书面声明</w:t>
      </w:r>
    </w:p>
    <w:p w14:paraId="130E72C5">
      <w:pPr>
        <w:widowControl/>
        <w:autoSpaceDE/>
        <w:autoSpaceDN/>
        <w:spacing w:line="240" w:lineRule="auto"/>
        <w:ind w:firstLine="420" w:firstLineChars="0"/>
        <w:jc w:val="left"/>
        <w:rPr>
          <w:color w:val="auto"/>
          <w:highlight w:val="none"/>
        </w:rPr>
      </w:pPr>
      <w:r>
        <w:rPr>
          <w:rFonts w:hint="eastAsia"/>
          <w:color w:val="auto"/>
          <w:highlight w:val="none"/>
        </w:rPr>
        <w:t>（四）中国执行信息公开网截图</w:t>
      </w:r>
    </w:p>
    <w:p w14:paraId="3BED0072">
      <w:pPr>
        <w:widowControl/>
        <w:autoSpaceDE/>
        <w:autoSpaceDN/>
        <w:spacing w:line="240" w:lineRule="auto"/>
        <w:ind w:firstLine="420" w:firstLineChars="0"/>
        <w:jc w:val="left"/>
        <w:rPr>
          <w:color w:val="auto"/>
          <w:highlight w:val="none"/>
        </w:rPr>
      </w:pPr>
      <w:r>
        <w:rPr>
          <w:rFonts w:hint="eastAsia"/>
          <w:color w:val="auto"/>
          <w:highlight w:val="none"/>
        </w:rPr>
        <w:t>（五）项目案例和业绩证明文件复印件</w:t>
      </w:r>
    </w:p>
    <w:p w14:paraId="216036CB">
      <w:pPr>
        <w:widowControl/>
        <w:autoSpaceDE/>
        <w:autoSpaceDN/>
        <w:spacing w:line="240" w:lineRule="auto"/>
        <w:ind w:firstLine="420" w:firstLineChars="0"/>
        <w:jc w:val="left"/>
        <w:rPr>
          <w:rFonts w:hint="default" w:eastAsia="宋体"/>
          <w:color w:val="auto"/>
          <w:highlight w:val="none"/>
          <w:lang w:val="en-US" w:eastAsia="zh-CN"/>
        </w:rPr>
      </w:pPr>
      <w:r>
        <w:rPr>
          <w:rFonts w:hint="eastAsia"/>
          <w:color w:val="auto"/>
          <w:highlight w:val="none"/>
        </w:rPr>
        <w:t>（六）</w:t>
      </w:r>
      <w:r>
        <w:rPr>
          <w:rFonts w:hint="eastAsia"/>
          <w:color w:val="auto"/>
          <w:highlight w:val="none"/>
          <w:lang w:val="en-US" w:eastAsia="zh-CN"/>
        </w:rPr>
        <w:t>实施团队信息</w:t>
      </w:r>
    </w:p>
    <w:p w14:paraId="0754F777">
      <w:pPr>
        <w:widowControl/>
        <w:autoSpaceDE/>
        <w:autoSpaceDN/>
        <w:spacing w:line="240" w:lineRule="auto"/>
        <w:ind w:firstLine="420" w:firstLineChars="0"/>
        <w:jc w:val="left"/>
        <w:rPr>
          <w:rFonts w:eastAsia="宋体"/>
          <w:color w:val="auto"/>
          <w:highlight w:val="none"/>
          <w:lang w:val="en-US" w:eastAsia="zh-CN"/>
        </w:rPr>
      </w:pPr>
      <w:r>
        <w:rPr>
          <w:rFonts w:hint="eastAsia"/>
          <w:color w:val="auto"/>
          <w:highlight w:val="none"/>
        </w:rPr>
        <w:t>（</w:t>
      </w:r>
      <w:r>
        <w:rPr>
          <w:rFonts w:hint="eastAsia"/>
          <w:color w:val="auto"/>
          <w:highlight w:val="none"/>
          <w:lang w:val="en-US" w:eastAsia="zh-CN"/>
        </w:rPr>
        <w:t>七</w:t>
      </w:r>
      <w:r>
        <w:rPr>
          <w:rFonts w:hint="eastAsia"/>
          <w:color w:val="auto"/>
          <w:highlight w:val="none"/>
        </w:rPr>
        <w:t>）</w:t>
      </w:r>
      <w:r>
        <w:rPr>
          <w:rFonts w:hint="eastAsia"/>
          <w:color w:val="auto"/>
          <w:highlight w:val="none"/>
          <w:lang w:val="en-US" w:eastAsia="zh-CN"/>
        </w:rPr>
        <w:t>相关资质认证证书</w:t>
      </w:r>
    </w:p>
    <w:p w14:paraId="459B7296">
      <w:pPr>
        <w:widowControl/>
        <w:autoSpaceDE/>
        <w:autoSpaceDN/>
        <w:spacing w:line="240" w:lineRule="auto"/>
        <w:ind w:firstLine="420" w:firstLineChars="0"/>
        <w:jc w:val="left"/>
        <w:rPr>
          <w:rFonts w:eastAsia="宋体"/>
          <w:color w:val="auto"/>
          <w:highlight w:val="none"/>
          <w:lang w:val="en-US" w:eastAsia="zh-CN"/>
        </w:rPr>
      </w:pPr>
      <w:r>
        <w:rPr>
          <w:rFonts w:hint="eastAsia"/>
          <w:color w:val="auto"/>
          <w:highlight w:val="none"/>
        </w:rPr>
        <w:t>（</w:t>
      </w:r>
      <w:r>
        <w:rPr>
          <w:rFonts w:hint="eastAsia"/>
          <w:color w:val="auto"/>
          <w:highlight w:val="none"/>
          <w:lang w:val="en-US" w:eastAsia="zh-CN"/>
        </w:rPr>
        <w:t>八</w:t>
      </w:r>
      <w:r>
        <w:rPr>
          <w:rFonts w:hint="eastAsia"/>
          <w:color w:val="auto"/>
          <w:highlight w:val="none"/>
        </w:rPr>
        <w:t>）</w:t>
      </w:r>
      <w:r>
        <w:rPr>
          <w:rFonts w:hint="eastAsia"/>
          <w:color w:val="auto"/>
          <w:highlight w:val="none"/>
          <w:lang w:val="en-US" w:eastAsia="zh-CN"/>
        </w:rPr>
        <w:t>未使用第三方软件产品确认函</w:t>
      </w:r>
    </w:p>
    <w:p w14:paraId="6CE32423">
      <w:pPr>
        <w:widowControl/>
        <w:autoSpaceDE/>
        <w:autoSpaceDN/>
        <w:spacing w:line="240" w:lineRule="auto"/>
        <w:ind w:firstLine="420" w:firstLineChars="0"/>
        <w:jc w:val="left"/>
        <w:rPr>
          <w:color w:val="auto"/>
          <w:highlight w:val="none"/>
        </w:rPr>
      </w:pPr>
      <w:r>
        <w:rPr>
          <w:rFonts w:hint="eastAsia"/>
          <w:color w:val="auto"/>
          <w:highlight w:val="none"/>
        </w:rPr>
        <w:t>（</w:t>
      </w:r>
      <w:r>
        <w:rPr>
          <w:rFonts w:hint="eastAsia"/>
          <w:color w:val="auto"/>
          <w:highlight w:val="none"/>
          <w:lang w:val="en-US" w:eastAsia="zh-CN"/>
        </w:rPr>
        <w:t>九</w:t>
      </w:r>
      <w:r>
        <w:rPr>
          <w:rFonts w:hint="eastAsia"/>
          <w:color w:val="auto"/>
          <w:highlight w:val="none"/>
        </w:rPr>
        <w:t>）其他（如有）</w:t>
      </w:r>
    </w:p>
    <w:p w14:paraId="20B2DE66">
      <w:pPr>
        <w:widowControl/>
        <w:autoSpaceDE/>
        <w:autoSpaceDN/>
        <w:spacing w:line="240" w:lineRule="auto"/>
        <w:ind w:firstLine="0" w:firstLineChars="0"/>
        <w:jc w:val="left"/>
        <w:rPr>
          <w:color w:val="auto"/>
          <w:highlight w:val="none"/>
        </w:rPr>
      </w:pPr>
      <w:r>
        <w:rPr>
          <w:rFonts w:hint="eastAsia"/>
          <w:color w:val="auto"/>
          <w:highlight w:val="none"/>
          <w:lang w:val="en-US" w:eastAsia="zh-CN"/>
        </w:rPr>
        <w:t>四</w:t>
      </w:r>
      <w:r>
        <w:rPr>
          <w:rFonts w:hint="eastAsia"/>
          <w:color w:val="auto"/>
          <w:highlight w:val="none"/>
        </w:rPr>
        <w:t>、响应性文件</w:t>
      </w:r>
    </w:p>
    <w:p w14:paraId="0E4145CE">
      <w:pPr>
        <w:widowControl/>
        <w:autoSpaceDE/>
        <w:autoSpaceDN/>
        <w:spacing w:line="240" w:lineRule="auto"/>
        <w:ind w:firstLine="420" w:firstLineChars="0"/>
        <w:jc w:val="left"/>
        <w:rPr>
          <w:color w:val="auto"/>
          <w:highlight w:val="none"/>
        </w:rPr>
      </w:pPr>
      <w:r>
        <w:rPr>
          <w:rFonts w:hint="eastAsia"/>
          <w:color w:val="auto"/>
          <w:highlight w:val="none"/>
        </w:rPr>
        <w:t>（一）响应承诺函</w:t>
      </w:r>
    </w:p>
    <w:p w14:paraId="7F1B52D5">
      <w:pPr>
        <w:widowControl/>
        <w:autoSpaceDE/>
        <w:autoSpaceDN/>
        <w:spacing w:line="240" w:lineRule="auto"/>
        <w:ind w:firstLine="420" w:firstLineChars="0"/>
        <w:jc w:val="left"/>
        <w:rPr>
          <w:rFonts w:hint="eastAsia"/>
          <w:color w:val="auto"/>
          <w:highlight w:val="none"/>
        </w:rPr>
      </w:pPr>
      <w:r>
        <w:rPr>
          <w:rFonts w:hint="eastAsia"/>
          <w:color w:val="auto"/>
          <w:highlight w:val="none"/>
        </w:rPr>
        <w:t>（二）近半年公司为项目组成员缴纳社保的证明材料</w:t>
      </w:r>
    </w:p>
    <w:p w14:paraId="48D88001">
      <w:pPr>
        <w:widowControl/>
        <w:autoSpaceDE/>
        <w:autoSpaceDN/>
        <w:spacing w:line="240" w:lineRule="auto"/>
        <w:ind w:firstLine="420" w:firstLineChars="0"/>
        <w:jc w:val="left"/>
        <w:rPr>
          <w:rFonts w:hint="eastAsia"/>
          <w:color w:val="auto"/>
          <w:highlight w:val="none"/>
        </w:rPr>
      </w:pPr>
      <w:r>
        <w:rPr>
          <w:rFonts w:hint="eastAsia"/>
          <w:color w:val="auto"/>
          <w:highlight w:val="none"/>
        </w:rPr>
        <w:t>（三）售后服务和支持方案</w:t>
      </w:r>
    </w:p>
    <w:p w14:paraId="4EC9CA3D">
      <w:pPr>
        <w:widowControl/>
        <w:autoSpaceDE/>
        <w:autoSpaceDN/>
        <w:spacing w:line="24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服务连续性预案</w:t>
      </w:r>
    </w:p>
    <w:p w14:paraId="6B28E66C">
      <w:pPr>
        <w:widowControl/>
        <w:autoSpaceDE/>
        <w:autoSpaceDN/>
        <w:spacing w:line="240" w:lineRule="auto"/>
        <w:ind w:left="0" w:firstLine="420" w:firstLineChars="0"/>
        <w:jc w:val="left"/>
        <w:rPr>
          <w:color w:val="auto"/>
          <w:highlight w:val="none"/>
          <w:lang w:val="en-US" w:eastAsia="zh-CN"/>
        </w:rPr>
      </w:pPr>
      <w:r>
        <w:rPr>
          <w:rFonts w:hint="eastAsia" w:ascii="Times New Roman" w:hAnsi="Times New Roman" w:eastAsia="宋体" w:cs="Cambria Math"/>
          <w:color w:val="auto"/>
          <w:kern w:val="2"/>
          <w:sz w:val="21"/>
          <w:highlight w:val="none"/>
          <w:lang w:val="en-US" w:eastAsia="zh-CN" w:bidi="ar-SA"/>
        </w:rPr>
        <w:t>（</w:t>
      </w:r>
      <w:r>
        <w:rPr>
          <w:rFonts w:hint="eastAsia" w:cs="Cambria Math"/>
          <w:color w:val="auto"/>
          <w:kern w:val="2"/>
          <w:sz w:val="21"/>
          <w:highlight w:val="none"/>
          <w:lang w:val="en-US" w:eastAsia="zh-CN" w:bidi="ar-SA"/>
        </w:rPr>
        <w:t>五</w:t>
      </w:r>
      <w:r>
        <w:rPr>
          <w:rFonts w:hint="eastAsia" w:ascii="Times New Roman" w:hAnsi="Times New Roman" w:eastAsia="宋体" w:cs="Cambria Math"/>
          <w:color w:val="auto"/>
          <w:kern w:val="2"/>
          <w:sz w:val="21"/>
          <w:highlight w:val="none"/>
          <w:lang w:val="en-US" w:eastAsia="zh-CN" w:bidi="ar-SA"/>
        </w:rPr>
        <w:t>）</w:t>
      </w:r>
      <w:r>
        <w:rPr>
          <w:rFonts w:hint="eastAsia"/>
          <w:color w:val="auto"/>
          <w:highlight w:val="none"/>
          <w:lang w:val="en-US" w:eastAsia="zh-CN"/>
        </w:rPr>
        <w:t>项目实施方案</w:t>
      </w:r>
    </w:p>
    <w:p w14:paraId="4FDC01A9">
      <w:pPr>
        <w:widowControl/>
        <w:autoSpaceDE/>
        <w:autoSpaceDN/>
        <w:spacing w:line="240" w:lineRule="auto"/>
        <w:ind w:firstLine="420" w:firstLineChars="0"/>
        <w:jc w:val="left"/>
        <w:rPr>
          <w:color w:val="auto"/>
          <w:highlight w:val="none"/>
        </w:rPr>
      </w:pPr>
      <w:r>
        <w:rPr>
          <w:rFonts w:hint="eastAsia" w:ascii="Times New Roman" w:hAnsi="Times New Roman" w:eastAsia="宋体" w:cs="Cambria Math"/>
          <w:color w:val="auto"/>
          <w:kern w:val="2"/>
          <w:sz w:val="21"/>
          <w:highlight w:val="none"/>
          <w:lang w:val="en-US" w:eastAsia="zh-CN" w:bidi="ar-SA"/>
        </w:rPr>
        <w:t>（</w:t>
      </w:r>
      <w:r>
        <w:rPr>
          <w:rFonts w:hint="eastAsia" w:cs="Cambria Math"/>
          <w:color w:val="auto"/>
          <w:kern w:val="2"/>
          <w:sz w:val="21"/>
          <w:highlight w:val="none"/>
          <w:lang w:val="en-US" w:eastAsia="zh-CN" w:bidi="ar-SA"/>
        </w:rPr>
        <w:t>六</w:t>
      </w:r>
      <w:r>
        <w:rPr>
          <w:rFonts w:hint="eastAsia" w:ascii="Times New Roman" w:hAnsi="Times New Roman" w:eastAsia="宋体" w:cs="Cambria Math"/>
          <w:color w:val="auto"/>
          <w:kern w:val="2"/>
          <w:sz w:val="21"/>
          <w:highlight w:val="none"/>
          <w:lang w:val="en-US" w:eastAsia="zh-CN" w:bidi="ar-SA"/>
        </w:rPr>
        <w:t>）</w:t>
      </w:r>
      <w:r>
        <w:rPr>
          <w:rFonts w:hint="eastAsia"/>
          <w:color w:val="auto"/>
          <w:highlight w:val="none"/>
        </w:rPr>
        <w:t>服务水平协议（SLA）</w:t>
      </w:r>
    </w:p>
    <w:p w14:paraId="7530E98F">
      <w:pPr>
        <w:widowControl/>
        <w:autoSpaceDE/>
        <w:autoSpaceDN/>
        <w:spacing w:line="240" w:lineRule="auto"/>
        <w:ind w:left="0" w:firstLine="420" w:firstLineChars="0"/>
        <w:jc w:val="left"/>
        <w:rPr>
          <w:color w:val="auto"/>
          <w:highlight w:val="none"/>
        </w:rPr>
      </w:pPr>
      <w:r>
        <w:rPr>
          <w:rFonts w:hint="eastAsia" w:ascii="Times New Roman" w:hAnsi="Times New Roman" w:eastAsia="宋体" w:cs="Cambria Math"/>
          <w:color w:val="auto"/>
          <w:kern w:val="2"/>
          <w:sz w:val="21"/>
          <w:highlight w:val="none"/>
          <w:lang w:val="en-US" w:eastAsia="zh-CN" w:bidi="ar-SA"/>
        </w:rPr>
        <w:t>（</w:t>
      </w:r>
      <w:r>
        <w:rPr>
          <w:rFonts w:hint="eastAsia" w:cs="Cambria Math"/>
          <w:color w:val="auto"/>
          <w:kern w:val="2"/>
          <w:sz w:val="21"/>
          <w:highlight w:val="none"/>
          <w:lang w:val="en-US" w:eastAsia="zh-CN" w:bidi="ar-SA"/>
        </w:rPr>
        <w:t>七</w:t>
      </w:r>
      <w:r>
        <w:rPr>
          <w:rFonts w:hint="eastAsia" w:ascii="Times New Roman" w:hAnsi="Times New Roman" w:eastAsia="宋体" w:cs="Cambria Math"/>
          <w:color w:val="auto"/>
          <w:kern w:val="2"/>
          <w:sz w:val="21"/>
          <w:highlight w:val="none"/>
          <w:lang w:val="en-US" w:eastAsia="zh-CN" w:bidi="ar-SA"/>
        </w:rPr>
        <w:t>）</w:t>
      </w:r>
      <w:r>
        <w:rPr>
          <w:rFonts w:hint="eastAsia"/>
          <w:color w:val="auto"/>
          <w:highlight w:val="none"/>
        </w:rPr>
        <w:t>其他（如有）</w:t>
      </w:r>
    </w:p>
    <w:p w14:paraId="48CFF793">
      <w:pPr>
        <w:widowControl/>
        <w:autoSpaceDE/>
        <w:autoSpaceDN/>
        <w:spacing w:line="240" w:lineRule="auto"/>
        <w:ind w:firstLine="0" w:firstLineChars="0"/>
        <w:jc w:val="left"/>
        <w:rPr>
          <w:color w:val="auto"/>
          <w:highlight w:val="none"/>
        </w:rPr>
      </w:pPr>
      <w:r>
        <w:rPr>
          <w:rFonts w:hint="eastAsia"/>
          <w:color w:val="auto"/>
          <w:highlight w:val="none"/>
          <w:lang w:val="en-US" w:eastAsia="zh-CN"/>
        </w:rPr>
        <w:t>五</w:t>
      </w:r>
      <w:r>
        <w:rPr>
          <w:rFonts w:hint="eastAsia"/>
          <w:color w:val="auto"/>
          <w:highlight w:val="none"/>
        </w:rPr>
        <w:t>、商务技术文件（如有）</w:t>
      </w:r>
    </w:p>
    <w:p w14:paraId="6059D693">
      <w:pPr>
        <w:widowControl/>
        <w:autoSpaceDE/>
        <w:autoSpaceDN/>
        <w:spacing w:line="240" w:lineRule="auto"/>
        <w:ind w:firstLine="0" w:firstLineChars="0"/>
        <w:jc w:val="left"/>
        <w:rPr>
          <w:color w:val="auto"/>
          <w:highlight w:val="none"/>
        </w:rPr>
      </w:pPr>
      <w:r>
        <w:rPr>
          <w:rFonts w:hint="eastAsia"/>
          <w:color w:val="auto"/>
          <w:highlight w:val="none"/>
          <w:lang w:val="en-US" w:eastAsia="zh-CN"/>
        </w:rPr>
        <w:t>六</w:t>
      </w:r>
      <w:r>
        <w:rPr>
          <w:rFonts w:hint="eastAsia"/>
          <w:color w:val="auto"/>
          <w:highlight w:val="none"/>
        </w:rPr>
        <w:t>、其他（如有）</w:t>
      </w:r>
    </w:p>
    <w:p w14:paraId="6E40DC3A">
      <w:pPr>
        <w:widowControl/>
        <w:autoSpaceDE/>
        <w:autoSpaceDN/>
        <w:spacing w:line="240" w:lineRule="auto"/>
        <w:ind w:firstLine="0" w:firstLineChars="0"/>
        <w:jc w:val="left"/>
        <w:rPr>
          <w:color w:val="auto"/>
          <w:highlight w:val="none"/>
        </w:rPr>
      </w:pPr>
      <w:r>
        <w:rPr>
          <w:rFonts w:hint="eastAsia"/>
          <w:color w:val="auto"/>
          <w:highlight w:val="none"/>
        </w:rPr>
        <w:br w:type="page"/>
      </w:r>
    </w:p>
    <w:p w14:paraId="2D7A2BDA">
      <w:pPr>
        <w:widowControl/>
        <w:autoSpaceDE/>
        <w:autoSpaceDN/>
        <w:spacing w:line="240" w:lineRule="auto"/>
        <w:ind w:firstLine="0" w:firstLineChars="0"/>
        <w:jc w:val="left"/>
        <w:rPr>
          <w:color w:val="auto"/>
          <w:highlight w:val="none"/>
        </w:rPr>
      </w:pPr>
    </w:p>
    <w:p w14:paraId="2E33B3CA">
      <w:pPr>
        <w:pStyle w:val="40"/>
        <w:rPr>
          <w:color w:val="auto"/>
          <w:highlight w:val="none"/>
        </w:rPr>
      </w:pPr>
      <w:r>
        <w:rPr>
          <w:color w:val="auto"/>
          <w:highlight w:val="none"/>
        </w:rPr>
        <w:t>一、响应函</w:t>
      </w:r>
    </w:p>
    <w:p w14:paraId="091EB596">
      <w:pPr>
        <w:rPr>
          <w:color w:val="auto"/>
          <w:highlight w:val="none"/>
        </w:rPr>
      </w:pPr>
    </w:p>
    <w:p w14:paraId="7C260736">
      <w:pPr>
        <w:ind w:firstLine="0" w:firstLineChars="0"/>
        <w:rPr>
          <w:color w:val="auto"/>
          <w:highlight w:val="none"/>
        </w:rPr>
      </w:pPr>
      <w:r>
        <w:rPr>
          <w:rFonts w:hint="eastAsia"/>
          <w:color w:val="auto"/>
          <w:highlight w:val="none"/>
        </w:rPr>
        <w:t>重庆三峡银行股份有限公司：</w:t>
      </w:r>
    </w:p>
    <w:p w14:paraId="4F3AA998">
      <w:pPr>
        <w:rPr>
          <w:color w:val="auto"/>
          <w:highlight w:val="none"/>
        </w:rPr>
      </w:pPr>
      <w:r>
        <w:rPr>
          <w:rFonts w:hint="eastAsia"/>
          <w:color w:val="auto"/>
          <w:highlight w:val="none"/>
        </w:rPr>
        <w:t>我方收到</w:t>
      </w:r>
      <w:r>
        <w:rPr>
          <w:rFonts w:hint="eastAsia"/>
          <w:color w:val="auto"/>
          <w:highlight w:val="none"/>
          <w:u w:val="single"/>
        </w:rPr>
        <w:t xml:space="preserve">             </w:t>
      </w:r>
      <w:r>
        <w:rPr>
          <w:rFonts w:hint="eastAsia"/>
          <w:color w:val="auto"/>
          <w:highlight w:val="none"/>
        </w:rPr>
        <w:t>（项目名称）询比文件，经详细研究，决定参加该询比项目并响应。</w:t>
      </w:r>
    </w:p>
    <w:p w14:paraId="42A48FF6">
      <w:pPr>
        <w:rPr>
          <w:color w:val="auto"/>
          <w:highlight w:val="none"/>
        </w:rPr>
      </w:pPr>
      <w:r>
        <w:rPr>
          <w:rFonts w:hint="eastAsia"/>
          <w:color w:val="auto"/>
          <w:highlight w:val="none"/>
        </w:rPr>
        <w:t>1、愿意按照询比文件中的一切要求，以响应文件中的内容和报价承担和完成本项目。</w:t>
      </w:r>
    </w:p>
    <w:p w14:paraId="0D09EC7B">
      <w:pPr>
        <w:rPr>
          <w:color w:val="auto"/>
          <w:highlight w:val="none"/>
        </w:rPr>
      </w:pPr>
      <w:r>
        <w:rPr>
          <w:rFonts w:hint="eastAsia"/>
          <w:color w:val="auto"/>
          <w:highlight w:val="none"/>
        </w:rPr>
        <w:t>2、我方现提交的响应文件为：响应文件正本一份，副本一份，电子文件一份。</w:t>
      </w:r>
    </w:p>
    <w:p w14:paraId="4167407B">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14:paraId="2527A044">
      <w:pPr>
        <w:rPr>
          <w:color w:val="auto"/>
          <w:highlight w:val="none"/>
        </w:rPr>
      </w:pPr>
      <w:r>
        <w:rPr>
          <w:rFonts w:hint="eastAsia"/>
          <w:color w:val="auto"/>
          <w:highlight w:val="none"/>
        </w:rPr>
        <w:t>4、我方愿意提供询比文件中要求的所有资料，并对其真实性负责。</w:t>
      </w:r>
    </w:p>
    <w:p w14:paraId="5F5AA51C">
      <w:pPr>
        <w:rPr>
          <w:color w:val="auto"/>
          <w:highlight w:val="none"/>
        </w:rPr>
      </w:pPr>
      <w:r>
        <w:rPr>
          <w:rFonts w:hint="eastAsia"/>
          <w:color w:val="auto"/>
          <w:highlight w:val="none"/>
        </w:rPr>
        <w:t>5、我方理解最低价格不是成交的唯一条件。</w:t>
      </w:r>
    </w:p>
    <w:p w14:paraId="1D7762BC">
      <w:pPr>
        <w:rPr>
          <w:color w:val="auto"/>
          <w:highlight w:val="none"/>
        </w:rPr>
      </w:pPr>
      <w:r>
        <w:rPr>
          <w:rFonts w:hint="eastAsia"/>
          <w:color w:val="auto"/>
          <w:highlight w:val="none"/>
        </w:rPr>
        <w:t>6、响应有效期为响应截止日期后90天内。</w:t>
      </w:r>
    </w:p>
    <w:p w14:paraId="507D22E6">
      <w:pPr>
        <w:rPr>
          <w:color w:val="auto"/>
          <w:highlight w:val="none"/>
        </w:rPr>
      </w:pPr>
      <w:r>
        <w:rPr>
          <w:rFonts w:hint="eastAsia"/>
          <w:color w:val="auto"/>
          <w:highlight w:val="none"/>
        </w:rPr>
        <w:t>7、若我方成交，我方开具税率</w:t>
      </w:r>
      <w:r>
        <w:rPr>
          <w:rFonts w:hint="eastAsia"/>
          <w:color w:val="auto"/>
          <w:highlight w:val="none"/>
          <w:lang w:val="en-US" w:eastAsia="zh-CN"/>
        </w:rPr>
        <w:t>6</w:t>
      </w:r>
      <w:r>
        <w:rPr>
          <w:rFonts w:hint="eastAsia"/>
          <w:color w:val="auto"/>
          <w:highlight w:val="none"/>
        </w:rPr>
        <w:t>%的增值税专用发票；</w:t>
      </w:r>
    </w:p>
    <w:p w14:paraId="4C30CFBA">
      <w:pPr>
        <w:rPr>
          <w:color w:val="auto"/>
          <w:highlight w:val="none"/>
        </w:rPr>
      </w:pPr>
    </w:p>
    <w:p w14:paraId="3BADD4CA">
      <w:pPr>
        <w:rPr>
          <w:color w:val="auto"/>
          <w:highlight w:val="none"/>
        </w:rPr>
      </w:pPr>
      <w:r>
        <w:rPr>
          <w:rFonts w:hint="eastAsia"/>
          <w:color w:val="auto"/>
          <w:highlight w:val="none"/>
        </w:rPr>
        <w:t>响应人（公章）：</w:t>
      </w:r>
    </w:p>
    <w:p w14:paraId="57FACEA1">
      <w:pPr>
        <w:rPr>
          <w:color w:val="auto"/>
          <w:highlight w:val="none"/>
        </w:rPr>
      </w:pPr>
      <w:r>
        <w:rPr>
          <w:rFonts w:hint="eastAsia"/>
          <w:color w:val="auto"/>
          <w:highlight w:val="none"/>
        </w:rPr>
        <w:t xml:space="preserve">响应人联系人：  </w:t>
      </w:r>
    </w:p>
    <w:p w14:paraId="6FFD57EB">
      <w:pPr>
        <w:rPr>
          <w:color w:val="auto"/>
          <w:highlight w:val="none"/>
        </w:rPr>
      </w:pPr>
      <w:r>
        <w:rPr>
          <w:rFonts w:hint="eastAsia"/>
          <w:color w:val="auto"/>
          <w:highlight w:val="none"/>
        </w:rPr>
        <w:t xml:space="preserve">响应人联系人联系电话：     </w:t>
      </w:r>
    </w:p>
    <w:p w14:paraId="71EA7782">
      <w:pPr>
        <w:jc w:val="right"/>
        <w:rPr>
          <w:color w:val="auto"/>
          <w:highlight w:val="none"/>
        </w:rPr>
      </w:pPr>
      <w:r>
        <w:rPr>
          <w:rFonts w:hint="eastAsia"/>
          <w:color w:val="auto"/>
          <w:highlight w:val="none"/>
        </w:rPr>
        <w:t>年     月     日</w:t>
      </w:r>
    </w:p>
    <w:p w14:paraId="23CD5C11">
      <w:pPr>
        <w:rPr>
          <w:color w:val="auto"/>
          <w:highlight w:val="none"/>
        </w:rPr>
      </w:pPr>
    </w:p>
    <w:p w14:paraId="5B7CC7CB">
      <w:pPr>
        <w:widowControl/>
        <w:jc w:val="left"/>
        <w:rPr>
          <w:rFonts w:ascii="宋体"/>
          <w:snapToGrid w:val="0"/>
          <w:color w:val="auto"/>
          <w:kern w:val="0"/>
          <w:sz w:val="24"/>
          <w:szCs w:val="24"/>
          <w:highlight w:val="none"/>
        </w:rPr>
      </w:pPr>
    </w:p>
    <w:p w14:paraId="2FEAA149">
      <w:pPr>
        <w:widowControl/>
        <w:jc w:val="left"/>
        <w:rPr>
          <w:rFonts w:ascii="宋体"/>
          <w:snapToGrid w:val="0"/>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30D316AF">
      <w:pPr>
        <w:pStyle w:val="40"/>
        <w:rPr>
          <w:color w:val="auto"/>
          <w:highlight w:val="none"/>
        </w:rPr>
      </w:pPr>
      <w:r>
        <w:rPr>
          <w:color w:val="auto"/>
          <w:highlight w:val="none"/>
        </w:rPr>
        <w:t>二、报价一览表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14:paraId="2158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7997A36">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57B60C77">
            <w:pPr>
              <w:autoSpaceDE/>
              <w:autoSpaceDN/>
              <w:ind w:firstLine="0" w:firstLineChars="0"/>
              <w:jc w:val="center"/>
              <w:rPr>
                <w:rFonts w:ascii="宋体" w:hAnsi="宋体"/>
                <w:color w:val="auto"/>
                <w:szCs w:val="24"/>
                <w:highlight w:val="none"/>
              </w:rPr>
            </w:pPr>
          </w:p>
        </w:tc>
      </w:tr>
      <w:tr w14:paraId="298F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319D1176">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3C69C64">
            <w:pPr>
              <w:autoSpaceDE/>
              <w:autoSpaceDN/>
              <w:ind w:firstLine="0" w:firstLineChars="0"/>
              <w:jc w:val="center"/>
              <w:rPr>
                <w:rFonts w:ascii="宋体" w:hAnsi="宋体" w:cs="Cambria"/>
                <w:color w:val="auto"/>
                <w:szCs w:val="21"/>
                <w:highlight w:val="none"/>
              </w:rPr>
            </w:pPr>
          </w:p>
        </w:tc>
      </w:tr>
      <w:tr w14:paraId="4EEA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D08E119">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响应报价</w:t>
            </w:r>
            <w:r>
              <w:rPr>
                <w:rFonts w:hint="eastAsia" w:ascii="宋体" w:hAnsi="宋体"/>
                <w:color w:val="auto"/>
                <w:szCs w:val="24"/>
                <w:highlight w:val="none"/>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6A0AD714">
            <w:pPr>
              <w:pStyle w:val="45"/>
              <w:rPr>
                <w:color w:val="auto"/>
                <w:highlight w:val="none"/>
              </w:rPr>
            </w:pPr>
            <w:r>
              <w:rPr>
                <w:color w:val="auto"/>
                <w:highlight w:val="none"/>
              </w:rPr>
              <w:t>小写</w:t>
            </w:r>
            <w:r>
              <w:rPr>
                <w:rFonts w:hint="eastAsia"/>
                <w:color w:val="auto"/>
                <w:highlight w:val="none"/>
              </w:rPr>
              <w:t xml:space="preserve">：            </w:t>
            </w:r>
            <w:r>
              <w:rPr>
                <w:color w:val="auto"/>
                <w:highlight w:val="none"/>
              </w:rPr>
              <w:t>人民币</w:t>
            </w:r>
          </w:p>
          <w:p w14:paraId="440D492C">
            <w:pPr>
              <w:pStyle w:val="45"/>
              <w:rPr>
                <w:color w:val="auto"/>
                <w:highlight w:val="none"/>
              </w:rPr>
            </w:pPr>
            <w:r>
              <w:rPr>
                <w:rFonts w:hint="eastAsia"/>
                <w:color w:val="auto"/>
                <w:highlight w:val="none"/>
              </w:rPr>
              <w:t>大写：            人民币</w:t>
            </w:r>
          </w:p>
        </w:tc>
      </w:tr>
      <w:tr w14:paraId="10D2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5E98C071">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14:paraId="6721671B">
            <w:pPr>
              <w:autoSpaceDE/>
              <w:autoSpaceDN/>
              <w:ind w:firstLine="0" w:firstLineChars="0"/>
              <w:jc w:val="center"/>
              <w:rPr>
                <w:rFonts w:ascii="宋体" w:hAnsi="宋体"/>
                <w:color w:val="auto"/>
                <w:szCs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7035A699">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14:paraId="33C7CCF2">
            <w:pPr>
              <w:autoSpaceDE/>
              <w:autoSpaceDN/>
              <w:ind w:firstLine="0" w:firstLineChars="0"/>
              <w:jc w:val="center"/>
              <w:rPr>
                <w:rFonts w:ascii="宋体" w:hAnsi="宋体"/>
                <w:color w:val="auto"/>
                <w:szCs w:val="24"/>
                <w:highlight w:val="none"/>
              </w:rPr>
            </w:pPr>
          </w:p>
        </w:tc>
      </w:tr>
      <w:tr w14:paraId="1B6A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F24D619">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0B3567AF">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6</w:t>
            </w:r>
            <w:r>
              <w:rPr>
                <w:rFonts w:hint="eastAsia" w:ascii="宋体" w:hAnsi="宋体"/>
                <w:color w:val="auto"/>
                <w:szCs w:val="24"/>
                <w:highlight w:val="none"/>
              </w:rPr>
              <w:t>%的增值税专用发票</w:t>
            </w:r>
          </w:p>
        </w:tc>
      </w:tr>
      <w:tr w14:paraId="768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14:paraId="364AD1CC">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15447176">
      <w:pPr>
        <w:rPr>
          <w:color w:val="auto"/>
          <w:highlight w:val="none"/>
        </w:rPr>
      </w:pPr>
    </w:p>
    <w:p w14:paraId="33A94B95">
      <w:pPr>
        <w:rPr>
          <w:color w:val="auto"/>
          <w:highlight w:val="none"/>
        </w:rPr>
      </w:pPr>
    </w:p>
    <w:p w14:paraId="4CFD0650">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5D6BA4B7">
      <w:pPr>
        <w:rPr>
          <w:color w:val="auto"/>
          <w:highlight w:val="none"/>
        </w:rPr>
      </w:pPr>
    </w:p>
    <w:p w14:paraId="493B2901">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14:paraId="40B585C3">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14:paraId="7AFF31ED">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14:paraId="502B9FE0">
      <w:pPr>
        <w:rPr>
          <w:color w:val="auto"/>
          <w:highlight w:val="none"/>
        </w:rPr>
      </w:pPr>
      <w:r>
        <w:rPr>
          <w:rFonts w:hint="eastAsia"/>
          <w:color w:val="auto"/>
          <w:highlight w:val="none"/>
        </w:rPr>
        <w:t>有关说明：</w:t>
      </w:r>
    </w:p>
    <w:p w14:paraId="5C7CECE5">
      <w:pPr>
        <w:rPr>
          <w:color w:val="auto"/>
          <w:highlight w:val="none"/>
        </w:rPr>
      </w:pPr>
      <w:r>
        <w:rPr>
          <w:rFonts w:hint="eastAsia"/>
          <w:color w:val="auto"/>
          <w:highlight w:val="none"/>
        </w:rPr>
        <w:t>报价一览表在开标大会上当众宣读，务必填写清楚，准确无误。表格可扩展。</w:t>
      </w:r>
    </w:p>
    <w:p w14:paraId="6DDA43AD">
      <w:pPr>
        <w:rPr>
          <w:color w:val="auto"/>
          <w:highlight w:val="none"/>
        </w:rPr>
      </w:pPr>
      <w:r>
        <w:rPr>
          <w:rFonts w:hint="eastAsia"/>
          <w:color w:val="auto"/>
          <w:highlight w:val="none"/>
        </w:rPr>
        <w:t>本次报价包含上述维护期的，比选人不再另行支付该维护期内维护费用。</w:t>
      </w:r>
    </w:p>
    <w:p w14:paraId="100B6C50">
      <w:pPr>
        <w:rPr>
          <w:color w:val="auto"/>
          <w:highlight w:val="none"/>
        </w:rPr>
      </w:pPr>
    </w:p>
    <w:p w14:paraId="22F3DEDA">
      <w:pPr>
        <w:rPr>
          <w:color w:val="auto"/>
          <w:highlight w:val="none"/>
        </w:rPr>
      </w:pPr>
    </w:p>
    <w:p w14:paraId="7FDCAC8D">
      <w:pPr>
        <w:rPr>
          <w:color w:val="auto"/>
          <w:highlight w:val="none"/>
        </w:rPr>
        <w:sectPr>
          <w:pgSz w:w="11906" w:h="16838"/>
          <w:pgMar w:top="1440" w:right="1800" w:bottom="1440" w:left="1800" w:header="851" w:footer="992" w:gutter="0"/>
          <w:cols w:space="720" w:num="1"/>
          <w:docGrid w:type="lines" w:linePitch="312" w:charSpace="0"/>
        </w:sectPr>
      </w:pPr>
    </w:p>
    <w:p w14:paraId="55E9875B">
      <w:pPr>
        <w:pStyle w:val="40"/>
        <w:rPr>
          <w:color w:val="auto"/>
          <w:highlight w:val="none"/>
        </w:rPr>
      </w:pPr>
      <w:r>
        <w:rPr>
          <w:rFonts w:hint="eastAsia"/>
          <w:color w:val="auto"/>
          <w:highlight w:val="none"/>
          <w:lang w:val="en-US" w:eastAsia="zh-CN"/>
        </w:rPr>
        <w:t>三</w:t>
      </w:r>
      <w:r>
        <w:rPr>
          <w:color w:val="auto"/>
          <w:highlight w:val="none"/>
        </w:rPr>
        <w:t>、资格性文件</w:t>
      </w:r>
    </w:p>
    <w:p w14:paraId="29A415D3">
      <w:pPr>
        <w:pStyle w:val="41"/>
        <w:ind w:left="0" w:firstLine="0"/>
        <w:rPr>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（一）</w:t>
      </w:r>
      <w:r>
        <w:rPr>
          <w:rFonts w:hint="eastAsia"/>
          <w:color w:val="auto"/>
          <w:highlight w:val="none"/>
          <w:lang w:val="en-US" w:eastAsia="zh-CN"/>
        </w:rPr>
        <w:t>响应人</w:t>
      </w:r>
      <w:r>
        <w:rPr>
          <w:color w:val="auto"/>
          <w:highlight w:val="none"/>
          <w:lang w:val="en-US" w:eastAsia="zh-CN"/>
        </w:rP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100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7AA7128">
            <w:pPr>
              <w:pStyle w:val="45"/>
              <w:jc w:val="center"/>
              <w:rPr>
                <w:color w:val="auto"/>
                <w:highlight w:val="none"/>
              </w:rPr>
            </w:pPr>
            <w:r>
              <w:rPr>
                <w:rFonts w:hint="eastAsia"/>
                <w:color w:val="auto"/>
                <w:highlight w:val="none"/>
              </w:rPr>
              <w:t>响应人名称</w:t>
            </w:r>
          </w:p>
        </w:tc>
        <w:tc>
          <w:tcPr>
            <w:tcW w:w="7114" w:type="dxa"/>
            <w:gridSpan w:val="8"/>
          </w:tcPr>
          <w:p w14:paraId="6FFC0916">
            <w:pPr>
              <w:pStyle w:val="45"/>
              <w:jc w:val="center"/>
              <w:rPr>
                <w:color w:val="auto"/>
                <w:highlight w:val="none"/>
              </w:rPr>
            </w:pPr>
          </w:p>
        </w:tc>
      </w:tr>
      <w:tr w14:paraId="3EAE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0ADEF29">
            <w:pPr>
              <w:pStyle w:val="45"/>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1F9CA5FB">
            <w:pPr>
              <w:pStyle w:val="45"/>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7463BC87">
            <w:pPr>
              <w:pStyle w:val="45"/>
              <w:jc w:val="center"/>
              <w:rPr>
                <w:color w:val="auto"/>
                <w:highlight w:val="none"/>
              </w:rPr>
            </w:pPr>
            <w:r>
              <w:rPr>
                <w:rFonts w:hint="eastAsia"/>
                <w:color w:val="auto"/>
                <w:highlight w:val="none"/>
              </w:rPr>
              <w:t>邮政编码</w:t>
            </w:r>
          </w:p>
        </w:tc>
        <w:tc>
          <w:tcPr>
            <w:tcW w:w="1657" w:type="dxa"/>
            <w:gridSpan w:val="3"/>
            <w:tcBorders>
              <w:left w:val="single" w:color="auto" w:sz="4" w:space="0"/>
            </w:tcBorders>
          </w:tcPr>
          <w:p w14:paraId="291A41A3">
            <w:pPr>
              <w:pStyle w:val="45"/>
              <w:jc w:val="center"/>
              <w:rPr>
                <w:color w:val="auto"/>
                <w:highlight w:val="none"/>
              </w:rPr>
            </w:pPr>
          </w:p>
        </w:tc>
      </w:tr>
      <w:tr w14:paraId="604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087F688">
            <w:pPr>
              <w:pStyle w:val="45"/>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367B3054">
            <w:pPr>
              <w:pStyle w:val="45"/>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3023BFC8">
            <w:pPr>
              <w:pStyle w:val="45"/>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52EE998E">
            <w:pPr>
              <w:pStyle w:val="45"/>
              <w:jc w:val="center"/>
              <w:rPr>
                <w:color w:val="auto"/>
                <w:highlight w:val="none"/>
              </w:rPr>
            </w:pPr>
            <w:r>
              <w:rPr>
                <w:rFonts w:hint="eastAsia"/>
                <w:color w:val="auto"/>
                <w:highlight w:val="none"/>
              </w:rPr>
              <w:t>电话</w:t>
            </w:r>
          </w:p>
        </w:tc>
        <w:tc>
          <w:tcPr>
            <w:tcW w:w="1657" w:type="dxa"/>
            <w:gridSpan w:val="3"/>
            <w:tcBorders>
              <w:left w:val="single" w:color="auto" w:sz="4" w:space="0"/>
            </w:tcBorders>
          </w:tcPr>
          <w:p w14:paraId="171F7F23">
            <w:pPr>
              <w:pStyle w:val="45"/>
              <w:jc w:val="center"/>
              <w:rPr>
                <w:color w:val="auto"/>
                <w:highlight w:val="none"/>
              </w:rPr>
            </w:pPr>
          </w:p>
        </w:tc>
      </w:tr>
      <w:tr w14:paraId="5378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A488497"/>
        </w:tc>
        <w:tc>
          <w:tcPr>
            <w:tcW w:w="1077" w:type="dxa"/>
            <w:tcBorders>
              <w:top w:val="single" w:color="auto" w:sz="4" w:space="0"/>
              <w:left w:val="single" w:color="auto" w:sz="4" w:space="0"/>
              <w:right w:val="single" w:color="auto" w:sz="4" w:space="0"/>
            </w:tcBorders>
            <w:vAlign w:val="center"/>
          </w:tcPr>
          <w:p w14:paraId="7A8E206F">
            <w:pPr>
              <w:pStyle w:val="45"/>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34AC9876">
            <w:pPr>
              <w:pStyle w:val="45"/>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5CF9F0CD">
            <w:pPr>
              <w:pStyle w:val="45"/>
              <w:jc w:val="center"/>
              <w:rPr>
                <w:color w:val="auto"/>
                <w:highlight w:val="none"/>
              </w:rPr>
            </w:pPr>
            <w:r>
              <w:rPr>
                <w:rFonts w:hint="eastAsia"/>
                <w:color w:val="auto"/>
                <w:highlight w:val="none"/>
              </w:rPr>
              <w:t>网址</w:t>
            </w:r>
          </w:p>
        </w:tc>
        <w:tc>
          <w:tcPr>
            <w:tcW w:w="1657" w:type="dxa"/>
            <w:gridSpan w:val="3"/>
            <w:tcBorders>
              <w:left w:val="single" w:color="auto" w:sz="4" w:space="0"/>
            </w:tcBorders>
          </w:tcPr>
          <w:p w14:paraId="796D77EE">
            <w:pPr>
              <w:pStyle w:val="45"/>
              <w:jc w:val="center"/>
              <w:rPr>
                <w:color w:val="auto"/>
                <w:highlight w:val="none"/>
              </w:rPr>
            </w:pPr>
          </w:p>
        </w:tc>
      </w:tr>
      <w:tr w14:paraId="1E1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CF30D2">
            <w:pPr>
              <w:pStyle w:val="45"/>
              <w:jc w:val="center"/>
              <w:rPr>
                <w:color w:val="auto"/>
                <w:highlight w:val="none"/>
              </w:rPr>
            </w:pPr>
            <w:r>
              <w:rPr>
                <w:rFonts w:hint="eastAsia"/>
                <w:color w:val="auto"/>
                <w:highlight w:val="none"/>
              </w:rPr>
              <w:t>组织结构</w:t>
            </w:r>
          </w:p>
        </w:tc>
        <w:tc>
          <w:tcPr>
            <w:tcW w:w="7114" w:type="dxa"/>
            <w:gridSpan w:val="8"/>
            <w:tcBorders>
              <w:left w:val="single" w:color="auto" w:sz="4" w:space="0"/>
            </w:tcBorders>
            <w:vAlign w:val="center"/>
          </w:tcPr>
          <w:p w14:paraId="79119001">
            <w:pPr>
              <w:pStyle w:val="45"/>
              <w:jc w:val="center"/>
              <w:rPr>
                <w:color w:val="auto"/>
                <w:highlight w:val="none"/>
              </w:rPr>
            </w:pPr>
          </w:p>
        </w:tc>
      </w:tr>
      <w:tr w14:paraId="6595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FAB9B73">
            <w:pPr>
              <w:pStyle w:val="45"/>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14:paraId="40C5944F">
            <w:pPr>
              <w:pStyle w:val="45"/>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41998F3B">
            <w:pPr>
              <w:pStyle w:val="45"/>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7EA4C084">
            <w:pPr>
              <w:pStyle w:val="45"/>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A32CF44">
            <w:pPr>
              <w:pStyle w:val="45"/>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C61A4E3">
            <w:pPr>
              <w:pStyle w:val="45"/>
              <w:jc w:val="center"/>
              <w:rPr>
                <w:color w:val="auto"/>
                <w:highlight w:val="none"/>
              </w:rPr>
            </w:pPr>
            <w:r>
              <w:rPr>
                <w:rFonts w:hint="eastAsia"/>
                <w:color w:val="auto"/>
                <w:highlight w:val="none"/>
              </w:rPr>
              <w:t>电话</w:t>
            </w:r>
          </w:p>
        </w:tc>
        <w:tc>
          <w:tcPr>
            <w:tcW w:w="758" w:type="dxa"/>
            <w:tcBorders>
              <w:left w:val="single" w:color="auto" w:sz="4" w:space="0"/>
            </w:tcBorders>
          </w:tcPr>
          <w:p w14:paraId="2C205858">
            <w:pPr>
              <w:pStyle w:val="45"/>
              <w:jc w:val="center"/>
              <w:rPr>
                <w:color w:val="auto"/>
                <w:highlight w:val="none"/>
              </w:rPr>
            </w:pPr>
          </w:p>
        </w:tc>
      </w:tr>
      <w:tr w14:paraId="7C3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D03A452">
            <w:pPr>
              <w:pStyle w:val="45"/>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4D478EAC">
            <w:pPr>
              <w:pStyle w:val="45"/>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234A8EDE">
            <w:pPr>
              <w:pStyle w:val="45"/>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53E59FA2">
            <w:pPr>
              <w:pStyle w:val="45"/>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7F64E10">
            <w:pPr>
              <w:pStyle w:val="45"/>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489449E3">
            <w:pPr>
              <w:pStyle w:val="45"/>
              <w:jc w:val="center"/>
              <w:rPr>
                <w:color w:val="auto"/>
                <w:highlight w:val="none"/>
              </w:rPr>
            </w:pPr>
            <w:r>
              <w:rPr>
                <w:rFonts w:hint="eastAsia"/>
                <w:color w:val="auto"/>
                <w:highlight w:val="none"/>
              </w:rPr>
              <w:t>电话</w:t>
            </w:r>
          </w:p>
        </w:tc>
        <w:tc>
          <w:tcPr>
            <w:tcW w:w="758" w:type="dxa"/>
            <w:tcBorders>
              <w:left w:val="single" w:color="auto" w:sz="4" w:space="0"/>
            </w:tcBorders>
          </w:tcPr>
          <w:p w14:paraId="3F8FDA16">
            <w:pPr>
              <w:pStyle w:val="45"/>
              <w:jc w:val="center"/>
              <w:rPr>
                <w:color w:val="auto"/>
                <w:highlight w:val="none"/>
              </w:rPr>
            </w:pPr>
          </w:p>
        </w:tc>
      </w:tr>
      <w:tr w14:paraId="3F05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39E9FFD">
            <w:pPr>
              <w:pStyle w:val="45"/>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0C472F9A">
            <w:pPr>
              <w:pStyle w:val="45"/>
              <w:jc w:val="center"/>
              <w:rPr>
                <w:color w:val="auto"/>
                <w:highlight w:val="none"/>
              </w:rPr>
            </w:pPr>
          </w:p>
        </w:tc>
        <w:tc>
          <w:tcPr>
            <w:tcW w:w="4234" w:type="dxa"/>
            <w:gridSpan w:val="6"/>
            <w:tcBorders>
              <w:left w:val="single" w:color="auto" w:sz="4" w:space="0"/>
            </w:tcBorders>
          </w:tcPr>
          <w:p w14:paraId="57047834">
            <w:pPr>
              <w:pStyle w:val="45"/>
              <w:jc w:val="center"/>
              <w:rPr>
                <w:color w:val="auto"/>
                <w:highlight w:val="none"/>
              </w:rPr>
            </w:pPr>
            <w:r>
              <w:rPr>
                <w:rFonts w:hint="eastAsia"/>
                <w:color w:val="auto"/>
                <w:highlight w:val="none"/>
              </w:rPr>
              <w:t>员工总人数：</w:t>
            </w:r>
          </w:p>
        </w:tc>
      </w:tr>
      <w:tr w14:paraId="7A2E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C72AF2D">
            <w:pPr>
              <w:pStyle w:val="45"/>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2C9F5389">
            <w:pPr>
              <w:pStyle w:val="45"/>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1C4FB4FE">
            <w:pPr>
              <w:pStyle w:val="45"/>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31137374">
            <w:pPr>
              <w:pStyle w:val="45"/>
              <w:jc w:val="center"/>
              <w:rPr>
                <w:color w:val="auto"/>
                <w:highlight w:val="none"/>
              </w:rPr>
            </w:pPr>
            <w:r>
              <w:rPr>
                <w:rFonts w:hint="eastAsia"/>
                <w:color w:val="auto"/>
                <w:highlight w:val="none"/>
              </w:rPr>
              <w:t>项目经理</w:t>
            </w:r>
          </w:p>
        </w:tc>
        <w:tc>
          <w:tcPr>
            <w:tcW w:w="1481" w:type="dxa"/>
            <w:gridSpan w:val="2"/>
            <w:tcBorders>
              <w:left w:val="single" w:color="auto" w:sz="4" w:space="0"/>
            </w:tcBorders>
          </w:tcPr>
          <w:p w14:paraId="7EEA2AD4">
            <w:pPr>
              <w:pStyle w:val="45"/>
              <w:jc w:val="center"/>
              <w:rPr>
                <w:color w:val="auto"/>
                <w:highlight w:val="none"/>
              </w:rPr>
            </w:pPr>
          </w:p>
        </w:tc>
      </w:tr>
      <w:tr w14:paraId="38DC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A3D2AD9">
            <w:pPr>
              <w:pStyle w:val="45"/>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7FCAAA14">
            <w:pPr>
              <w:pStyle w:val="45"/>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19D43E0D"/>
        </w:tc>
        <w:tc>
          <w:tcPr>
            <w:tcW w:w="2039" w:type="dxa"/>
            <w:gridSpan w:val="3"/>
            <w:tcBorders>
              <w:top w:val="single" w:color="auto" w:sz="4" w:space="0"/>
              <w:left w:val="single" w:color="auto" w:sz="4" w:space="0"/>
              <w:right w:val="single" w:color="auto" w:sz="4" w:space="0"/>
            </w:tcBorders>
            <w:vAlign w:val="center"/>
          </w:tcPr>
          <w:p w14:paraId="653408CC">
            <w:pPr>
              <w:pStyle w:val="45"/>
              <w:jc w:val="center"/>
              <w:rPr>
                <w:color w:val="auto"/>
                <w:highlight w:val="none"/>
              </w:rPr>
            </w:pPr>
            <w:r>
              <w:rPr>
                <w:rFonts w:hint="eastAsia"/>
                <w:color w:val="auto"/>
                <w:highlight w:val="none"/>
              </w:rPr>
              <w:t>高级职称人员</w:t>
            </w:r>
          </w:p>
        </w:tc>
        <w:tc>
          <w:tcPr>
            <w:tcW w:w="1481" w:type="dxa"/>
            <w:gridSpan w:val="2"/>
            <w:tcBorders>
              <w:left w:val="single" w:color="auto" w:sz="4" w:space="0"/>
            </w:tcBorders>
          </w:tcPr>
          <w:p w14:paraId="46A91DE6">
            <w:pPr>
              <w:pStyle w:val="45"/>
              <w:jc w:val="center"/>
              <w:rPr>
                <w:color w:val="auto"/>
                <w:highlight w:val="none"/>
              </w:rPr>
            </w:pPr>
          </w:p>
        </w:tc>
      </w:tr>
      <w:tr w14:paraId="1E62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1A88936">
            <w:pPr>
              <w:pStyle w:val="45"/>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64FB298D">
            <w:pPr>
              <w:pStyle w:val="45"/>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E9F80F0"/>
        </w:tc>
        <w:tc>
          <w:tcPr>
            <w:tcW w:w="2039" w:type="dxa"/>
            <w:gridSpan w:val="3"/>
            <w:tcBorders>
              <w:top w:val="single" w:color="auto" w:sz="4" w:space="0"/>
              <w:left w:val="single" w:color="auto" w:sz="4" w:space="0"/>
              <w:right w:val="single" w:color="auto" w:sz="4" w:space="0"/>
            </w:tcBorders>
            <w:vAlign w:val="center"/>
          </w:tcPr>
          <w:p w14:paraId="0693B8EE">
            <w:pPr>
              <w:pStyle w:val="45"/>
              <w:jc w:val="center"/>
              <w:rPr>
                <w:color w:val="auto"/>
                <w:highlight w:val="none"/>
              </w:rPr>
            </w:pPr>
            <w:r>
              <w:rPr>
                <w:rFonts w:hint="eastAsia"/>
                <w:color w:val="auto"/>
                <w:highlight w:val="none"/>
              </w:rPr>
              <w:t>中级职称人员</w:t>
            </w:r>
          </w:p>
        </w:tc>
        <w:tc>
          <w:tcPr>
            <w:tcW w:w="1481" w:type="dxa"/>
            <w:gridSpan w:val="2"/>
            <w:tcBorders>
              <w:left w:val="single" w:color="auto" w:sz="4" w:space="0"/>
            </w:tcBorders>
          </w:tcPr>
          <w:p w14:paraId="5341D408">
            <w:pPr>
              <w:pStyle w:val="45"/>
              <w:jc w:val="center"/>
              <w:rPr>
                <w:color w:val="auto"/>
                <w:highlight w:val="none"/>
              </w:rPr>
            </w:pPr>
          </w:p>
        </w:tc>
      </w:tr>
      <w:tr w14:paraId="6BDD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DBB2F1C">
            <w:pPr>
              <w:pStyle w:val="45"/>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7450145A">
            <w:pPr>
              <w:pStyle w:val="45"/>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252CF979"/>
        </w:tc>
        <w:tc>
          <w:tcPr>
            <w:tcW w:w="2039" w:type="dxa"/>
            <w:gridSpan w:val="3"/>
            <w:tcBorders>
              <w:top w:val="single" w:color="auto" w:sz="4" w:space="0"/>
              <w:left w:val="single" w:color="auto" w:sz="4" w:space="0"/>
              <w:right w:val="single" w:color="auto" w:sz="4" w:space="0"/>
            </w:tcBorders>
            <w:vAlign w:val="center"/>
          </w:tcPr>
          <w:p w14:paraId="0CD69A5D">
            <w:pPr>
              <w:pStyle w:val="45"/>
              <w:jc w:val="center"/>
              <w:rPr>
                <w:color w:val="auto"/>
                <w:highlight w:val="none"/>
              </w:rPr>
            </w:pPr>
            <w:r>
              <w:rPr>
                <w:rFonts w:hint="eastAsia"/>
                <w:color w:val="auto"/>
                <w:highlight w:val="none"/>
              </w:rPr>
              <w:t>初级职称人员</w:t>
            </w:r>
          </w:p>
        </w:tc>
        <w:tc>
          <w:tcPr>
            <w:tcW w:w="1481" w:type="dxa"/>
            <w:gridSpan w:val="2"/>
            <w:tcBorders>
              <w:left w:val="single" w:color="auto" w:sz="4" w:space="0"/>
            </w:tcBorders>
          </w:tcPr>
          <w:p w14:paraId="48AB5A6B">
            <w:pPr>
              <w:pStyle w:val="45"/>
              <w:jc w:val="center"/>
              <w:rPr>
                <w:color w:val="auto"/>
                <w:highlight w:val="none"/>
              </w:rPr>
            </w:pPr>
          </w:p>
        </w:tc>
      </w:tr>
      <w:tr w14:paraId="67F3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093FF01">
            <w:pPr>
              <w:pStyle w:val="45"/>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36487AA0">
            <w:pPr>
              <w:pStyle w:val="45"/>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5ACBA4C2"/>
        </w:tc>
        <w:tc>
          <w:tcPr>
            <w:tcW w:w="2039" w:type="dxa"/>
            <w:gridSpan w:val="3"/>
            <w:tcBorders>
              <w:top w:val="single" w:color="auto" w:sz="4" w:space="0"/>
              <w:left w:val="single" w:color="auto" w:sz="4" w:space="0"/>
              <w:right w:val="single" w:color="auto" w:sz="4" w:space="0"/>
            </w:tcBorders>
            <w:vAlign w:val="center"/>
          </w:tcPr>
          <w:p w14:paraId="57F0FCCE">
            <w:pPr>
              <w:pStyle w:val="45"/>
              <w:jc w:val="center"/>
              <w:rPr>
                <w:color w:val="auto"/>
                <w:highlight w:val="none"/>
              </w:rPr>
            </w:pPr>
            <w:r>
              <w:rPr>
                <w:rFonts w:hint="eastAsia"/>
                <w:color w:val="auto"/>
                <w:highlight w:val="none"/>
              </w:rPr>
              <w:t>技工</w:t>
            </w:r>
          </w:p>
        </w:tc>
        <w:tc>
          <w:tcPr>
            <w:tcW w:w="1481" w:type="dxa"/>
            <w:gridSpan w:val="2"/>
            <w:tcBorders>
              <w:left w:val="single" w:color="auto" w:sz="4" w:space="0"/>
            </w:tcBorders>
          </w:tcPr>
          <w:p w14:paraId="238A9A29">
            <w:pPr>
              <w:pStyle w:val="45"/>
              <w:jc w:val="center"/>
              <w:rPr>
                <w:color w:val="auto"/>
                <w:highlight w:val="none"/>
              </w:rPr>
            </w:pPr>
          </w:p>
        </w:tc>
      </w:tr>
      <w:tr w14:paraId="4C3B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9D82E48">
            <w:pPr>
              <w:pStyle w:val="45"/>
              <w:jc w:val="center"/>
              <w:rPr>
                <w:color w:val="auto"/>
                <w:highlight w:val="none"/>
              </w:rPr>
            </w:pPr>
            <w:r>
              <w:rPr>
                <w:rFonts w:hint="eastAsia"/>
                <w:color w:val="auto"/>
                <w:highlight w:val="none"/>
              </w:rPr>
              <w:t>经营范围</w:t>
            </w:r>
          </w:p>
        </w:tc>
        <w:tc>
          <w:tcPr>
            <w:tcW w:w="7114" w:type="dxa"/>
            <w:gridSpan w:val="8"/>
            <w:tcBorders>
              <w:left w:val="single" w:color="auto" w:sz="4" w:space="0"/>
            </w:tcBorders>
          </w:tcPr>
          <w:p w14:paraId="7FA633C2">
            <w:pPr>
              <w:pStyle w:val="45"/>
              <w:jc w:val="center"/>
              <w:rPr>
                <w:color w:val="auto"/>
                <w:highlight w:val="none"/>
              </w:rPr>
            </w:pPr>
          </w:p>
        </w:tc>
      </w:tr>
      <w:tr w14:paraId="1DD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84560B7">
            <w:pPr>
              <w:pStyle w:val="45"/>
              <w:jc w:val="center"/>
              <w:rPr>
                <w:color w:val="auto"/>
                <w:highlight w:val="none"/>
              </w:rPr>
            </w:pPr>
            <w:r>
              <w:rPr>
                <w:rFonts w:hint="eastAsia"/>
                <w:color w:val="auto"/>
                <w:highlight w:val="none"/>
              </w:rPr>
              <w:t>备注</w:t>
            </w:r>
          </w:p>
        </w:tc>
        <w:tc>
          <w:tcPr>
            <w:tcW w:w="7114" w:type="dxa"/>
            <w:gridSpan w:val="8"/>
            <w:tcBorders>
              <w:left w:val="single" w:color="auto" w:sz="4" w:space="0"/>
            </w:tcBorders>
          </w:tcPr>
          <w:p w14:paraId="33EF8744">
            <w:pPr>
              <w:pStyle w:val="45"/>
              <w:jc w:val="center"/>
              <w:rPr>
                <w:color w:val="auto"/>
                <w:highlight w:val="none"/>
              </w:rPr>
            </w:pPr>
          </w:p>
        </w:tc>
      </w:tr>
    </w:tbl>
    <w:p w14:paraId="791BA4B8">
      <w:pPr>
        <w:rPr>
          <w:color w:val="auto"/>
          <w:highlight w:val="none"/>
        </w:rPr>
        <w:sectPr>
          <w:pgSz w:w="11906" w:h="16838"/>
          <w:pgMar w:top="1440" w:right="1800" w:bottom="1440" w:left="1800" w:header="851" w:footer="992" w:gutter="0"/>
          <w:cols w:space="720" w:num="1"/>
          <w:docGrid w:type="lines" w:linePitch="312" w:charSpace="0"/>
        </w:sectPr>
      </w:pPr>
      <w:r>
        <w:rPr>
          <w:rFonts w:hint="eastAsia"/>
          <w:color w:val="auto"/>
          <w:highlight w:val="none"/>
        </w:rPr>
        <w:t>注：附营业执照（副本）、资质证明复印件等。</w:t>
      </w:r>
    </w:p>
    <w:p w14:paraId="0D059188">
      <w:pPr>
        <w:pStyle w:val="41"/>
        <w:ind w:left="0" w:firstLine="0"/>
        <w:rPr>
          <w:rFonts w:hint="eastAsia"/>
          <w:color w:val="auto"/>
          <w:highlight w:val="none"/>
          <w:lang w:val="en-US" w:eastAsia="zh-CN"/>
        </w:rPr>
      </w:pPr>
      <w:bookmarkStart w:id="298" w:name="_Toc14270"/>
      <w:bookmarkStart w:id="299" w:name="_Toc8213"/>
      <w:bookmarkStart w:id="300" w:name="_Toc378234584"/>
      <w:bookmarkStart w:id="301" w:name="_Toc478053903"/>
      <w:bookmarkStart w:id="302" w:name="_Toc472780356"/>
      <w:bookmarkStart w:id="303" w:name="_Toc378234770"/>
      <w:bookmarkStart w:id="304" w:name="_Toc478054435"/>
      <w:r>
        <w:rPr>
          <w:rFonts w:hint="eastAsia" w:ascii="Times New Roman" w:hAnsi="Times New Roman" w:eastAsia="宋体" w:cs="Cambria Math"/>
          <w:bCs/>
          <w:color w:val="auto"/>
          <w:kern w:val="2"/>
          <w:sz w:val="21"/>
          <w:szCs w:val="32"/>
          <w:highlight w:val="none"/>
          <w:lang w:val="en-US" w:eastAsia="zh-CN" w:bidi="ar-SA"/>
        </w:rPr>
        <w:t>（二）</w:t>
      </w:r>
      <w:r>
        <w:rPr>
          <w:rFonts w:hint="eastAsia"/>
          <w:color w:val="auto"/>
          <w:highlight w:val="none"/>
          <w:lang w:val="en-US" w:eastAsia="zh-CN"/>
        </w:rPr>
        <w:t>法定代表人身份证明及授权委托书</w:t>
      </w:r>
      <w:bookmarkEnd w:id="298"/>
      <w:bookmarkEnd w:id="299"/>
    </w:p>
    <w:p w14:paraId="22A3F1B8">
      <w:pPr>
        <w:pStyle w:val="42"/>
        <w:rPr>
          <w:rFonts w:ascii="Times New Roman" w:hAnsi="Times New Roman"/>
          <w:color w:val="auto"/>
          <w:highlight w:val="none"/>
        </w:rPr>
      </w:pPr>
      <w:r>
        <w:rPr>
          <w:rFonts w:ascii="Times New Roman" w:hAnsi="Times New Roman"/>
          <w:color w:val="auto"/>
          <w:highlight w:val="none"/>
        </w:rPr>
        <w:t>法定代表人身份证明书</w:t>
      </w:r>
    </w:p>
    <w:p w14:paraId="4DF82B8C">
      <w:pPr>
        <w:tabs>
          <w:tab w:val="left" w:pos="6300"/>
        </w:tabs>
        <w:snapToGrid w:val="0"/>
        <w:rPr>
          <w:snapToGrid w:val="0"/>
          <w:color w:val="auto"/>
          <w:kern w:val="0"/>
          <w:highlight w:val="none"/>
        </w:rPr>
      </w:pPr>
    </w:p>
    <w:p w14:paraId="783CDD0B">
      <w:pPr>
        <w:tabs>
          <w:tab w:val="left" w:pos="6300"/>
        </w:tabs>
        <w:snapToGrid w:val="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3D2E4B03">
      <w:pPr>
        <w:tabs>
          <w:tab w:val="left" w:pos="6300"/>
        </w:tabs>
        <w:snapToGrid w:val="0"/>
        <w:rPr>
          <w:snapToGrid w:val="0"/>
          <w:color w:val="auto"/>
          <w:kern w:val="0"/>
          <w:highlight w:val="none"/>
        </w:rPr>
      </w:pPr>
    </w:p>
    <w:p w14:paraId="254591EB">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341CDC92">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6EEAF930">
      <w:pPr>
        <w:tabs>
          <w:tab w:val="left" w:pos="6300"/>
        </w:tabs>
        <w:snapToGrid w:val="0"/>
        <w:rPr>
          <w:snapToGrid w:val="0"/>
          <w:color w:val="auto"/>
          <w:kern w:val="0"/>
          <w:highlight w:val="none"/>
        </w:rPr>
      </w:pPr>
    </w:p>
    <w:p w14:paraId="5F6F1495">
      <w:pPr>
        <w:tabs>
          <w:tab w:val="left" w:pos="6300"/>
        </w:tabs>
        <w:snapToGrid w:val="0"/>
        <w:rPr>
          <w:snapToGrid w:val="0"/>
          <w:color w:val="auto"/>
          <w:kern w:val="0"/>
          <w:highlight w:val="none"/>
        </w:rPr>
      </w:pPr>
      <w:r>
        <w:rPr>
          <w:rFonts w:hint="eastAsia"/>
          <w:snapToGrid w:val="0"/>
          <w:color w:val="auto"/>
          <w:kern w:val="0"/>
          <w:highlight w:val="none"/>
        </w:rPr>
        <w:t>特此证明。</w:t>
      </w:r>
    </w:p>
    <w:p w14:paraId="7DFD9846">
      <w:pPr>
        <w:tabs>
          <w:tab w:val="left" w:pos="6300"/>
        </w:tabs>
        <w:snapToGrid w:val="0"/>
        <w:rPr>
          <w:snapToGrid w:val="0"/>
          <w:color w:val="auto"/>
          <w:kern w:val="0"/>
          <w:highlight w:val="none"/>
        </w:rPr>
      </w:pPr>
    </w:p>
    <w:p w14:paraId="40A4E454">
      <w:pPr>
        <w:tabs>
          <w:tab w:val="left" w:pos="6300"/>
        </w:tabs>
        <w:snapToGrid w:val="0"/>
        <w:rPr>
          <w:snapToGrid w:val="0"/>
          <w:color w:val="auto"/>
          <w:kern w:val="0"/>
          <w:highlight w:val="none"/>
        </w:rPr>
      </w:pPr>
    </w:p>
    <w:p w14:paraId="533CDC0D">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070286CE">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2A02C92A">
      <w:pPr>
        <w:tabs>
          <w:tab w:val="left" w:pos="6300"/>
        </w:tabs>
        <w:snapToGrid w:val="0"/>
        <w:rPr>
          <w:snapToGrid w:val="0"/>
          <w:color w:val="auto"/>
          <w:kern w:val="0"/>
          <w:highlight w:val="none"/>
        </w:rPr>
      </w:pPr>
    </w:p>
    <w:p w14:paraId="1AA83D65">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14:paraId="68CA4206">
      <w:pPr>
        <w:tabs>
          <w:tab w:val="left" w:pos="6300"/>
        </w:tabs>
        <w:snapToGrid w:val="0"/>
        <w:rPr>
          <w:snapToGrid w:val="0"/>
          <w:color w:val="auto"/>
          <w:kern w:val="0"/>
          <w:highlight w:val="none"/>
        </w:rPr>
      </w:pPr>
    </w:p>
    <w:p w14:paraId="4BD7C55E">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14:paraId="0EC64E59">
      <w:pPr>
        <w:tabs>
          <w:tab w:val="left" w:pos="6300"/>
        </w:tabs>
        <w:snapToGrid w:val="0"/>
        <w:rPr>
          <w:snapToGrid w:val="0"/>
          <w:color w:val="auto"/>
          <w:kern w:val="0"/>
          <w:highlight w:val="none"/>
        </w:rPr>
      </w:pPr>
    </w:p>
    <w:p w14:paraId="031D2050">
      <w:pPr>
        <w:tabs>
          <w:tab w:val="left" w:pos="6300"/>
        </w:tabs>
        <w:snapToGrid w:val="0"/>
        <w:rPr>
          <w:snapToGrid w:val="0"/>
          <w:color w:val="auto"/>
          <w:kern w:val="0"/>
          <w:highlight w:val="none"/>
        </w:rPr>
      </w:pPr>
    </w:p>
    <w:p w14:paraId="006BD981">
      <w:pPr>
        <w:tabs>
          <w:tab w:val="left" w:pos="6300"/>
        </w:tabs>
        <w:snapToGrid w:val="0"/>
        <w:rPr>
          <w:snapToGrid w:val="0"/>
          <w:color w:val="auto"/>
          <w:kern w:val="0"/>
          <w:highlight w:val="none"/>
        </w:rPr>
      </w:pPr>
    </w:p>
    <w:p w14:paraId="304CB1BD">
      <w:pPr>
        <w:jc w:val="center"/>
        <w:rPr>
          <w:rStyle w:val="43"/>
          <w:rFonts w:ascii="Times New Roman" w:hAnsi="Times New Roman"/>
          <w:color w:val="auto"/>
          <w:highlight w:val="none"/>
        </w:rPr>
      </w:pPr>
      <w:r>
        <w:rPr>
          <w:rFonts w:hint="eastAsia"/>
          <w:snapToGrid w:val="0"/>
          <w:color w:val="auto"/>
          <w:kern w:val="0"/>
          <w:highlight w:val="none"/>
        </w:rPr>
        <w:br w:type="column"/>
      </w:r>
      <w:r>
        <w:rPr>
          <w:rStyle w:val="43"/>
          <w:rFonts w:ascii="Times New Roman" w:hAnsi="Times New Roman"/>
          <w:color w:val="auto"/>
          <w:highlight w:val="none"/>
        </w:rPr>
        <w:t>授权委托书</w:t>
      </w:r>
      <w:r>
        <w:rPr>
          <w:rStyle w:val="43"/>
          <w:color w:val="auto"/>
          <w:highlight w:val="none"/>
        </w:rPr>
        <w:t>（如有）</w:t>
      </w:r>
    </w:p>
    <w:p w14:paraId="41713B3B">
      <w:pPr>
        <w:pStyle w:val="52"/>
        <w:rPr>
          <w:color w:val="auto"/>
          <w:highlight w:val="none"/>
        </w:rPr>
      </w:pPr>
      <w:r>
        <w:rPr>
          <w:color w:val="auto"/>
          <w:highlight w:val="none"/>
        </w:rPr>
        <w:t>（适用于有委托代理人的情况时采用）</w:t>
      </w:r>
    </w:p>
    <w:p w14:paraId="7A90A8AF">
      <w:pPr>
        <w:tabs>
          <w:tab w:val="left" w:pos="6300"/>
        </w:tabs>
        <w:snapToGrid w:val="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5D88A66A">
      <w:pPr>
        <w:tabs>
          <w:tab w:val="left" w:pos="6300"/>
        </w:tabs>
        <w:snapToGrid w:val="0"/>
        <w:rPr>
          <w:snapToGrid w:val="0"/>
          <w:color w:val="auto"/>
          <w:kern w:val="0"/>
          <w:highlight w:val="none"/>
        </w:rPr>
      </w:pPr>
    </w:p>
    <w:p w14:paraId="6C24D80E">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561C1187">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14:paraId="342278CB">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4010D948">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797821B3">
      <w:pPr>
        <w:tabs>
          <w:tab w:val="left" w:pos="6300"/>
        </w:tabs>
        <w:snapToGrid w:val="0"/>
        <w:rPr>
          <w:snapToGrid w:val="0"/>
          <w:color w:val="auto"/>
          <w:kern w:val="0"/>
          <w:highlight w:val="none"/>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2A2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3CA61B3">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697269F6">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14:paraId="735E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47F7D10">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4862867A">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2C08BB04">
      <w:pPr>
        <w:tabs>
          <w:tab w:val="left" w:pos="6300"/>
        </w:tabs>
        <w:snapToGrid w:val="0"/>
        <w:rPr>
          <w:snapToGrid w:val="0"/>
          <w:color w:val="auto"/>
          <w:kern w:val="0"/>
          <w:highlight w:val="none"/>
        </w:rPr>
      </w:pPr>
    </w:p>
    <w:p w14:paraId="110E88F9">
      <w:pPr>
        <w:tabs>
          <w:tab w:val="left" w:pos="6300"/>
        </w:tabs>
        <w:snapToGrid w:val="0"/>
        <w:rPr>
          <w:snapToGrid w:val="0"/>
          <w:color w:val="auto"/>
          <w:kern w:val="0"/>
          <w:szCs w:val="28"/>
          <w:highlight w:val="none"/>
        </w:rPr>
      </w:pPr>
    </w:p>
    <w:p w14:paraId="228BBC87">
      <w:pPr>
        <w:tabs>
          <w:tab w:val="left" w:pos="6300"/>
        </w:tabs>
        <w:snapToGrid w:val="0"/>
        <w:rPr>
          <w:snapToGrid w:val="0"/>
          <w:color w:val="auto"/>
          <w:kern w:val="0"/>
          <w:highlight w:val="none"/>
        </w:rPr>
      </w:pPr>
    </w:p>
    <w:p w14:paraId="77380C31">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26DC41B1">
      <w:pPr>
        <w:tabs>
          <w:tab w:val="left" w:pos="6300"/>
        </w:tabs>
        <w:snapToGrid w:val="0"/>
        <w:rPr>
          <w:snapToGrid w:val="0"/>
          <w:color w:val="auto"/>
          <w:kern w:val="0"/>
          <w:highlight w:val="none"/>
        </w:rPr>
      </w:pPr>
    </w:p>
    <w:p w14:paraId="6D13CDDD">
      <w:pPr>
        <w:tabs>
          <w:tab w:val="left" w:pos="6300"/>
        </w:tabs>
        <w:snapToGrid w:val="0"/>
        <w:rPr>
          <w:snapToGrid w:val="0"/>
          <w:color w:val="auto"/>
          <w:kern w:val="0"/>
          <w:highlight w:val="none"/>
        </w:rPr>
      </w:pPr>
    </w:p>
    <w:p w14:paraId="6065E9FA">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23FB95A1">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08AF4E53">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14:paraId="6E2FE211">
      <w:pPr>
        <w:tabs>
          <w:tab w:val="left" w:pos="6300"/>
        </w:tabs>
        <w:snapToGrid w:val="0"/>
        <w:rPr>
          <w:snapToGrid w:val="0"/>
          <w:color w:val="auto"/>
          <w:kern w:val="0"/>
          <w:highlight w:val="none"/>
        </w:rPr>
      </w:pPr>
    </w:p>
    <w:p w14:paraId="31CF2AA1">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14:paraId="695ACA8A">
      <w:pPr>
        <w:rPr>
          <w:color w:val="auto"/>
          <w:highlight w:val="none"/>
        </w:rPr>
      </w:pPr>
    </w:p>
    <w:p w14:paraId="25F22E77">
      <w:pPr>
        <w:rPr>
          <w:color w:val="auto"/>
          <w:highlight w:val="none"/>
        </w:rPr>
        <w:sectPr>
          <w:pgSz w:w="11906" w:h="16838"/>
          <w:pgMar w:top="1440" w:right="1800" w:bottom="1440" w:left="1800" w:header="851" w:footer="992" w:gutter="0"/>
          <w:cols w:space="720" w:num="1"/>
          <w:docGrid w:type="lines" w:linePitch="312" w:charSpace="0"/>
        </w:sectPr>
      </w:pPr>
    </w:p>
    <w:bookmarkEnd w:id="300"/>
    <w:bookmarkEnd w:id="301"/>
    <w:bookmarkEnd w:id="302"/>
    <w:bookmarkEnd w:id="303"/>
    <w:bookmarkEnd w:id="304"/>
    <w:p w14:paraId="3AB3BB38">
      <w:pPr>
        <w:pStyle w:val="41"/>
        <w:ind w:left="0" w:firstLine="0"/>
        <w:rPr>
          <w:rFonts w:hint="eastAsia"/>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w:t>
      </w:r>
      <w:r>
        <w:rPr>
          <w:rFonts w:hint="eastAsia" w:cs="Cambria Math"/>
          <w:bCs/>
          <w:color w:val="auto"/>
          <w:kern w:val="2"/>
          <w:sz w:val="21"/>
          <w:szCs w:val="32"/>
          <w:highlight w:val="none"/>
          <w:lang w:val="en-US" w:eastAsia="zh-CN" w:bidi="ar-SA"/>
        </w:rPr>
        <w:t>三</w:t>
      </w:r>
      <w:r>
        <w:rPr>
          <w:rFonts w:hint="eastAsia" w:ascii="Times New Roman" w:hAnsi="Times New Roman" w:eastAsia="宋体" w:cs="Cambria Math"/>
          <w:bCs/>
          <w:color w:val="auto"/>
          <w:kern w:val="2"/>
          <w:sz w:val="21"/>
          <w:szCs w:val="32"/>
          <w:highlight w:val="none"/>
          <w:lang w:val="en-US" w:eastAsia="zh-CN" w:bidi="ar-SA"/>
        </w:rPr>
        <w:t>）</w:t>
      </w:r>
      <w:r>
        <w:rPr>
          <w:rFonts w:hint="eastAsia"/>
          <w:color w:val="auto"/>
          <w:highlight w:val="none"/>
          <w:lang w:val="en-US" w:eastAsia="zh-CN"/>
        </w:rPr>
        <w:t>书面声明</w:t>
      </w:r>
    </w:p>
    <w:p w14:paraId="204FD7D0">
      <w:pPr>
        <w:tabs>
          <w:tab w:val="left" w:pos="6300"/>
        </w:tabs>
        <w:snapToGrid w:val="0"/>
        <w:rPr>
          <w:rFonts w:ascii="宋体"/>
          <w:color w:val="auto"/>
          <w:sz w:val="24"/>
          <w:highlight w:val="none"/>
        </w:rPr>
      </w:pPr>
    </w:p>
    <w:p w14:paraId="601DB29F">
      <w:pPr>
        <w:tabs>
          <w:tab w:val="left" w:pos="6300"/>
        </w:tabs>
        <w:snapToGrid w:val="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702249BC">
      <w:pPr>
        <w:tabs>
          <w:tab w:val="left" w:pos="6300"/>
        </w:tabs>
        <w:snapToGrid w:val="0"/>
        <w:rPr>
          <w:rFonts w:ascii="宋体"/>
          <w:color w:val="auto"/>
          <w:sz w:val="24"/>
          <w:highlight w:val="none"/>
        </w:rPr>
      </w:pPr>
    </w:p>
    <w:p w14:paraId="1630421A">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64738319">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名称）郑重声明，我公司具有良好的商业信誉和健全的财务会计制度，近3年财务状况稳定</w:t>
      </w:r>
      <w:r>
        <w:rPr>
          <w:rFonts w:hint="eastAsia" w:ascii="宋体"/>
          <w:color w:val="auto"/>
          <w:sz w:val="24"/>
          <w:highlight w:val="none"/>
          <w:lang w:eastAsia="zh-CN"/>
        </w:rPr>
        <w:t>，</w:t>
      </w:r>
      <w:r>
        <w:rPr>
          <w:rFonts w:hint="eastAsia" w:ascii="宋体"/>
          <w:color w:val="auto"/>
          <w:sz w:val="24"/>
          <w:highlight w:val="none"/>
        </w:rPr>
        <w:t>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14:paraId="0C61AF90">
      <w:pPr>
        <w:tabs>
          <w:tab w:val="left" w:pos="6300"/>
        </w:tabs>
        <w:snapToGrid w:val="0"/>
        <w:rPr>
          <w:rFonts w:ascii="宋体"/>
          <w:color w:val="auto"/>
          <w:sz w:val="24"/>
          <w:highlight w:val="none"/>
        </w:rPr>
      </w:pPr>
      <w:r>
        <w:rPr>
          <w:rFonts w:hint="eastAsia" w:ascii="宋体"/>
          <w:color w:val="auto"/>
          <w:sz w:val="24"/>
          <w:highlight w:val="none"/>
        </w:rPr>
        <w:t>特此声明。</w:t>
      </w:r>
    </w:p>
    <w:p w14:paraId="55EFEB2C">
      <w:pPr>
        <w:tabs>
          <w:tab w:val="left" w:pos="6300"/>
        </w:tabs>
        <w:snapToGrid w:val="0"/>
        <w:rPr>
          <w:rFonts w:ascii="宋体"/>
          <w:color w:val="auto"/>
          <w:sz w:val="24"/>
          <w:highlight w:val="none"/>
        </w:rPr>
      </w:pPr>
    </w:p>
    <w:p w14:paraId="2E61015C">
      <w:pPr>
        <w:tabs>
          <w:tab w:val="left" w:pos="6300"/>
        </w:tabs>
        <w:snapToGrid w:val="0"/>
        <w:rPr>
          <w:rFonts w:ascii="宋体"/>
          <w:color w:val="auto"/>
          <w:sz w:val="24"/>
          <w:highlight w:val="none"/>
        </w:rPr>
      </w:pPr>
    </w:p>
    <w:p w14:paraId="3EEDF9B9">
      <w:pPr>
        <w:tabs>
          <w:tab w:val="left" w:pos="6300"/>
        </w:tabs>
        <w:snapToGrid w:val="0"/>
        <w:rPr>
          <w:rFonts w:ascii="宋体"/>
          <w:color w:val="auto"/>
          <w:sz w:val="24"/>
          <w:highlight w:val="none"/>
        </w:rPr>
      </w:pPr>
    </w:p>
    <w:p w14:paraId="1A1C38BF">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14:paraId="5A443A62">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14:paraId="480316BA">
      <w:pPr>
        <w:jc w:val="left"/>
        <w:rPr>
          <w:rFonts w:ascii="宋体" w:cs="等线 Light"/>
          <w:snapToGrid w:val="0"/>
          <w:color w:val="auto"/>
          <w:kern w:val="0"/>
          <w:sz w:val="24"/>
          <w:szCs w:val="24"/>
          <w:highlight w:val="none"/>
        </w:rPr>
      </w:pPr>
    </w:p>
    <w:p w14:paraId="1361A65B">
      <w:pPr>
        <w:jc w:val="left"/>
        <w:rPr>
          <w:rFonts w:ascii="宋体" w:cs="等线 Light"/>
          <w:snapToGrid w:val="0"/>
          <w:color w:val="auto"/>
          <w:kern w:val="0"/>
          <w:sz w:val="24"/>
          <w:szCs w:val="24"/>
          <w:highlight w:val="none"/>
        </w:rPr>
      </w:pPr>
    </w:p>
    <w:p w14:paraId="7249ECDF">
      <w:pPr>
        <w:jc w:val="left"/>
        <w:rPr>
          <w:rFonts w:ascii="宋体" w:cs="等线 Light"/>
          <w:snapToGrid w:val="0"/>
          <w:color w:val="auto"/>
          <w:kern w:val="0"/>
          <w:sz w:val="24"/>
          <w:szCs w:val="24"/>
          <w:highlight w:val="none"/>
        </w:rPr>
      </w:pPr>
    </w:p>
    <w:p w14:paraId="26CACDA7">
      <w:pPr>
        <w:rPr>
          <w:b/>
          <w:bCs/>
          <w:color w:val="auto"/>
          <w:highlight w:val="none"/>
        </w:rPr>
      </w:pPr>
      <w:r>
        <w:rPr>
          <w:rFonts w:hint="eastAsia"/>
          <w:color w:val="auto"/>
          <w:kern w:val="0"/>
          <w:highlight w:val="none"/>
        </w:rPr>
        <w:br w:type="page"/>
      </w:r>
    </w:p>
    <w:p w14:paraId="3203A9B9">
      <w:pPr>
        <w:pStyle w:val="41"/>
        <w:ind w:left="0" w:firstLine="0"/>
        <w:rPr>
          <w:rFonts w:hint="eastAsia"/>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w:t>
      </w:r>
      <w:r>
        <w:rPr>
          <w:rFonts w:hint="eastAsia" w:cs="Cambria Math"/>
          <w:bCs/>
          <w:color w:val="auto"/>
          <w:kern w:val="2"/>
          <w:sz w:val="21"/>
          <w:szCs w:val="32"/>
          <w:highlight w:val="none"/>
          <w:lang w:val="en-US" w:eastAsia="zh-CN" w:bidi="ar-SA"/>
        </w:rPr>
        <w:t>四</w:t>
      </w:r>
      <w:r>
        <w:rPr>
          <w:rFonts w:hint="eastAsia" w:ascii="Times New Roman" w:hAnsi="Times New Roman" w:eastAsia="宋体" w:cs="Cambria Math"/>
          <w:bCs/>
          <w:color w:val="auto"/>
          <w:kern w:val="2"/>
          <w:sz w:val="21"/>
          <w:szCs w:val="32"/>
          <w:highlight w:val="none"/>
          <w:lang w:val="en-US" w:eastAsia="zh-CN" w:bidi="ar-SA"/>
        </w:rPr>
        <w:t>）</w:t>
      </w:r>
      <w:r>
        <w:rPr>
          <w:rFonts w:hint="eastAsia"/>
          <w:color w:val="auto"/>
          <w:highlight w:val="none"/>
          <w:lang w:val="en-US" w:eastAsia="zh-CN"/>
        </w:rPr>
        <w:t>中国执行信息公开网截图</w:t>
      </w:r>
    </w:p>
    <w:p w14:paraId="4D40669E">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0D38E56C">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2D3832F0">
      <w:pPr>
        <w:rPr>
          <w:color w:val="auto"/>
          <w:highlight w:val="none"/>
        </w:rPr>
      </w:pPr>
    </w:p>
    <w:p w14:paraId="1B4831B5">
      <w:pPr>
        <w:rPr>
          <w:color w:val="auto"/>
          <w:highlight w:val="none"/>
        </w:rPr>
      </w:pPr>
    </w:p>
    <w:p w14:paraId="0873ED34">
      <w:pPr>
        <w:rPr>
          <w:color w:val="auto"/>
          <w:highlight w:val="none"/>
        </w:rPr>
      </w:pPr>
    </w:p>
    <w:p w14:paraId="57FF79E1">
      <w:pPr>
        <w:rPr>
          <w:color w:val="auto"/>
          <w:highlight w:val="none"/>
        </w:rPr>
      </w:pPr>
      <w:r>
        <w:rPr>
          <w:rFonts w:hint="eastAsia"/>
          <w:color w:val="auto"/>
          <w:highlight w:val="none"/>
        </w:rPr>
        <w:br w:type="page"/>
      </w:r>
    </w:p>
    <w:p w14:paraId="347CE465">
      <w:pPr>
        <w:pStyle w:val="41"/>
        <w:ind w:left="0" w:firstLine="0"/>
        <w:rPr>
          <w:rFonts w:hint="eastAsia"/>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w:t>
      </w:r>
      <w:r>
        <w:rPr>
          <w:rFonts w:hint="eastAsia" w:cs="Cambria Math"/>
          <w:bCs/>
          <w:color w:val="auto"/>
          <w:kern w:val="2"/>
          <w:sz w:val="21"/>
          <w:szCs w:val="32"/>
          <w:highlight w:val="none"/>
          <w:lang w:val="en-US" w:eastAsia="zh-CN" w:bidi="ar-SA"/>
        </w:rPr>
        <w:t>五</w:t>
      </w:r>
      <w:r>
        <w:rPr>
          <w:rFonts w:hint="eastAsia" w:ascii="Times New Roman" w:hAnsi="Times New Roman" w:eastAsia="宋体" w:cs="Cambria Math"/>
          <w:bCs/>
          <w:color w:val="auto"/>
          <w:kern w:val="2"/>
          <w:sz w:val="21"/>
          <w:szCs w:val="32"/>
          <w:highlight w:val="none"/>
          <w:lang w:val="en-US" w:eastAsia="zh-CN" w:bidi="ar-SA"/>
        </w:rPr>
        <w:t>）</w:t>
      </w:r>
      <w:r>
        <w:rPr>
          <w:rFonts w:hint="eastAsia"/>
          <w:color w:val="auto"/>
          <w:highlight w:val="none"/>
          <w:lang w:val="zh-CN" w:eastAsia="zh-CN"/>
        </w:rPr>
        <w:t>项目案例</w:t>
      </w:r>
      <w:r>
        <w:rPr>
          <w:rFonts w:hint="eastAsia"/>
          <w:color w:val="auto"/>
          <w:highlight w:val="none"/>
          <w:lang w:val="en-US" w:eastAsia="zh-CN"/>
        </w:rPr>
        <w:t>和业绩证明文件复印件</w:t>
      </w:r>
    </w:p>
    <w:p w14:paraId="2783160A">
      <w:pPr>
        <w:rPr>
          <w:color w:val="auto"/>
          <w:highlight w:val="none"/>
        </w:rPr>
      </w:pPr>
      <w:r>
        <w:rPr>
          <w:rFonts w:hint="eastAsia"/>
          <w:color w:val="auto"/>
          <w:highlight w:val="none"/>
        </w:rPr>
        <w:t>1、合同关键页（合同关键页</w:t>
      </w:r>
      <w:r>
        <w:rPr>
          <w:color w:val="auto"/>
          <w:highlight w:val="none"/>
        </w:rPr>
        <w:t>包含：甲乙双方名称、双方印章、项目名称、合同签订时间</w:t>
      </w:r>
      <w:r>
        <w:rPr>
          <w:rFonts w:hint="eastAsia"/>
          <w:color w:val="auto"/>
          <w:highlight w:val="none"/>
        </w:rPr>
        <w:t>、服务范围。）</w:t>
      </w:r>
    </w:p>
    <w:p w14:paraId="316DFCBD">
      <w:pPr>
        <w:rPr>
          <w:color w:val="auto"/>
          <w:highlight w:val="none"/>
        </w:rPr>
      </w:pPr>
      <w:r>
        <w:rPr>
          <w:rFonts w:hint="eastAsia"/>
          <w:color w:val="auto"/>
          <w:highlight w:val="none"/>
        </w:rPr>
        <w:t>2、项目简介（格式自拟）</w:t>
      </w:r>
    </w:p>
    <w:p w14:paraId="68A4C92A">
      <w:pPr>
        <w:rPr>
          <w:color w:val="auto"/>
          <w:highlight w:val="none"/>
          <w:lang w:val="zh-CN"/>
        </w:rPr>
        <w:sectPr>
          <w:pgSz w:w="11906" w:h="16838"/>
          <w:pgMar w:top="1440" w:right="1800" w:bottom="1440" w:left="1800" w:header="851" w:footer="992" w:gutter="0"/>
          <w:cols w:space="720" w:num="1"/>
          <w:docGrid w:type="lines" w:linePitch="312" w:charSpace="0"/>
        </w:sectPr>
      </w:pPr>
      <w:r>
        <w:rPr>
          <w:rFonts w:hint="eastAsia"/>
          <w:color w:val="auto"/>
          <w:highlight w:val="none"/>
        </w:rPr>
        <w:t>3、合同对应的发票之一（网上税务系统查询</w:t>
      </w:r>
      <w:r>
        <w:rPr>
          <w:color w:val="auto"/>
          <w:highlight w:val="none"/>
        </w:rPr>
        <w:t>（https://inv-veri.chinatax.gov.cn/）</w:t>
      </w:r>
      <w:r>
        <w:rPr>
          <w:rFonts w:hint="eastAsia"/>
          <w:color w:val="auto"/>
          <w:highlight w:val="none"/>
        </w:rPr>
        <w:t>该发票的截图，发票开具日期须晚于合同签订日期、发票购买方须与合同买方一致、发票销售方须与合同卖方（响应人）一致）</w:t>
      </w:r>
    </w:p>
    <w:p w14:paraId="4C8BD932">
      <w:pPr>
        <w:pStyle w:val="41"/>
        <w:ind w:left="0" w:firstLine="0"/>
        <w:rPr>
          <w:rFonts w:hint="default"/>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w:t>
      </w:r>
      <w:r>
        <w:rPr>
          <w:rFonts w:hint="eastAsia" w:cs="Cambria Math"/>
          <w:bCs/>
          <w:color w:val="auto"/>
          <w:kern w:val="2"/>
          <w:sz w:val="21"/>
          <w:szCs w:val="32"/>
          <w:highlight w:val="none"/>
          <w:lang w:val="en-US" w:eastAsia="zh-CN" w:bidi="ar-SA"/>
        </w:rPr>
        <w:t>六</w:t>
      </w:r>
      <w:r>
        <w:rPr>
          <w:rFonts w:hint="eastAsia" w:ascii="Times New Roman" w:hAnsi="Times New Roman" w:eastAsia="宋体" w:cs="Cambria Math"/>
          <w:bCs/>
          <w:color w:val="auto"/>
          <w:kern w:val="2"/>
          <w:sz w:val="21"/>
          <w:szCs w:val="32"/>
          <w:highlight w:val="none"/>
          <w:lang w:val="en-US" w:eastAsia="zh-CN" w:bidi="ar-SA"/>
        </w:rPr>
        <w:t>）</w:t>
      </w:r>
      <w:r>
        <w:rPr>
          <w:rFonts w:hint="eastAsia"/>
          <w:color w:val="auto"/>
          <w:highlight w:val="none"/>
          <w:lang w:val="en-US" w:eastAsia="zh-CN"/>
        </w:rPr>
        <w:t>实施团队信息</w:t>
      </w:r>
    </w:p>
    <w:p w14:paraId="124D58B9">
      <w:pPr>
        <w:rPr>
          <w:rFonts w:hint="eastAsia" w:eastAsia="宋体"/>
          <w:color w:val="auto"/>
          <w:highlight w:val="none"/>
          <w:lang w:eastAsia="zh-CN"/>
        </w:rPr>
      </w:pPr>
      <w:r>
        <w:rPr>
          <w:rFonts w:hint="eastAsia"/>
          <w:color w:val="auto"/>
          <w:highlight w:val="none"/>
        </w:rPr>
        <w:t>【提供：1、参与本询比项目的拟供项目组成员名单；2、提供名单中项目组成员简历信息。相关工作及项目经历需提供相应的证明材料，证明材料加盖响应人公章。】</w:t>
      </w:r>
      <w:r>
        <w:rPr>
          <w:rFonts w:hint="eastAsia"/>
          <w:color w:val="auto"/>
          <w:highlight w:val="none"/>
          <w:lang w:eastAsia="zh-CN"/>
        </w:rPr>
        <w:t>（</w:t>
      </w:r>
      <w:r>
        <w:rPr>
          <w:rFonts w:hint="eastAsia"/>
          <w:color w:val="auto"/>
          <w:highlight w:val="none"/>
          <w:lang w:val="en-US" w:eastAsia="zh-CN"/>
        </w:rPr>
        <w:t>此处应包含第一章及第三章要求内容</w:t>
      </w:r>
      <w:r>
        <w:rPr>
          <w:rFonts w:hint="eastAsia"/>
          <w:color w:val="auto"/>
          <w:highlight w:val="none"/>
          <w:lang w:eastAsia="zh-CN"/>
        </w:rPr>
        <w:t>）</w:t>
      </w:r>
    </w:p>
    <w:p w14:paraId="12B6091E">
      <w:pPr>
        <w:rPr>
          <w:rFonts w:hint="eastAsia"/>
          <w:color w:val="auto"/>
          <w:highlight w:val="none"/>
          <w:lang w:val="en-US" w:eastAsia="zh-CN"/>
        </w:rPr>
      </w:pPr>
    </w:p>
    <w:p w14:paraId="1E403720">
      <w:pPr>
        <w:rPr>
          <w:rFonts w:hint="eastAsia"/>
          <w:color w:val="auto"/>
          <w:highlight w:val="none"/>
          <w:lang w:val="en-US" w:eastAsia="zh-CN"/>
        </w:rPr>
      </w:pPr>
    </w:p>
    <w:p w14:paraId="76397D04">
      <w:pPr>
        <w:rPr>
          <w:rFonts w:hint="eastAsia"/>
          <w:color w:val="auto"/>
          <w:highlight w:val="none"/>
          <w:lang w:val="en-US" w:eastAsia="zh-CN"/>
        </w:rPr>
      </w:pPr>
    </w:p>
    <w:p w14:paraId="09EF6170">
      <w:pPr>
        <w:rPr>
          <w:rFonts w:hint="eastAsia"/>
          <w:color w:val="auto"/>
          <w:highlight w:val="none"/>
          <w:lang w:val="en-US" w:eastAsia="zh-CN"/>
        </w:rPr>
      </w:pPr>
    </w:p>
    <w:p w14:paraId="22E163F3">
      <w:pPr>
        <w:rPr>
          <w:rFonts w:hint="eastAsia"/>
          <w:color w:val="auto"/>
          <w:highlight w:val="none"/>
          <w:lang w:val="en-US" w:eastAsia="zh-CN"/>
        </w:rPr>
      </w:pPr>
    </w:p>
    <w:p w14:paraId="1FE5EC7B">
      <w:pPr>
        <w:rPr>
          <w:rFonts w:hint="eastAsia"/>
          <w:color w:val="auto"/>
          <w:highlight w:val="none"/>
          <w:lang w:val="en-US" w:eastAsia="zh-CN"/>
        </w:rPr>
      </w:pPr>
    </w:p>
    <w:p w14:paraId="242DB197">
      <w:pPr>
        <w:rPr>
          <w:rFonts w:hint="eastAsia"/>
          <w:color w:val="auto"/>
          <w:highlight w:val="none"/>
          <w:lang w:val="en-US" w:eastAsia="zh-CN"/>
        </w:rPr>
      </w:pPr>
    </w:p>
    <w:p w14:paraId="2139B8D6">
      <w:pPr>
        <w:rPr>
          <w:rFonts w:hint="eastAsia" w:ascii="Times New Roman" w:hAnsi="Times New Roman" w:eastAsia="宋体" w:cs="Cambria Math"/>
          <w:bCs/>
          <w:color w:val="auto"/>
          <w:kern w:val="2"/>
          <w:sz w:val="21"/>
          <w:szCs w:val="32"/>
          <w:highlight w:val="none"/>
          <w:lang w:val="en-US" w:eastAsia="zh-CN" w:bidi="ar-SA"/>
        </w:rPr>
      </w:pPr>
      <w:r>
        <w:rPr>
          <w:rFonts w:hint="eastAsia" w:ascii="Times New Roman" w:hAnsi="Times New Roman" w:eastAsia="宋体" w:cs="Cambria Math"/>
          <w:bCs/>
          <w:color w:val="auto"/>
          <w:kern w:val="2"/>
          <w:sz w:val="21"/>
          <w:szCs w:val="32"/>
          <w:highlight w:val="none"/>
          <w:lang w:val="en-US" w:eastAsia="zh-CN" w:bidi="ar-SA"/>
        </w:rPr>
        <w:br w:type="page"/>
      </w:r>
    </w:p>
    <w:p w14:paraId="4140BC28">
      <w:pPr>
        <w:pStyle w:val="41"/>
        <w:ind w:left="0" w:firstLine="0"/>
        <w:rPr>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w:t>
      </w:r>
      <w:r>
        <w:rPr>
          <w:rFonts w:hint="eastAsia" w:cs="Cambria Math"/>
          <w:bCs/>
          <w:color w:val="auto"/>
          <w:kern w:val="2"/>
          <w:sz w:val="21"/>
          <w:szCs w:val="32"/>
          <w:highlight w:val="none"/>
          <w:lang w:val="en-US" w:eastAsia="zh-CN" w:bidi="ar-SA"/>
        </w:rPr>
        <w:t>七</w:t>
      </w:r>
      <w:r>
        <w:rPr>
          <w:rFonts w:hint="eastAsia" w:ascii="Times New Roman" w:hAnsi="Times New Roman" w:eastAsia="宋体" w:cs="Cambria Math"/>
          <w:bCs/>
          <w:color w:val="auto"/>
          <w:kern w:val="2"/>
          <w:sz w:val="21"/>
          <w:szCs w:val="32"/>
          <w:highlight w:val="none"/>
          <w:lang w:val="en-US" w:eastAsia="zh-CN" w:bidi="ar-SA"/>
        </w:rPr>
        <w:t>）</w:t>
      </w:r>
      <w:r>
        <w:rPr>
          <w:rFonts w:hint="eastAsia"/>
          <w:color w:val="auto"/>
          <w:highlight w:val="none"/>
          <w:lang w:val="en-US" w:eastAsia="zh-CN"/>
        </w:rPr>
        <w:t>相关资质认证证书</w:t>
      </w:r>
    </w:p>
    <w:p w14:paraId="4180F5C8">
      <w:pPr>
        <w:pStyle w:val="13"/>
        <w:rPr>
          <w:rFonts w:hint="eastAsia"/>
          <w:color w:val="auto"/>
          <w:highlight w:val="none"/>
          <w:lang w:val="en-US" w:eastAsia="zh-CN"/>
        </w:rPr>
      </w:pPr>
      <w:r>
        <w:rPr>
          <w:rFonts w:hint="eastAsia"/>
          <w:color w:val="auto"/>
          <w:highlight w:val="none"/>
          <w:lang w:val="en-US" w:eastAsia="zh-CN"/>
        </w:rPr>
        <w:t>（1）产品软件著作权证书；</w:t>
      </w:r>
    </w:p>
    <w:p w14:paraId="6674F736">
      <w:pPr>
        <w:pStyle w:val="13"/>
        <w:rPr>
          <w:rFonts w:hint="eastAsia"/>
          <w:color w:val="auto"/>
          <w:highlight w:val="none"/>
          <w:lang w:val="en-US" w:eastAsia="zh-CN"/>
        </w:rPr>
      </w:pPr>
      <w:r>
        <w:rPr>
          <w:rFonts w:hint="eastAsia"/>
          <w:color w:val="auto"/>
          <w:highlight w:val="none"/>
          <w:lang w:val="en-US" w:eastAsia="zh-CN"/>
        </w:rPr>
        <w:t>（2）软件研发体系CMMI3级及以上级别认证证书；</w:t>
      </w:r>
    </w:p>
    <w:p w14:paraId="2D38557E">
      <w:pPr>
        <w:pStyle w:val="13"/>
        <w:rPr>
          <w:rFonts w:hint="eastAsia"/>
          <w:color w:val="auto"/>
          <w:highlight w:val="none"/>
          <w:lang w:val="en-US" w:eastAsia="zh-CN"/>
        </w:rPr>
      </w:pPr>
      <w:r>
        <w:rPr>
          <w:rFonts w:hint="eastAsia"/>
          <w:color w:val="auto"/>
          <w:highlight w:val="none"/>
          <w:lang w:val="en-US" w:eastAsia="zh-CN"/>
        </w:rPr>
        <w:t>（3）ISO27001信息安全管理体系认证证书；</w:t>
      </w:r>
    </w:p>
    <w:p w14:paraId="38FACC4E">
      <w:pPr>
        <w:pStyle w:val="13"/>
        <w:rPr>
          <w:rFonts w:hint="eastAsia"/>
          <w:color w:val="auto"/>
          <w:highlight w:val="none"/>
          <w:lang w:val="en-US" w:eastAsia="zh-CN"/>
        </w:rPr>
      </w:pPr>
      <w:r>
        <w:rPr>
          <w:rFonts w:hint="eastAsia"/>
          <w:color w:val="auto"/>
          <w:highlight w:val="none"/>
          <w:lang w:val="en-US" w:eastAsia="zh-CN"/>
        </w:rPr>
        <w:t>（4）ISO20000信息技术服务体系认证证书。</w:t>
      </w:r>
    </w:p>
    <w:p w14:paraId="56D5D220">
      <w:pPr>
        <w:pStyle w:val="13"/>
        <w:rPr>
          <w:rFonts w:hint="eastAsia"/>
          <w:color w:val="auto"/>
          <w:highlight w:val="none"/>
          <w:lang w:val="en-US" w:eastAsia="zh-CN"/>
        </w:rPr>
      </w:pPr>
    </w:p>
    <w:p w14:paraId="4F6A76A4">
      <w:pPr>
        <w:pStyle w:val="13"/>
        <w:rPr>
          <w:rFonts w:hint="eastAsia"/>
          <w:color w:val="auto"/>
          <w:highlight w:val="none"/>
          <w:lang w:val="en-US" w:eastAsia="zh-CN"/>
        </w:rPr>
      </w:pPr>
    </w:p>
    <w:p w14:paraId="296876FB">
      <w:pPr>
        <w:ind w:left="0" w:firstLine="0" w:firstLineChars="0"/>
        <w:rPr>
          <w:rFonts w:hint="eastAsia" w:ascii="Times New Roman" w:hAnsi="Times New Roman" w:eastAsia="宋体" w:cs="Cambria Math"/>
          <w:bCs/>
          <w:color w:val="auto"/>
          <w:kern w:val="2"/>
          <w:sz w:val="21"/>
          <w:szCs w:val="32"/>
          <w:highlight w:val="none"/>
          <w:lang w:val="en-US" w:eastAsia="zh-CN" w:bidi="ar-SA"/>
        </w:rPr>
      </w:pPr>
      <w:r>
        <w:rPr>
          <w:rFonts w:hint="eastAsia" w:ascii="Times New Roman" w:hAnsi="Times New Roman" w:eastAsia="宋体" w:cs="Cambria Math"/>
          <w:bCs/>
          <w:color w:val="auto"/>
          <w:kern w:val="2"/>
          <w:sz w:val="21"/>
          <w:szCs w:val="32"/>
          <w:highlight w:val="none"/>
          <w:lang w:val="en-US" w:eastAsia="zh-CN" w:bidi="ar-SA"/>
        </w:rPr>
        <w:br w:type="page"/>
      </w:r>
    </w:p>
    <w:p w14:paraId="397902CD">
      <w:pPr>
        <w:pStyle w:val="41"/>
        <w:ind w:left="0" w:firstLine="0"/>
        <w:rPr>
          <w:rFonts w:hint="eastAsia"/>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w:t>
      </w:r>
      <w:r>
        <w:rPr>
          <w:rFonts w:hint="eastAsia" w:cs="Cambria Math"/>
          <w:bCs/>
          <w:color w:val="auto"/>
          <w:kern w:val="2"/>
          <w:sz w:val="21"/>
          <w:szCs w:val="32"/>
          <w:highlight w:val="none"/>
          <w:lang w:val="en-US" w:eastAsia="zh-CN" w:bidi="ar-SA"/>
        </w:rPr>
        <w:t>八</w:t>
      </w:r>
      <w:r>
        <w:rPr>
          <w:rFonts w:hint="eastAsia" w:ascii="Times New Roman" w:hAnsi="Times New Roman" w:eastAsia="宋体" w:cs="Cambria Math"/>
          <w:bCs/>
          <w:color w:val="auto"/>
          <w:kern w:val="2"/>
          <w:sz w:val="21"/>
          <w:szCs w:val="32"/>
          <w:highlight w:val="none"/>
          <w:lang w:val="en-US" w:eastAsia="zh-CN" w:bidi="ar-SA"/>
        </w:rPr>
        <w:t>）</w:t>
      </w:r>
      <w:r>
        <w:rPr>
          <w:rFonts w:hint="eastAsia"/>
          <w:color w:val="auto"/>
          <w:highlight w:val="none"/>
        </w:rPr>
        <w:t>未使用第三方软件产品确认函</w:t>
      </w:r>
    </w:p>
    <w:p w14:paraId="5362F2D9">
      <w:pPr>
        <w:rPr>
          <w:rFonts w:hint="eastAsia"/>
          <w:color w:val="auto"/>
          <w:highlight w:val="none"/>
        </w:rPr>
      </w:pPr>
    </w:p>
    <w:p w14:paraId="09122903">
      <w:pPr>
        <w:bidi w:val="0"/>
        <w:rPr>
          <w:rFonts w:hint="eastAsia"/>
          <w:color w:val="auto"/>
          <w:highlight w:val="none"/>
          <w:lang w:val="en-US" w:eastAsia="zh-CN"/>
        </w:rPr>
      </w:pPr>
    </w:p>
    <w:p w14:paraId="70405EF1">
      <w:pPr>
        <w:bidi w:val="0"/>
        <w:rPr>
          <w:rFonts w:hint="eastAsia"/>
          <w:color w:val="auto"/>
          <w:highlight w:val="none"/>
          <w:lang w:val="en-US" w:eastAsia="zh-CN"/>
        </w:rPr>
      </w:pPr>
    </w:p>
    <w:p w14:paraId="33F66C2C">
      <w:pPr>
        <w:bidi w:val="0"/>
        <w:rPr>
          <w:rFonts w:hint="eastAsia"/>
          <w:color w:val="auto"/>
          <w:highlight w:val="none"/>
          <w:lang w:val="en-US" w:eastAsia="zh-CN"/>
        </w:rPr>
      </w:pPr>
    </w:p>
    <w:p w14:paraId="628A9EFC">
      <w:pPr>
        <w:bidi w:val="0"/>
        <w:rPr>
          <w:rFonts w:hint="eastAsia"/>
          <w:color w:val="auto"/>
          <w:highlight w:val="none"/>
          <w:lang w:val="en-US" w:eastAsia="zh-CN"/>
        </w:rPr>
      </w:pPr>
    </w:p>
    <w:p w14:paraId="7B94216A">
      <w:pPr>
        <w:ind w:left="0" w:firstLine="0" w:firstLineChars="0"/>
        <w:rPr>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br w:type="page"/>
      </w:r>
    </w:p>
    <w:p w14:paraId="5A2581FE">
      <w:pPr>
        <w:pStyle w:val="41"/>
        <w:ind w:left="0" w:firstLine="0"/>
        <w:rPr>
          <w:rFonts w:hint="eastAsia"/>
          <w:color w:val="auto"/>
          <w:highlight w:val="none"/>
          <w:lang w:val="zh-CN" w:eastAsia="zh-CN"/>
        </w:rPr>
      </w:pPr>
      <w:r>
        <w:rPr>
          <w:rFonts w:hint="eastAsia" w:ascii="Times New Roman" w:hAnsi="Times New Roman" w:eastAsia="宋体" w:cs="Cambria Math"/>
          <w:bCs/>
          <w:color w:val="auto"/>
          <w:kern w:val="2"/>
          <w:sz w:val="21"/>
          <w:szCs w:val="32"/>
          <w:highlight w:val="none"/>
          <w:lang w:val="zh-CN" w:eastAsia="zh-CN" w:bidi="ar-SA"/>
        </w:rPr>
        <w:t>（</w:t>
      </w:r>
      <w:r>
        <w:rPr>
          <w:rFonts w:hint="eastAsia" w:cs="Cambria Math"/>
          <w:bCs/>
          <w:color w:val="auto"/>
          <w:kern w:val="2"/>
          <w:sz w:val="21"/>
          <w:szCs w:val="32"/>
          <w:highlight w:val="none"/>
          <w:lang w:val="en-US" w:eastAsia="zh-CN" w:bidi="ar-SA"/>
        </w:rPr>
        <w:t>九</w:t>
      </w:r>
      <w:r>
        <w:rPr>
          <w:rFonts w:hint="eastAsia" w:ascii="Times New Roman" w:hAnsi="Times New Roman" w:eastAsia="宋体" w:cs="Cambria Math"/>
          <w:bCs/>
          <w:color w:val="auto"/>
          <w:kern w:val="2"/>
          <w:sz w:val="21"/>
          <w:szCs w:val="32"/>
          <w:highlight w:val="none"/>
          <w:lang w:val="zh-CN" w:eastAsia="zh-CN" w:bidi="ar-SA"/>
        </w:rPr>
        <w:t>）</w:t>
      </w:r>
      <w:r>
        <w:rPr>
          <w:rFonts w:hint="eastAsia"/>
          <w:color w:val="auto"/>
          <w:highlight w:val="none"/>
          <w:lang w:val="en-US" w:eastAsia="zh-CN"/>
        </w:rPr>
        <w:t>其他</w:t>
      </w:r>
      <w:r>
        <w:rPr>
          <w:rFonts w:hint="eastAsia"/>
          <w:color w:val="auto"/>
          <w:highlight w:val="none"/>
          <w:lang w:val="zh-CN" w:eastAsia="zh-CN"/>
        </w:rPr>
        <w:t>（</w:t>
      </w:r>
      <w:r>
        <w:rPr>
          <w:rFonts w:hint="eastAsia"/>
          <w:color w:val="auto"/>
          <w:highlight w:val="none"/>
          <w:lang w:val="en-US" w:eastAsia="zh-CN"/>
        </w:rPr>
        <w:t>如有</w:t>
      </w:r>
      <w:r>
        <w:rPr>
          <w:rFonts w:hint="eastAsia"/>
          <w:color w:val="auto"/>
          <w:highlight w:val="none"/>
          <w:lang w:val="zh-CN" w:eastAsia="zh-CN"/>
        </w:rPr>
        <w:t>）</w:t>
      </w:r>
    </w:p>
    <w:p w14:paraId="6208F1B1">
      <w:pPr>
        <w:rPr>
          <w:rFonts w:hint="eastAsia"/>
          <w:color w:val="auto"/>
          <w:highlight w:val="none"/>
          <w:lang w:val="zh-CN" w:eastAsia="zh-CN"/>
        </w:rPr>
      </w:pPr>
    </w:p>
    <w:p w14:paraId="2BECD958">
      <w:pPr>
        <w:rPr>
          <w:color w:val="auto"/>
          <w:highlight w:val="none"/>
          <w:lang w:val="en-US" w:eastAsia="zh-CN"/>
        </w:rPr>
      </w:pPr>
    </w:p>
    <w:p w14:paraId="54E98825">
      <w:pPr>
        <w:rPr>
          <w:rFonts w:hint="eastAsia"/>
          <w:color w:val="auto"/>
          <w:highlight w:val="none"/>
          <w:lang w:val="zh-CN"/>
        </w:rPr>
      </w:pPr>
    </w:p>
    <w:p w14:paraId="542E0530">
      <w:pPr>
        <w:rPr>
          <w:color w:val="auto"/>
          <w:highlight w:val="none"/>
          <w:lang w:val="zh-CN"/>
        </w:rPr>
        <w:sectPr>
          <w:pgSz w:w="11906" w:h="16838"/>
          <w:pgMar w:top="1440" w:right="1800" w:bottom="1440" w:left="1800" w:header="851" w:footer="992" w:gutter="0"/>
          <w:cols w:space="720" w:num="1"/>
          <w:docGrid w:type="lines" w:linePitch="312" w:charSpace="0"/>
        </w:sectPr>
      </w:pPr>
    </w:p>
    <w:p w14:paraId="0FC8C099">
      <w:pPr>
        <w:pStyle w:val="40"/>
        <w:rPr>
          <w:rFonts w:hint="eastAsia" w:eastAsia="宋体"/>
          <w:color w:val="auto"/>
          <w:highlight w:val="none"/>
          <w:lang w:eastAsia="zh-CN"/>
        </w:rPr>
      </w:pPr>
      <w:r>
        <w:rPr>
          <w:rFonts w:hint="eastAsia"/>
          <w:color w:val="auto"/>
          <w:highlight w:val="none"/>
          <w:lang w:val="en-US" w:eastAsia="zh-CN"/>
        </w:rPr>
        <w:t>四</w:t>
      </w:r>
      <w:r>
        <w:rPr>
          <w:color w:val="auto"/>
          <w:highlight w:val="none"/>
        </w:rPr>
        <w:t>、响应性文件</w:t>
      </w:r>
    </w:p>
    <w:p w14:paraId="4B08E9FD">
      <w:pPr>
        <w:pStyle w:val="41"/>
        <w:ind w:left="0" w:firstLine="0"/>
        <w:rPr>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（一）</w:t>
      </w:r>
      <w:r>
        <w:rPr>
          <w:color w:val="auto"/>
          <w:highlight w:val="none"/>
          <w:lang w:val="en-US" w:eastAsia="zh-CN"/>
        </w:rPr>
        <w:t>响应承诺函</w:t>
      </w:r>
    </w:p>
    <w:p w14:paraId="36B9B5B2">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6C470B06">
      <w:pPr>
        <w:autoSpaceDE/>
        <w:autoSpaceDN/>
        <w:rPr>
          <w:rFonts w:ascii="Times New Roman" w:hAnsi="Times New Roman" w:cs="Times New Roman"/>
          <w:color w:val="auto"/>
          <w:sz w:val="18"/>
          <w:szCs w:val="18"/>
          <w:highlight w:val="none"/>
        </w:rPr>
      </w:pPr>
    </w:p>
    <w:p w14:paraId="56BCB2DE">
      <w:pPr>
        <w:pStyle w:val="41"/>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outlineLvl w:val="9"/>
        <w:rPr>
          <w:rFonts w:hint="eastAsia" w:ascii="Times New Roman" w:hAnsi="Times New Roman" w:eastAsia="宋体" w:cs="Times New Roman"/>
          <w:color w:val="auto"/>
          <w:highlight w:val="none"/>
          <w:lang w:val="zh-CN" w:eastAsia="zh-CN"/>
        </w:rPr>
      </w:pPr>
      <w:r>
        <w:rPr>
          <w:rFonts w:hint="eastAsia"/>
          <w:color w:val="auto"/>
          <w:highlight w:val="none"/>
        </w:rPr>
        <w:t>致：重庆三峡银行股份有限公司</w:t>
      </w:r>
      <w:r>
        <w:rPr>
          <w:rFonts w:hint="eastAsia"/>
          <w:color w:val="auto"/>
          <w:highlight w:val="none"/>
          <w:lang w:eastAsia="zh-CN"/>
        </w:rPr>
        <w:t>：</w:t>
      </w:r>
    </w:p>
    <w:p w14:paraId="764031BB">
      <w:pPr>
        <w:rPr>
          <w:color w:val="auto"/>
          <w:highlight w:val="none"/>
        </w:rPr>
      </w:pPr>
      <w:r>
        <w:rPr>
          <w:rFonts w:hint="eastAsia"/>
          <w:color w:val="auto"/>
          <w:highlight w:val="none"/>
        </w:rPr>
        <w:t>我公司郑重承诺，完全满足第三章“项目要求”所有内容。</w:t>
      </w:r>
    </w:p>
    <w:p w14:paraId="0703BAE2">
      <w:pPr>
        <w:rPr>
          <w:rFonts w:cs="Times New Roman"/>
          <w:color w:val="auto"/>
          <w:highlight w:val="none"/>
        </w:rPr>
      </w:pPr>
      <w:r>
        <w:rPr>
          <w:rFonts w:hint="eastAsia"/>
          <w:color w:val="auto"/>
          <w:highlight w:val="none"/>
        </w:rPr>
        <w:t>我公司中选后，未征得采购人书面同意的情况下不得更换项目成员，</w:t>
      </w:r>
      <w:r>
        <w:rPr>
          <w:rFonts w:hint="eastAsia"/>
          <w:color w:val="auto"/>
          <w:highlight w:val="none"/>
          <w:lang w:val="en-US" w:eastAsia="zh-CN"/>
        </w:rPr>
        <w:t>项目组成员必须与响应资料中提供的人员一致，否则视为丧失响应资格。若后续实施过程中发现我公司提供的人员信息存在虚假并低于人员使用要求，将视为合同违约，将以合同违约终止合同，并要求我公司按照合同进行赔偿。</w:t>
      </w:r>
    </w:p>
    <w:p w14:paraId="66271771">
      <w:pPr>
        <w:rPr>
          <w:color w:val="auto"/>
          <w:highlight w:val="none"/>
        </w:rPr>
      </w:pPr>
      <w:r>
        <w:rPr>
          <w:rFonts w:hint="eastAsia"/>
          <w:color w:val="auto"/>
          <w:highlight w:val="none"/>
        </w:rPr>
        <w:t>我公司中选后</w:t>
      </w:r>
      <w:r>
        <w:rPr>
          <w:rFonts w:hint="eastAsia"/>
          <w:color w:val="auto"/>
          <w:highlight w:val="none"/>
          <w:lang w:eastAsia="zh-CN"/>
        </w:rPr>
        <w:t>，</w:t>
      </w:r>
      <w:r>
        <w:rPr>
          <w:rFonts w:hint="eastAsia"/>
          <w:color w:val="auto"/>
          <w:highlight w:val="none"/>
        </w:rPr>
        <w:t>将根据</w:t>
      </w:r>
      <w:r>
        <w:rPr>
          <w:rFonts w:hint="eastAsia" w:cs="Times New Roman"/>
          <w:color w:val="auto"/>
          <w:highlight w:val="none"/>
        </w:rPr>
        <w:t>我公司提供的</w:t>
      </w:r>
      <w:r>
        <w:rPr>
          <w:rFonts w:cs="Times New Roman"/>
          <w:color w:val="auto"/>
          <w:highlight w:val="none"/>
        </w:rPr>
        <w:t>售后服务和</w:t>
      </w:r>
      <w:r>
        <w:rPr>
          <w:rFonts w:hint="eastAsia" w:cs="Times New Roman"/>
          <w:color w:val="auto"/>
          <w:highlight w:val="none"/>
          <w:lang w:val="en-US" w:eastAsia="zh-CN"/>
        </w:rPr>
        <w:t>支持</w:t>
      </w:r>
      <w:r>
        <w:rPr>
          <w:rFonts w:cs="Times New Roman"/>
          <w:color w:val="auto"/>
          <w:highlight w:val="none"/>
        </w:rPr>
        <w:t>方案</w:t>
      </w:r>
      <w:r>
        <w:rPr>
          <w:rFonts w:hint="eastAsia" w:cs="Times New Roman"/>
          <w:color w:val="auto"/>
          <w:highlight w:val="none"/>
        </w:rPr>
        <w:t>进行售后服务和</w:t>
      </w:r>
      <w:r>
        <w:rPr>
          <w:rFonts w:hint="eastAsia" w:cs="Times New Roman"/>
          <w:color w:val="auto"/>
          <w:highlight w:val="none"/>
          <w:lang w:val="en-US" w:eastAsia="zh-CN"/>
        </w:rPr>
        <w:t>支持</w:t>
      </w:r>
      <w:r>
        <w:rPr>
          <w:rFonts w:hint="eastAsia" w:cs="Times New Roman"/>
          <w:color w:val="auto"/>
          <w:highlight w:val="none"/>
        </w:rPr>
        <w:t>。</w:t>
      </w:r>
    </w:p>
    <w:p w14:paraId="37505BF5">
      <w:pPr>
        <w:rPr>
          <w:rFonts w:ascii="Times New Roman" w:hAnsi="Times New Roman" w:cs="Times New Roman"/>
          <w:color w:val="auto"/>
          <w:highlight w:val="none"/>
          <w:lang w:val="zh-CN"/>
        </w:rPr>
      </w:pPr>
    </w:p>
    <w:p w14:paraId="28C15AC7">
      <w:pPr>
        <w:spacing w:line="480" w:lineRule="exact"/>
        <w:ind w:firstLine="0" w:firstLineChars="0"/>
        <w:rPr>
          <w:color w:val="auto"/>
          <w:highlight w:val="none"/>
        </w:rPr>
      </w:pPr>
      <w:r>
        <w:rPr>
          <w:rFonts w:hint="eastAsia"/>
          <w:color w:val="auto"/>
          <w:highlight w:val="none"/>
        </w:rPr>
        <w:t>特此承诺。</w:t>
      </w:r>
    </w:p>
    <w:p w14:paraId="2A874AD1">
      <w:pPr>
        <w:rPr>
          <w:rFonts w:ascii="Times New Roman" w:hAnsi="Times New Roman" w:cs="Times New Roman"/>
          <w:color w:val="auto"/>
          <w:highlight w:val="none"/>
          <w:lang w:val="zh-CN"/>
        </w:rPr>
      </w:pPr>
    </w:p>
    <w:p w14:paraId="32A69318">
      <w:pPr>
        <w:rPr>
          <w:rFonts w:ascii="Times New Roman" w:hAnsi="Times New Roman" w:cs="Times New Roman"/>
          <w:color w:val="auto"/>
          <w:highlight w:val="none"/>
        </w:rPr>
      </w:pPr>
    </w:p>
    <w:p w14:paraId="7DE93E1F">
      <w:pPr>
        <w:tabs>
          <w:tab w:val="left" w:pos="6300"/>
        </w:tabs>
        <w:snapToGrid w:val="0"/>
        <w:spacing w:line="480" w:lineRule="exact"/>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64193A41">
      <w:pPr>
        <w:tabs>
          <w:tab w:val="left" w:pos="6300"/>
        </w:tabs>
        <w:snapToGrid w:val="0"/>
        <w:spacing w:line="480" w:lineRule="exact"/>
        <w:ind w:right="480"/>
        <w:jc w:val="right"/>
        <w:rPr>
          <w:rFonts w:ascii="Times New Roman" w:hAnsi="Times New Roman" w:cs="Times New Roman"/>
          <w:color w:val="auto"/>
          <w:highlight w:val="none"/>
        </w:rPr>
      </w:pPr>
      <w:r>
        <w:rPr>
          <w:rFonts w:hint="eastAsia" w:ascii="宋体"/>
          <w:color w:val="auto"/>
          <w:highlight w:val="none"/>
        </w:rPr>
        <w:t>年   月   日</w:t>
      </w:r>
    </w:p>
    <w:p w14:paraId="22F62E23">
      <w:pPr>
        <w:rPr>
          <w:rFonts w:hint="eastAsia" w:ascii="Times New Roman" w:hAnsi="Times New Roman" w:eastAsia="宋体" w:cs="Cambria Math"/>
          <w:bCs/>
          <w:color w:val="auto"/>
          <w:kern w:val="2"/>
          <w:sz w:val="21"/>
          <w:szCs w:val="32"/>
          <w:highlight w:val="none"/>
          <w:lang w:val="en-US" w:eastAsia="zh-CN" w:bidi="ar-SA"/>
        </w:rPr>
      </w:pPr>
      <w:r>
        <w:rPr>
          <w:rFonts w:hint="eastAsia" w:ascii="Times New Roman" w:hAnsi="Times New Roman" w:eastAsia="宋体" w:cs="Cambria Math"/>
          <w:bCs/>
          <w:color w:val="auto"/>
          <w:kern w:val="2"/>
          <w:sz w:val="21"/>
          <w:szCs w:val="32"/>
          <w:highlight w:val="none"/>
          <w:lang w:val="en-US" w:eastAsia="zh-CN" w:bidi="ar-SA"/>
        </w:rPr>
        <w:br w:type="page"/>
      </w:r>
    </w:p>
    <w:p w14:paraId="509102A3">
      <w:pPr>
        <w:pStyle w:val="41"/>
        <w:ind w:left="0" w:firstLine="0"/>
        <w:rPr>
          <w:rFonts w:hint="eastAsia"/>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（二）</w:t>
      </w:r>
      <w:r>
        <w:rPr>
          <w:rFonts w:hint="eastAsia"/>
          <w:color w:val="auto"/>
          <w:highlight w:val="none"/>
          <w:lang w:val="en-US" w:eastAsia="zh-CN"/>
        </w:rPr>
        <w:t>近半年公司为项目组成员缴纳社保的证明材料</w:t>
      </w:r>
    </w:p>
    <w:p w14:paraId="2C678DCF">
      <w:pPr>
        <w:jc w:val="center"/>
        <w:rPr>
          <w:color w:val="auto"/>
          <w:highlight w:val="none"/>
        </w:rPr>
      </w:pPr>
      <w:r>
        <w:rPr>
          <w:rFonts w:hint="eastAsia"/>
          <w:color w:val="auto"/>
          <w:highlight w:val="none"/>
        </w:rPr>
        <w:t>（员工参保单位为响应人或委托第三方公司代缴，均认定有效；若员工社保委托第三方公司代缴，需提供代缴材料证明与第三方签订的合同或协议。）</w:t>
      </w:r>
    </w:p>
    <w:p w14:paraId="78A44D84">
      <w:pPr>
        <w:rPr>
          <w:color w:val="auto"/>
          <w:highlight w:val="none"/>
        </w:rPr>
        <w:sectPr>
          <w:pgSz w:w="11906" w:h="16838"/>
          <w:pgMar w:top="1440" w:right="1800" w:bottom="1440" w:left="1800" w:header="851" w:footer="992" w:gutter="0"/>
          <w:cols w:space="720" w:num="1"/>
          <w:docGrid w:type="lines" w:linePitch="312" w:charSpace="0"/>
        </w:sectPr>
      </w:pPr>
    </w:p>
    <w:p w14:paraId="15B1C54F">
      <w:pPr>
        <w:pStyle w:val="41"/>
        <w:ind w:left="0" w:firstLine="0"/>
        <w:rPr>
          <w:rFonts w:hint="eastAsia"/>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（三）</w:t>
      </w:r>
      <w:r>
        <w:rPr>
          <w:rFonts w:hint="eastAsia"/>
          <w:color w:val="auto"/>
          <w:highlight w:val="none"/>
          <w:lang w:val="en-US" w:eastAsia="zh-CN"/>
        </w:rPr>
        <w:t>售后服务和支持方案</w:t>
      </w:r>
    </w:p>
    <w:p w14:paraId="0A61DDC1">
      <w:pPr>
        <w:rPr>
          <w:rFonts w:hint="eastAsia"/>
          <w:color w:val="auto"/>
          <w:highlight w:val="none"/>
          <w:lang w:val="en-US" w:eastAsia="zh-CN"/>
        </w:rPr>
      </w:pPr>
    </w:p>
    <w:p w14:paraId="75C73CC7">
      <w:pPr>
        <w:rPr>
          <w:rFonts w:hint="eastAsia"/>
          <w:color w:val="auto"/>
          <w:highlight w:val="none"/>
          <w:lang w:val="en-US" w:eastAsia="zh-CN"/>
        </w:rPr>
      </w:pPr>
    </w:p>
    <w:p w14:paraId="5C73D744">
      <w:pPr>
        <w:rPr>
          <w:rFonts w:hint="eastAsia"/>
          <w:color w:val="auto"/>
          <w:highlight w:val="none"/>
          <w:lang w:val="en-US" w:eastAsia="zh-CN"/>
        </w:rPr>
      </w:pPr>
    </w:p>
    <w:p w14:paraId="2F022897">
      <w:pPr>
        <w:rPr>
          <w:rFonts w:hint="eastAsia"/>
          <w:color w:val="auto"/>
          <w:highlight w:val="none"/>
          <w:lang w:val="en-US" w:eastAsia="zh-CN"/>
        </w:rPr>
      </w:pPr>
    </w:p>
    <w:p w14:paraId="64AA5EAF">
      <w:pPr>
        <w:rPr>
          <w:rFonts w:hint="eastAsia"/>
          <w:color w:val="auto"/>
          <w:highlight w:val="none"/>
          <w:lang w:val="en-US" w:eastAsia="zh-CN"/>
        </w:rPr>
      </w:pPr>
    </w:p>
    <w:p w14:paraId="662A6081">
      <w:pPr>
        <w:rPr>
          <w:rFonts w:hint="eastAsia"/>
          <w:color w:val="auto"/>
          <w:highlight w:val="none"/>
          <w:lang w:val="en-US" w:eastAsia="zh-CN"/>
        </w:rPr>
      </w:pPr>
    </w:p>
    <w:p w14:paraId="386B1B81">
      <w:pPr>
        <w:rPr>
          <w:rFonts w:hint="eastAsia"/>
          <w:color w:val="auto"/>
          <w:highlight w:val="none"/>
          <w:lang w:val="en-US" w:eastAsia="zh-CN"/>
        </w:rPr>
      </w:pPr>
    </w:p>
    <w:p w14:paraId="6F952D47">
      <w:pPr>
        <w:rPr>
          <w:rFonts w:hint="eastAsia"/>
          <w:color w:val="auto"/>
          <w:highlight w:val="none"/>
          <w:lang w:val="en-US" w:eastAsia="zh-CN"/>
        </w:rPr>
      </w:pPr>
    </w:p>
    <w:p w14:paraId="1FF79B9A">
      <w:pPr>
        <w:rPr>
          <w:rFonts w:hint="eastAsia"/>
          <w:color w:val="auto"/>
          <w:highlight w:val="none"/>
          <w:lang w:val="en-US" w:eastAsia="zh-CN"/>
        </w:rPr>
      </w:pPr>
    </w:p>
    <w:p w14:paraId="06E29BAC">
      <w:pPr>
        <w:rPr>
          <w:rFonts w:hint="eastAsia"/>
          <w:color w:val="auto"/>
          <w:highlight w:val="none"/>
          <w:lang w:val="en-US" w:eastAsia="zh-CN"/>
        </w:rPr>
      </w:pPr>
    </w:p>
    <w:p w14:paraId="4BA73273">
      <w:pPr>
        <w:rPr>
          <w:rFonts w:hint="eastAsia"/>
          <w:color w:val="auto"/>
          <w:highlight w:val="none"/>
          <w:lang w:val="en-US" w:eastAsia="zh-CN"/>
        </w:rPr>
      </w:pPr>
    </w:p>
    <w:p w14:paraId="5260C005">
      <w:pPr>
        <w:rPr>
          <w:rFonts w:hint="eastAsia"/>
          <w:color w:val="auto"/>
          <w:highlight w:val="none"/>
          <w:lang w:val="en-US" w:eastAsia="zh-CN"/>
        </w:rPr>
      </w:pPr>
    </w:p>
    <w:p w14:paraId="65F4021C">
      <w:pPr>
        <w:rPr>
          <w:rFonts w:hint="eastAsia" w:ascii="Times New Roman" w:hAnsi="Times New Roman" w:eastAsia="宋体" w:cs="Cambria Math"/>
          <w:bCs/>
          <w:color w:val="auto"/>
          <w:kern w:val="2"/>
          <w:sz w:val="21"/>
          <w:szCs w:val="32"/>
          <w:highlight w:val="none"/>
          <w:lang w:val="en-US" w:eastAsia="zh-CN" w:bidi="ar-SA"/>
        </w:rPr>
      </w:pPr>
      <w:r>
        <w:rPr>
          <w:rFonts w:hint="eastAsia" w:ascii="Times New Roman" w:hAnsi="Times New Roman" w:eastAsia="宋体" w:cs="Cambria Math"/>
          <w:bCs/>
          <w:color w:val="auto"/>
          <w:kern w:val="2"/>
          <w:sz w:val="21"/>
          <w:szCs w:val="32"/>
          <w:highlight w:val="none"/>
          <w:lang w:val="en-US" w:eastAsia="zh-CN" w:bidi="ar-SA"/>
        </w:rPr>
        <w:br w:type="page"/>
      </w:r>
    </w:p>
    <w:p w14:paraId="77D89D01">
      <w:pPr>
        <w:pStyle w:val="41"/>
        <w:ind w:left="0" w:firstLine="0"/>
        <w:rPr>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（四）</w:t>
      </w:r>
      <w:r>
        <w:rPr>
          <w:rFonts w:hint="eastAsia"/>
          <w:color w:val="auto"/>
          <w:highlight w:val="none"/>
          <w:lang w:val="en-US" w:eastAsia="zh-CN"/>
        </w:rPr>
        <w:t>服务连续性预案</w:t>
      </w:r>
    </w:p>
    <w:p w14:paraId="0DF842F7">
      <w:pPr>
        <w:jc w:val="center"/>
        <w:rPr>
          <w:rFonts w:hint="eastAsia"/>
          <w:color w:val="auto"/>
          <w:highlight w:val="none"/>
          <w:lang w:val="en-US" w:eastAsia="zh-CN"/>
        </w:rPr>
      </w:pPr>
      <w:r>
        <w:rPr>
          <w:rFonts w:hint="eastAsia"/>
          <w:color w:val="auto"/>
          <w:highlight w:val="none"/>
          <w:lang w:val="en-US" w:eastAsia="zh-CN"/>
        </w:rPr>
        <w:t>（应考虑供应链风险产生的影响）</w:t>
      </w:r>
    </w:p>
    <w:p w14:paraId="353B4957">
      <w:pPr>
        <w:rPr>
          <w:rFonts w:hint="eastAsia"/>
          <w:color w:val="auto"/>
          <w:highlight w:val="none"/>
          <w:lang w:val="en-US" w:eastAsia="zh-CN"/>
        </w:rPr>
      </w:pPr>
    </w:p>
    <w:p w14:paraId="66FB23A3">
      <w:pPr>
        <w:rPr>
          <w:rFonts w:hint="eastAsia"/>
          <w:color w:val="auto"/>
          <w:highlight w:val="none"/>
          <w:lang w:val="en-US" w:eastAsia="zh-CN"/>
        </w:rPr>
      </w:pPr>
    </w:p>
    <w:p w14:paraId="6C087CEF">
      <w:pPr>
        <w:rPr>
          <w:rFonts w:hint="eastAsia"/>
          <w:color w:val="auto"/>
          <w:highlight w:val="none"/>
          <w:lang w:val="en-US" w:eastAsia="zh-CN"/>
        </w:rPr>
      </w:pPr>
    </w:p>
    <w:p w14:paraId="1A83ED7D">
      <w:pPr>
        <w:rPr>
          <w:rFonts w:hint="eastAsia"/>
          <w:color w:val="auto"/>
          <w:highlight w:val="none"/>
          <w:lang w:val="en-US" w:eastAsia="zh-CN"/>
        </w:rPr>
      </w:pPr>
    </w:p>
    <w:p w14:paraId="5D3494ED">
      <w:pPr>
        <w:rPr>
          <w:rFonts w:hint="eastAsia"/>
          <w:color w:val="auto"/>
          <w:highlight w:val="none"/>
          <w:lang w:val="en-US" w:eastAsia="zh-CN"/>
        </w:rPr>
      </w:pPr>
    </w:p>
    <w:p w14:paraId="6DBC4490">
      <w:pPr>
        <w:rPr>
          <w:color w:val="auto"/>
          <w:highlight w:val="none"/>
          <w:lang w:val="en-US" w:eastAsia="zh-CN"/>
        </w:rPr>
      </w:pPr>
    </w:p>
    <w:p w14:paraId="645ED591">
      <w:pPr>
        <w:rPr>
          <w:rFonts w:hint="eastAsia" w:ascii="Times New Roman" w:hAnsi="Times New Roman" w:eastAsia="宋体" w:cs="Cambria Math"/>
          <w:bCs/>
          <w:color w:val="auto"/>
          <w:kern w:val="2"/>
          <w:sz w:val="21"/>
          <w:szCs w:val="32"/>
          <w:highlight w:val="none"/>
          <w:lang w:val="en-US" w:eastAsia="zh-CN" w:bidi="ar-SA"/>
        </w:rPr>
      </w:pPr>
      <w:r>
        <w:rPr>
          <w:rFonts w:hint="eastAsia" w:ascii="Times New Roman" w:hAnsi="Times New Roman" w:eastAsia="宋体" w:cs="Cambria Math"/>
          <w:bCs/>
          <w:color w:val="auto"/>
          <w:kern w:val="2"/>
          <w:sz w:val="21"/>
          <w:szCs w:val="32"/>
          <w:highlight w:val="none"/>
          <w:lang w:val="en-US" w:eastAsia="zh-CN" w:bidi="ar-SA"/>
        </w:rPr>
        <w:br w:type="page"/>
      </w:r>
    </w:p>
    <w:p w14:paraId="7AB70CDF">
      <w:pPr>
        <w:pStyle w:val="41"/>
        <w:ind w:left="0" w:firstLine="0"/>
        <w:rPr>
          <w:color w:val="auto"/>
          <w:highlight w:val="none"/>
          <w:lang w:val="en-US" w:eastAsia="zh-CN"/>
        </w:rPr>
      </w:pPr>
      <w:r>
        <w:rPr>
          <w:rFonts w:hint="eastAsia" w:ascii="Times New Roman" w:hAnsi="Times New Roman" w:eastAsia="宋体" w:cs="Cambria Math"/>
          <w:bCs/>
          <w:color w:val="auto"/>
          <w:kern w:val="2"/>
          <w:sz w:val="21"/>
          <w:szCs w:val="32"/>
          <w:highlight w:val="none"/>
          <w:lang w:val="en-US" w:eastAsia="zh-CN" w:bidi="ar-SA"/>
        </w:rPr>
        <w:t>（五）</w:t>
      </w:r>
      <w:r>
        <w:rPr>
          <w:rFonts w:hint="eastAsia"/>
          <w:color w:val="auto"/>
          <w:highlight w:val="none"/>
          <w:lang w:val="en-US" w:eastAsia="zh-CN"/>
        </w:rPr>
        <w:t>项目实施方案</w:t>
      </w:r>
    </w:p>
    <w:p w14:paraId="74ADB27E">
      <w:pPr>
        <w:pStyle w:val="52"/>
        <w:rPr>
          <w:rFonts w:hint="eastAsia"/>
          <w:color w:val="auto"/>
          <w:highlight w:val="none"/>
          <w:lang w:val="en-US" w:eastAsia="zh-CN"/>
        </w:rPr>
      </w:pPr>
      <w:r>
        <w:rPr>
          <w:rFonts w:hint="eastAsia"/>
          <w:color w:val="auto"/>
          <w:highlight w:val="none"/>
          <w:lang w:val="en-US" w:eastAsia="zh-CN"/>
        </w:rPr>
        <w:t>【应包括第三章及第四章要求内容，包含1、规划咨询方案；2、数据治理板块产品方案和实施方案；3、数据资产板块产品方案和实施方案；4、数据安全分类分级板块产品方案和实施方案；5、技术架构方案；6、增值服务方案；7、包括项目实施时间计划、提交资料、人员安排等】</w:t>
      </w:r>
    </w:p>
    <w:p w14:paraId="1EF1D4BB">
      <w:pPr>
        <w:rPr>
          <w:rFonts w:hint="eastAsia"/>
          <w:color w:val="auto"/>
          <w:highlight w:val="none"/>
          <w:lang w:val="en-US" w:eastAsia="zh-CN"/>
        </w:rPr>
      </w:pPr>
    </w:p>
    <w:p w14:paraId="41E50026">
      <w:pPr>
        <w:rPr>
          <w:rFonts w:hint="eastAsia"/>
          <w:color w:val="auto"/>
          <w:highlight w:val="none"/>
          <w:lang w:val="zh-CN"/>
        </w:rPr>
      </w:pPr>
    </w:p>
    <w:p w14:paraId="068D694D">
      <w:pPr>
        <w:rPr>
          <w:rFonts w:hint="eastAsia"/>
          <w:color w:val="auto"/>
          <w:highlight w:val="none"/>
          <w:lang w:val="zh-CN"/>
        </w:rPr>
      </w:pPr>
    </w:p>
    <w:p w14:paraId="3B9F76C1">
      <w:pPr>
        <w:rPr>
          <w:rFonts w:hint="eastAsia"/>
          <w:color w:val="auto"/>
          <w:highlight w:val="none"/>
          <w:lang w:val="zh-CN"/>
        </w:rPr>
      </w:pPr>
    </w:p>
    <w:p w14:paraId="5C3F4556">
      <w:pPr>
        <w:rPr>
          <w:rFonts w:hint="eastAsia"/>
          <w:color w:val="auto"/>
          <w:highlight w:val="none"/>
          <w:lang w:val="zh-CN"/>
        </w:rPr>
      </w:pPr>
    </w:p>
    <w:p w14:paraId="033696EE">
      <w:pPr>
        <w:rPr>
          <w:rFonts w:hint="eastAsia"/>
          <w:color w:val="auto"/>
          <w:highlight w:val="none"/>
          <w:lang w:val="zh-CN"/>
        </w:rPr>
      </w:pPr>
    </w:p>
    <w:p w14:paraId="3F60C09C">
      <w:pPr>
        <w:rPr>
          <w:rFonts w:hint="eastAsia"/>
          <w:color w:val="auto"/>
          <w:highlight w:val="none"/>
          <w:lang w:val="zh-CN"/>
        </w:rPr>
      </w:pPr>
    </w:p>
    <w:p w14:paraId="0711AD36">
      <w:pPr>
        <w:rPr>
          <w:rFonts w:hint="eastAsia"/>
          <w:color w:val="auto"/>
          <w:highlight w:val="none"/>
          <w:lang w:val="zh-CN"/>
        </w:rPr>
      </w:pPr>
    </w:p>
    <w:p w14:paraId="662E1BFD">
      <w:pPr>
        <w:rPr>
          <w:rFonts w:hint="eastAsia"/>
          <w:color w:val="auto"/>
          <w:highlight w:val="none"/>
          <w:lang w:val="zh-CN"/>
        </w:rPr>
      </w:pPr>
    </w:p>
    <w:p w14:paraId="7B58D08B">
      <w:pPr>
        <w:rPr>
          <w:rFonts w:hint="eastAsia"/>
          <w:color w:val="auto"/>
          <w:highlight w:val="none"/>
          <w:lang w:val="zh-CN"/>
        </w:rPr>
      </w:pPr>
    </w:p>
    <w:p w14:paraId="216E6050">
      <w:pPr>
        <w:rPr>
          <w:rFonts w:hint="eastAsia"/>
          <w:color w:val="auto"/>
          <w:highlight w:val="none"/>
          <w:lang w:val="zh-CN"/>
        </w:rPr>
      </w:pPr>
    </w:p>
    <w:p w14:paraId="150CC43B">
      <w:pPr>
        <w:rPr>
          <w:rFonts w:hint="eastAsia"/>
          <w:color w:val="auto"/>
          <w:highlight w:val="none"/>
          <w:lang w:val="zh-CN"/>
        </w:rPr>
      </w:pPr>
    </w:p>
    <w:p w14:paraId="11774FFA">
      <w:pPr>
        <w:rPr>
          <w:rFonts w:hint="eastAsia"/>
          <w:color w:val="auto"/>
          <w:highlight w:val="none"/>
          <w:lang w:val="zh-CN"/>
        </w:rPr>
      </w:pPr>
    </w:p>
    <w:p w14:paraId="1F943915">
      <w:pPr>
        <w:rPr>
          <w:rFonts w:hint="eastAsia"/>
          <w:color w:val="auto"/>
          <w:highlight w:val="none"/>
          <w:lang w:val="zh-CN"/>
        </w:rPr>
      </w:pPr>
    </w:p>
    <w:p w14:paraId="00E6FE9B">
      <w:pPr>
        <w:rPr>
          <w:rFonts w:hint="eastAsia"/>
          <w:color w:val="auto"/>
          <w:highlight w:val="none"/>
          <w:lang w:val="zh-CN"/>
        </w:rPr>
      </w:pPr>
    </w:p>
    <w:p w14:paraId="2254D39C">
      <w:pPr>
        <w:rPr>
          <w:rFonts w:hint="eastAsia"/>
          <w:color w:val="auto"/>
          <w:highlight w:val="none"/>
          <w:lang w:val="zh-CN"/>
        </w:rPr>
      </w:pPr>
    </w:p>
    <w:p w14:paraId="0056C0D8">
      <w:pPr>
        <w:rPr>
          <w:rFonts w:hint="eastAsia"/>
          <w:color w:val="auto"/>
          <w:highlight w:val="none"/>
          <w:lang w:val="zh-CN"/>
        </w:rPr>
      </w:pPr>
    </w:p>
    <w:p w14:paraId="636B9BB5">
      <w:pPr>
        <w:rPr>
          <w:rFonts w:hint="eastAsia"/>
          <w:color w:val="auto"/>
          <w:highlight w:val="none"/>
          <w:lang w:val="zh-CN"/>
        </w:rPr>
      </w:pPr>
    </w:p>
    <w:p w14:paraId="6FE0CDDD">
      <w:pPr>
        <w:rPr>
          <w:rFonts w:hint="eastAsia"/>
          <w:color w:val="auto"/>
          <w:highlight w:val="none"/>
          <w:lang w:val="zh-CN"/>
        </w:rPr>
      </w:pPr>
    </w:p>
    <w:p w14:paraId="50CF3001">
      <w:pPr>
        <w:rPr>
          <w:rFonts w:hint="eastAsia"/>
          <w:color w:val="auto"/>
          <w:highlight w:val="none"/>
          <w:lang w:val="zh-CN"/>
        </w:rPr>
      </w:pPr>
    </w:p>
    <w:p w14:paraId="35BCE5A3">
      <w:pPr>
        <w:rPr>
          <w:rFonts w:hint="eastAsia"/>
          <w:color w:val="auto"/>
          <w:highlight w:val="none"/>
          <w:lang w:val="zh-CN"/>
        </w:rPr>
      </w:pPr>
    </w:p>
    <w:p w14:paraId="65478EBD">
      <w:pPr>
        <w:rPr>
          <w:rFonts w:hint="eastAsia"/>
          <w:color w:val="auto"/>
          <w:highlight w:val="none"/>
          <w:lang w:val="zh-CN"/>
        </w:rPr>
      </w:pPr>
    </w:p>
    <w:p w14:paraId="10E53CAC">
      <w:pPr>
        <w:rPr>
          <w:rFonts w:hint="eastAsia"/>
          <w:color w:val="auto"/>
          <w:highlight w:val="none"/>
          <w:lang w:val="zh-CN"/>
        </w:rPr>
      </w:pPr>
    </w:p>
    <w:p w14:paraId="40B5AA68">
      <w:pPr>
        <w:rPr>
          <w:rFonts w:hint="eastAsia"/>
          <w:color w:val="auto"/>
          <w:highlight w:val="none"/>
          <w:lang w:val="zh-CN"/>
        </w:rPr>
      </w:pPr>
    </w:p>
    <w:p w14:paraId="18281BC0">
      <w:pPr>
        <w:rPr>
          <w:rFonts w:hint="eastAsia"/>
          <w:color w:val="auto"/>
          <w:highlight w:val="none"/>
          <w:lang w:val="zh-CN"/>
        </w:rPr>
      </w:pPr>
    </w:p>
    <w:p w14:paraId="30E03803">
      <w:pPr>
        <w:rPr>
          <w:rFonts w:hint="eastAsia"/>
          <w:color w:val="auto"/>
          <w:highlight w:val="none"/>
          <w:lang w:val="zh-CN"/>
        </w:rPr>
        <w:sectPr>
          <w:pgSz w:w="11906" w:h="16838"/>
          <w:pgMar w:top="1440" w:right="1800" w:bottom="1440" w:left="1800" w:header="851" w:footer="992" w:gutter="0"/>
          <w:cols w:space="425" w:num="1"/>
          <w:docGrid w:type="lines" w:linePitch="312" w:charSpace="0"/>
        </w:sectPr>
      </w:pPr>
    </w:p>
    <w:p w14:paraId="4ACCB33F">
      <w:pPr>
        <w:pStyle w:val="41"/>
        <w:ind w:left="0" w:firstLine="0"/>
        <w:rPr>
          <w:rFonts w:hint="eastAsia"/>
          <w:color w:val="auto"/>
          <w:highlight w:val="none"/>
          <w:lang w:val="zh-CN" w:eastAsia="zh-CN"/>
        </w:rPr>
      </w:pPr>
      <w:r>
        <w:rPr>
          <w:rFonts w:hint="eastAsia" w:ascii="Times New Roman" w:hAnsi="Times New Roman" w:eastAsia="宋体" w:cs="Cambria Math"/>
          <w:bCs/>
          <w:color w:val="auto"/>
          <w:kern w:val="2"/>
          <w:sz w:val="21"/>
          <w:szCs w:val="32"/>
          <w:highlight w:val="none"/>
          <w:lang w:val="zh-CN" w:eastAsia="zh-CN" w:bidi="ar-SA"/>
        </w:rPr>
        <w:t>（六）</w:t>
      </w:r>
      <w:r>
        <w:rPr>
          <w:rFonts w:hint="eastAsia"/>
          <w:color w:val="auto"/>
          <w:highlight w:val="none"/>
          <w:lang w:val="en-US" w:eastAsia="zh-CN"/>
        </w:rPr>
        <w:t>服务水平协议（SLA）</w:t>
      </w:r>
    </w:p>
    <w:tbl>
      <w:tblPr>
        <w:tblStyle w:val="21"/>
        <w:tblW w:w="12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11"/>
        <w:gridCol w:w="1664"/>
        <w:gridCol w:w="2422"/>
        <w:gridCol w:w="3936"/>
        <w:gridCol w:w="2573"/>
      </w:tblGrid>
      <w:tr w14:paraId="4FE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1" w:type="dxa"/>
            <w:vAlign w:val="center"/>
          </w:tcPr>
          <w:p w14:paraId="3F3B8393">
            <w:pPr>
              <w:pStyle w:val="45"/>
              <w:jc w:val="center"/>
              <w:rPr>
                <w:rFonts w:hint="eastAsia"/>
                <w:b/>
                <w:bCs w:val="0"/>
                <w:color w:val="auto"/>
                <w:highlight w:val="none"/>
              </w:rPr>
            </w:pPr>
            <w:r>
              <w:rPr>
                <w:rFonts w:hint="eastAsia"/>
                <w:b/>
                <w:bCs w:val="0"/>
                <w:color w:val="auto"/>
                <w:highlight w:val="none"/>
              </w:rPr>
              <w:t>序号</w:t>
            </w:r>
          </w:p>
        </w:tc>
        <w:tc>
          <w:tcPr>
            <w:tcW w:w="1211" w:type="dxa"/>
            <w:vAlign w:val="center"/>
          </w:tcPr>
          <w:p w14:paraId="404D3D21">
            <w:pPr>
              <w:pStyle w:val="45"/>
              <w:jc w:val="center"/>
              <w:rPr>
                <w:rFonts w:hint="eastAsia"/>
                <w:b/>
                <w:bCs w:val="0"/>
                <w:color w:val="auto"/>
                <w:highlight w:val="none"/>
              </w:rPr>
            </w:pPr>
            <w:r>
              <w:rPr>
                <w:rFonts w:hint="eastAsia"/>
                <w:b/>
                <w:bCs w:val="0"/>
                <w:color w:val="auto"/>
                <w:highlight w:val="none"/>
              </w:rPr>
              <w:t>评价维度</w:t>
            </w:r>
          </w:p>
        </w:tc>
        <w:tc>
          <w:tcPr>
            <w:tcW w:w="1664" w:type="dxa"/>
            <w:vAlign w:val="center"/>
          </w:tcPr>
          <w:p w14:paraId="76415DCE">
            <w:pPr>
              <w:pStyle w:val="45"/>
              <w:jc w:val="center"/>
              <w:rPr>
                <w:rFonts w:hint="eastAsia"/>
                <w:b/>
                <w:bCs w:val="0"/>
                <w:color w:val="auto"/>
                <w:highlight w:val="none"/>
              </w:rPr>
            </w:pPr>
            <w:r>
              <w:rPr>
                <w:rFonts w:hint="eastAsia"/>
                <w:b/>
                <w:bCs w:val="0"/>
                <w:color w:val="auto"/>
                <w:highlight w:val="none"/>
              </w:rPr>
              <w:t>评价指标</w:t>
            </w:r>
          </w:p>
        </w:tc>
        <w:tc>
          <w:tcPr>
            <w:tcW w:w="2422" w:type="dxa"/>
            <w:vAlign w:val="center"/>
          </w:tcPr>
          <w:p w14:paraId="71FB75CD">
            <w:pPr>
              <w:pStyle w:val="45"/>
              <w:jc w:val="center"/>
              <w:rPr>
                <w:rFonts w:hint="eastAsia"/>
                <w:b/>
                <w:bCs w:val="0"/>
                <w:color w:val="auto"/>
                <w:highlight w:val="none"/>
              </w:rPr>
            </w:pPr>
            <w:r>
              <w:rPr>
                <w:rFonts w:hint="eastAsia"/>
                <w:b/>
                <w:bCs w:val="0"/>
                <w:color w:val="auto"/>
                <w:highlight w:val="none"/>
              </w:rPr>
              <w:t>指标定义</w:t>
            </w:r>
          </w:p>
        </w:tc>
        <w:tc>
          <w:tcPr>
            <w:tcW w:w="3936" w:type="dxa"/>
            <w:vAlign w:val="center"/>
          </w:tcPr>
          <w:p w14:paraId="283EF5B3">
            <w:pPr>
              <w:pStyle w:val="45"/>
              <w:jc w:val="center"/>
              <w:rPr>
                <w:rFonts w:hint="eastAsia"/>
                <w:b/>
                <w:bCs w:val="0"/>
                <w:color w:val="auto"/>
                <w:highlight w:val="none"/>
              </w:rPr>
            </w:pPr>
            <w:r>
              <w:rPr>
                <w:rFonts w:hint="eastAsia"/>
                <w:b/>
                <w:bCs w:val="0"/>
                <w:color w:val="auto"/>
                <w:highlight w:val="none"/>
              </w:rPr>
              <w:t>评分/价标准</w:t>
            </w:r>
          </w:p>
        </w:tc>
        <w:tc>
          <w:tcPr>
            <w:tcW w:w="2573" w:type="dxa"/>
            <w:vAlign w:val="center"/>
          </w:tcPr>
          <w:p w14:paraId="66461587">
            <w:pPr>
              <w:pStyle w:val="45"/>
              <w:jc w:val="center"/>
              <w:rPr>
                <w:rFonts w:hint="eastAsia"/>
                <w:b/>
                <w:bCs w:val="0"/>
                <w:color w:val="auto"/>
                <w:highlight w:val="none"/>
              </w:rPr>
            </w:pPr>
            <w:r>
              <w:rPr>
                <w:rFonts w:hint="eastAsia"/>
                <w:b/>
                <w:bCs w:val="0"/>
                <w:color w:val="auto"/>
                <w:highlight w:val="none"/>
              </w:rPr>
              <w:t>违约金标准</w:t>
            </w:r>
          </w:p>
        </w:tc>
      </w:tr>
      <w:tr w14:paraId="006C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jc w:val="center"/>
        </w:trPr>
        <w:tc>
          <w:tcPr>
            <w:tcW w:w="751" w:type="dxa"/>
            <w:vAlign w:val="center"/>
          </w:tcPr>
          <w:p w14:paraId="375691EF">
            <w:pPr>
              <w:pStyle w:val="45"/>
              <w:rPr>
                <w:rFonts w:hint="eastAsia"/>
                <w:color w:val="auto"/>
                <w:highlight w:val="none"/>
              </w:rPr>
            </w:pPr>
            <w:r>
              <w:rPr>
                <w:rFonts w:hint="eastAsia"/>
                <w:color w:val="auto"/>
                <w:highlight w:val="none"/>
              </w:rPr>
              <w:t>1</w:t>
            </w:r>
          </w:p>
        </w:tc>
        <w:tc>
          <w:tcPr>
            <w:tcW w:w="1211" w:type="dxa"/>
            <w:vMerge w:val="restart"/>
            <w:tcBorders>
              <w:left w:val="single" w:color="auto" w:sz="4" w:space="0"/>
            </w:tcBorders>
            <w:vAlign w:val="center"/>
          </w:tcPr>
          <w:p w14:paraId="754EADCF">
            <w:pPr>
              <w:pStyle w:val="45"/>
              <w:rPr>
                <w:rFonts w:hint="eastAsia"/>
                <w:color w:val="auto"/>
                <w:highlight w:val="none"/>
              </w:rPr>
            </w:pPr>
            <w:r>
              <w:rPr>
                <w:rFonts w:hint="eastAsia"/>
                <w:color w:val="auto"/>
                <w:highlight w:val="none"/>
              </w:rPr>
              <w:t>服务质量</w:t>
            </w:r>
          </w:p>
        </w:tc>
        <w:tc>
          <w:tcPr>
            <w:tcW w:w="1664" w:type="dxa"/>
            <w:tcBorders>
              <w:left w:val="single" w:color="auto" w:sz="4" w:space="0"/>
            </w:tcBorders>
            <w:vAlign w:val="center"/>
          </w:tcPr>
          <w:p w14:paraId="6908B3D4">
            <w:pPr>
              <w:pStyle w:val="45"/>
              <w:rPr>
                <w:rFonts w:hint="eastAsia"/>
                <w:color w:val="auto"/>
                <w:highlight w:val="none"/>
              </w:rPr>
            </w:pPr>
            <w:r>
              <w:rPr>
                <w:rFonts w:hint="eastAsia"/>
                <w:color w:val="auto"/>
                <w:highlight w:val="none"/>
              </w:rPr>
              <w:t>交付成果质量</w:t>
            </w:r>
          </w:p>
        </w:tc>
        <w:tc>
          <w:tcPr>
            <w:tcW w:w="2422" w:type="dxa"/>
            <w:tcBorders>
              <w:left w:val="single" w:color="auto" w:sz="4" w:space="0"/>
            </w:tcBorders>
            <w:vAlign w:val="center"/>
          </w:tcPr>
          <w:p w14:paraId="2F863A62">
            <w:pPr>
              <w:pStyle w:val="45"/>
              <w:rPr>
                <w:rFonts w:hint="eastAsia"/>
                <w:color w:val="auto"/>
                <w:highlight w:val="none"/>
              </w:rPr>
            </w:pPr>
            <w:r>
              <w:rPr>
                <w:rFonts w:hint="eastAsia"/>
                <w:color w:val="auto"/>
                <w:highlight w:val="none"/>
              </w:rPr>
              <w:t>用于记录乙方所提交的项目交付成果与甲方要求的项目交付成果的契合度或交付成果质量与合同所约定要求的项目交付成果质量的满足程度</w:t>
            </w:r>
          </w:p>
        </w:tc>
        <w:tc>
          <w:tcPr>
            <w:tcW w:w="3936" w:type="dxa"/>
            <w:tcBorders>
              <w:left w:val="single" w:color="auto" w:sz="4" w:space="0"/>
            </w:tcBorders>
            <w:vAlign w:val="center"/>
          </w:tcPr>
          <w:p w14:paraId="49926ED7">
            <w:pPr>
              <w:pStyle w:val="45"/>
              <w:rPr>
                <w:rFonts w:hint="eastAsia"/>
                <w:color w:val="auto"/>
                <w:highlight w:val="none"/>
              </w:rPr>
            </w:pPr>
            <w:r>
              <w:rPr>
                <w:rFonts w:hint="eastAsia"/>
                <w:color w:val="auto"/>
                <w:highlight w:val="none"/>
              </w:rPr>
              <w:t>优秀：5分，指乙方能够主动快速与甲方进行有效的沟通，交付成果高度契合需求，完全满足并超出合同约定的预期目标，给甲方带来显著的附加价值；</w:t>
            </w:r>
          </w:p>
          <w:p w14:paraId="57EB81A9">
            <w:pPr>
              <w:pStyle w:val="45"/>
              <w:rPr>
                <w:rFonts w:hint="eastAsia"/>
                <w:color w:val="auto"/>
                <w:highlight w:val="none"/>
              </w:rPr>
            </w:pPr>
            <w:r>
              <w:rPr>
                <w:rFonts w:hint="eastAsia"/>
                <w:color w:val="auto"/>
                <w:highlight w:val="none"/>
              </w:rPr>
              <w:t>良好：4分，指乙方能够快速响应需求，交付成果达到合同约定的预期目标，基本契合需求，满足合同约定的预期目标；</w:t>
            </w:r>
          </w:p>
          <w:p w14:paraId="031AC862">
            <w:pPr>
              <w:pStyle w:val="45"/>
              <w:rPr>
                <w:rFonts w:hint="eastAsia"/>
                <w:color w:val="auto"/>
                <w:highlight w:val="none"/>
              </w:rPr>
            </w:pPr>
            <w:r>
              <w:rPr>
                <w:rFonts w:hint="eastAsia"/>
                <w:color w:val="auto"/>
                <w:highlight w:val="none"/>
              </w:rPr>
              <w:t>合格：3分，指乙方能够按要求响应需求，交付成果基本满足需求，但是总体可满足合同约定的预期目标；</w:t>
            </w:r>
          </w:p>
          <w:p w14:paraId="3700E4C4">
            <w:pPr>
              <w:pStyle w:val="45"/>
              <w:rPr>
                <w:rFonts w:hint="eastAsia"/>
                <w:color w:val="auto"/>
                <w:highlight w:val="none"/>
              </w:rPr>
            </w:pPr>
            <w:r>
              <w:rPr>
                <w:rFonts w:hint="eastAsia"/>
                <w:color w:val="auto"/>
                <w:highlight w:val="none"/>
              </w:rPr>
              <w:t>较差/差：0分，指乙方未能够按要求响应需求，或交付成果与需求契合度差距较大，无法达到合同约定的预期目标。</w:t>
            </w:r>
          </w:p>
        </w:tc>
        <w:tc>
          <w:tcPr>
            <w:tcW w:w="2573" w:type="dxa"/>
            <w:tcBorders>
              <w:left w:val="single" w:color="auto" w:sz="4" w:space="0"/>
            </w:tcBorders>
            <w:vAlign w:val="center"/>
          </w:tcPr>
          <w:p w14:paraId="48FA1BE2">
            <w:pPr>
              <w:pStyle w:val="45"/>
              <w:rPr>
                <w:rFonts w:hint="eastAsia"/>
                <w:color w:val="auto"/>
                <w:highlight w:val="none"/>
              </w:rPr>
            </w:pPr>
            <w:r>
              <w:rPr>
                <w:rFonts w:hint="eastAsia"/>
                <w:color w:val="auto"/>
                <w:highlight w:val="none"/>
              </w:rPr>
              <w:t>交付成果每缺少一项扣除乙方金额人民币2000元；每有一项交付成果质量不合格扣除乙方金额人民币2000元。</w:t>
            </w:r>
          </w:p>
        </w:tc>
      </w:tr>
      <w:tr w14:paraId="05C2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1" w:type="dxa"/>
            <w:vAlign w:val="center"/>
          </w:tcPr>
          <w:p w14:paraId="4D3CEF6B">
            <w:pPr>
              <w:pStyle w:val="45"/>
              <w:rPr>
                <w:rFonts w:hint="eastAsia"/>
                <w:color w:val="auto"/>
                <w:highlight w:val="none"/>
              </w:rPr>
            </w:pPr>
            <w:r>
              <w:rPr>
                <w:rFonts w:hint="eastAsia"/>
                <w:color w:val="auto"/>
                <w:highlight w:val="none"/>
              </w:rPr>
              <w:t>2</w:t>
            </w:r>
          </w:p>
        </w:tc>
        <w:tc>
          <w:tcPr>
            <w:tcW w:w="1211" w:type="dxa"/>
            <w:vMerge w:val="continue"/>
            <w:tcBorders>
              <w:left w:val="single" w:color="auto" w:sz="4" w:space="0"/>
            </w:tcBorders>
          </w:tcPr>
          <w:p w14:paraId="31043F4C"/>
        </w:tc>
        <w:tc>
          <w:tcPr>
            <w:tcW w:w="1664" w:type="dxa"/>
            <w:tcBorders>
              <w:left w:val="single" w:color="auto" w:sz="4" w:space="0"/>
            </w:tcBorders>
            <w:vAlign w:val="center"/>
          </w:tcPr>
          <w:p w14:paraId="57208FFD">
            <w:pPr>
              <w:pStyle w:val="45"/>
              <w:rPr>
                <w:rFonts w:hint="eastAsia"/>
                <w:color w:val="auto"/>
                <w:highlight w:val="none"/>
              </w:rPr>
            </w:pPr>
            <w:r>
              <w:rPr>
                <w:rFonts w:hint="eastAsia"/>
                <w:color w:val="auto"/>
                <w:highlight w:val="none"/>
              </w:rPr>
              <w:t>成果交付延期情况</w:t>
            </w:r>
          </w:p>
        </w:tc>
        <w:tc>
          <w:tcPr>
            <w:tcW w:w="2422" w:type="dxa"/>
            <w:tcBorders>
              <w:left w:val="single" w:color="auto" w:sz="4" w:space="0"/>
            </w:tcBorders>
            <w:vAlign w:val="center"/>
          </w:tcPr>
          <w:p w14:paraId="28FCA7C9">
            <w:pPr>
              <w:pStyle w:val="45"/>
              <w:rPr>
                <w:rFonts w:hint="eastAsia"/>
                <w:color w:val="auto"/>
                <w:highlight w:val="none"/>
              </w:rPr>
            </w:pPr>
            <w:r>
              <w:rPr>
                <w:rFonts w:hint="eastAsia"/>
                <w:color w:val="auto"/>
                <w:highlight w:val="none"/>
              </w:rPr>
              <w:t>用于记录因乙方原因导致项目交付成果时间与合同规定时间之间的差距</w:t>
            </w:r>
          </w:p>
        </w:tc>
        <w:tc>
          <w:tcPr>
            <w:tcW w:w="3936" w:type="dxa"/>
            <w:tcBorders>
              <w:left w:val="single" w:color="auto" w:sz="4" w:space="0"/>
            </w:tcBorders>
            <w:vAlign w:val="center"/>
          </w:tcPr>
          <w:p w14:paraId="4ADDB062">
            <w:pPr>
              <w:pStyle w:val="45"/>
              <w:rPr>
                <w:rFonts w:hint="eastAsia"/>
                <w:color w:val="auto"/>
                <w:highlight w:val="none"/>
              </w:rPr>
            </w:pPr>
            <w:r>
              <w:rPr>
                <w:rFonts w:hint="eastAsia"/>
                <w:color w:val="auto"/>
                <w:highlight w:val="none"/>
              </w:rPr>
              <w:t>实际交付成果日期与合同约定交付日期之差</w:t>
            </w:r>
          </w:p>
          <w:p w14:paraId="5E11646C">
            <w:pPr>
              <w:pStyle w:val="45"/>
              <w:rPr>
                <w:rFonts w:hint="eastAsia"/>
                <w:color w:val="auto"/>
                <w:highlight w:val="none"/>
              </w:rPr>
            </w:pPr>
            <w:r>
              <w:rPr>
                <w:rFonts w:hint="eastAsia"/>
                <w:color w:val="auto"/>
                <w:highlight w:val="none"/>
              </w:rPr>
              <w:t>【得分上限5分】</w:t>
            </w:r>
          </w:p>
          <w:p w14:paraId="7C310F64">
            <w:pPr>
              <w:pStyle w:val="45"/>
              <w:rPr>
                <w:rFonts w:hint="eastAsia"/>
                <w:color w:val="auto"/>
                <w:highlight w:val="none"/>
              </w:rPr>
            </w:pPr>
            <w:r>
              <w:rPr>
                <w:rFonts w:hint="eastAsia"/>
                <w:color w:val="auto"/>
                <w:highlight w:val="none"/>
              </w:rPr>
              <w:t>无延期：指未出现延期，该项指标满分；</w:t>
            </w:r>
          </w:p>
          <w:p w14:paraId="43311771">
            <w:pPr>
              <w:pStyle w:val="45"/>
              <w:rPr>
                <w:rFonts w:hint="eastAsia"/>
                <w:color w:val="auto"/>
                <w:highlight w:val="none"/>
              </w:rPr>
            </w:pPr>
            <w:r>
              <w:rPr>
                <w:rFonts w:hint="eastAsia"/>
                <w:color w:val="auto"/>
                <w:highlight w:val="none"/>
              </w:rPr>
              <w:t>0＜延期≤3个月：扣2分，指出现延期3个月（含）以内；</w:t>
            </w:r>
          </w:p>
          <w:p w14:paraId="70C01497">
            <w:pPr>
              <w:pStyle w:val="45"/>
              <w:rPr>
                <w:rFonts w:hint="eastAsia"/>
                <w:color w:val="auto"/>
                <w:highlight w:val="none"/>
              </w:rPr>
            </w:pPr>
            <w:r>
              <w:rPr>
                <w:rFonts w:hint="eastAsia"/>
                <w:color w:val="auto"/>
                <w:highlight w:val="none"/>
              </w:rPr>
              <w:t>3＜延期≤6个月：扣3分，指出现延期大于3个月且小于等于6个月；</w:t>
            </w:r>
          </w:p>
          <w:p w14:paraId="40579CB3">
            <w:pPr>
              <w:pStyle w:val="45"/>
              <w:rPr>
                <w:rFonts w:hint="eastAsia"/>
                <w:color w:val="auto"/>
                <w:highlight w:val="none"/>
              </w:rPr>
            </w:pPr>
            <w:r>
              <w:rPr>
                <w:rFonts w:hint="eastAsia"/>
                <w:color w:val="auto"/>
                <w:highlight w:val="none"/>
              </w:rPr>
              <w:t>延期6个月以上：扣5分，指出现延期6个月以上。</w:t>
            </w:r>
          </w:p>
        </w:tc>
        <w:tc>
          <w:tcPr>
            <w:tcW w:w="2573" w:type="dxa"/>
            <w:tcBorders>
              <w:left w:val="single" w:color="auto" w:sz="4" w:space="0"/>
            </w:tcBorders>
            <w:vAlign w:val="center"/>
          </w:tcPr>
          <w:p w14:paraId="71AAFED1">
            <w:pPr>
              <w:pStyle w:val="45"/>
              <w:rPr>
                <w:rFonts w:hint="eastAsia"/>
                <w:color w:val="auto"/>
                <w:highlight w:val="none"/>
              </w:rPr>
            </w:pPr>
            <w:r>
              <w:rPr>
                <w:rFonts w:hint="eastAsia"/>
                <w:color w:val="auto"/>
                <w:highlight w:val="none"/>
              </w:rPr>
              <w:t>若延期超过1个月，每延期增加一天扣除合同总金额的0.1%（注：最多扣除不超过合同总金额的10%）。</w:t>
            </w:r>
          </w:p>
        </w:tc>
      </w:tr>
      <w:tr w14:paraId="7BE6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51" w:type="dxa"/>
            <w:vAlign w:val="center"/>
          </w:tcPr>
          <w:p w14:paraId="7D68F8BF">
            <w:pPr>
              <w:pStyle w:val="45"/>
              <w:rPr>
                <w:rFonts w:hint="eastAsia"/>
                <w:color w:val="auto"/>
                <w:highlight w:val="none"/>
              </w:rPr>
            </w:pPr>
            <w:r>
              <w:rPr>
                <w:rFonts w:hint="eastAsia"/>
                <w:color w:val="auto"/>
                <w:highlight w:val="none"/>
              </w:rPr>
              <w:t>3</w:t>
            </w:r>
          </w:p>
        </w:tc>
        <w:tc>
          <w:tcPr>
            <w:tcW w:w="1211" w:type="dxa"/>
            <w:vMerge w:val="continue"/>
            <w:tcBorders>
              <w:left w:val="single" w:color="auto" w:sz="4" w:space="0"/>
            </w:tcBorders>
          </w:tcPr>
          <w:p w14:paraId="6220F093"/>
        </w:tc>
        <w:tc>
          <w:tcPr>
            <w:tcW w:w="1664" w:type="dxa"/>
            <w:tcBorders>
              <w:left w:val="single" w:color="auto" w:sz="4" w:space="0"/>
            </w:tcBorders>
            <w:vAlign w:val="center"/>
          </w:tcPr>
          <w:p w14:paraId="3F372D92">
            <w:pPr>
              <w:pStyle w:val="45"/>
              <w:rPr>
                <w:rFonts w:hint="eastAsia"/>
                <w:color w:val="auto"/>
                <w:highlight w:val="none"/>
              </w:rPr>
            </w:pPr>
            <w:r>
              <w:rPr>
                <w:rFonts w:hint="eastAsia"/>
                <w:color w:val="auto"/>
                <w:highlight w:val="none"/>
              </w:rPr>
              <w:t>产品缺陷密度</w:t>
            </w:r>
          </w:p>
        </w:tc>
        <w:tc>
          <w:tcPr>
            <w:tcW w:w="2422" w:type="dxa"/>
            <w:tcBorders>
              <w:left w:val="single" w:color="auto" w:sz="4" w:space="0"/>
            </w:tcBorders>
            <w:vAlign w:val="center"/>
          </w:tcPr>
          <w:p w14:paraId="4590D1CE">
            <w:pPr>
              <w:pStyle w:val="45"/>
              <w:rPr>
                <w:rFonts w:hint="eastAsia"/>
                <w:color w:val="auto"/>
                <w:highlight w:val="none"/>
              </w:rPr>
            </w:pPr>
            <w:r>
              <w:rPr>
                <w:rFonts w:hint="eastAsia"/>
                <w:color w:val="auto"/>
                <w:highlight w:val="none"/>
              </w:rPr>
              <w:t>用于记录统计周期内单位功能（案例）点发现的缺陷数量</w:t>
            </w:r>
          </w:p>
        </w:tc>
        <w:tc>
          <w:tcPr>
            <w:tcW w:w="3936" w:type="dxa"/>
            <w:tcBorders>
              <w:left w:val="single" w:color="auto" w:sz="4" w:space="0"/>
            </w:tcBorders>
            <w:vAlign w:val="center"/>
          </w:tcPr>
          <w:p w14:paraId="1A55CB3E">
            <w:pPr>
              <w:pStyle w:val="45"/>
              <w:rPr>
                <w:rFonts w:hint="eastAsia"/>
                <w:color w:val="auto"/>
                <w:highlight w:val="none"/>
              </w:rPr>
            </w:pPr>
            <w:r>
              <w:rPr>
                <w:rFonts w:hint="eastAsia"/>
                <w:color w:val="auto"/>
                <w:highlight w:val="none"/>
              </w:rPr>
              <w:t>产品缺陷密度=统计周期内发现的该系统有效缺陷数/统计周期内该系统功能点总数（案例数）</w:t>
            </w:r>
          </w:p>
          <w:p w14:paraId="599C2762">
            <w:pPr>
              <w:pStyle w:val="45"/>
              <w:rPr>
                <w:rFonts w:hint="eastAsia"/>
                <w:color w:val="auto"/>
                <w:highlight w:val="none"/>
              </w:rPr>
            </w:pPr>
            <w:r>
              <w:rPr>
                <w:rFonts w:hint="eastAsia"/>
                <w:color w:val="auto"/>
                <w:highlight w:val="none"/>
              </w:rPr>
              <w:t>10分【0-5%】</w:t>
            </w:r>
          </w:p>
          <w:p w14:paraId="3BDF3270">
            <w:pPr>
              <w:pStyle w:val="45"/>
              <w:rPr>
                <w:rFonts w:hint="eastAsia"/>
                <w:color w:val="auto"/>
                <w:highlight w:val="none"/>
              </w:rPr>
            </w:pPr>
            <w:r>
              <w:rPr>
                <w:rFonts w:hint="eastAsia"/>
                <w:color w:val="auto"/>
                <w:highlight w:val="none"/>
              </w:rPr>
              <w:t>5分【5%-20%】</w:t>
            </w:r>
          </w:p>
          <w:p w14:paraId="76442325">
            <w:pPr>
              <w:pStyle w:val="45"/>
              <w:rPr>
                <w:rFonts w:hint="eastAsia"/>
                <w:color w:val="auto"/>
                <w:highlight w:val="none"/>
              </w:rPr>
            </w:pPr>
            <w:r>
              <w:rPr>
                <w:rFonts w:hint="eastAsia"/>
                <w:color w:val="auto"/>
                <w:highlight w:val="none"/>
              </w:rPr>
              <w:t>0分【超过20%】</w:t>
            </w:r>
          </w:p>
        </w:tc>
        <w:tc>
          <w:tcPr>
            <w:tcW w:w="2573" w:type="dxa"/>
            <w:tcBorders>
              <w:left w:val="single" w:color="auto" w:sz="4" w:space="0"/>
            </w:tcBorders>
            <w:vAlign w:val="center"/>
          </w:tcPr>
          <w:p w14:paraId="4B5DE554">
            <w:pPr>
              <w:pStyle w:val="45"/>
              <w:rPr>
                <w:rFonts w:hint="eastAsia"/>
                <w:color w:val="auto"/>
                <w:highlight w:val="none"/>
              </w:rPr>
            </w:pPr>
            <w:r>
              <w:rPr>
                <w:rFonts w:hint="eastAsia"/>
                <w:color w:val="auto"/>
                <w:highlight w:val="none"/>
              </w:rPr>
              <w:t>产品缺陷密度超过20%，缺陷密度每增加1%扣除合同总金额的0.1%。</w:t>
            </w:r>
          </w:p>
        </w:tc>
      </w:tr>
      <w:tr w14:paraId="2BEB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51" w:type="dxa"/>
            <w:vAlign w:val="center"/>
          </w:tcPr>
          <w:p w14:paraId="1216E477">
            <w:pPr>
              <w:pStyle w:val="45"/>
              <w:rPr>
                <w:rFonts w:hint="eastAsia"/>
                <w:color w:val="auto"/>
                <w:highlight w:val="none"/>
              </w:rPr>
            </w:pPr>
            <w:r>
              <w:rPr>
                <w:rFonts w:hint="eastAsia"/>
                <w:color w:val="auto"/>
                <w:highlight w:val="none"/>
              </w:rPr>
              <w:t>4</w:t>
            </w:r>
          </w:p>
        </w:tc>
        <w:tc>
          <w:tcPr>
            <w:tcW w:w="1211" w:type="dxa"/>
            <w:vMerge w:val="continue"/>
            <w:tcBorders>
              <w:left w:val="single" w:color="auto" w:sz="4" w:space="0"/>
            </w:tcBorders>
          </w:tcPr>
          <w:p w14:paraId="07675C22"/>
        </w:tc>
        <w:tc>
          <w:tcPr>
            <w:tcW w:w="1664" w:type="dxa"/>
            <w:tcBorders>
              <w:left w:val="single" w:color="auto" w:sz="4" w:space="0"/>
            </w:tcBorders>
            <w:vAlign w:val="center"/>
          </w:tcPr>
          <w:p w14:paraId="4B9E30F5">
            <w:pPr>
              <w:pStyle w:val="45"/>
              <w:rPr>
                <w:rFonts w:hint="eastAsia"/>
                <w:color w:val="auto"/>
                <w:highlight w:val="none"/>
              </w:rPr>
            </w:pPr>
            <w:r>
              <w:rPr>
                <w:rFonts w:hint="eastAsia"/>
                <w:color w:val="auto"/>
                <w:highlight w:val="none"/>
              </w:rPr>
              <w:t>缺陷解决率</w:t>
            </w:r>
          </w:p>
        </w:tc>
        <w:tc>
          <w:tcPr>
            <w:tcW w:w="2422" w:type="dxa"/>
            <w:tcBorders>
              <w:left w:val="single" w:color="auto" w:sz="4" w:space="0"/>
            </w:tcBorders>
            <w:vAlign w:val="center"/>
          </w:tcPr>
          <w:p w14:paraId="578D227D">
            <w:pPr>
              <w:pStyle w:val="45"/>
              <w:rPr>
                <w:rFonts w:hint="eastAsia"/>
                <w:color w:val="auto"/>
                <w:highlight w:val="none"/>
              </w:rPr>
            </w:pPr>
            <w:r>
              <w:rPr>
                <w:rFonts w:hint="eastAsia"/>
                <w:color w:val="auto"/>
                <w:highlight w:val="none"/>
              </w:rPr>
              <w:t>用于记录统计周期内测试发现的缺陷中已解决缺陷的比例</w:t>
            </w:r>
          </w:p>
        </w:tc>
        <w:tc>
          <w:tcPr>
            <w:tcW w:w="3936" w:type="dxa"/>
            <w:tcBorders>
              <w:left w:val="single" w:color="auto" w:sz="4" w:space="0"/>
            </w:tcBorders>
            <w:vAlign w:val="center"/>
          </w:tcPr>
          <w:p w14:paraId="765ABD35">
            <w:pPr>
              <w:pStyle w:val="45"/>
              <w:rPr>
                <w:rFonts w:hint="eastAsia"/>
                <w:color w:val="auto"/>
                <w:highlight w:val="none"/>
              </w:rPr>
            </w:pPr>
            <w:r>
              <w:rPr>
                <w:rFonts w:hint="eastAsia"/>
                <w:color w:val="auto"/>
                <w:highlight w:val="none"/>
              </w:rPr>
              <w:t>缺陷解决率=统计周期内测试发现的有效缺陷中已解决的数量/统计周期内测试发现的有效缺陷总数量</w:t>
            </w:r>
          </w:p>
          <w:p w14:paraId="549783E8">
            <w:pPr>
              <w:pStyle w:val="45"/>
              <w:rPr>
                <w:rFonts w:hint="eastAsia"/>
                <w:color w:val="auto"/>
                <w:highlight w:val="none"/>
              </w:rPr>
            </w:pPr>
            <w:r>
              <w:rPr>
                <w:rFonts w:hint="eastAsia"/>
                <w:color w:val="auto"/>
                <w:highlight w:val="none"/>
              </w:rPr>
              <w:t>10分【98%-100%】</w:t>
            </w:r>
          </w:p>
          <w:p w14:paraId="1E72005B">
            <w:pPr>
              <w:pStyle w:val="45"/>
              <w:rPr>
                <w:rFonts w:hint="eastAsia"/>
                <w:color w:val="auto"/>
                <w:highlight w:val="none"/>
              </w:rPr>
            </w:pPr>
            <w:r>
              <w:rPr>
                <w:rFonts w:hint="eastAsia"/>
                <w:color w:val="auto"/>
                <w:highlight w:val="none"/>
              </w:rPr>
              <w:t>5分【95%-97%】</w:t>
            </w:r>
          </w:p>
          <w:p w14:paraId="32453962">
            <w:pPr>
              <w:pStyle w:val="45"/>
              <w:rPr>
                <w:rFonts w:hint="eastAsia"/>
                <w:color w:val="auto"/>
                <w:highlight w:val="none"/>
              </w:rPr>
            </w:pPr>
            <w:r>
              <w:rPr>
                <w:rFonts w:hint="eastAsia"/>
                <w:color w:val="auto"/>
                <w:highlight w:val="none"/>
              </w:rPr>
              <w:t>0分【低于95%】</w:t>
            </w:r>
          </w:p>
        </w:tc>
        <w:tc>
          <w:tcPr>
            <w:tcW w:w="2573" w:type="dxa"/>
            <w:tcBorders>
              <w:left w:val="single" w:color="auto" w:sz="4" w:space="0"/>
            </w:tcBorders>
            <w:vAlign w:val="center"/>
          </w:tcPr>
          <w:p w14:paraId="5C45A822">
            <w:pPr>
              <w:pStyle w:val="45"/>
              <w:rPr>
                <w:rFonts w:hint="eastAsia"/>
                <w:color w:val="auto"/>
                <w:highlight w:val="none"/>
              </w:rPr>
            </w:pPr>
            <w:r>
              <w:rPr>
                <w:rFonts w:hint="eastAsia"/>
                <w:color w:val="auto"/>
                <w:highlight w:val="none"/>
              </w:rPr>
              <w:t>若缺陷解决率低于95%，缺陷解决率每低1%扣除合同总金额的0.1%。</w:t>
            </w:r>
          </w:p>
        </w:tc>
      </w:tr>
      <w:tr w14:paraId="5B79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1" w:type="dxa"/>
            <w:vAlign w:val="center"/>
          </w:tcPr>
          <w:p w14:paraId="53ABD6AA">
            <w:pPr>
              <w:pStyle w:val="45"/>
              <w:rPr>
                <w:rFonts w:hint="eastAsia"/>
                <w:color w:val="auto"/>
                <w:highlight w:val="none"/>
              </w:rPr>
            </w:pPr>
            <w:r>
              <w:rPr>
                <w:rFonts w:hint="eastAsia"/>
                <w:color w:val="auto"/>
                <w:highlight w:val="none"/>
              </w:rPr>
              <w:t>5</w:t>
            </w:r>
          </w:p>
        </w:tc>
        <w:tc>
          <w:tcPr>
            <w:tcW w:w="1211" w:type="dxa"/>
            <w:vMerge w:val="restart"/>
            <w:tcBorders>
              <w:left w:val="single" w:color="auto" w:sz="4" w:space="0"/>
            </w:tcBorders>
            <w:vAlign w:val="center"/>
          </w:tcPr>
          <w:p w14:paraId="1C5017C0">
            <w:pPr>
              <w:pStyle w:val="45"/>
              <w:rPr>
                <w:rFonts w:hint="eastAsia"/>
                <w:color w:val="auto"/>
                <w:highlight w:val="none"/>
              </w:rPr>
            </w:pPr>
            <w:r>
              <w:rPr>
                <w:rFonts w:hint="eastAsia"/>
                <w:color w:val="auto"/>
                <w:highlight w:val="none"/>
              </w:rPr>
              <w:t>协议履行</w:t>
            </w:r>
          </w:p>
        </w:tc>
        <w:tc>
          <w:tcPr>
            <w:tcW w:w="1664" w:type="dxa"/>
            <w:tcBorders>
              <w:left w:val="single" w:color="auto" w:sz="4" w:space="0"/>
            </w:tcBorders>
            <w:vAlign w:val="center"/>
          </w:tcPr>
          <w:p w14:paraId="3BDDD3F4">
            <w:pPr>
              <w:pStyle w:val="45"/>
              <w:rPr>
                <w:rFonts w:hint="eastAsia"/>
                <w:color w:val="auto"/>
                <w:highlight w:val="none"/>
              </w:rPr>
            </w:pPr>
            <w:r>
              <w:rPr>
                <w:rFonts w:hint="eastAsia"/>
                <w:color w:val="auto"/>
                <w:highlight w:val="none"/>
              </w:rPr>
              <w:t>重大事项报告</w:t>
            </w:r>
          </w:p>
        </w:tc>
        <w:tc>
          <w:tcPr>
            <w:tcW w:w="2422" w:type="dxa"/>
            <w:tcBorders>
              <w:left w:val="single" w:color="auto" w:sz="4" w:space="0"/>
            </w:tcBorders>
            <w:vAlign w:val="center"/>
          </w:tcPr>
          <w:p w14:paraId="4022B531">
            <w:pPr>
              <w:pStyle w:val="45"/>
              <w:rPr>
                <w:rFonts w:hint="eastAsia"/>
                <w:color w:val="auto"/>
                <w:highlight w:val="none"/>
              </w:rPr>
            </w:pPr>
            <w:r>
              <w:rPr>
                <w:rFonts w:hint="eastAsia"/>
                <w:color w:val="auto"/>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936" w:type="dxa"/>
            <w:tcBorders>
              <w:left w:val="single" w:color="auto" w:sz="4" w:space="0"/>
            </w:tcBorders>
            <w:vAlign w:val="center"/>
          </w:tcPr>
          <w:p w14:paraId="12659A92">
            <w:pPr>
              <w:pStyle w:val="45"/>
              <w:rPr>
                <w:rFonts w:hint="eastAsia"/>
                <w:color w:val="auto"/>
                <w:highlight w:val="none"/>
              </w:rPr>
            </w:pPr>
            <w:r>
              <w:rPr>
                <w:rFonts w:hint="eastAsia"/>
                <w:color w:val="auto"/>
                <w:highlight w:val="none"/>
              </w:rPr>
              <w:t>优秀：5分，指无重大事项或当发生重大事项时，能够于24小时内告知甲方；</w:t>
            </w:r>
          </w:p>
          <w:p w14:paraId="6F679110">
            <w:pPr>
              <w:pStyle w:val="45"/>
              <w:rPr>
                <w:rFonts w:hint="eastAsia"/>
                <w:color w:val="auto"/>
                <w:highlight w:val="none"/>
              </w:rPr>
            </w:pPr>
            <w:r>
              <w:rPr>
                <w:rFonts w:hint="eastAsia"/>
                <w:color w:val="auto"/>
                <w:highlight w:val="none"/>
              </w:rPr>
              <w:t>良好：4分，指当发生重大事项时，能够于一周内告知甲方；</w:t>
            </w:r>
          </w:p>
          <w:p w14:paraId="5A53C800">
            <w:pPr>
              <w:pStyle w:val="45"/>
              <w:rPr>
                <w:rFonts w:hint="eastAsia"/>
                <w:color w:val="auto"/>
                <w:highlight w:val="none"/>
              </w:rPr>
            </w:pPr>
            <w:r>
              <w:rPr>
                <w:rFonts w:hint="eastAsia"/>
                <w:color w:val="auto"/>
                <w:highlight w:val="none"/>
              </w:rPr>
              <w:t>合格：3分，指当发生重大事项时，能够于一月内告知甲方；</w:t>
            </w:r>
          </w:p>
          <w:p w14:paraId="02899A58">
            <w:pPr>
              <w:pStyle w:val="45"/>
              <w:rPr>
                <w:rFonts w:hint="eastAsia"/>
                <w:color w:val="auto"/>
                <w:highlight w:val="none"/>
              </w:rPr>
            </w:pPr>
            <w:r>
              <w:rPr>
                <w:rFonts w:hint="eastAsia"/>
                <w:color w:val="auto"/>
                <w:highlight w:val="none"/>
              </w:rPr>
              <w:t>较差/差：0分，指当发生重大事项时，未告知甲方。</w:t>
            </w:r>
          </w:p>
        </w:tc>
        <w:tc>
          <w:tcPr>
            <w:tcW w:w="2573" w:type="dxa"/>
            <w:tcBorders>
              <w:left w:val="single" w:color="auto" w:sz="4" w:space="0"/>
            </w:tcBorders>
            <w:vAlign w:val="center"/>
          </w:tcPr>
          <w:p w14:paraId="2D71C461">
            <w:pPr>
              <w:pStyle w:val="45"/>
              <w:rPr>
                <w:rFonts w:hint="eastAsia"/>
                <w:color w:val="auto"/>
                <w:highlight w:val="none"/>
              </w:rPr>
            </w:pPr>
            <w:r>
              <w:rPr>
                <w:rFonts w:hint="eastAsia"/>
                <w:color w:val="auto"/>
                <w:highlight w:val="none"/>
              </w:rPr>
              <w:t>评价为较差/差时，甲方根据实际情况有权终止合同，并要求乙方赔偿实际损失。</w:t>
            </w:r>
          </w:p>
        </w:tc>
      </w:tr>
      <w:tr w14:paraId="4681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51" w:type="dxa"/>
            <w:vAlign w:val="center"/>
          </w:tcPr>
          <w:p w14:paraId="0CA11DE9">
            <w:pPr>
              <w:pStyle w:val="45"/>
              <w:rPr>
                <w:rFonts w:hint="eastAsia"/>
                <w:color w:val="auto"/>
                <w:highlight w:val="none"/>
              </w:rPr>
            </w:pPr>
            <w:r>
              <w:rPr>
                <w:rFonts w:hint="eastAsia"/>
                <w:color w:val="auto"/>
                <w:highlight w:val="none"/>
              </w:rPr>
              <w:t>6</w:t>
            </w:r>
          </w:p>
        </w:tc>
        <w:tc>
          <w:tcPr>
            <w:tcW w:w="1211" w:type="dxa"/>
            <w:vMerge w:val="continue"/>
            <w:tcBorders>
              <w:left w:val="single" w:color="auto" w:sz="4" w:space="0"/>
            </w:tcBorders>
          </w:tcPr>
          <w:p w14:paraId="61ABC2ED"/>
        </w:tc>
        <w:tc>
          <w:tcPr>
            <w:tcW w:w="1664" w:type="dxa"/>
            <w:tcBorders>
              <w:left w:val="single" w:color="auto" w:sz="4" w:space="0"/>
            </w:tcBorders>
            <w:vAlign w:val="center"/>
          </w:tcPr>
          <w:p w14:paraId="7D985177">
            <w:pPr>
              <w:pStyle w:val="45"/>
              <w:rPr>
                <w:rFonts w:hint="eastAsia"/>
                <w:color w:val="auto"/>
                <w:highlight w:val="none"/>
              </w:rPr>
            </w:pPr>
            <w:r>
              <w:rPr>
                <w:rFonts w:hint="eastAsia"/>
                <w:color w:val="auto"/>
                <w:highlight w:val="none"/>
              </w:rPr>
              <w:t>重大事件及质量缺陷</w:t>
            </w:r>
          </w:p>
        </w:tc>
        <w:tc>
          <w:tcPr>
            <w:tcW w:w="2422" w:type="dxa"/>
            <w:tcBorders>
              <w:left w:val="single" w:color="auto" w:sz="4" w:space="0"/>
            </w:tcBorders>
            <w:vAlign w:val="center"/>
          </w:tcPr>
          <w:p w14:paraId="73F5CFD1">
            <w:pPr>
              <w:pStyle w:val="45"/>
              <w:rPr>
                <w:rFonts w:hint="eastAsia"/>
                <w:color w:val="auto"/>
                <w:highlight w:val="none"/>
              </w:rPr>
            </w:pPr>
            <w:r>
              <w:rPr>
                <w:rFonts w:hint="eastAsia"/>
                <w:color w:val="auto"/>
                <w:highlight w:val="none"/>
              </w:rPr>
              <w:t>用于记录乙方在服务期内出现以下重大事件及质量缺陷次数：</w:t>
            </w:r>
          </w:p>
          <w:p w14:paraId="711A324B">
            <w:pPr>
              <w:pStyle w:val="45"/>
              <w:rPr>
                <w:rFonts w:hint="eastAsia"/>
                <w:color w:val="auto"/>
                <w:highlight w:val="none"/>
              </w:rPr>
            </w:pPr>
            <w:r>
              <w:rPr>
                <w:rFonts w:hint="eastAsia"/>
                <w:color w:val="auto"/>
                <w:highlight w:val="none"/>
              </w:rPr>
              <w:t>a.应用软件出现III级（含）以上的运营中断事件；</w:t>
            </w:r>
          </w:p>
          <w:p w14:paraId="2CBBB2BB">
            <w:pPr>
              <w:pStyle w:val="45"/>
              <w:rPr>
                <w:rFonts w:hint="eastAsia"/>
                <w:color w:val="auto"/>
                <w:highlight w:val="none"/>
              </w:rPr>
            </w:pPr>
            <w:r>
              <w:rPr>
                <w:rFonts w:hint="eastAsia"/>
                <w:color w:val="auto"/>
                <w:highlight w:val="none"/>
              </w:rPr>
              <w:t>b.因乙方原因（含乙方合作的第三方）导致甲方发生网络安全事件；</w:t>
            </w:r>
          </w:p>
          <w:p w14:paraId="263785A7">
            <w:pPr>
              <w:pStyle w:val="45"/>
              <w:rPr>
                <w:rFonts w:hint="eastAsia"/>
                <w:color w:val="auto"/>
                <w:highlight w:val="none"/>
              </w:rPr>
            </w:pPr>
            <w:r>
              <w:rPr>
                <w:rFonts w:hint="eastAsia"/>
                <w:color w:val="auto"/>
                <w:highlight w:val="none"/>
              </w:rPr>
              <w:t>c.应用软件出现严重缺陷和致命缺陷。</w:t>
            </w:r>
          </w:p>
        </w:tc>
        <w:tc>
          <w:tcPr>
            <w:tcW w:w="3936" w:type="dxa"/>
            <w:tcBorders>
              <w:left w:val="single" w:color="auto" w:sz="4" w:space="0"/>
            </w:tcBorders>
            <w:vAlign w:val="center"/>
          </w:tcPr>
          <w:p w14:paraId="3839A55D">
            <w:pPr>
              <w:pStyle w:val="45"/>
              <w:rPr>
                <w:rFonts w:hint="eastAsia"/>
                <w:color w:val="auto"/>
                <w:highlight w:val="none"/>
              </w:rPr>
            </w:pPr>
            <w:r>
              <w:rPr>
                <w:rFonts w:hint="eastAsia"/>
                <w:color w:val="auto"/>
                <w:highlight w:val="none"/>
              </w:rPr>
              <w:t>【得分上限10分】</w:t>
            </w:r>
          </w:p>
          <w:p w14:paraId="1C2E34FF">
            <w:pPr>
              <w:pStyle w:val="45"/>
              <w:rPr>
                <w:rFonts w:hint="eastAsia"/>
                <w:color w:val="auto"/>
                <w:highlight w:val="none"/>
              </w:rPr>
            </w:pPr>
            <w:r>
              <w:rPr>
                <w:rFonts w:hint="eastAsia"/>
                <w:color w:val="auto"/>
                <w:highlight w:val="none"/>
              </w:rPr>
              <w:t>0次：指未出现重大事件及质量缺陷，该项指标满分；</w:t>
            </w:r>
          </w:p>
          <w:p w14:paraId="6813DCEC">
            <w:pPr>
              <w:pStyle w:val="45"/>
              <w:rPr>
                <w:rFonts w:hint="eastAsia"/>
                <w:color w:val="auto"/>
                <w:highlight w:val="none"/>
              </w:rPr>
            </w:pPr>
            <w:r>
              <w:rPr>
                <w:rFonts w:hint="eastAsia"/>
                <w:color w:val="auto"/>
                <w:highlight w:val="none"/>
              </w:rPr>
              <w:t>1次及以上：0分，指出现1次及以上任意一项重大事件或质量缺陷。</w:t>
            </w:r>
          </w:p>
        </w:tc>
        <w:tc>
          <w:tcPr>
            <w:tcW w:w="2573" w:type="dxa"/>
            <w:tcBorders>
              <w:left w:val="single" w:color="auto" w:sz="4" w:space="0"/>
            </w:tcBorders>
            <w:vAlign w:val="center"/>
          </w:tcPr>
          <w:p w14:paraId="09993C90">
            <w:pPr>
              <w:pStyle w:val="45"/>
              <w:rPr>
                <w:rFonts w:hint="eastAsia"/>
                <w:color w:val="auto"/>
                <w:highlight w:val="none"/>
              </w:rPr>
            </w:pPr>
            <w:r>
              <w:rPr>
                <w:rFonts w:hint="eastAsia"/>
                <w:color w:val="auto"/>
                <w:highlight w:val="none"/>
              </w:rPr>
              <w:t>每出现一次重大事件或质量缺陷，扣除乙方合同总金额不低于5%（不低于2万元），并要求乙方赔偿实际损失。</w:t>
            </w:r>
          </w:p>
        </w:tc>
      </w:tr>
      <w:tr w14:paraId="7140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5" w:hRule="atLeast"/>
          <w:jc w:val="center"/>
        </w:trPr>
        <w:tc>
          <w:tcPr>
            <w:tcW w:w="751" w:type="dxa"/>
            <w:vAlign w:val="center"/>
          </w:tcPr>
          <w:p w14:paraId="779E5717">
            <w:pPr>
              <w:pStyle w:val="45"/>
              <w:rPr>
                <w:rFonts w:hint="eastAsia"/>
                <w:color w:val="auto"/>
                <w:highlight w:val="none"/>
              </w:rPr>
            </w:pPr>
            <w:r>
              <w:rPr>
                <w:rFonts w:hint="eastAsia"/>
                <w:color w:val="auto"/>
                <w:highlight w:val="none"/>
              </w:rPr>
              <w:t>7</w:t>
            </w:r>
          </w:p>
        </w:tc>
        <w:tc>
          <w:tcPr>
            <w:tcW w:w="1211" w:type="dxa"/>
            <w:vMerge w:val="continue"/>
            <w:tcBorders>
              <w:left w:val="single" w:color="auto" w:sz="4" w:space="0"/>
            </w:tcBorders>
          </w:tcPr>
          <w:p w14:paraId="730AAAED"/>
        </w:tc>
        <w:tc>
          <w:tcPr>
            <w:tcW w:w="1664" w:type="dxa"/>
            <w:tcBorders>
              <w:left w:val="single" w:color="auto" w:sz="4" w:space="0"/>
            </w:tcBorders>
            <w:vAlign w:val="center"/>
          </w:tcPr>
          <w:p w14:paraId="6CAEBEB0">
            <w:pPr>
              <w:pStyle w:val="45"/>
              <w:rPr>
                <w:rFonts w:hint="eastAsia"/>
                <w:color w:val="auto"/>
                <w:highlight w:val="none"/>
              </w:rPr>
            </w:pPr>
            <w:r>
              <w:rPr>
                <w:rFonts w:hint="eastAsia"/>
                <w:color w:val="auto"/>
                <w:highlight w:val="none"/>
              </w:rPr>
              <w:t>信息安全管理</w:t>
            </w:r>
          </w:p>
        </w:tc>
        <w:tc>
          <w:tcPr>
            <w:tcW w:w="2422" w:type="dxa"/>
            <w:tcBorders>
              <w:left w:val="single" w:color="auto" w:sz="4" w:space="0"/>
            </w:tcBorders>
            <w:vAlign w:val="center"/>
          </w:tcPr>
          <w:p w14:paraId="2CA8D108">
            <w:pPr>
              <w:pStyle w:val="45"/>
              <w:rPr>
                <w:rFonts w:hint="eastAsia"/>
                <w:color w:val="auto"/>
                <w:highlight w:val="none"/>
              </w:rPr>
            </w:pPr>
            <w:r>
              <w:rPr>
                <w:rFonts w:hint="eastAsia"/>
                <w:color w:val="auto"/>
                <w:highlight w:val="none"/>
              </w:rPr>
              <w:t>用于记录乙方在服务期内网络和信息安全服务的管理能力，针对发现的安全漏洞及安全缺陷（包括源代码、第三方SDK或第三方小程序、第三方软件产品及开源组件等），须按甲方要求完成整改</w:t>
            </w:r>
          </w:p>
        </w:tc>
        <w:tc>
          <w:tcPr>
            <w:tcW w:w="3936" w:type="dxa"/>
            <w:tcBorders>
              <w:left w:val="single" w:color="auto" w:sz="4" w:space="0"/>
            </w:tcBorders>
            <w:vAlign w:val="center"/>
          </w:tcPr>
          <w:p w14:paraId="58E90556">
            <w:pPr>
              <w:pStyle w:val="45"/>
              <w:rPr>
                <w:rFonts w:hint="eastAsia"/>
                <w:color w:val="auto"/>
                <w:highlight w:val="none"/>
              </w:rPr>
            </w:pPr>
            <w:r>
              <w:rPr>
                <w:rFonts w:hint="eastAsia"/>
                <w:color w:val="auto"/>
                <w:highlight w:val="none"/>
              </w:rPr>
              <w:t>互联网或电子银行类系统：</w:t>
            </w:r>
          </w:p>
          <w:p w14:paraId="0C2D7777">
            <w:pPr>
              <w:pStyle w:val="45"/>
              <w:rPr>
                <w:rFonts w:hint="eastAsia"/>
                <w:color w:val="auto"/>
                <w:highlight w:val="none"/>
              </w:rPr>
            </w:pPr>
            <w:r>
              <w:rPr>
                <w:rFonts w:hint="eastAsia"/>
                <w:color w:val="auto"/>
                <w:highlight w:val="none"/>
              </w:rPr>
              <w:t>1.安全漏洞及安全缺陷整改及时率=100%</w:t>
            </w:r>
          </w:p>
          <w:p w14:paraId="6550A521">
            <w:pPr>
              <w:pStyle w:val="45"/>
              <w:rPr>
                <w:rFonts w:hint="eastAsia"/>
                <w:color w:val="auto"/>
                <w:highlight w:val="none"/>
              </w:rPr>
            </w:pPr>
            <w:r>
              <w:rPr>
                <w:rFonts w:hint="eastAsia"/>
                <w:color w:val="auto"/>
                <w:highlight w:val="none"/>
              </w:rPr>
              <w:t>2.安全漏洞及安全缺陷整改通过率=100%</w:t>
            </w:r>
          </w:p>
          <w:p w14:paraId="08F4E0BA">
            <w:pPr>
              <w:pStyle w:val="45"/>
              <w:rPr>
                <w:rFonts w:hint="eastAsia"/>
                <w:color w:val="auto"/>
                <w:highlight w:val="none"/>
              </w:rPr>
            </w:pPr>
            <w:r>
              <w:rPr>
                <w:rFonts w:hint="eastAsia"/>
                <w:color w:val="auto"/>
                <w:highlight w:val="none"/>
              </w:rPr>
              <w:t>非互联网或电子银行类系统：</w:t>
            </w:r>
          </w:p>
          <w:p w14:paraId="43E821C7">
            <w:pPr>
              <w:pStyle w:val="45"/>
              <w:rPr>
                <w:rFonts w:hint="eastAsia"/>
                <w:color w:val="auto"/>
                <w:highlight w:val="none"/>
              </w:rPr>
            </w:pPr>
            <w:r>
              <w:rPr>
                <w:rFonts w:hint="eastAsia"/>
                <w:color w:val="auto"/>
                <w:highlight w:val="none"/>
              </w:rPr>
              <w:t>1.中高危安全漏洞及安全缺陷整改及时率=100%</w:t>
            </w:r>
          </w:p>
          <w:p w14:paraId="7C977D99">
            <w:pPr>
              <w:pStyle w:val="45"/>
              <w:rPr>
                <w:rFonts w:hint="eastAsia"/>
                <w:color w:val="auto"/>
                <w:highlight w:val="none"/>
              </w:rPr>
            </w:pPr>
            <w:r>
              <w:rPr>
                <w:rFonts w:hint="eastAsia"/>
                <w:color w:val="auto"/>
                <w:highlight w:val="none"/>
              </w:rPr>
              <w:t>2.中高危安全漏洞及安全缺陷整改通过率=100%</w:t>
            </w:r>
          </w:p>
          <w:p w14:paraId="7753E3ED">
            <w:pPr>
              <w:pStyle w:val="45"/>
              <w:rPr>
                <w:rFonts w:hint="eastAsia"/>
                <w:color w:val="auto"/>
                <w:highlight w:val="none"/>
              </w:rPr>
            </w:pPr>
            <w:r>
              <w:rPr>
                <w:rFonts w:hint="eastAsia"/>
                <w:color w:val="auto"/>
                <w:highlight w:val="none"/>
              </w:rPr>
              <w:t>优秀：5分，指未出现安全漏洞及安全缺陷，该项指标满分；</w:t>
            </w:r>
          </w:p>
          <w:p w14:paraId="6108D5EC">
            <w:pPr>
              <w:pStyle w:val="45"/>
              <w:rPr>
                <w:rFonts w:hint="eastAsia"/>
                <w:color w:val="auto"/>
                <w:highlight w:val="none"/>
              </w:rPr>
            </w:pPr>
            <w:r>
              <w:rPr>
                <w:rFonts w:hint="eastAsia"/>
                <w:color w:val="auto"/>
                <w:highlight w:val="none"/>
              </w:rPr>
              <w:t>合格：3分，指出现安全漏洞或安全缺陷，但整改及时率、通过率均为100%；</w:t>
            </w:r>
          </w:p>
          <w:p w14:paraId="0FEC96FC">
            <w:pPr>
              <w:pStyle w:val="45"/>
              <w:rPr>
                <w:rFonts w:hint="eastAsia"/>
                <w:color w:val="auto"/>
                <w:highlight w:val="none"/>
              </w:rPr>
            </w:pPr>
            <w:r>
              <w:rPr>
                <w:rFonts w:hint="eastAsia"/>
                <w:color w:val="auto"/>
                <w:highlight w:val="none"/>
              </w:rPr>
              <w:t>较差/差：0分，指出现安全漏洞及安全缺陷，但整改及时率或通过率未达到100%。</w:t>
            </w:r>
          </w:p>
        </w:tc>
        <w:tc>
          <w:tcPr>
            <w:tcW w:w="2573" w:type="dxa"/>
            <w:tcBorders>
              <w:left w:val="single" w:color="auto" w:sz="4" w:space="0"/>
            </w:tcBorders>
            <w:vAlign w:val="center"/>
          </w:tcPr>
          <w:p w14:paraId="0E15EA07">
            <w:pPr>
              <w:pStyle w:val="45"/>
              <w:rPr>
                <w:rFonts w:hint="eastAsia"/>
                <w:color w:val="auto"/>
                <w:highlight w:val="none"/>
              </w:rPr>
            </w:pPr>
            <w:r>
              <w:rPr>
                <w:rFonts w:hint="eastAsia"/>
                <w:color w:val="auto"/>
                <w:highlight w:val="none"/>
              </w:rPr>
              <w:t>若评价为较差/差时，扣除乙方金额人民币不低于2万元，并要求乙方赔偿实际损失。</w:t>
            </w:r>
          </w:p>
          <w:p w14:paraId="2669B3A0">
            <w:pPr>
              <w:pStyle w:val="45"/>
              <w:rPr>
                <w:rFonts w:hint="eastAsia"/>
                <w:color w:val="auto"/>
                <w:highlight w:val="none"/>
              </w:rPr>
            </w:pPr>
            <w:r>
              <w:rPr>
                <w:rFonts w:hint="eastAsia"/>
                <w:color w:val="auto"/>
                <w:highlight w:val="none"/>
              </w:rPr>
              <w:t>若出现的安全漏洞或安全缺陷被上级或监管单位通报的，扣除乙方合同总金额不低于5%（不低于2万元），并要求乙方赔偿实际损失。</w:t>
            </w:r>
          </w:p>
        </w:tc>
      </w:tr>
      <w:tr w14:paraId="168E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1" w:type="dxa"/>
            <w:vAlign w:val="center"/>
          </w:tcPr>
          <w:p w14:paraId="1C146CAA">
            <w:pPr>
              <w:pStyle w:val="45"/>
              <w:rPr>
                <w:rFonts w:hint="eastAsia"/>
                <w:color w:val="auto"/>
                <w:highlight w:val="none"/>
              </w:rPr>
            </w:pPr>
            <w:r>
              <w:rPr>
                <w:rFonts w:hint="eastAsia"/>
                <w:color w:val="auto"/>
                <w:highlight w:val="none"/>
              </w:rPr>
              <w:t>8</w:t>
            </w:r>
          </w:p>
        </w:tc>
        <w:tc>
          <w:tcPr>
            <w:tcW w:w="1211" w:type="dxa"/>
            <w:vMerge w:val="continue"/>
            <w:tcBorders>
              <w:left w:val="single" w:color="auto" w:sz="4" w:space="0"/>
            </w:tcBorders>
          </w:tcPr>
          <w:p w14:paraId="39D916AB"/>
        </w:tc>
        <w:tc>
          <w:tcPr>
            <w:tcW w:w="1664" w:type="dxa"/>
            <w:tcBorders>
              <w:left w:val="single" w:color="auto" w:sz="4" w:space="0"/>
            </w:tcBorders>
            <w:vAlign w:val="center"/>
          </w:tcPr>
          <w:p w14:paraId="0756025F">
            <w:pPr>
              <w:pStyle w:val="45"/>
              <w:rPr>
                <w:rFonts w:hint="eastAsia"/>
                <w:color w:val="auto"/>
                <w:highlight w:val="none"/>
              </w:rPr>
            </w:pPr>
            <w:r>
              <w:rPr>
                <w:rFonts w:hint="eastAsia"/>
                <w:color w:val="auto"/>
                <w:highlight w:val="none"/>
              </w:rPr>
              <w:t>外包安全行为</w:t>
            </w:r>
          </w:p>
        </w:tc>
        <w:tc>
          <w:tcPr>
            <w:tcW w:w="2422" w:type="dxa"/>
            <w:tcBorders>
              <w:left w:val="single" w:color="auto" w:sz="4" w:space="0"/>
            </w:tcBorders>
            <w:vAlign w:val="center"/>
          </w:tcPr>
          <w:p w14:paraId="4DE46B64">
            <w:pPr>
              <w:pStyle w:val="45"/>
              <w:rPr>
                <w:rFonts w:hint="eastAsia"/>
                <w:color w:val="auto"/>
                <w:highlight w:val="none"/>
              </w:rPr>
            </w:pPr>
            <w:r>
              <w:rPr>
                <w:rFonts w:hint="eastAsia"/>
                <w:color w:val="auto"/>
                <w:highlight w:val="none"/>
              </w:rPr>
              <w:t>用于记录在外包人员安全防护意识方面的管理有效性</w:t>
            </w:r>
          </w:p>
        </w:tc>
        <w:tc>
          <w:tcPr>
            <w:tcW w:w="3936" w:type="dxa"/>
            <w:tcBorders>
              <w:left w:val="single" w:color="auto" w:sz="4" w:space="0"/>
            </w:tcBorders>
            <w:vAlign w:val="center"/>
          </w:tcPr>
          <w:p w14:paraId="4A127511">
            <w:pPr>
              <w:pStyle w:val="45"/>
              <w:rPr>
                <w:rFonts w:hint="eastAsia"/>
                <w:color w:val="auto"/>
                <w:highlight w:val="none"/>
              </w:rPr>
            </w:pPr>
            <w:r>
              <w:rPr>
                <w:rFonts w:hint="eastAsia"/>
                <w:color w:val="auto"/>
                <w:highlight w:val="none"/>
              </w:rPr>
              <w:t>统计周期内安全防护失效的次数。</w:t>
            </w:r>
          </w:p>
          <w:p w14:paraId="63F93AE6">
            <w:pPr>
              <w:pStyle w:val="45"/>
              <w:rPr>
                <w:rFonts w:hint="eastAsia"/>
                <w:color w:val="auto"/>
                <w:highlight w:val="none"/>
              </w:rPr>
            </w:pPr>
            <w:r>
              <w:rPr>
                <w:rFonts w:hint="eastAsia"/>
                <w:color w:val="auto"/>
                <w:highlight w:val="none"/>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3D175903">
            <w:pPr>
              <w:pStyle w:val="45"/>
              <w:rPr>
                <w:rFonts w:hint="eastAsia"/>
                <w:color w:val="auto"/>
                <w:highlight w:val="none"/>
              </w:rPr>
            </w:pPr>
            <w:r>
              <w:rPr>
                <w:rFonts w:hint="eastAsia"/>
                <w:color w:val="auto"/>
                <w:highlight w:val="none"/>
              </w:rPr>
              <w:t>【得分上限10分】</w:t>
            </w:r>
          </w:p>
          <w:p w14:paraId="5AB4597C">
            <w:pPr>
              <w:pStyle w:val="45"/>
              <w:rPr>
                <w:rFonts w:hint="eastAsia"/>
                <w:color w:val="auto"/>
                <w:highlight w:val="none"/>
              </w:rPr>
            </w:pPr>
            <w:r>
              <w:rPr>
                <w:rFonts w:hint="eastAsia"/>
                <w:color w:val="auto"/>
                <w:highlight w:val="none"/>
              </w:rPr>
              <w:t>0次：未出现安全防护失效行为，10分；</w:t>
            </w:r>
          </w:p>
          <w:p w14:paraId="143DA651">
            <w:pPr>
              <w:pStyle w:val="45"/>
              <w:rPr>
                <w:rFonts w:hint="eastAsia"/>
                <w:color w:val="auto"/>
                <w:highlight w:val="none"/>
              </w:rPr>
            </w:pPr>
            <w:r>
              <w:rPr>
                <w:rFonts w:hint="eastAsia"/>
                <w:color w:val="auto"/>
                <w:highlight w:val="none"/>
              </w:rPr>
              <w:t>1次及以上：出现安全防护失效行为，每出现一次扣5分，最多扣10分。</w:t>
            </w:r>
          </w:p>
        </w:tc>
        <w:tc>
          <w:tcPr>
            <w:tcW w:w="2573" w:type="dxa"/>
            <w:tcBorders>
              <w:left w:val="single" w:color="auto" w:sz="4" w:space="0"/>
            </w:tcBorders>
            <w:vAlign w:val="center"/>
          </w:tcPr>
          <w:p w14:paraId="5F1AAB2C">
            <w:pPr>
              <w:pStyle w:val="45"/>
              <w:rPr>
                <w:rFonts w:hint="eastAsia"/>
                <w:color w:val="auto"/>
                <w:highlight w:val="none"/>
              </w:rPr>
            </w:pPr>
            <w:r>
              <w:rPr>
                <w:rFonts w:hint="eastAsia"/>
                <w:color w:val="auto"/>
                <w:highlight w:val="none"/>
              </w:rPr>
              <w:t>若出现信息安全防护失效行为未导致严重后果的，扣除乙方金额人民币不低于1万元；</w:t>
            </w:r>
          </w:p>
          <w:p w14:paraId="249F7AB6">
            <w:pPr>
              <w:pStyle w:val="45"/>
              <w:rPr>
                <w:rFonts w:hint="eastAsia"/>
                <w:color w:val="auto"/>
                <w:highlight w:val="none"/>
              </w:rPr>
            </w:pPr>
            <w:r>
              <w:rPr>
                <w:rFonts w:hint="eastAsia"/>
                <w:color w:val="auto"/>
                <w:highlight w:val="none"/>
              </w:rPr>
              <w:t>若出现信息安全防护失效行为导致严重后果，或被上级或监管单位通报的，扣除乙方合同总金额不低于5%（不低于2万元），并要求乙方赔偿实际损失。</w:t>
            </w:r>
          </w:p>
        </w:tc>
      </w:tr>
      <w:tr w14:paraId="65FB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751" w:type="dxa"/>
            <w:vAlign w:val="center"/>
          </w:tcPr>
          <w:p w14:paraId="31AC8AB6">
            <w:pPr>
              <w:pStyle w:val="45"/>
              <w:rPr>
                <w:rFonts w:hint="eastAsia"/>
                <w:color w:val="auto"/>
                <w:highlight w:val="none"/>
              </w:rPr>
            </w:pPr>
            <w:r>
              <w:rPr>
                <w:rFonts w:hint="eastAsia"/>
                <w:color w:val="auto"/>
                <w:highlight w:val="none"/>
              </w:rPr>
              <w:t>9</w:t>
            </w:r>
          </w:p>
        </w:tc>
        <w:tc>
          <w:tcPr>
            <w:tcW w:w="1211" w:type="dxa"/>
            <w:vMerge w:val="continue"/>
            <w:tcBorders>
              <w:left w:val="single" w:color="auto" w:sz="4" w:space="0"/>
            </w:tcBorders>
          </w:tcPr>
          <w:p w14:paraId="2E50D5C2"/>
        </w:tc>
        <w:tc>
          <w:tcPr>
            <w:tcW w:w="1664" w:type="dxa"/>
            <w:tcBorders>
              <w:left w:val="single" w:color="auto" w:sz="4" w:space="0"/>
            </w:tcBorders>
            <w:vAlign w:val="center"/>
          </w:tcPr>
          <w:p w14:paraId="428C0FBE">
            <w:pPr>
              <w:pStyle w:val="45"/>
              <w:rPr>
                <w:rFonts w:hint="eastAsia"/>
                <w:color w:val="auto"/>
                <w:highlight w:val="none"/>
              </w:rPr>
            </w:pPr>
            <w:r>
              <w:rPr>
                <w:rFonts w:hint="eastAsia"/>
                <w:color w:val="auto"/>
                <w:highlight w:val="none"/>
              </w:rPr>
              <w:t>响应与解决及时性</w:t>
            </w:r>
          </w:p>
        </w:tc>
        <w:tc>
          <w:tcPr>
            <w:tcW w:w="2422" w:type="dxa"/>
            <w:tcBorders>
              <w:left w:val="single" w:color="auto" w:sz="4" w:space="0"/>
            </w:tcBorders>
            <w:vAlign w:val="center"/>
          </w:tcPr>
          <w:p w14:paraId="46EA5454">
            <w:pPr>
              <w:pStyle w:val="45"/>
              <w:rPr>
                <w:rFonts w:hint="eastAsia"/>
                <w:color w:val="auto"/>
                <w:highlight w:val="none"/>
              </w:rPr>
            </w:pPr>
            <w:r>
              <w:rPr>
                <w:rFonts w:hint="eastAsia"/>
                <w:color w:val="auto"/>
                <w:highlight w:val="none"/>
              </w:rPr>
              <w:t>用于记录乙方或服务项目对甲方的响应与解决的及时性</w:t>
            </w:r>
          </w:p>
        </w:tc>
        <w:tc>
          <w:tcPr>
            <w:tcW w:w="3936" w:type="dxa"/>
            <w:tcBorders>
              <w:left w:val="single" w:color="auto" w:sz="4" w:space="0"/>
            </w:tcBorders>
            <w:vAlign w:val="center"/>
          </w:tcPr>
          <w:p w14:paraId="438CE16F">
            <w:pPr>
              <w:pStyle w:val="45"/>
              <w:rPr>
                <w:rFonts w:hint="eastAsia"/>
                <w:color w:val="auto"/>
                <w:highlight w:val="none"/>
              </w:rPr>
            </w:pPr>
            <w:r>
              <w:rPr>
                <w:rFonts w:hint="eastAsia"/>
                <w:color w:val="auto"/>
                <w:highlight w:val="none"/>
              </w:rPr>
              <w:t>优秀：5分，指乙方或服务项目能够迅速响应需求，主动快速与甲方进行有效的沟通，第一时间从专业角度给出解决方案并解决问题；</w:t>
            </w:r>
          </w:p>
          <w:p w14:paraId="29848FA9">
            <w:pPr>
              <w:pStyle w:val="45"/>
              <w:rPr>
                <w:rFonts w:hint="eastAsia"/>
                <w:color w:val="auto"/>
                <w:highlight w:val="none"/>
              </w:rPr>
            </w:pPr>
            <w:r>
              <w:rPr>
                <w:rFonts w:hint="eastAsia"/>
                <w:color w:val="auto"/>
                <w:highlight w:val="none"/>
              </w:rPr>
              <w:t>良好：4分，指乙方或服务项目能够按要求响应需求，及时与甲方进行有效的沟通，快速给出处理方案并解决问题；</w:t>
            </w:r>
          </w:p>
          <w:p w14:paraId="4663A36B">
            <w:pPr>
              <w:pStyle w:val="45"/>
              <w:rPr>
                <w:rFonts w:hint="eastAsia"/>
                <w:color w:val="auto"/>
                <w:highlight w:val="none"/>
              </w:rPr>
            </w:pPr>
            <w:r>
              <w:rPr>
                <w:rFonts w:hint="eastAsia"/>
                <w:color w:val="auto"/>
                <w:highlight w:val="none"/>
              </w:rPr>
              <w:t>合格：3分，指乙方或服务项目能够基本按要求响应需求，保持与甲方的沟通，按时解决问题；</w:t>
            </w:r>
          </w:p>
          <w:p w14:paraId="6802B974">
            <w:pPr>
              <w:pStyle w:val="45"/>
              <w:rPr>
                <w:rFonts w:hint="eastAsia"/>
                <w:color w:val="auto"/>
                <w:highlight w:val="none"/>
              </w:rPr>
            </w:pPr>
            <w:r>
              <w:rPr>
                <w:rFonts w:hint="eastAsia"/>
                <w:color w:val="auto"/>
                <w:highlight w:val="none"/>
              </w:rPr>
              <w:t>较差/差：0分，指乙方或服务项目未及时响应需求，或响应需求后无法及时解决问题。</w:t>
            </w:r>
          </w:p>
        </w:tc>
        <w:tc>
          <w:tcPr>
            <w:tcW w:w="2573" w:type="dxa"/>
            <w:tcBorders>
              <w:left w:val="single" w:color="auto" w:sz="4" w:space="0"/>
            </w:tcBorders>
            <w:vAlign w:val="center"/>
          </w:tcPr>
          <w:p w14:paraId="39BE2849">
            <w:pPr>
              <w:pStyle w:val="45"/>
              <w:rPr>
                <w:rFonts w:hint="eastAsia"/>
                <w:color w:val="auto"/>
                <w:highlight w:val="none"/>
              </w:rPr>
            </w:pPr>
            <w:r>
              <w:rPr>
                <w:rFonts w:hint="eastAsia"/>
                <w:color w:val="auto"/>
                <w:highlight w:val="none"/>
              </w:rPr>
              <w:t>评价为较差/差，即乙方或服务项目未及时响应需求，或响应需求后无法及时解决问题，扣除乙方金额人民币不低于1000元。</w:t>
            </w:r>
          </w:p>
        </w:tc>
      </w:tr>
      <w:tr w14:paraId="233A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1" w:type="dxa"/>
            <w:vAlign w:val="center"/>
          </w:tcPr>
          <w:p w14:paraId="2B1089EC">
            <w:pPr>
              <w:pStyle w:val="45"/>
              <w:rPr>
                <w:rFonts w:hint="eastAsia"/>
                <w:color w:val="auto"/>
                <w:highlight w:val="none"/>
              </w:rPr>
            </w:pPr>
            <w:r>
              <w:rPr>
                <w:rFonts w:hint="eastAsia"/>
                <w:color w:val="auto"/>
                <w:highlight w:val="none"/>
              </w:rPr>
              <w:t>10</w:t>
            </w:r>
          </w:p>
        </w:tc>
        <w:tc>
          <w:tcPr>
            <w:tcW w:w="1211" w:type="dxa"/>
            <w:vMerge w:val="continue"/>
            <w:tcBorders>
              <w:left w:val="single" w:color="auto" w:sz="4" w:space="0"/>
            </w:tcBorders>
          </w:tcPr>
          <w:p w14:paraId="2B954425"/>
        </w:tc>
        <w:tc>
          <w:tcPr>
            <w:tcW w:w="1664" w:type="dxa"/>
            <w:tcBorders>
              <w:left w:val="single" w:color="auto" w:sz="4" w:space="0"/>
            </w:tcBorders>
            <w:vAlign w:val="center"/>
          </w:tcPr>
          <w:p w14:paraId="6D97C306">
            <w:pPr>
              <w:pStyle w:val="45"/>
              <w:rPr>
                <w:rFonts w:hint="eastAsia"/>
                <w:color w:val="auto"/>
                <w:highlight w:val="none"/>
              </w:rPr>
            </w:pPr>
            <w:r>
              <w:rPr>
                <w:rFonts w:hint="eastAsia"/>
                <w:color w:val="auto"/>
                <w:highlight w:val="none"/>
              </w:rPr>
              <w:t>需求排期率</w:t>
            </w:r>
          </w:p>
        </w:tc>
        <w:tc>
          <w:tcPr>
            <w:tcW w:w="2422" w:type="dxa"/>
            <w:tcBorders>
              <w:left w:val="single" w:color="auto" w:sz="4" w:space="0"/>
            </w:tcBorders>
            <w:vAlign w:val="center"/>
          </w:tcPr>
          <w:p w14:paraId="12F255A4">
            <w:pPr>
              <w:pStyle w:val="45"/>
              <w:rPr>
                <w:rFonts w:hint="eastAsia"/>
                <w:color w:val="auto"/>
                <w:highlight w:val="none"/>
              </w:rPr>
            </w:pPr>
            <w:r>
              <w:rPr>
                <w:rFonts w:hint="eastAsia"/>
                <w:color w:val="auto"/>
                <w:highlight w:val="none"/>
              </w:rPr>
              <w:t>用于记录统计周期内对甲方需求进行投产计划安排的比例</w:t>
            </w:r>
          </w:p>
        </w:tc>
        <w:tc>
          <w:tcPr>
            <w:tcW w:w="3936" w:type="dxa"/>
            <w:tcBorders>
              <w:left w:val="single" w:color="auto" w:sz="4" w:space="0"/>
            </w:tcBorders>
            <w:vAlign w:val="center"/>
          </w:tcPr>
          <w:p w14:paraId="5BE021F9">
            <w:pPr>
              <w:pStyle w:val="45"/>
              <w:rPr>
                <w:rFonts w:hint="eastAsia"/>
                <w:color w:val="auto"/>
                <w:highlight w:val="none"/>
              </w:rPr>
            </w:pPr>
            <w:r>
              <w:rPr>
                <w:rFonts w:hint="eastAsia"/>
                <w:color w:val="auto"/>
                <w:highlight w:val="none"/>
              </w:rPr>
              <w:t>需求排期率=已排期需求数/总需求数</w:t>
            </w:r>
          </w:p>
          <w:p w14:paraId="0CAB433F">
            <w:pPr>
              <w:pStyle w:val="45"/>
              <w:rPr>
                <w:rFonts w:hint="eastAsia"/>
                <w:color w:val="auto"/>
                <w:highlight w:val="none"/>
              </w:rPr>
            </w:pPr>
            <w:r>
              <w:rPr>
                <w:rFonts w:hint="eastAsia"/>
                <w:color w:val="auto"/>
                <w:highlight w:val="none"/>
              </w:rPr>
              <w:t>注：已排期需求数指统计周期内已经纳入投产计划的需求个数。总需求数指统计周期内由甲方提出到达服务商项目组的需求数。</w:t>
            </w:r>
          </w:p>
          <w:p w14:paraId="485FBDFD">
            <w:pPr>
              <w:pStyle w:val="45"/>
              <w:rPr>
                <w:rFonts w:hint="eastAsia"/>
                <w:color w:val="auto"/>
                <w:highlight w:val="none"/>
              </w:rPr>
            </w:pPr>
            <w:r>
              <w:rPr>
                <w:rFonts w:hint="eastAsia"/>
                <w:color w:val="auto"/>
                <w:highlight w:val="none"/>
              </w:rPr>
              <w:t>5分【98%-100%】</w:t>
            </w:r>
          </w:p>
          <w:p w14:paraId="3FB77E26">
            <w:pPr>
              <w:pStyle w:val="45"/>
              <w:rPr>
                <w:rFonts w:hint="eastAsia"/>
                <w:color w:val="auto"/>
                <w:highlight w:val="none"/>
              </w:rPr>
            </w:pPr>
            <w:r>
              <w:rPr>
                <w:rFonts w:hint="eastAsia"/>
                <w:color w:val="auto"/>
                <w:highlight w:val="none"/>
              </w:rPr>
              <w:t>3分【95%-97%】</w:t>
            </w:r>
          </w:p>
          <w:p w14:paraId="10428C47">
            <w:pPr>
              <w:pStyle w:val="45"/>
              <w:rPr>
                <w:rFonts w:hint="eastAsia"/>
                <w:color w:val="auto"/>
                <w:highlight w:val="none"/>
              </w:rPr>
            </w:pPr>
            <w:r>
              <w:rPr>
                <w:rFonts w:hint="eastAsia"/>
                <w:color w:val="auto"/>
                <w:highlight w:val="none"/>
              </w:rPr>
              <w:t>0分【低于95%】</w:t>
            </w:r>
          </w:p>
        </w:tc>
        <w:tc>
          <w:tcPr>
            <w:tcW w:w="2573" w:type="dxa"/>
            <w:tcBorders>
              <w:left w:val="single" w:color="auto" w:sz="4" w:space="0"/>
            </w:tcBorders>
            <w:vAlign w:val="center"/>
          </w:tcPr>
          <w:p w14:paraId="141CE539">
            <w:pPr>
              <w:pStyle w:val="45"/>
              <w:rPr>
                <w:rFonts w:hint="eastAsia"/>
                <w:color w:val="auto"/>
                <w:highlight w:val="none"/>
              </w:rPr>
            </w:pPr>
          </w:p>
        </w:tc>
      </w:tr>
      <w:tr w14:paraId="2B75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1" w:type="dxa"/>
            <w:vAlign w:val="center"/>
          </w:tcPr>
          <w:p w14:paraId="40109C51">
            <w:pPr>
              <w:pStyle w:val="45"/>
              <w:rPr>
                <w:rFonts w:hint="eastAsia"/>
                <w:color w:val="auto"/>
                <w:highlight w:val="none"/>
              </w:rPr>
            </w:pPr>
            <w:r>
              <w:rPr>
                <w:rFonts w:hint="eastAsia"/>
                <w:color w:val="auto"/>
                <w:highlight w:val="none"/>
              </w:rPr>
              <w:t>11</w:t>
            </w:r>
          </w:p>
        </w:tc>
        <w:tc>
          <w:tcPr>
            <w:tcW w:w="1211" w:type="dxa"/>
            <w:vMerge w:val="continue"/>
            <w:tcBorders>
              <w:left w:val="single" w:color="auto" w:sz="4" w:space="0"/>
            </w:tcBorders>
          </w:tcPr>
          <w:p w14:paraId="4A016F09"/>
        </w:tc>
        <w:tc>
          <w:tcPr>
            <w:tcW w:w="1664" w:type="dxa"/>
            <w:tcBorders>
              <w:left w:val="single" w:color="auto" w:sz="4" w:space="0"/>
            </w:tcBorders>
            <w:vAlign w:val="center"/>
          </w:tcPr>
          <w:p w14:paraId="184CD7F2">
            <w:pPr>
              <w:pStyle w:val="45"/>
              <w:rPr>
                <w:rFonts w:hint="eastAsia"/>
                <w:color w:val="auto"/>
                <w:highlight w:val="none"/>
              </w:rPr>
            </w:pPr>
            <w:r>
              <w:rPr>
                <w:rFonts w:hint="eastAsia"/>
                <w:color w:val="auto"/>
                <w:highlight w:val="none"/>
              </w:rPr>
              <w:t>需求完成率</w:t>
            </w:r>
          </w:p>
        </w:tc>
        <w:tc>
          <w:tcPr>
            <w:tcW w:w="2422" w:type="dxa"/>
            <w:tcBorders>
              <w:left w:val="single" w:color="auto" w:sz="4" w:space="0"/>
            </w:tcBorders>
            <w:vAlign w:val="center"/>
          </w:tcPr>
          <w:p w14:paraId="13A344AE">
            <w:pPr>
              <w:pStyle w:val="45"/>
              <w:rPr>
                <w:rFonts w:hint="eastAsia"/>
                <w:color w:val="auto"/>
                <w:highlight w:val="none"/>
              </w:rPr>
            </w:pPr>
            <w:r>
              <w:rPr>
                <w:rFonts w:hint="eastAsia"/>
                <w:color w:val="auto"/>
                <w:highlight w:val="none"/>
              </w:rPr>
              <w:t>用于记录统计周期内甲方需求完成投产的比例</w:t>
            </w:r>
          </w:p>
        </w:tc>
        <w:tc>
          <w:tcPr>
            <w:tcW w:w="3936" w:type="dxa"/>
            <w:tcBorders>
              <w:left w:val="single" w:color="auto" w:sz="4" w:space="0"/>
            </w:tcBorders>
            <w:vAlign w:val="center"/>
          </w:tcPr>
          <w:p w14:paraId="0242F47B">
            <w:pPr>
              <w:pStyle w:val="45"/>
              <w:rPr>
                <w:rFonts w:hint="eastAsia"/>
                <w:color w:val="auto"/>
                <w:highlight w:val="none"/>
              </w:rPr>
            </w:pPr>
            <w:r>
              <w:rPr>
                <w:rFonts w:hint="eastAsia"/>
                <w:color w:val="auto"/>
                <w:highlight w:val="none"/>
              </w:rPr>
              <w:t>需求完成率=流程完结需求数/总需求数</w:t>
            </w:r>
          </w:p>
          <w:p w14:paraId="1168DEC3">
            <w:pPr>
              <w:pStyle w:val="45"/>
              <w:rPr>
                <w:rFonts w:hint="eastAsia"/>
                <w:color w:val="auto"/>
                <w:highlight w:val="none"/>
              </w:rPr>
            </w:pPr>
            <w:r>
              <w:rPr>
                <w:rFonts w:hint="eastAsia"/>
                <w:color w:val="auto"/>
                <w:highlight w:val="none"/>
              </w:rPr>
              <w:t>注：流程完结需求数指统计周期内已完成投产的需求个数；总需求数指统计周期内由甲方提出到达服务商项目组的需求个数。</w:t>
            </w:r>
          </w:p>
          <w:p w14:paraId="04A9E3DE">
            <w:pPr>
              <w:pStyle w:val="45"/>
              <w:rPr>
                <w:rFonts w:hint="eastAsia"/>
                <w:color w:val="auto"/>
                <w:highlight w:val="none"/>
              </w:rPr>
            </w:pPr>
            <w:r>
              <w:rPr>
                <w:rFonts w:hint="eastAsia"/>
                <w:color w:val="auto"/>
                <w:highlight w:val="none"/>
              </w:rPr>
              <w:t>5分【98%-100%】</w:t>
            </w:r>
          </w:p>
          <w:p w14:paraId="04555392">
            <w:pPr>
              <w:pStyle w:val="45"/>
              <w:rPr>
                <w:rFonts w:hint="eastAsia"/>
                <w:color w:val="auto"/>
                <w:highlight w:val="none"/>
              </w:rPr>
            </w:pPr>
            <w:r>
              <w:rPr>
                <w:rFonts w:hint="eastAsia"/>
                <w:color w:val="auto"/>
                <w:highlight w:val="none"/>
              </w:rPr>
              <w:t>3分【95%-97%】</w:t>
            </w:r>
          </w:p>
          <w:p w14:paraId="31B42B5D">
            <w:pPr>
              <w:pStyle w:val="45"/>
              <w:rPr>
                <w:rFonts w:hint="eastAsia"/>
                <w:color w:val="auto"/>
                <w:highlight w:val="none"/>
              </w:rPr>
            </w:pPr>
            <w:r>
              <w:rPr>
                <w:rFonts w:hint="eastAsia"/>
                <w:color w:val="auto"/>
                <w:highlight w:val="none"/>
              </w:rPr>
              <w:t>0分【低于95%】</w:t>
            </w:r>
          </w:p>
        </w:tc>
        <w:tc>
          <w:tcPr>
            <w:tcW w:w="2573" w:type="dxa"/>
            <w:tcBorders>
              <w:left w:val="single" w:color="auto" w:sz="4" w:space="0"/>
            </w:tcBorders>
            <w:vAlign w:val="center"/>
          </w:tcPr>
          <w:p w14:paraId="393333DA">
            <w:pPr>
              <w:pStyle w:val="45"/>
              <w:rPr>
                <w:rFonts w:hint="eastAsia"/>
                <w:color w:val="auto"/>
                <w:highlight w:val="none"/>
              </w:rPr>
            </w:pPr>
          </w:p>
        </w:tc>
      </w:tr>
      <w:tr w14:paraId="3CC7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51" w:type="dxa"/>
            <w:vAlign w:val="center"/>
          </w:tcPr>
          <w:p w14:paraId="6FCD17E0">
            <w:pPr>
              <w:pStyle w:val="45"/>
              <w:rPr>
                <w:rFonts w:hint="eastAsia"/>
                <w:color w:val="auto"/>
                <w:highlight w:val="none"/>
              </w:rPr>
            </w:pPr>
            <w:r>
              <w:rPr>
                <w:rFonts w:hint="eastAsia"/>
                <w:color w:val="auto"/>
                <w:highlight w:val="none"/>
              </w:rPr>
              <w:t>12</w:t>
            </w:r>
          </w:p>
        </w:tc>
        <w:tc>
          <w:tcPr>
            <w:tcW w:w="1211" w:type="dxa"/>
            <w:vMerge w:val="continue"/>
            <w:tcBorders>
              <w:left w:val="single" w:color="auto" w:sz="4" w:space="0"/>
            </w:tcBorders>
          </w:tcPr>
          <w:p w14:paraId="6CB06232"/>
        </w:tc>
        <w:tc>
          <w:tcPr>
            <w:tcW w:w="1664" w:type="dxa"/>
            <w:tcBorders>
              <w:left w:val="single" w:color="auto" w:sz="4" w:space="0"/>
            </w:tcBorders>
            <w:vAlign w:val="center"/>
          </w:tcPr>
          <w:p w14:paraId="6C3C61C1">
            <w:pPr>
              <w:pStyle w:val="45"/>
              <w:rPr>
                <w:rFonts w:hint="eastAsia"/>
                <w:color w:val="auto"/>
                <w:highlight w:val="none"/>
              </w:rPr>
            </w:pPr>
            <w:r>
              <w:rPr>
                <w:rFonts w:hint="eastAsia"/>
                <w:color w:val="auto"/>
                <w:highlight w:val="none"/>
              </w:rPr>
              <w:t>人员行为规范性</w:t>
            </w:r>
          </w:p>
        </w:tc>
        <w:tc>
          <w:tcPr>
            <w:tcW w:w="2422" w:type="dxa"/>
            <w:tcBorders>
              <w:left w:val="single" w:color="auto" w:sz="4" w:space="0"/>
            </w:tcBorders>
            <w:vAlign w:val="center"/>
          </w:tcPr>
          <w:p w14:paraId="36973BD1">
            <w:pPr>
              <w:pStyle w:val="45"/>
              <w:rPr>
                <w:rFonts w:hint="eastAsia"/>
                <w:color w:val="auto"/>
                <w:highlight w:val="none"/>
              </w:rPr>
            </w:pPr>
            <w:r>
              <w:rPr>
                <w:rFonts w:hint="eastAsia"/>
                <w:color w:val="auto"/>
                <w:highlight w:val="none"/>
              </w:rPr>
              <w:t>用于记录外包场地日常管理或检查过程中发现外包人员行为违规（包括但不限于办公纪律、造成办公环境物理安全隐患等）的次数</w:t>
            </w:r>
          </w:p>
        </w:tc>
        <w:tc>
          <w:tcPr>
            <w:tcW w:w="3936" w:type="dxa"/>
            <w:tcBorders>
              <w:left w:val="single" w:color="auto" w:sz="4" w:space="0"/>
            </w:tcBorders>
            <w:vAlign w:val="center"/>
          </w:tcPr>
          <w:p w14:paraId="3E91CFE4">
            <w:pPr>
              <w:pStyle w:val="45"/>
              <w:rPr>
                <w:rFonts w:hint="eastAsia"/>
                <w:color w:val="auto"/>
                <w:highlight w:val="none"/>
              </w:rPr>
            </w:pPr>
            <w:r>
              <w:rPr>
                <w:rFonts w:hint="eastAsia"/>
                <w:color w:val="auto"/>
                <w:highlight w:val="none"/>
              </w:rPr>
              <w:t>【得分上限10分】</w:t>
            </w:r>
          </w:p>
          <w:p w14:paraId="05E47E08">
            <w:pPr>
              <w:pStyle w:val="45"/>
              <w:rPr>
                <w:rFonts w:hint="eastAsia"/>
                <w:color w:val="auto"/>
                <w:highlight w:val="none"/>
              </w:rPr>
            </w:pPr>
            <w:r>
              <w:rPr>
                <w:rFonts w:hint="eastAsia"/>
                <w:color w:val="auto"/>
                <w:highlight w:val="none"/>
              </w:rPr>
              <w:t>0次：指未出现外包人员行为违规，该项指标满分；</w:t>
            </w:r>
          </w:p>
          <w:p w14:paraId="1F3686D3">
            <w:pPr>
              <w:pStyle w:val="45"/>
              <w:rPr>
                <w:rFonts w:hint="eastAsia"/>
                <w:color w:val="auto"/>
                <w:highlight w:val="none"/>
              </w:rPr>
            </w:pPr>
            <w:r>
              <w:rPr>
                <w:rFonts w:hint="eastAsia"/>
                <w:color w:val="auto"/>
                <w:highlight w:val="none"/>
              </w:rPr>
              <w:t>1次及以上：指检查发现外包人员行为违规1次及以上（每人次扣5分，最高扣除10分）</w:t>
            </w:r>
          </w:p>
        </w:tc>
        <w:tc>
          <w:tcPr>
            <w:tcW w:w="2573" w:type="dxa"/>
            <w:tcBorders>
              <w:left w:val="single" w:color="auto" w:sz="4" w:space="0"/>
            </w:tcBorders>
            <w:vAlign w:val="center"/>
          </w:tcPr>
          <w:p w14:paraId="3A5AE487">
            <w:pPr>
              <w:pStyle w:val="45"/>
              <w:rPr>
                <w:rFonts w:hint="eastAsia"/>
                <w:color w:val="auto"/>
                <w:highlight w:val="none"/>
              </w:rPr>
            </w:pPr>
            <w:r>
              <w:rPr>
                <w:rFonts w:hint="eastAsia"/>
                <w:color w:val="auto"/>
                <w:highlight w:val="none"/>
              </w:rPr>
              <w:t>每出现一次人员行为违规，扣除乙方金额人民币不低于500元。</w:t>
            </w:r>
          </w:p>
        </w:tc>
      </w:tr>
      <w:tr w14:paraId="7A7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51" w:type="dxa"/>
            <w:vAlign w:val="center"/>
          </w:tcPr>
          <w:p w14:paraId="7729A46B">
            <w:pPr>
              <w:pStyle w:val="45"/>
              <w:rPr>
                <w:rFonts w:hint="eastAsia"/>
                <w:color w:val="auto"/>
                <w:highlight w:val="none"/>
              </w:rPr>
            </w:pPr>
            <w:r>
              <w:rPr>
                <w:rFonts w:hint="eastAsia"/>
                <w:color w:val="auto"/>
                <w:highlight w:val="none"/>
              </w:rPr>
              <w:t>13</w:t>
            </w:r>
          </w:p>
        </w:tc>
        <w:tc>
          <w:tcPr>
            <w:tcW w:w="1211" w:type="dxa"/>
            <w:vMerge w:val="continue"/>
            <w:tcBorders>
              <w:left w:val="single" w:color="auto" w:sz="4" w:space="0"/>
            </w:tcBorders>
          </w:tcPr>
          <w:p w14:paraId="43821FA8"/>
        </w:tc>
        <w:tc>
          <w:tcPr>
            <w:tcW w:w="1664" w:type="dxa"/>
            <w:tcBorders>
              <w:left w:val="single" w:color="auto" w:sz="4" w:space="0"/>
            </w:tcBorders>
            <w:vAlign w:val="center"/>
          </w:tcPr>
          <w:p w14:paraId="04A2983E">
            <w:pPr>
              <w:pStyle w:val="45"/>
              <w:rPr>
                <w:rFonts w:hint="eastAsia"/>
                <w:color w:val="auto"/>
                <w:highlight w:val="none"/>
              </w:rPr>
            </w:pPr>
            <w:r>
              <w:rPr>
                <w:rFonts w:hint="eastAsia"/>
                <w:color w:val="auto"/>
                <w:highlight w:val="none"/>
              </w:rPr>
              <w:t>人员变动率</w:t>
            </w:r>
          </w:p>
        </w:tc>
        <w:tc>
          <w:tcPr>
            <w:tcW w:w="2422" w:type="dxa"/>
            <w:tcBorders>
              <w:left w:val="single" w:color="auto" w:sz="4" w:space="0"/>
            </w:tcBorders>
            <w:vAlign w:val="center"/>
          </w:tcPr>
          <w:p w14:paraId="24A7261C">
            <w:pPr>
              <w:pStyle w:val="45"/>
              <w:rPr>
                <w:rFonts w:hint="eastAsia"/>
                <w:color w:val="auto"/>
                <w:highlight w:val="none"/>
              </w:rPr>
            </w:pPr>
            <w:r>
              <w:rPr>
                <w:rFonts w:hint="eastAsia"/>
                <w:color w:val="auto"/>
                <w:highlight w:val="none"/>
              </w:rPr>
              <w:t>用于记录统计周期内乙方未经甲方同意更换外包人员数量占乙方驻场外包人员总数量的比率</w:t>
            </w:r>
          </w:p>
        </w:tc>
        <w:tc>
          <w:tcPr>
            <w:tcW w:w="3936" w:type="dxa"/>
            <w:tcBorders>
              <w:left w:val="single" w:color="auto" w:sz="4" w:space="0"/>
            </w:tcBorders>
            <w:vAlign w:val="center"/>
          </w:tcPr>
          <w:p w14:paraId="5CCC794F">
            <w:pPr>
              <w:pStyle w:val="45"/>
              <w:rPr>
                <w:rFonts w:hint="eastAsia"/>
                <w:color w:val="auto"/>
                <w:highlight w:val="none"/>
              </w:rPr>
            </w:pPr>
            <w:r>
              <w:rPr>
                <w:rFonts w:hint="eastAsia"/>
                <w:color w:val="auto"/>
                <w:highlight w:val="none"/>
              </w:rPr>
              <w:t>人员变动率=乙方未经甲方同意更换外包人员数量/乙方驻场外包人员总数量</w:t>
            </w:r>
          </w:p>
          <w:p w14:paraId="6EB39A91">
            <w:pPr>
              <w:pStyle w:val="45"/>
              <w:rPr>
                <w:rFonts w:hint="eastAsia"/>
                <w:color w:val="auto"/>
                <w:highlight w:val="none"/>
              </w:rPr>
            </w:pPr>
            <w:r>
              <w:rPr>
                <w:rFonts w:hint="eastAsia"/>
                <w:color w:val="auto"/>
                <w:highlight w:val="none"/>
              </w:rPr>
              <w:t>10分【0-20%】</w:t>
            </w:r>
          </w:p>
          <w:p w14:paraId="30E08CC2">
            <w:pPr>
              <w:pStyle w:val="45"/>
              <w:rPr>
                <w:rFonts w:hint="eastAsia"/>
                <w:color w:val="auto"/>
                <w:highlight w:val="none"/>
              </w:rPr>
            </w:pPr>
            <w:r>
              <w:rPr>
                <w:rFonts w:hint="eastAsia"/>
                <w:color w:val="auto"/>
                <w:highlight w:val="none"/>
              </w:rPr>
              <w:t>5分【20%-40%】</w:t>
            </w:r>
          </w:p>
          <w:p w14:paraId="7BE50139">
            <w:pPr>
              <w:pStyle w:val="45"/>
              <w:rPr>
                <w:rFonts w:hint="eastAsia"/>
                <w:color w:val="auto"/>
                <w:highlight w:val="none"/>
              </w:rPr>
            </w:pPr>
            <w:r>
              <w:rPr>
                <w:rFonts w:hint="eastAsia"/>
                <w:color w:val="auto"/>
                <w:highlight w:val="none"/>
              </w:rPr>
              <w:t>0分【超过40%】</w:t>
            </w:r>
          </w:p>
        </w:tc>
        <w:tc>
          <w:tcPr>
            <w:tcW w:w="2573" w:type="dxa"/>
            <w:tcBorders>
              <w:left w:val="single" w:color="auto" w:sz="4" w:space="0"/>
            </w:tcBorders>
            <w:vAlign w:val="center"/>
          </w:tcPr>
          <w:p w14:paraId="71509696">
            <w:pPr>
              <w:pStyle w:val="45"/>
              <w:rPr>
                <w:rFonts w:hint="eastAsia"/>
                <w:color w:val="auto"/>
                <w:highlight w:val="none"/>
              </w:rPr>
            </w:pPr>
            <w:r>
              <w:rPr>
                <w:rFonts w:hint="eastAsia"/>
                <w:color w:val="auto"/>
                <w:highlight w:val="none"/>
              </w:rPr>
              <w:t>技术骨干或项目经理未经甲方同意变动，扣除乙方金额人民币不低于3万元；其余人员变动率超过40%，扣除不低于合同总金额的1%。</w:t>
            </w:r>
          </w:p>
        </w:tc>
      </w:tr>
      <w:tr w14:paraId="4F8C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751" w:type="dxa"/>
            <w:vAlign w:val="center"/>
          </w:tcPr>
          <w:p w14:paraId="3CD37E86">
            <w:pPr>
              <w:pStyle w:val="45"/>
              <w:rPr>
                <w:rFonts w:hint="eastAsia"/>
                <w:color w:val="auto"/>
                <w:highlight w:val="none"/>
              </w:rPr>
            </w:pPr>
            <w:r>
              <w:rPr>
                <w:rFonts w:hint="eastAsia"/>
                <w:color w:val="auto"/>
                <w:highlight w:val="none"/>
              </w:rPr>
              <w:t>14</w:t>
            </w:r>
          </w:p>
        </w:tc>
        <w:tc>
          <w:tcPr>
            <w:tcW w:w="1211" w:type="dxa"/>
            <w:vMerge w:val="continue"/>
            <w:tcBorders>
              <w:left w:val="single" w:color="auto" w:sz="4" w:space="0"/>
            </w:tcBorders>
          </w:tcPr>
          <w:p w14:paraId="7EA7BE73"/>
        </w:tc>
        <w:tc>
          <w:tcPr>
            <w:tcW w:w="1664" w:type="dxa"/>
            <w:tcBorders>
              <w:left w:val="single" w:color="auto" w:sz="4" w:space="0"/>
            </w:tcBorders>
            <w:vAlign w:val="center"/>
          </w:tcPr>
          <w:p w14:paraId="20693C2D">
            <w:pPr>
              <w:pStyle w:val="45"/>
              <w:rPr>
                <w:rFonts w:hint="eastAsia"/>
                <w:color w:val="auto"/>
                <w:highlight w:val="none"/>
              </w:rPr>
            </w:pPr>
            <w:r>
              <w:rPr>
                <w:rFonts w:hint="eastAsia"/>
                <w:color w:val="auto"/>
                <w:highlight w:val="none"/>
              </w:rPr>
              <w:t>人员满意度评价</w:t>
            </w:r>
          </w:p>
        </w:tc>
        <w:tc>
          <w:tcPr>
            <w:tcW w:w="2422" w:type="dxa"/>
            <w:tcBorders>
              <w:left w:val="single" w:color="auto" w:sz="4" w:space="0"/>
            </w:tcBorders>
            <w:vAlign w:val="center"/>
          </w:tcPr>
          <w:p w14:paraId="75D79C5B">
            <w:pPr>
              <w:pStyle w:val="45"/>
              <w:rPr>
                <w:rFonts w:hint="eastAsia"/>
                <w:color w:val="auto"/>
                <w:highlight w:val="none"/>
              </w:rPr>
            </w:pPr>
            <w:r>
              <w:rPr>
                <w:rFonts w:hint="eastAsia"/>
                <w:color w:val="auto"/>
                <w:highlight w:val="none"/>
              </w:rPr>
              <w:t>甲方对乙方外包人员表现的满意度评价</w:t>
            </w:r>
          </w:p>
        </w:tc>
        <w:tc>
          <w:tcPr>
            <w:tcW w:w="3936" w:type="dxa"/>
            <w:tcBorders>
              <w:left w:val="single" w:color="auto" w:sz="4" w:space="0"/>
            </w:tcBorders>
            <w:vAlign w:val="center"/>
          </w:tcPr>
          <w:p w14:paraId="36460A18">
            <w:pPr>
              <w:pStyle w:val="45"/>
              <w:rPr>
                <w:rFonts w:hint="eastAsia"/>
                <w:color w:val="auto"/>
                <w:highlight w:val="none"/>
              </w:rPr>
            </w:pPr>
            <w:r>
              <w:rPr>
                <w:rFonts w:hint="eastAsia"/>
                <w:color w:val="auto"/>
                <w:highlight w:val="none"/>
              </w:rPr>
              <w:t>优秀：5分，指工作效率高，态度积极主动，保质保量完成工作任务，对团队有突出贡献，日常行为能起到模范带头作用的；</w:t>
            </w:r>
          </w:p>
          <w:p w14:paraId="37DB46C7">
            <w:pPr>
              <w:pStyle w:val="45"/>
              <w:rPr>
                <w:rFonts w:hint="eastAsia"/>
                <w:color w:val="auto"/>
                <w:highlight w:val="none"/>
              </w:rPr>
            </w:pPr>
            <w:r>
              <w:rPr>
                <w:rFonts w:hint="eastAsia"/>
                <w:color w:val="auto"/>
                <w:highlight w:val="none"/>
              </w:rPr>
              <w:t>良好：4分，指工作效率较高，态度比较主动，较好完成工作任务，对团队有一定贡献，日常行为表现较好的；</w:t>
            </w:r>
          </w:p>
          <w:p w14:paraId="13286692">
            <w:pPr>
              <w:pStyle w:val="45"/>
              <w:rPr>
                <w:rFonts w:hint="eastAsia"/>
                <w:color w:val="auto"/>
                <w:highlight w:val="none"/>
              </w:rPr>
            </w:pPr>
            <w:r>
              <w:rPr>
                <w:rFonts w:hint="eastAsia"/>
                <w:color w:val="auto"/>
                <w:highlight w:val="none"/>
              </w:rPr>
              <w:t>合格：3分，指工作效率一般，态度合格，能够按时完成工作任务的；</w:t>
            </w:r>
          </w:p>
          <w:p w14:paraId="644686DD">
            <w:pPr>
              <w:pStyle w:val="45"/>
              <w:rPr>
                <w:rFonts w:hint="eastAsia"/>
                <w:color w:val="auto"/>
                <w:highlight w:val="none"/>
              </w:rPr>
            </w:pPr>
            <w:r>
              <w:rPr>
                <w:rFonts w:hint="eastAsia"/>
                <w:color w:val="auto"/>
                <w:highlight w:val="none"/>
              </w:rPr>
              <w:t>较差/差：0分，指工作效率低下，态度懈怠散漫，不能按时完成工作任务的。</w:t>
            </w:r>
          </w:p>
        </w:tc>
        <w:tc>
          <w:tcPr>
            <w:tcW w:w="2573" w:type="dxa"/>
            <w:tcBorders>
              <w:left w:val="single" w:color="auto" w:sz="4" w:space="0"/>
            </w:tcBorders>
            <w:vAlign w:val="center"/>
          </w:tcPr>
          <w:p w14:paraId="05C87E8A">
            <w:pPr>
              <w:pStyle w:val="45"/>
              <w:rPr>
                <w:rFonts w:hint="eastAsia"/>
                <w:color w:val="auto"/>
                <w:highlight w:val="none"/>
              </w:rPr>
            </w:pPr>
            <w:r>
              <w:rPr>
                <w:rFonts w:hint="eastAsia"/>
                <w:color w:val="auto"/>
                <w:highlight w:val="none"/>
              </w:rPr>
              <w:t>评价为较差/差时，甲方有权要求乙方更换人员并赔偿实际损失。</w:t>
            </w:r>
          </w:p>
        </w:tc>
      </w:tr>
    </w:tbl>
    <w:p w14:paraId="5372CA32">
      <w:pPr>
        <w:pStyle w:val="52"/>
        <w:rPr>
          <w:color w:val="auto"/>
          <w:highlight w:val="none"/>
          <w:lang w:val="zh-CN"/>
        </w:rPr>
      </w:pPr>
    </w:p>
    <w:p w14:paraId="18698B44">
      <w:pPr>
        <w:pStyle w:val="52"/>
        <w:rPr>
          <w:color w:val="auto"/>
          <w:highlight w:val="none"/>
          <w:lang w:val="zh-CN"/>
        </w:rPr>
        <w:sectPr>
          <w:pgSz w:w="16838" w:h="11906" w:orient="landscape"/>
          <w:pgMar w:top="1800" w:right="1440" w:bottom="1800" w:left="1440" w:header="851" w:footer="992" w:gutter="0"/>
          <w:cols w:space="425" w:num="1"/>
          <w:docGrid w:type="lines" w:linePitch="312" w:charSpace="0"/>
        </w:sectPr>
      </w:pPr>
    </w:p>
    <w:p w14:paraId="290A9941">
      <w:pPr>
        <w:pStyle w:val="41"/>
        <w:ind w:left="0" w:firstLine="0"/>
        <w:rPr>
          <w:rFonts w:hint="eastAsia"/>
          <w:color w:val="auto"/>
          <w:highlight w:val="none"/>
          <w:lang w:val="zh-CN" w:eastAsia="zh-CN"/>
        </w:rPr>
      </w:pPr>
      <w:r>
        <w:rPr>
          <w:rFonts w:hint="eastAsia" w:ascii="Times New Roman" w:hAnsi="Times New Roman" w:eastAsia="宋体" w:cs="Cambria Math"/>
          <w:bCs/>
          <w:color w:val="auto"/>
          <w:kern w:val="2"/>
          <w:sz w:val="21"/>
          <w:szCs w:val="32"/>
          <w:highlight w:val="none"/>
          <w:lang w:val="zh-CN" w:eastAsia="zh-CN" w:bidi="ar-SA"/>
        </w:rPr>
        <w:t>（七）</w:t>
      </w:r>
      <w:r>
        <w:rPr>
          <w:rFonts w:hint="eastAsia"/>
          <w:color w:val="auto"/>
          <w:highlight w:val="none"/>
          <w:lang w:val="en-US" w:eastAsia="zh-CN"/>
        </w:rPr>
        <w:t>其他</w:t>
      </w:r>
      <w:r>
        <w:rPr>
          <w:rFonts w:hint="eastAsia"/>
          <w:color w:val="auto"/>
          <w:highlight w:val="none"/>
          <w:lang w:val="zh-CN" w:eastAsia="zh-CN"/>
        </w:rPr>
        <w:t>（</w:t>
      </w:r>
      <w:r>
        <w:rPr>
          <w:rFonts w:hint="eastAsia"/>
          <w:color w:val="auto"/>
          <w:highlight w:val="none"/>
          <w:lang w:val="en-US" w:eastAsia="zh-CN"/>
        </w:rPr>
        <w:t>如有</w:t>
      </w:r>
      <w:r>
        <w:rPr>
          <w:rFonts w:hint="eastAsia"/>
          <w:color w:val="auto"/>
          <w:highlight w:val="none"/>
          <w:lang w:val="zh-CN" w:eastAsia="zh-CN"/>
        </w:rPr>
        <w:t>）</w:t>
      </w:r>
    </w:p>
    <w:p w14:paraId="3141E185">
      <w:pPr>
        <w:pStyle w:val="52"/>
        <w:rPr>
          <w:color w:val="auto"/>
          <w:highlight w:val="none"/>
          <w:lang w:val="zh-CN"/>
        </w:rPr>
      </w:pPr>
    </w:p>
    <w:p w14:paraId="483EFBA3">
      <w:pPr>
        <w:rPr>
          <w:color w:val="auto"/>
          <w:highlight w:val="none"/>
          <w:lang w:val="zh-CN"/>
        </w:rPr>
      </w:pPr>
    </w:p>
    <w:p w14:paraId="38DB22FA">
      <w:pPr>
        <w:rPr>
          <w:color w:val="auto"/>
          <w:highlight w:val="none"/>
          <w:lang w:val="zh-CN"/>
        </w:rPr>
      </w:pPr>
    </w:p>
    <w:p w14:paraId="512B76F1">
      <w:pPr>
        <w:rPr>
          <w:color w:val="auto"/>
          <w:highlight w:val="none"/>
          <w:lang w:val="zh-CN"/>
        </w:rPr>
        <w:sectPr>
          <w:pgSz w:w="11906" w:h="16838"/>
          <w:pgMar w:top="1440" w:right="1800" w:bottom="1440" w:left="1800" w:header="851" w:footer="992" w:gutter="0"/>
          <w:cols w:space="425" w:num="1"/>
          <w:docGrid w:type="lines" w:linePitch="312" w:charSpace="0"/>
        </w:sectPr>
      </w:pPr>
    </w:p>
    <w:p w14:paraId="75B5BA45">
      <w:pPr>
        <w:pStyle w:val="40"/>
        <w:rPr>
          <w:color w:val="auto"/>
          <w:highlight w:val="none"/>
        </w:rPr>
      </w:pPr>
      <w:r>
        <w:rPr>
          <w:rFonts w:hint="eastAsia"/>
          <w:color w:val="auto"/>
          <w:highlight w:val="none"/>
          <w:lang w:val="en-US" w:eastAsia="zh-CN"/>
        </w:rPr>
        <w:t>五</w:t>
      </w:r>
      <w:r>
        <w:rPr>
          <w:color w:val="auto"/>
          <w:highlight w:val="none"/>
        </w:rPr>
        <w:t>、商务技术文件（如有）</w:t>
      </w:r>
    </w:p>
    <w:p w14:paraId="3471652A">
      <w:pPr>
        <w:pStyle w:val="52"/>
        <w:rPr>
          <w:color w:val="auto"/>
          <w:highlight w:val="none"/>
        </w:rPr>
      </w:pPr>
      <w:r>
        <w:rPr>
          <w:color w:val="auto"/>
          <w:highlight w:val="none"/>
        </w:rPr>
        <w:t>（根据第四章内容提供相关材料）</w:t>
      </w:r>
    </w:p>
    <w:p w14:paraId="58161C9F">
      <w:pPr>
        <w:pStyle w:val="52"/>
        <w:rPr>
          <w:color w:val="auto"/>
          <w:highlight w:val="none"/>
        </w:rPr>
      </w:pPr>
    </w:p>
    <w:p w14:paraId="733086A6">
      <w:pPr>
        <w:rPr>
          <w:color w:val="auto"/>
          <w:highlight w:val="none"/>
          <w:lang w:val="en-US" w:eastAsia="zh-CN"/>
        </w:rPr>
      </w:pPr>
    </w:p>
    <w:p w14:paraId="065CFFCF">
      <w:pPr>
        <w:rPr>
          <w:rStyle w:val="37"/>
          <w:b/>
          <w:color w:val="auto"/>
          <w:highlight w:val="none"/>
        </w:rPr>
      </w:pPr>
    </w:p>
    <w:p w14:paraId="0FE9D00C">
      <w:pPr>
        <w:rPr>
          <w:rStyle w:val="37"/>
          <w:b/>
          <w:color w:val="auto"/>
          <w:highlight w:val="none"/>
        </w:rPr>
      </w:pPr>
    </w:p>
    <w:p w14:paraId="70E17F37">
      <w:pPr>
        <w:rPr>
          <w:rStyle w:val="37"/>
          <w:b/>
          <w:color w:val="auto"/>
          <w:highlight w:val="none"/>
        </w:rPr>
        <w:sectPr>
          <w:pgSz w:w="11906" w:h="16838"/>
          <w:pgMar w:top="1440" w:right="1800" w:bottom="1440" w:left="1800" w:header="851" w:footer="992" w:gutter="0"/>
          <w:cols w:space="425" w:num="1"/>
          <w:docGrid w:type="lines" w:linePitch="312" w:charSpace="0"/>
        </w:sectPr>
      </w:pPr>
    </w:p>
    <w:p w14:paraId="0A1FD320">
      <w:pPr>
        <w:pStyle w:val="40"/>
        <w:rPr>
          <w:color w:val="auto"/>
          <w:highlight w:val="none"/>
        </w:rPr>
      </w:pPr>
      <w:r>
        <w:rPr>
          <w:rFonts w:hint="eastAsia"/>
          <w:color w:val="auto"/>
          <w:highlight w:val="none"/>
          <w:lang w:val="en-US" w:eastAsia="zh-CN"/>
        </w:rPr>
        <w:t>六</w:t>
      </w:r>
      <w:r>
        <w:rPr>
          <w:color w:val="auto"/>
          <w:highlight w:val="none"/>
        </w:rPr>
        <w:t>、其他（如有）</w:t>
      </w:r>
    </w:p>
    <w:p w14:paraId="16FC397D">
      <w:pPr>
        <w:rPr>
          <w:color w:val="auto"/>
          <w:highlight w:val="none"/>
        </w:rPr>
      </w:pPr>
    </w:p>
    <w:p w14:paraId="456824F7">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4C0A">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6D302AAC">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UPoFPXAAAABAEAAA8AAAAAAAAAAQAgAAAAIgAAAGRy&#10;cy9kb3ducmV2LnhtbFBLAQIUABQAAAAIAIdO4kBNo4X6BgIAAPUDAAAOAAAAAAAAAAEAIAAAACYB&#10;AABkcnMvZTJvRG9jLnhtbFBLBQYAAAAABgAGAFkBAACeBQAAAAA=&#10;">
              <v:fill on="f" focussize="0,0"/>
              <v:stroke on="f" weight="0.5pt" joinstyle="round"/>
              <v:imagedata o:title=""/>
              <o:lock v:ext="edit" aspectratio="f"/>
              <v:textbox inset="0mm,0mm,0mm,0mm" style="mso-fit-shape-to-text:t;">
                <w:txbxContent>
                  <w:p w14:paraId="6D302AAC">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7BAB">
    <w:pPr>
      <w:pStyle w:val="16"/>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0" cy="346075"/>
              <wp:effectExtent l="0" t="0" r="0" b="0"/>
              <wp:wrapNone/>
              <wp:docPr id="3" name="文本框 3"/>
              <wp:cNvGraphicFramePr/>
              <a:graphic xmlns:a="http://schemas.openxmlformats.org/drawingml/2006/main">
                <a:graphicData uri="http://schemas.microsoft.com/office/word/2010/wordprocessingShape">
                  <wps:wsp>
                    <wps:cNvSpPr/>
                    <wps:spPr>
                      <a:xfrm>
                        <a:off x="0" y="0"/>
                        <a:ext cx="1231900" cy="345876"/>
                      </a:xfrm>
                      <a:prstGeom prst="rect">
                        <a:avLst/>
                      </a:prstGeom>
                      <a:noFill/>
                      <a:ln w="6350" cap="flat" cmpd="sng">
                        <a:noFill/>
                        <a:prstDash val="solid"/>
                        <a:round/>
                      </a:ln>
                    </wps:spPr>
                    <wps:txbx>
                      <w:txbxContent>
                        <w:p w14:paraId="3285FBC6">
                          <w:pPr>
                            <w:rPr>
                              <w:rFonts w:ascii="宋体" w:hAnsi="宋体" w:eastAsia="宋体"/>
                              <w:sz w:val="28"/>
                            </w:rPr>
                          </w:pPr>
                          <w:r>
                            <w:rPr>
                              <w:rFonts w:ascii="宋体" w:hAnsi="宋体" w:eastAsia="宋体"/>
                              <w:sz w:val="24"/>
                            </w:rPr>
                            <w:t>—</w:t>
                          </w: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27.25pt;width:97pt;mso-position-horizontal:center;mso-position-horizontal-relative:margin;mso-wrap-style:none;z-index:251659264;mso-width-relative:page;mso-height-relative:page;" filled="f" stroked="f" coordsize="21600,21600" o:gfxdata="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yt871wAAAAQBAAAPAAAAAAAAAAEAIAAAACIAAABkcnMv&#10;ZG93bnJldi54bWxQSwECFAAUAAAACACHTuJAJK5KqgQCAAD1AwAADgAAAAAAAAABACAAAAAmAQAA&#10;ZHJzL2Uyb0RvYy54bWxQSwUGAAAAAAYABgBZAQAAnAUAAAAA&#10;">
              <v:fill on="f" focussize="0,0"/>
              <v:stroke on="f" weight="0.5pt" joinstyle="round"/>
              <v:imagedata o:title=""/>
              <o:lock v:ext="edit" aspectratio="f"/>
              <v:textbox inset="0mm,0mm,0mm,0mm" style="mso-fit-shape-to-text:t;">
                <w:txbxContent>
                  <w:p w14:paraId="3285FBC6">
                    <w:pPr>
                      <w:rPr>
                        <w:rFonts w:ascii="宋体" w:hAnsi="宋体" w:eastAsia="宋体"/>
                        <w:sz w:val="28"/>
                      </w:rPr>
                    </w:pPr>
                    <w:r>
                      <w:rPr>
                        <w:rFonts w:ascii="宋体" w:hAnsi="宋体" w:eastAsia="宋体"/>
                        <w:sz w:val="24"/>
                      </w:rPr>
                      <w:t>—</w:t>
                    </w:r>
                    <w:r>
                      <w:rPr>
                        <w:rFonts w:ascii="宋体" w:hAnsi="宋体" w:eastAsia="宋体"/>
                        <w:sz w:val="28"/>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E289">
    <w:pPr>
      <w:pStyle w:val="16"/>
      <w:framePr w:wrap="around" w:vAnchor="text" w:hAnchor="margin" w:xAlign="center" w:y="1"/>
      <w:rPr>
        <w:rStyle w:val="24"/>
      </w:rPr>
    </w:pPr>
    <w:r>
      <w:rPr>
        <w:rStyle w:val="24"/>
      </w:rPr>
      <w:fldChar w:fldCharType="begin"/>
    </w:r>
    <w:r>
      <w:rPr>
        <w:rStyle w:val="24"/>
      </w:rPr>
      <w:instrText xml:space="preserve">PAGE  </w:instrText>
    </w:r>
    <w:r>
      <w:fldChar w:fldCharType="separate"/>
    </w:r>
    <w:r>
      <w:t xml:space="preserve"> </w:t>
    </w:r>
    <w:r>
      <w:fldChar w:fldCharType="end"/>
    </w:r>
  </w:p>
  <w:p w14:paraId="652AB78C">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A4B3">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F61D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EA4B">
    <w:pPr>
      <w:pStyle w:val="17"/>
      <w:pBdr>
        <w:bottom w:val="none" w:color="auto" w:sz="0" w:space="1"/>
      </w:pBdr>
      <w:tabs>
        <w:tab w:val="right" w:pos="14015"/>
        <w:tab w:val="clear" w:pos="4153"/>
        <w:tab w:val="clear" w:pos="8306"/>
      </w:tabs>
      <w:jc w:val="both"/>
    </w:pPr>
    <w:r>
      <w:rPr>
        <w:rFonts w:ascii="宋体" w:eastAsia="宋体"/>
        <w:spacing w:val="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D111">
    <w:pPr>
      <w:pStyle w:val="17"/>
      <w:jc w:val="left"/>
    </w:pPr>
    <w:r>
      <w:rPr>
        <w:rFonts w:hint="eastAsia" w:ascii="宋体" w:eastAsia="宋体"/>
        <w:spacing w:val="0"/>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0325"/>
    <w:multiLevelType w:val="singleLevel"/>
    <w:tmpl w:val="833F0325"/>
    <w:lvl w:ilvl="0" w:tentative="0">
      <w:start w:val="1"/>
      <w:numFmt w:val="decimal"/>
      <w:suff w:val="space"/>
      <w:lvlText w:val="%1)"/>
      <w:lvlJc w:val="left"/>
    </w:lvl>
  </w:abstractNum>
  <w:abstractNum w:abstractNumId="1">
    <w:nsid w:val="851DD93E"/>
    <w:multiLevelType w:val="singleLevel"/>
    <w:tmpl w:val="851DD93E"/>
    <w:lvl w:ilvl="0" w:tentative="0">
      <w:start w:val="1"/>
      <w:numFmt w:val="decimal"/>
      <w:suff w:val="nothing"/>
      <w:lvlText w:val="（%1）"/>
      <w:lvlJc w:val="left"/>
    </w:lvl>
  </w:abstractNum>
  <w:abstractNum w:abstractNumId="2">
    <w:nsid w:val="96D6B430"/>
    <w:multiLevelType w:val="singleLevel"/>
    <w:tmpl w:val="96D6B430"/>
    <w:lvl w:ilvl="0" w:tentative="0">
      <w:start w:val="1"/>
      <w:numFmt w:val="decimal"/>
      <w:suff w:val="nothing"/>
      <w:lvlText w:val="（%1）"/>
      <w:lvlJc w:val="left"/>
    </w:lvl>
  </w:abstractNum>
  <w:abstractNum w:abstractNumId="3">
    <w:nsid w:val="9796C544"/>
    <w:multiLevelType w:val="singleLevel"/>
    <w:tmpl w:val="9796C544"/>
    <w:lvl w:ilvl="0" w:tentative="0">
      <w:start w:val="1"/>
      <w:numFmt w:val="decimal"/>
      <w:suff w:val="space"/>
      <w:lvlText w:val="%1."/>
      <w:lvlJc w:val="left"/>
      <w:rPr>
        <w:rFonts w:hint="default"/>
        <w:b/>
        <w:bCs/>
      </w:rPr>
    </w:lvl>
  </w:abstractNum>
  <w:abstractNum w:abstractNumId="4">
    <w:nsid w:val="AF1998C8"/>
    <w:multiLevelType w:val="singleLevel"/>
    <w:tmpl w:val="AF1998C8"/>
    <w:lvl w:ilvl="0" w:tentative="0">
      <w:start w:val="1"/>
      <w:numFmt w:val="decimal"/>
      <w:suff w:val="nothing"/>
      <w:lvlText w:val="（%1）"/>
      <w:lvlJc w:val="left"/>
    </w:lvl>
  </w:abstractNum>
  <w:abstractNum w:abstractNumId="5">
    <w:nsid w:val="B6F297BB"/>
    <w:multiLevelType w:val="singleLevel"/>
    <w:tmpl w:val="B6F297BB"/>
    <w:lvl w:ilvl="0" w:tentative="0">
      <w:start w:val="1"/>
      <w:numFmt w:val="decimal"/>
      <w:suff w:val="nothing"/>
      <w:lvlText w:val="（%1）"/>
      <w:lvlJc w:val="left"/>
    </w:lvl>
  </w:abstractNum>
  <w:abstractNum w:abstractNumId="6">
    <w:nsid w:val="B7D1A114"/>
    <w:multiLevelType w:val="singleLevel"/>
    <w:tmpl w:val="B7D1A114"/>
    <w:lvl w:ilvl="0" w:tentative="0">
      <w:start w:val="1"/>
      <w:numFmt w:val="decimal"/>
      <w:suff w:val="nothing"/>
      <w:lvlText w:val="（%1）"/>
      <w:lvlJc w:val="left"/>
    </w:lvl>
  </w:abstractNum>
  <w:abstractNum w:abstractNumId="7">
    <w:nsid w:val="B7FDB8F9"/>
    <w:multiLevelType w:val="singleLevel"/>
    <w:tmpl w:val="B7FDB8F9"/>
    <w:lvl w:ilvl="0" w:tentative="0">
      <w:start w:val="1"/>
      <w:numFmt w:val="decimal"/>
      <w:suff w:val="nothing"/>
      <w:lvlText w:val="（%1）"/>
      <w:lvlJc w:val="left"/>
    </w:lvl>
  </w:abstractNum>
  <w:abstractNum w:abstractNumId="8">
    <w:nsid w:val="BAA206A1"/>
    <w:multiLevelType w:val="singleLevel"/>
    <w:tmpl w:val="BAA206A1"/>
    <w:lvl w:ilvl="0" w:tentative="0">
      <w:start w:val="1"/>
      <w:numFmt w:val="decimal"/>
      <w:suff w:val="nothing"/>
      <w:lvlText w:val="（%1）"/>
      <w:lvlJc w:val="left"/>
    </w:lvl>
  </w:abstractNum>
  <w:abstractNum w:abstractNumId="9">
    <w:nsid w:val="C0203E50"/>
    <w:multiLevelType w:val="singleLevel"/>
    <w:tmpl w:val="C0203E50"/>
    <w:lvl w:ilvl="0" w:tentative="0">
      <w:start w:val="1"/>
      <w:numFmt w:val="chineseCounting"/>
      <w:suff w:val="nothing"/>
      <w:lvlText w:val="%1、"/>
      <w:lvlJc w:val="left"/>
      <w:rPr>
        <w:rFonts w:hint="eastAsia"/>
      </w:rPr>
    </w:lvl>
  </w:abstractNum>
  <w:abstractNum w:abstractNumId="10">
    <w:nsid w:val="D2CEC853"/>
    <w:multiLevelType w:val="singleLevel"/>
    <w:tmpl w:val="D2CEC853"/>
    <w:lvl w:ilvl="0" w:tentative="0">
      <w:start w:val="1"/>
      <w:numFmt w:val="decimal"/>
      <w:suff w:val="nothing"/>
      <w:lvlText w:val="（%1）"/>
      <w:lvlJc w:val="left"/>
    </w:lvl>
  </w:abstractNum>
  <w:abstractNum w:abstractNumId="11">
    <w:nsid w:val="D7811A8A"/>
    <w:multiLevelType w:val="singleLevel"/>
    <w:tmpl w:val="D7811A8A"/>
    <w:lvl w:ilvl="0" w:tentative="0">
      <w:start w:val="1"/>
      <w:numFmt w:val="decimal"/>
      <w:suff w:val="nothing"/>
      <w:lvlText w:val="（%1）"/>
      <w:lvlJc w:val="left"/>
    </w:lvl>
  </w:abstractNum>
  <w:abstractNum w:abstractNumId="12">
    <w:nsid w:val="EEAB46D4"/>
    <w:multiLevelType w:val="singleLevel"/>
    <w:tmpl w:val="EEAB46D4"/>
    <w:lvl w:ilvl="0" w:tentative="0">
      <w:start w:val="1"/>
      <w:numFmt w:val="decimal"/>
      <w:suff w:val="nothing"/>
      <w:lvlText w:val="（%1）"/>
      <w:lvlJc w:val="left"/>
      <w:rPr>
        <w:rFonts w:hint="default"/>
        <w:b w:val="0"/>
        <w:bCs w:val="0"/>
      </w:rPr>
    </w:lvl>
  </w:abstractNum>
  <w:abstractNum w:abstractNumId="13">
    <w:nsid w:val="F39E82E5"/>
    <w:multiLevelType w:val="singleLevel"/>
    <w:tmpl w:val="F39E82E5"/>
    <w:lvl w:ilvl="0" w:tentative="0">
      <w:start w:val="1"/>
      <w:numFmt w:val="decimal"/>
      <w:suff w:val="nothing"/>
      <w:lvlText w:val="（%1）"/>
      <w:lvlJc w:val="left"/>
    </w:lvl>
  </w:abstractNum>
  <w:abstractNum w:abstractNumId="14">
    <w:nsid w:val="F89E71B0"/>
    <w:multiLevelType w:val="singleLevel"/>
    <w:tmpl w:val="F89E71B0"/>
    <w:lvl w:ilvl="0" w:tentative="0">
      <w:start w:val="1"/>
      <w:numFmt w:val="decimal"/>
      <w:suff w:val="nothing"/>
      <w:lvlText w:val="（%1）"/>
      <w:lvlJc w:val="left"/>
    </w:lvl>
  </w:abstractNum>
  <w:abstractNum w:abstractNumId="15">
    <w:nsid w:val="F950A99E"/>
    <w:multiLevelType w:val="singleLevel"/>
    <w:tmpl w:val="F950A99E"/>
    <w:lvl w:ilvl="0" w:tentative="0">
      <w:start w:val="1"/>
      <w:numFmt w:val="decimal"/>
      <w:suff w:val="nothing"/>
      <w:lvlText w:val="（%1）"/>
      <w:lvlJc w:val="left"/>
    </w:lvl>
  </w:abstractNum>
  <w:abstractNum w:abstractNumId="16">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7">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8">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9">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0">
    <w:nsid w:val="00B17E0B"/>
    <w:multiLevelType w:val="singleLevel"/>
    <w:tmpl w:val="00B17E0B"/>
    <w:lvl w:ilvl="0" w:tentative="0">
      <w:start w:val="1"/>
      <w:numFmt w:val="decimal"/>
      <w:suff w:val="nothing"/>
      <w:lvlText w:val="（%1）"/>
      <w:lvlJc w:val="left"/>
    </w:lvl>
  </w:abstractNum>
  <w:abstractNum w:abstractNumId="21">
    <w:nsid w:val="030B2B49"/>
    <w:multiLevelType w:val="singleLevel"/>
    <w:tmpl w:val="030B2B49"/>
    <w:lvl w:ilvl="0" w:tentative="0">
      <w:start w:val="1"/>
      <w:numFmt w:val="decimal"/>
      <w:suff w:val="nothing"/>
      <w:lvlText w:val="（%1）"/>
      <w:lvlJc w:val="left"/>
    </w:lvl>
  </w:abstractNum>
  <w:abstractNum w:abstractNumId="22">
    <w:nsid w:val="0783C4C0"/>
    <w:multiLevelType w:val="singleLevel"/>
    <w:tmpl w:val="0783C4C0"/>
    <w:lvl w:ilvl="0" w:tentative="0">
      <w:start w:val="1"/>
      <w:numFmt w:val="decimal"/>
      <w:suff w:val="space"/>
      <w:lvlText w:val="%1)"/>
      <w:lvlJc w:val="left"/>
      <w:rPr>
        <w:rFonts w:hint="default" w:ascii="宋体" w:hAnsi="宋体" w:eastAsia="宋体" w:cs="宋体"/>
      </w:rPr>
    </w:lvl>
  </w:abstractNum>
  <w:abstractNum w:abstractNumId="23">
    <w:nsid w:val="113A7728"/>
    <w:multiLevelType w:val="singleLevel"/>
    <w:tmpl w:val="113A7728"/>
    <w:lvl w:ilvl="0" w:tentative="0">
      <w:start w:val="1"/>
      <w:numFmt w:val="decimal"/>
      <w:suff w:val="nothing"/>
      <w:lvlText w:val="（%1）"/>
      <w:lvlJc w:val="left"/>
    </w:lvl>
  </w:abstractNum>
  <w:abstractNum w:abstractNumId="24">
    <w:nsid w:val="1636DF99"/>
    <w:multiLevelType w:val="singleLevel"/>
    <w:tmpl w:val="1636DF99"/>
    <w:lvl w:ilvl="0" w:tentative="0">
      <w:start w:val="1"/>
      <w:numFmt w:val="decimal"/>
      <w:suff w:val="nothing"/>
      <w:lvlText w:val="（%1）"/>
      <w:lvlJc w:val="left"/>
      <w:rPr>
        <w:rFonts w:hint="default"/>
        <w:b w:val="0"/>
        <w:bCs w:val="0"/>
      </w:rPr>
    </w:lvl>
  </w:abstractNum>
  <w:abstractNum w:abstractNumId="25">
    <w:nsid w:val="168DA2D2"/>
    <w:multiLevelType w:val="singleLevel"/>
    <w:tmpl w:val="168DA2D2"/>
    <w:lvl w:ilvl="0" w:tentative="0">
      <w:start w:val="1"/>
      <w:numFmt w:val="decimal"/>
      <w:suff w:val="nothing"/>
      <w:lvlText w:val="（%1）"/>
      <w:lvlJc w:val="left"/>
      <w:rPr>
        <w:rFonts w:hint="default"/>
        <w:b w:val="0"/>
        <w:bCs w:val="0"/>
      </w:rPr>
    </w:lvl>
  </w:abstractNum>
  <w:abstractNum w:abstractNumId="26">
    <w:nsid w:val="16B30743"/>
    <w:multiLevelType w:val="multilevel"/>
    <w:tmpl w:val="16B30743"/>
    <w:lvl w:ilvl="0" w:tentative="0">
      <w:start w:val="1"/>
      <w:numFmt w:val="decimal"/>
      <w:lvlText w:val="%1、"/>
      <w:lvlJc w:val="left"/>
      <w:pPr>
        <w:tabs>
          <w:tab w:val="left" w:pos="0"/>
        </w:tabs>
        <w:ind w:left="732" w:hanging="360"/>
      </w:pPr>
      <w:rPr>
        <w:rFonts w:hint="default"/>
      </w:rPr>
    </w:lvl>
    <w:lvl w:ilvl="1" w:tentative="0">
      <w:start w:val="1"/>
      <w:numFmt w:val="lowerLetter"/>
      <w:lvlText w:val="%2)"/>
      <w:lvlJc w:val="left"/>
      <w:pPr>
        <w:tabs>
          <w:tab w:val="left" w:pos="0"/>
        </w:tabs>
        <w:ind w:left="1212" w:hanging="420"/>
      </w:pPr>
    </w:lvl>
    <w:lvl w:ilvl="2" w:tentative="0">
      <w:start w:val="1"/>
      <w:numFmt w:val="lowerRoman"/>
      <w:lvlText w:val="%3."/>
      <w:lvlJc w:val="right"/>
      <w:pPr>
        <w:tabs>
          <w:tab w:val="left" w:pos="0"/>
        </w:tabs>
        <w:ind w:left="1632" w:hanging="420"/>
      </w:pPr>
    </w:lvl>
    <w:lvl w:ilvl="3" w:tentative="0">
      <w:start w:val="1"/>
      <w:numFmt w:val="decimal"/>
      <w:lvlText w:val="%4."/>
      <w:lvlJc w:val="left"/>
      <w:pPr>
        <w:tabs>
          <w:tab w:val="left" w:pos="0"/>
        </w:tabs>
        <w:ind w:left="2052" w:hanging="420"/>
      </w:pPr>
    </w:lvl>
    <w:lvl w:ilvl="4" w:tentative="0">
      <w:start w:val="1"/>
      <w:numFmt w:val="lowerLetter"/>
      <w:lvlText w:val="%5)"/>
      <w:lvlJc w:val="left"/>
      <w:pPr>
        <w:tabs>
          <w:tab w:val="left" w:pos="0"/>
        </w:tabs>
        <w:ind w:left="2472" w:hanging="420"/>
      </w:pPr>
    </w:lvl>
    <w:lvl w:ilvl="5" w:tentative="0">
      <w:start w:val="1"/>
      <w:numFmt w:val="lowerRoman"/>
      <w:lvlText w:val="%6."/>
      <w:lvlJc w:val="right"/>
      <w:pPr>
        <w:tabs>
          <w:tab w:val="left" w:pos="0"/>
        </w:tabs>
        <w:ind w:left="2892" w:hanging="420"/>
      </w:pPr>
    </w:lvl>
    <w:lvl w:ilvl="6" w:tentative="0">
      <w:start w:val="1"/>
      <w:numFmt w:val="decimal"/>
      <w:lvlText w:val="%7."/>
      <w:lvlJc w:val="left"/>
      <w:pPr>
        <w:tabs>
          <w:tab w:val="left" w:pos="0"/>
        </w:tabs>
        <w:ind w:left="3312" w:hanging="420"/>
      </w:pPr>
    </w:lvl>
    <w:lvl w:ilvl="7" w:tentative="0">
      <w:start w:val="1"/>
      <w:numFmt w:val="lowerLetter"/>
      <w:lvlText w:val="%8)"/>
      <w:lvlJc w:val="left"/>
      <w:pPr>
        <w:tabs>
          <w:tab w:val="left" w:pos="0"/>
        </w:tabs>
        <w:ind w:left="3732" w:hanging="420"/>
      </w:pPr>
    </w:lvl>
    <w:lvl w:ilvl="8" w:tentative="0">
      <w:start w:val="1"/>
      <w:numFmt w:val="lowerRoman"/>
      <w:lvlText w:val="%9."/>
      <w:lvlJc w:val="right"/>
      <w:pPr>
        <w:tabs>
          <w:tab w:val="left" w:pos="0"/>
        </w:tabs>
        <w:ind w:left="4152" w:hanging="420"/>
      </w:pPr>
    </w:lvl>
  </w:abstractNum>
  <w:abstractNum w:abstractNumId="27">
    <w:nsid w:val="17125421"/>
    <w:multiLevelType w:val="singleLevel"/>
    <w:tmpl w:val="17125421"/>
    <w:lvl w:ilvl="0" w:tentative="0">
      <w:start w:val="1"/>
      <w:numFmt w:val="decimal"/>
      <w:suff w:val="nothing"/>
      <w:lvlText w:val="（%1）"/>
      <w:lvlJc w:val="left"/>
    </w:lvl>
  </w:abstractNum>
  <w:abstractNum w:abstractNumId="28">
    <w:nsid w:val="17C155D7"/>
    <w:multiLevelType w:val="singleLevel"/>
    <w:tmpl w:val="17C155D7"/>
    <w:lvl w:ilvl="0" w:tentative="0">
      <w:start w:val="1"/>
      <w:numFmt w:val="decimal"/>
      <w:suff w:val="nothing"/>
      <w:lvlText w:val="（%1）"/>
      <w:lvlJc w:val="left"/>
    </w:lvl>
  </w:abstractNum>
  <w:abstractNum w:abstractNumId="29">
    <w:nsid w:val="19C335FC"/>
    <w:multiLevelType w:val="singleLevel"/>
    <w:tmpl w:val="19C335FC"/>
    <w:lvl w:ilvl="0" w:tentative="0">
      <w:start w:val="1"/>
      <w:numFmt w:val="decimal"/>
      <w:suff w:val="nothing"/>
      <w:lvlText w:val="（%1）"/>
      <w:lvlJc w:val="left"/>
    </w:lvl>
  </w:abstractNum>
  <w:abstractNum w:abstractNumId="30">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31">
    <w:nsid w:val="208871EE"/>
    <w:multiLevelType w:val="singleLevel"/>
    <w:tmpl w:val="208871EE"/>
    <w:lvl w:ilvl="0" w:tentative="0">
      <w:start w:val="1"/>
      <w:numFmt w:val="decimal"/>
      <w:suff w:val="nothing"/>
      <w:lvlText w:val="（%1）"/>
      <w:lvlJc w:val="left"/>
    </w:lvl>
  </w:abstractNum>
  <w:abstractNum w:abstractNumId="32">
    <w:nsid w:val="253B9D6A"/>
    <w:multiLevelType w:val="singleLevel"/>
    <w:tmpl w:val="253B9D6A"/>
    <w:lvl w:ilvl="0" w:tentative="0">
      <w:start w:val="2"/>
      <w:numFmt w:val="chineseCounting"/>
      <w:suff w:val="nothing"/>
      <w:lvlText w:val="%1、"/>
      <w:lvlJc w:val="left"/>
      <w:rPr>
        <w:rFonts w:hint="eastAsia"/>
      </w:rPr>
    </w:lvl>
  </w:abstractNum>
  <w:abstractNum w:abstractNumId="33">
    <w:nsid w:val="2893AB59"/>
    <w:multiLevelType w:val="singleLevel"/>
    <w:tmpl w:val="2893AB59"/>
    <w:lvl w:ilvl="0" w:tentative="0">
      <w:start w:val="1"/>
      <w:numFmt w:val="decimal"/>
      <w:suff w:val="nothing"/>
      <w:lvlText w:val="（%1）"/>
      <w:lvlJc w:val="left"/>
      <w:rPr>
        <w:rFonts w:hint="default"/>
        <w:b w:val="0"/>
        <w:bCs w:val="0"/>
      </w:rPr>
    </w:lvl>
  </w:abstractNum>
  <w:abstractNum w:abstractNumId="34">
    <w:nsid w:val="332A1AE9"/>
    <w:multiLevelType w:val="singleLevel"/>
    <w:tmpl w:val="332A1AE9"/>
    <w:lvl w:ilvl="0" w:tentative="0">
      <w:start w:val="1"/>
      <w:numFmt w:val="decimal"/>
      <w:suff w:val="nothing"/>
      <w:lvlText w:val="（%1）"/>
      <w:lvlJc w:val="left"/>
    </w:lvl>
  </w:abstractNum>
  <w:abstractNum w:abstractNumId="35">
    <w:nsid w:val="347B5F73"/>
    <w:multiLevelType w:val="singleLevel"/>
    <w:tmpl w:val="347B5F73"/>
    <w:lvl w:ilvl="0" w:tentative="0">
      <w:start w:val="1"/>
      <w:numFmt w:val="decimal"/>
      <w:suff w:val="nothing"/>
      <w:lvlText w:val="（%1）"/>
      <w:lvlJc w:val="left"/>
    </w:lvl>
  </w:abstractNum>
  <w:abstractNum w:abstractNumId="36">
    <w:nsid w:val="3751F933"/>
    <w:multiLevelType w:val="singleLevel"/>
    <w:tmpl w:val="3751F933"/>
    <w:lvl w:ilvl="0" w:tentative="0">
      <w:start w:val="1"/>
      <w:numFmt w:val="decimal"/>
      <w:suff w:val="nothing"/>
      <w:lvlText w:val="（%1）"/>
      <w:lvlJc w:val="left"/>
    </w:lvl>
  </w:abstractNum>
  <w:abstractNum w:abstractNumId="37">
    <w:nsid w:val="3D1CC3AA"/>
    <w:multiLevelType w:val="singleLevel"/>
    <w:tmpl w:val="3D1CC3AA"/>
    <w:lvl w:ilvl="0" w:tentative="0">
      <w:start w:val="1"/>
      <w:numFmt w:val="decimal"/>
      <w:suff w:val="nothing"/>
      <w:lvlText w:val="（%1）"/>
      <w:lvlJc w:val="left"/>
    </w:lvl>
  </w:abstractNum>
  <w:abstractNum w:abstractNumId="38">
    <w:nsid w:val="3FDF9C33"/>
    <w:multiLevelType w:val="singleLevel"/>
    <w:tmpl w:val="3FDF9C33"/>
    <w:lvl w:ilvl="0" w:tentative="0">
      <w:start w:val="1"/>
      <w:numFmt w:val="decimal"/>
      <w:suff w:val="nothing"/>
      <w:lvlText w:val="（%1）"/>
      <w:lvlJc w:val="left"/>
    </w:lvl>
  </w:abstractNum>
  <w:abstractNum w:abstractNumId="39">
    <w:nsid w:val="41DF3027"/>
    <w:multiLevelType w:val="singleLevel"/>
    <w:tmpl w:val="41DF3027"/>
    <w:lvl w:ilvl="0" w:tentative="0">
      <w:start w:val="1"/>
      <w:numFmt w:val="decimal"/>
      <w:suff w:val="space"/>
      <w:lvlText w:val="%1)"/>
      <w:lvlJc w:val="left"/>
    </w:lvl>
  </w:abstractNum>
  <w:abstractNum w:abstractNumId="40">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41">
    <w:nsid w:val="47321D44"/>
    <w:multiLevelType w:val="multilevel"/>
    <w:tmpl w:val="47321D44"/>
    <w:lvl w:ilvl="0" w:tentative="0">
      <w:start w:val="1"/>
      <w:numFmt w:val="decimal"/>
      <w:lvlText w:val="（%1）"/>
      <w:lvlJc w:val="left"/>
      <w:pPr>
        <w:tabs>
          <w:tab w:val="left" w:pos="1080"/>
        </w:tabs>
        <w:ind w:left="1158" w:hanging="600"/>
      </w:pPr>
    </w:lvl>
    <w:lvl w:ilvl="1" w:tentative="0">
      <w:start w:val="1"/>
      <w:numFmt w:val="lowerLetter"/>
      <w:lvlText w:val="%2)"/>
      <w:lvlJc w:val="left"/>
      <w:pPr>
        <w:tabs>
          <w:tab w:val="left" w:pos="1320"/>
        </w:tabs>
        <w:ind w:left="1398" w:hanging="420"/>
      </w:pPr>
    </w:lvl>
    <w:lvl w:ilvl="2" w:tentative="0">
      <w:start w:val="1"/>
      <w:numFmt w:val="lowerRoman"/>
      <w:lvlText w:val="%3."/>
      <w:lvlJc w:val="right"/>
      <w:pPr>
        <w:tabs>
          <w:tab w:val="left" w:pos="1740"/>
        </w:tabs>
        <w:ind w:left="1818" w:hanging="420"/>
      </w:pPr>
    </w:lvl>
    <w:lvl w:ilvl="3" w:tentative="0">
      <w:start w:val="1"/>
      <w:numFmt w:val="decimal"/>
      <w:lvlText w:val="%4."/>
      <w:lvlJc w:val="left"/>
      <w:pPr>
        <w:tabs>
          <w:tab w:val="left" w:pos="2160"/>
        </w:tabs>
        <w:ind w:left="2238" w:hanging="420"/>
      </w:pPr>
    </w:lvl>
    <w:lvl w:ilvl="4" w:tentative="0">
      <w:start w:val="1"/>
      <w:numFmt w:val="lowerLetter"/>
      <w:lvlText w:val="%5)"/>
      <w:lvlJc w:val="left"/>
      <w:pPr>
        <w:tabs>
          <w:tab w:val="left" w:pos="2580"/>
        </w:tabs>
        <w:ind w:left="2658" w:hanging="420"/>
      </w:pPr>
    </w:lvl>
    <w:lvl w:ilvl="5" w:tentative="0">
      <w:start w:val="1"/>
      <w:numFmt w:val="lowerRoman"/>
      <w:lvlText w:val="%6."/>
      <w:lvlJc w:val="right"/>
      <w:pPr>
        <w:tabs>
          <w:tab w:val="left" w:pos="3000"/>
        </w:tabs>
        <w:ind w:left="3078" w:hanging="420"/>
      </w:pPr>
    </w:lvl>
    <w:lvl w:ilvl="6" w:tentative="0">
      <w:start w:val="1"/>
      <w:numFmt w:val="decimal"/>
      <w:lvlText w:val="%7."/>
      <w:lvlJc w:val="left"/>
      <w:pPr>
        <w:tabs>
          <w:tab w:val="left" w:pos="3420"/>
        </w:tabs>
        <w:ind w:left="3498" w:hanging="420"/>
      </w:pPr>
    </w:lvl>
    <w:lvl w:ilvl="7" w:tentative="0">
      <w:start w:val="1"/>
      <w:numFmt w:val="lowerLetter"/>
      <w:lvlText w:val="%8)"/>
      <w:lvlJc w:val="left"/>
      <w:pPr>
        <w:tabs>
          <w:tab w:val="left" w:pos="3840"/>
        </w:tabs>
        <w:ind w:left="3918" w:hanging="420"/>
      </w:pPr>
    </w:lvl>
    <w:lvl w:ilvl="8" w:tentative="0">
      <w:start w:val="1"/>
      <w:numFmt w:val="lowerRoman"/>
      <w:lvlText w:val="%9."/>
      <w:lvlJc w:val="right"/>
      <w:pPr>
        <w:tabs>
          <w:tab w:val="left" w:pos="4260"/>
        </w:tabs>
        <w:ind w:left="4338" w:hanging="420"/>
      </w:pPr>
    </w:lvl>
  </w:abstractNum>
  <w:abstractNum w:abstractNumId="42">
    <w:nsid w:val="4DBE8400"/>
    <w:multiLevelType w:val="singleLevel"/>
    <w:tmpl w:val="4DBE8400"/>
    <w:lvl w:ilvl="0" w:tentative="0">
      <w:start w:val="1"/>
      <w:numFmt w:val="decimal"/>
      <w:suff w:val="nothing"/>
      <w:lvlText w:val="（%1）"/>
      <w:lvlJc w:val="left"/>
    </w:lvl>
  </w:abstractNum>
  <w:abstractNum w:abstractNumId="43">
    <w:nsid w:val="59F48748"/>
    <w:multiLevelType w:val="singleLevel"/>
    <w:tmpl w:val="59F48748"/>
    <w:lvl w:ilvl="0" w:tentative="0">
      <w:start w:val="1"/>
      <w:numFmt w:val="decimal"/>
      <w:suff w:val="space"/>
      <w:lvlText w:val="%1)"/>
      <w:lvlJc w:val="left"/>
    </w:lvl>
  </w:abstractNum>
  <w:abstractNum w:abstractNumId="44">
    <w:nsid w:val="70E8071F"/>
    <w:multiLevelType w:val="singleLevel"/>
    <w:tmpl w:val="70E8071F"/>
    <w:lvl w:ilvl="0" w:tentative="0">
      <w:start w:val="1"/>
      <w:numFmt w:val="decimal"/>
      <w:suff w:val="nothing"/>
      <w:lvlText w:val="（%1）"/>
      <w:lvlJc w:val="left"/>
    </w:lvl>
  </w:abstractNum>
  <w:abstractNum w:abstractNumId="45">
    <w:nsid w:val="725C8740"/>
    <w:multiLevelType w:val="singleLevel"/>
    <w:tmpl w:val="725C8740"/>
    <w:lvl w:ilvl="0" w:tentative="0">
      <w:start w:val="1"/>
      <w:numFmt w:val="decimal"/>
      <w:suff w:val="nothing"/>
      <w:lvlText w:val="（%1）"/>
      <w:lvlJc w:val="left"/>
    </w:lvl>
  </w:abstractNum>
  <w:abstractNum w:abstractNumId="46">
    <w:nsid w:val="79CC201F"/>
    <w:multiLevelType w:val="singleLevel"/>
    <w:tmpl w:val="79CC201F"/>
    <w:lvl w:ilvl="0" w:tentative="0">
      <w:start w:val="1"/>
      <w:numFmt w:val="decimal"/>
      <w:suff w:val="nothing"/>
      <w:lvlText w:val="（%1）"/>
      <w:lvlJc w:val="left"/>
    </w:lvl>
  </w:abstractNum>
  <w:abstractNum w:abstractNumId="47">
    <w:nsid w:val="7F63DCDD"/>
    <w:multiLevelType w:val="multilevel"/>
    <w:tmpl w:val="7F63DCDD"/>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1"/>
  </w:num>
  <w:num w:numId="2">
    <w:abstractNumId w:val="47"/>
  </w:num>
  <w:num w:numId="3">
    <w:abstractNumId w:val="14"/>
  </w:num>
  <w:num w:numId="4">
    <w:abstractNumId w:val="22"/>
  </w:num>
  <w:num w:numId="5">
    <w:abstractNumId w:val="34"/>
  </w:num>
  <w:num w:numId="6">
    <w:abstractNumId w:val="12"/>
  </w:num>
  <w:num w:numId="7">
    <w:abstractNumId w:val="27"/>
  </w:num>
  <w:num w:numId="8">
    <w:abstractNumId w:val="46"/>
  </w:num>
  <w:num w:numId="9">
    <w:abstractNumId w:val="1"/>
  </w:num>
  <w:num w:numId="10">
    <w:abstractNumId w:val="31"/>
  </w:num>
  <w:num w:numId="11">
    <w:abstractNumId w:val="33"/>
  </w:num>
  <w:num w:numId="12">
    <w:abstractNumId w:val="2"/>
  </w:num>
  <w:num w:numId="13">
    <w:abstractNumId w:val="25"/>
  </w:num>
  <w:num w:numId="14">
    <w:abstractNumId w:val="13"/>
  </w:num>
  <w:num w:numId="15">
    <w:abstractNumId w:val="0"/>
  </w:num>
  <w:num w:numId="16">
    <w:abstractNumId w:val="28"/>
  </w:num>
  <w:num w:numId="17">
    <w:abstractNumId w:val="4"/>
  </w:num>
  <w:num w:numId="18">
    <w:abstractNumId w:val="29"/>
  </w:num>
  <w:num w:numId="19">
    <w:abstractNumId w:val="8"/>
  </w:num>
  <w:num w:numId="20">
    <w:abstractNumId w:val="10"/>
  </w:num>
  <w:num w:numId="21">
    <w:abstractNumId w:val="45"/>
  </w:num>
  <w:num w:numId="22">
    <w:abstractNumId w:val="5"/>
  </w:num>
  <w:num w:numId="23">
    <w:abstractNumId w:val="36"/>
  </w:num>
  <w:num w:numId="24">
    <w:abstractNumId w:val="21"/>
  </w:num>
  <w:num w:numId="25">
    <w:abstractNumId w:val="35"/>
  </w:num>
  <w:num w:numId="26">
    <w:abstractNumId w:val="23"/>
  </w:num>
  <w:num w:numId="27">
    <w:abstractNumId w:val="39"/>
  </w:num>
  <w:num w:numId="28">
    <w:abstractNumId w:val="44"/>
  </w:num>
  <w:num w:numId="29">
    <w:abstractNumId w:val="43"/>
  </w:num>
  <w:num w:numId="30">
    <w:abstractNumId w:val="37"/>
  </w:num>
  <w:num w:numId="31">
    <w:abstractNumId w:val="38"/>
  </w:num>
  <w:num w:numId="32">
    <w:abstractNumId w:val="9"/>
  </w:num>
  <w:num w:numId="33">
    <w:abstractNumId w:val="7"/>
  </w:num>
  <w:num w:numId="34">
    <w:abstractNumId w:val="32"/>
  </w:num>
  <w:num w:numId="35">
    <w:abstractNumId w:val="3"/>
  </w:num>
  <w:num w:numId="36">
    <w:abstractNumId w:val="6"/>
  </w:num>
  <w:num w:numId="37">
    <w:abstractNumId w:val="20"/>
  </w:num>
  <w:num w:numId="38">
    <w:abstractNumId w:val="42"/>
  </w:num>
  <w:num w:numId="39">
    <w:abstractNumId w:val="15"/>
  </w:num>
  <w:num w:numId="40">
    <w:abstractNumId w:val="24"/>
  </w:num>
  <w:num w:numId="41">
    <w:abstractNumId w:val="41"/>
  </w:num>
  <w:num w:numId="42">
    <w:abstractNumId w:val="26"/>
  </w:num>
  <w:num w:numId="43">
    <w:abstractNumId w:val="18"/>
  </w:num>
  <w:num w:numId="44">
    <w:abstractNumId w:val="17"/>
  </w:num>
  <w:num w:numId="45">
    <w:abstractNumId w:val="19"/>
  </w:num>
  <w:num w:numId="46">
    <w:abstractNumId w:val="40"/>
  </w:num>
  <w:num w:numId="47">
    <w:abstractNumId w:val="3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74D44A4"/>
    <w:rsid w:val="0FCE44FB"/>
    <w:rsid w:val="123E3DF1"/>
    <w:rsid w:val="36CE23EA"/>
    <w:rsid w:val="5FA650F9"/>
    <w:rsid w:val="60C9500F"/>
    <w:rsid w:val="657D0253"/>
    <w:rsid w:val="681419D0"/>
    <w:rsid w:val="6F04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qFormat="1"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qFormat="1" w:unhideWhenUsed="0" w:uiPriority="0"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qFormat="1" w:unhideWhenUsed="0" w:uiPriority="0"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4"/>
    <w:link w:val="28"/>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9"/>
    <w:qFormat/>
    <w:locked/>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30"/>
    <w:qFormat/>
    <w:locked/>
    <w:uiPriority w:val="0"/>
    <w:pPr>
      <w:outlineLvl w:val="2"/>
    </w:pPr>
    <w:rPr>
      <w:b/>
      <w:bCs/>
      <w:szCs w:val="32"/>
    </w:rPr>
  </w:style>
  <w:style w:type="paragraph" w:styleId="6">
    <w:name w:val="heading 4"/>
    <w:basedOn w:val="1"/>
    <w:next w:val="1"/>
    <w:link w:val="31"/>
    <w:qFormat/>
    <w:locked/>
    <w:uiPriority w:val="0"/>
    <w:pPr>
      <w:outlineLvl w:val="3"/>
    </w:pPr>
    <w:rPr>
      <w:rFonts w:cs="Times New Roman"/>
      <w:bCs/>
      <w:szCs w:val="28"/>
    </w:rPr>
  </w:style>
  <w:style w:type="paragraph" w:styleId="7">
    <w:name w:val="heading 5"/>
    <w:basedOn w:val="1"/>
    <w:next w:val="1"/>
    <w:link w:val="32"/>
    <w:qFormat/>
    <w:locked/>
    <w:uiPriority w:val="0"/>
    <w:pPr>
      <w:ind w:firstLine="0" w:firstLineChars="0"/>
      <w:jc w:val="center"/>
      <w:outlineLvl w:val="4"/>
    </w:pPr>
    <w:rPr>
      <w:b/>
      <w:sz w:val="28"/>
    </w:rPr>
  </w:style>
  <w:style w:type="paragraph" w:styleId="8">
    <w:name w:val="heading 6"/>
    <w:basedOn w:val="1"/>
    <w:next w:val="1"/>
    <w:link w:val="33"/>
    <w:qFormat/>
    <w:locked/>
    <w:uiPriority w:val="0"/>
    <w:pPr>
      <w:keepNext/>
      <w:keepLines/>
      <w:spacing w:before="240" w:after="64" w:line="317" w:lineRule="auto"/>
      <w:outlineLvl w:val="5"/>
    </w:pPr>
    <w:rPr>
      <w:rFonts w:eastAsia="黑体"/>
      <w:b/>
    </w:rPr>
  </w:style>
  <w:style w:type="paragraph" w:styleId="9">
    <w:name w:val="heading 7"/>
    <w:basedOn w:val="1"/>
    <w:next w:val="1"/>
    <w:link w:val="34"/>
    <w:qFormat/>
    <w:locked/>
    <w:uiPriority w:val="0"/>
    <w:pPr>
      <w:keepNext/>
      <w:keepLines/>
      <w:spacing w:before="240" w:after="64" w:line="317" w:lineRule="auto"/>
      <w:outlineLvl w:val="6"/>
    </w:pPr>
    <w:rPr>
      <w:b/>
    </w:rPr>
  </w:style>
  <w:style w:type="character" w:default="1" w:styleId="22">
    <w:name w:val="Default Paragraph Font"/>
    <w:qFormat/>
    <w:uiPriority w:val="0"/>
  </w:style>
  <w:style w:type="table" w:default="1" w:styleId="21">
    <w:name w:val="Normal Table"/>
    <w:qFormat/>
    <w:uiPriority w:val="4294967295"/>
    <w:tblPr>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10">
    <w:name w:val="annotation text"/>
    <w:basedOn w:val="1"/>
    <w:next w:val="11"/>
    <w:qFormat/>
    <w:locked/>
    <w:uiPriority w:val="0"/>
    <w:pPr>
      <w:jc w:val="left"/>
    </w:pPr>
  </w:style>
  <w:style w:type="paragraph" w:styleId="11">
    <w:name w:val="toc 1"/>
    <w:basedOn w:val="1"/>
    <w:next w:val="1"/>
    <w:qFormat/>
    <w:locked/>
    <w:uiPriority w:val="0"/>
  </w:style>
  <w:style w:type="paragraph" w:styleId="12">
    <w:name w:val="Body Text Indent"/>
    <w:basedOn w:val="1"/>
    <w:qFormat/>
    <w:uiPriority w:val="0"/>
    <w:pPr>
      <w:spacing w:before="50" w:beforeLines="50" w:line="400" w:lineRule="exact"/>
      <w:ind w:left="150" w:leftChars="150"/>
    </w:pPr>
  </w:style>
  <w:style w:type="paragraph" w:styleId="13">
    <w:name w:val="Plain Text"/>
    <w:basedOn w:val="1"/>
    <w:qFormat/>
    <w:uiPriority w:val="0"/>
    <w:rPr>
      <w:rFonts w:ascii="宋体" w:eastAsia="宋体"/>
      <w:spacing w:val="0"/>
      <w:sz w:val="21"/>
      <w:szCs w:val="21"/>
    </w:rPr>
  </w:style>
  <w:style w:type="paragraph" w:styleId="14">
    <w:name w:val="Body Text Indent 2"/>
    <w:basedOn w:val="1"/>
    <w:qFormat/>
    <w:uiPriority w:val="0"/>
    <w:pPr>
      <w:spacing w:before="50" w:beforeLines="50" w:line="400" w:lineRule="exact"/>
      <w:ind w:firstLine="200" w:firstLineChars="200"/>
    </w:pPr>
  </w:style>
  <w:style w:type="paragraph" w:styleId="15">
    <w:name w:val="Balloon Text"/>
    <w:basedOn w:val="1"/>
    <w:qFormat/>
    <w:uiPriority w:val="0"/>
    <w:pPr>
      <w:spacing w:line="240" w:lineRule="auto"/>
    </w:pPr>
    <w:rPr>
      <w:sz w:val="18"/>
      <w:szCs w:val="18"/>
    </w:rPr>
  </w:style>
  <w:style w:type="paragraph" w:styleId="16">
    <w:name w:val="footer"/>
    <w:basedOn w:val="1"/>
    <w:qFormat/>
    <w:locked/>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qFormat/>
    <w:locked/>
    <w:uiPriority w:val="0"/>
    <w:pPr>
      <w:spacing w:before="240" w:after="60" w:line="312" w:lineRule="auto"/>
      <w:jc w:val="center"/>
      <w:outlineLvl w:val="1"/>
    </w:pPr>
    <w:rPr>
      <w:rFonts w:ascii="Arial" w:hAnsi="Arial"/>
      <w:b/>
      <w:kern w:val="28"/>
      <w:sz w:val="32"/>
    </w:rPr>
  </w:style>
  <w:style w:type="paragraph" w:styleId="19">
    <w:name w:val="footnote text"/>
    <w:basedOn w:val="1"/>
    <w:qFormat/>
    <w:uiPriority w:val="0"/>
    <w:pPr>
      <w:snapToGrid w:val="0"/>
      <w:jc w:val="left"/>
    </w:pPr>
    <w:rPr>
      <w:sz w:val="18"/>
    </w:rPr>
  </w:style>
  <w:style w:type="paragraph" w:styleId="20">
    <w:name w:val="Body Text First Indent 2"/>
    <w:basedOn w:val="12"/>
    <w:qFormat/>
    <w:uiPriority w:val="0"/>
    <w:pPr>
      <w:ind w:left="0" w:leftChars="0" w:firstLine="200" w:firstLineChars="200"/>
    </w:pPr>
    <w:rPr>
      <w:rFonts w:ascii="Times New Roman" w:hAnsi="Times New Roman" w:eastAsia="宋体"/>
    </w:rPr>
  </w:style>
  <w:style w:type="character" w:styleId="23">
    <w:name w:val="Strong"/>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annotation reference"/>
    <w:basedOn w:val="22"/>
    <w:qFormat/>
    <w:uiPriority w:val="0"/>
    <w:rPr>
      <w:sz w:val="21"/>
      <w:szCs w:val="21"/>
    </w:rPr>
  </w:style>
  <w:style w:type="character" w:styleId="27">
    <w:name w:val="footnote reference"/>
    <w:basedOn w:val="22"/>
    <w:qFormat/>
    <w:uiPriority w:val="0"/>
    <w:rPr>
      <w:vertAlign w:val="superscript"/>
    </w:rPr>
  </w:style>
  <w:style w:type="character" w:customStyle="1" w:styleId="28">
    <w:name w:val="heading 1 Char"/>
    <w:basedOn w:val="22"/>
    <w:link w:val="3"/>
    <w:qFormat/>
    <w:uiPriority w:val="0"/>
    <w:rPr>
      <w:rFonts w:ascii="Times New Roman" w:hAnsi="Times New Roman" w:eastAsia="宋体" w:cs="等线 Light"/>
      <w:b/>
      <w:snapToGrid w:val="0"/>
      <w:kern w:val="0"/>
      <w:sz w:val="44"/>
      <w:szCs w:val="44"/>
      <w:lang w:val="en-US" w:eastAsia="zh-CN" w:bidi="ar-SA"/>
    </w:rPr>
  </w:style>
  <w:style w:type="character" w:customStyle="1" w:styleId="29">
    <w:name w:val="heading 2 Char"/>
    <w:basedOn w:val="22"/>
    <w:link w:val="4"/>
    <w:qFormat/>
    <w:uiPriority w:val="0"/>
    <w:rPr>
      <w:rFonts w:ascii="Times New Roman" w:hAnsi="Times New Roman" w:eastAsia="宋体" w:cs="Times New Roman"/>
      <w:b/>
      <w:bCs/>
      <w:snapToGrid w:val="0"/>
      <w:kern w:val="2"/>
      <w:sz w:val="21"/>
      <w:szCs w:val="24"/>
      <w:lang w:val="en-US" w:eastAsia="zh-CN" w:bidi="ar-SA"/>
    </w:rPr>
  </w:style>
  <w:style w:type="character" w:customStyle="1" w:styleId="30">
    <w:name w:val="heading 3 Char"/>
    <w:basedOn w:val="22"/>
    <w:link w:val="5"/>
    <w:qFormat/>
    <w:uiPriority w:val="0"/>
    <w:rPr>
      <w:rFonts w:ascii="Times New Roman" w:hAnsi="Times New Roman" w:eastAsia="宋体" w:cs="Cambria Math"/>
      <w:b/>
      <w:bCs/>
      <w:kern w:val="2"/>
      <w:sz w:val="21"/>
      <w:szCs w:val="32"/>
      <w:lang w:val="en-US" w:eastAsia="zh-CN" w:bidi="ar-SA"/>
    </w:rPr>
  </w:style>
  <w:style w:type="character" w:customStyle="1" w:styleId="31">
    <w:name w:val="heading 4 Char"/>
    <w:basedOn w:val="22"/>
    <w:link w:val="6"/>
    <w:qFormat/>
    <w:uiPriority w:val="0"/>
    <w:rPr>
      <w:rFonts w:ascii="Times New Roman" w:hAnsi="Times New Roman" w:eastAsia="宋体" w:cs="Times New Roman"/>
      <w:bCs/>
      <w:kern w:val="2"/>
      <w:sz w:val="21"/>
      <w:szCs w:val="28"/>
      <w:lang w:val="en-US" w:eastAsia="zh-CN" w:bidi="ar-SA"/>
    </w:rPr>
  </w:style>
  <w:style w:type="character" w:customStyle="1" w:styleId="32">
    <w:name w:val="heading 5 Char"/>
    <w:basedOn w:val="22"/>
    <w:link w:val="7"/>
    <w:qFormat/>
    <w:uiPriority w:val="0"/>
    <w:rPr>
      <w:rFonts w:ascii="Times New Roman" w:hAnsi="Times New Roman" w:eastAsia="宋体" w:cs="Cambria Math"/>
      <w:b/>
      <w:kern w:val="2"/>
      <w:sz w:val="28"/>
      <w:szCs w:val="20"/>
      <w:lang w:val="en-US" w:eastAsia="zh-CN" w:bidi="ar-SA"/>
    </w:rPr>
  </w:style>
  <w:style w:type="character" w:customStyle="1" w:styleId="33">
    <w:name w:val="heading 6 Char"/>
    <w:basedOn w:val="22"/>
    <w:link w:val="8"/>
    <w:qFormat/>
    <w:uiPriority w:val="0"/>
    <w:rPr>
      <w:rFonts w:ascii="Times New Roman" w:hAnsi="Times New Roman" w:eastAsia="黑体" w:cs="Cambria Math"/>
      <w:b/>
      <w:kern w:val="2"/>
      <w:sz w:val="21"/>
      <w:szCs w:val="20"/>
      <w:lang w:val="en-US" w:eastAsia="zh-CN" w:bidi="ar-SA"/>
    </w:rPr>
  </w:style>
  <w:style w:type="character" w:customStyle="1" w:styleId="34">
    <w:name w:val="heading 7 Char"/>
    <w:basedOn w:val="22"/>
    <w:link w:val="9"/>
    <w:qFormat/>
    <w:uiPriority w:val="0"/>
    <w:rPr>
      <w:rFonts w:ascii="Times New Roman" w:hAnsi="Times New Roman" w:eastAsia="宋体" w:cs="Cambria Math"/>
      <w:b/>
      <w:kern w:val="2"/>
      <w:sz w:val="21"/>
      <w:szCs w:val="20"/>
      <w:lang w:val="en-US" w:eastAsia="zh-CN" w:bidi="ar-SA"/>
    </w:rPr>
  </w:style>
  <w:style w:type="character" w:customStyle="1" w:styleId="35">
    <w:name w:val="标题 2 Char"/>
    <w:basedOn w:val="22"/>
    <w:qFormat/>
    <w:uiPriority w:val="0"/>
    <w:rPr>
      <w:rFonts w:ascii="Times New Roman" w:hAnsi="Times New Roman" w:eastAsia="宋体" w:cs="Times New Roman"/>
      <w:b/>
      <w:bCs/>
      <w:snapToGrid w:val="0"/>
      <w:szCs w:val="24"/>
    </w:rPr>
  </w:style>
  <w:style w:type="character" w:customStyle="1" w:styleId="36">
    <w:name w:val="标题 3 Char"/>
    <w:basedOn w:val="22"/>
    <w:qFormat/>
    <w:uiPriority w:val="0"/>
    <w:rPr>
      <w:b/>
      <w:bCs/>
      <w:szCs w:val="32"/>
    </w:rPr>
  </w:style>
  <w:style w:type="character" w:customStyle="1" w:styleId="37">
    <w:name w:val="标题 4 Char"/>
    <w:qFormat/>
    <w:uiPriority w:val="0"/>
    <w:rPr>
      <w:rFonts w:cs="Times New Roman"/>
      <w:bCs/>
      <w:szCs w:val="28"/>
    </w:rPr>
  </w:style>
  <w:style w:type="character" w:customStyle="1" w:styleId="38">
    <w:name w:val="标题 1 Char"/>
    <w:basedOn w:val="22"/>
    <w:qFormat/>
    <w:uiPriority w:val="0"/>
    <w:rPr>
      <w:rFonts w:ascii="Times New Roman" w:hAnsi="Times New Roman" w:eastAsia="宋体" w:cs="等线 Light"/>
      <w:b/>
      <w:snapToGrid w:val="0"/>
      <w:kern w:val="0"/>
      <w:sz w:val="44"/>
      <w:szCs w:val="44"/>
    </w:rPr>
  </w:style>
  <w:style w:type="character" w:customStyle="1" w:styleId="39">
    <w:name w:val="标题 5 Char"/>
    <w:qFormat/>
    <w:uiPriority w:val="0"/>
    <w:rPr>
      <w:rFonts w:ascii="Times New Roman" w:hAnsi="Times New Roman" w:eastAsia="宋体"/>
      <w:b/>
      <w:sz w:val="28"/>
    </w:rPr>
  </w:style>
  <w:style w:type="paragraph" w:customStyle="1" w:styleId="40">
    <w:name w:val="参选文件格式1"/>
    <w:basedOn w:val="1"/>
    <w:next w:val="1"/>
    <w:qFormat/>
    <w:locked/>
    <w:uiPriority w:val="0"/>
    <w:pPr>
      <w:ind w:firstLine="0" w:firstLineChars="0"/>
      <w:jc w:val="center"/>
      <w:outlineLvl w:val="1"/>
    </w:pPr>
    <w:rPr>
      <w:b/>
      <w:sz w:val="28"/>
    </w:rPr>
  </w:style>
  <w:style w:type="paragraph" w:customStyle="1" w:styleId="41">
    <w:name w:val="参选文件格式2"/>
    <w:basedOn w:val="1"/>
    <w:next w:val="1"/>
    <w:qFormat/>
    <w:locked/>
    <w:uiPriority w:val="0"/>
    <w:pPr>
      <w:ind w:firstLine="0" w:firstLineChars="0"/>
      <w:jc w:val="center"/>
      <w:outlineLvl w:val="2"/>
    </w:pPr>
    <w:rPr>
      <w:bCs/>
      <w:szCs w:val="32"/>
    </w:rPr>
  </w:style>
  <w:style w:type="paragraph" w:customStyle="1" w:styleId="42">
    <w:name w:val="参选文件格式3"/>
    <w:basedOn w:val="1"/>
    <w:link w:val="43"/>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3">
    <w:name w:val="参选文件格式3 Char"/>
    <w:basedOn w:val="22"/>
    <w:link w:val="42"/>
    <w:qFormat/>
    <w:uiPriority w:val="0"/>
    <w:rPr>
      <w:rFonts w:ascii="宋体" w:hAnsi="宋体" w:eastAsia="宋体" w:cs="Cambria Math"/>
      <w:b/>
      <w:snapToGrid w:val="0"/>
      <w:kern w:val="0"/>
      <w:sz w:val="21"/>
      <w:szCs w:val="20"/>
      <w:lang w:val="en-US" w:eastAsia="zh-CN" w:bidi="ar-SA"/>
    </w:rPr>
  </w:style>
  <w:style w:type="character" w:customStyle="1" w:styleId="44">
    <w:name w:val="标题 4 字符"/>
    <w:qFormat/>
    <w:uiPriority w:val="0"/>
    <w:rPr>
      <w:rFonts w:cs="Times New Roman"/>
      <w:bCs/>
      <w:szCs w:val="28"/>
    </w:rPr>
  </w:style>
  <w:style w:type="paragraph" w:customStyle="1" w:styleId="45">
    <w:name w:val="表格"/>
    <w:basedOn w:val="1"/>
    <w:qFormat/>
    <w:locked/>
    <w:uiPriority w:val="0"/>
    <w:pPr>
      <w:spacing w:line="240" w:lineRule="auto"/>
      <w:ind w:firstLine="0" w:firstLineChars="0"/>
    </w:pPr>
    <w:rPr>
      <w:bCs/>
      <w:szCs w:val="18"/>
    </w:rPr>
  </w:style>
  <w:style w:type="paragraph" w:customStyle="1" w:styleId="46">
    <w:name w:val="表格（标题）"/>
    <w:basedOn w:val="1"/>
    <w:qFormat/>
    <w:locked/>
    <w:uiPriority w:val="0"/>
    <w:pPr>
      <w:spacing w:line="240" w:lineRule="auto"/>
      <w:ind w:firstLine="0" w:firstLineChars="0"/>
      <w:jc w:val="center"/>
    </w:pPr>
    <w:rPr>
      <w:b/>
      <w:bCs/>
      <w:szCs w:val="18"/>
    </w:rPr>
  </w:style>
  <w:style w:type="paragraph" w:customStyle="1" w:styleId="47">
    <w:name w:val="标题2（无级别）"/>
    <w:basedOn w:val="1"/>
    <w:next w:val="1"/>
    <w:qFormat/>
    <w:locked/>
    <w:uiPriority w:val="0"/>
    <w:pPr>
      <w:ind w:firstLine="0" w:firstLineChars="0"/>
    </w:pPr>
    <w:rPr>
      <w:rFonts w:cs="Times New Roman"/>
      <w:b/>
      <w:bCs/>
      <w:snapToGrid w:val="0"/>
      <w:szCs w:val="24"/>
    </w:rPr>
  </w:style>
  <w:style w:type="paragraph" w:customStyle="1" w:styleId="48">
    <w:name w:val="标题3（无级别）"/>
    <w:basedOn w:val="1"/>
    <w:next w:val="1"/>
    <w:qFormat/>
    <w:locked/>
    <w:uiPriority w:val="0"/>
    <w:rPr>
      <w:b/>
      <w:bCs/>
      <w:szCs w:val="32"/>
    </w:rPr>
  </w:style>
  <w:style w:type="paragraph" w:customStyle="1" w:styleId="49">
    <w:name w:val="小五"/>
    <w:basedOn w:val="1"/>
    <w:next w:val="1"/>
    <w:qFormat/>
    <w:locked/>
    <w:uiPriority w:val="0"/>
    <w:pPr>
      <w:spacing w:line="240" w:lineRule="auto"/>
      <w:ind w:firstLine="0" w:firstLineChars="0"/>
    </w:pPr>
    <w:rPr>
      <w:rFonts w:cs="Times New Roman"/>
      <w:sz w:val="18"/>
      <w:szCs w:val="18"/>
    </w:rPr>
  </w:style>
  <w:style w:type="paragraph" w:customStyle="1" w:styleId="50">
    <w:name w:val="封面标题"/>
    <w:basedOn w:val="1"/>
    <w:qFormat/>
    <w:locked/>
    <w:uiPriority w:val="0"/>
    <w:pPr>
      <w:ind w:firstLine="0" w:firstLineChars="0"/>
      <w:jc w:val="center"/>
    </w:pPr>
    <w:rPr>
      <w:rFonts w:cs="Times New Roman"/>
      <w:b/>
      <w:snapToGrid w:val="0"/>
      <w:kern w:val="0"/>
      <w:sz w:val="48"/>
      <w:szCs w:val="84"/>
    </w:rPr>
  </w:style>
  <w:style w:type="paragraph" w:customStyle="1" w:styleId="51">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2">
    <w:name w:val="正文居中"/>
    <w:basedOn w:val="1"/>
    <w:qFormat/>
    <w:locked/>
    <w:uiPriority w:val="0"/>
    <w:pPr>
      <w:ind w:firstLine="0" w:firstLineChars="0"/>
      <w:jc w:val="center"/>
    </w:pPr>
  </w:style>
  <w:style w:type="character" w:customStyle="1" w:styleId="53">
    <w:name w:val="font_text_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D0663-A210-4640-B052-5F39607ACAD5}">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117</Pages>
  <Words>27167</Words>
  <Characters>28552</Characters>
  <Lines>0</Lines>
  <Paragraphs>1307</Paragraphs>
  <TotalTime>0</TotalTime>
  <ScaleCrop>false</ScaleCrop>
  <LinksUpToDate>false</LinksUpToDate>
  <CharactersWithSpaces>28952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2025-09-12T08:29:59Z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C93A09CFB0984C26916781C068290A76_13</vt:lpwstr>
  </property>
  <property fmtid="{D5CDD505-2E9C-101B-9397-08002B2CF9AE}" pid="4" name="KSOTemplateDocerSaveRecord">
    <vt:lpwstr>eyJoZGlkIjoiYTQ5ZmY1ODA0NTUyNTIzOGU4NGRmM2JhYjg3Y2Q0YjMiLCJ1c2VySWQiOiIxNTcyMDkyNjg5In0=</vt:lpwstr>
  </property>
  <property fmtid="{D5CDD505-2E9C-101B-9397-08002B2CF9AE}" pid="5" name="5B77E7CEEC58BC6AFAE8886BEB80DBEB">
    <vt:lpwstr>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</vt:lpwstr>
  </property>
</Properties>
</file>