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05DE5">
      <w:pPr>
        <w:widowControl w:val="0"/>
        <w:tabs>
          <w:tab w:val="left" w:pos="3360"/>
        </w:tabs>
        <w:autoSpaceDE w:val="0"/>
        <w:autoSpaceDN w:val="0"/>
        <w:snapToGrid w:val="0"/>
        <w:spacing w:line="600" w:lineRule="exact"/>
        <w:ind w:firstLine="0" w:firstLineChars="0"/>
        <w:jc w:val="center"/>
        <w:outlineLvl w:val="0"/>
        <w:rPr>
          <w:rFonts w:hint="eastAsia" w:ascii="宋体" w:hAnsi="宋体" w:eastAsia="宋体" w:cs="等线 Light"/>
          <w:b/>
          <w:snapToGrid w:val="0"/>
          <w:kern w:val="0"/>
          <w:sz w:val="44"/>
          <w:szCs w:val="44"/>
          <w:lang w:val="en-US" w:eastAsia="zh-CN" w:bidi="ar-SA"/>
        </w:rPr>
      </w:pPr>
      <w:bookmarkStart w:id="0" w:name="_Toc4476"/>
      <w:bookmarkStart w:id="1" w:name="_Toc25883"/>
      <w:r>
        <w:rPr>
          <w:rFonts w:hint="eastAsia" w:ascii="宋体" w:hAnsi="宋体" w:eastAsia="宋体" w:cs="等线 Light"/>
          <w:b/>
          <w:snapToGrid w:val="0"/>
          <w:kern w:val="0"/>
          <w:sz w:val="44"/>
          <w:szCs w:val="44"/>
          <w:lang w:val="en-US" w:eastAsia="zh-CN" w:bidi="ar-SA"/>
        </w:rPr>
        <w:t>重庆三峡银行西永数据中心信创网络安全设备采购项目询比公告</w:t>
      </w:r>
      <w:bookmarkEnd w:id="0"/>
      <w:bookmarkEnd w:id="1"/>
    </w:p>
    <w:p w14:paraId="20D3E804">
      <w:pPr>
        <w:bidi w:val="0"/>
        <w:rPr>
          <w:rFonts w:hint="eastAsia"/>
          <w:lang w:val="en-US" w:eastAsia="zh-CN"/>
        </w:rPr>
      </w:pPr>
    </w:p>
    <w:p w14:paraId="01985E5D">
      <w:pPr>
        <w:bidi w:val="0"/>
      </w:pPr>
      <w:bookmarkStart w:id="2" w:name="_Toc55379218"/>
      <w:bookmarkStart w:id="3" w:name="_Toc89675127"/>
      <w:r>
        <w:rPr>
          <w:rFonts w:hint="eastAsia" w:eastAsia="宋体"/>
          <w:lang w:eastAsia="zh-CN"/>
        </w:rPr>
        <w:t>为贯彻落实国家信息技术应用创新（信创）战略要求，提升我行西永数据中心网络安全基础设施的自主可控能力，保障数据安</w:t>
      </w:r>
      <w:bookmarkStart w:id="27" w:name="_GoBack"/>
      <w:bookmarkEnd w:id="27"/>
      <w:r>
        <w:rPr>
          <w:rFonts w:hint="eastAsia" w:eastAsia="宋体"/>
          <w:lang w:eastAsia="zh-CN"/>
        </w:rPr>
        <w:t>全与业务连续性，现申请采购一批符合信创标准的网络</w:t>
      </w:r>
      <w:r>
        <w:rPr>
          <w:rFonts w:hint="eastAsia"/>
        </w:rPr>
        <w:t>安全设备。现对重庆三峡银行西永数据中心信创网络安全设备采购项目进行公开询比，</w:t>
      </w:r>
      <w:r>
        <w:t>特邀请有</w:t>
      </w:r>
      <w:bookmarkStart w:id="4" w:name="_Hlk59455120"/>
      <w:r>
        <w:t>意向</w:t>
      </w:r>
      <w:bookmarkEnd w:id="4"/>
      <w:r>
        <w:t>的潜在</w:t>
      </w:r>
      <w:r>
        <w:rPr>
          <w:rFonts w:hint="eastAsia"/>
        </w:rPr>
        <w:t>响应人参与响应</w:t>
      </w:r>
      <w:r>
        <w:t>。</w:t>
      </w:r>
    </w:p>
    <w:p w14:paraId="1499BA37">
      <w:pPr>
        <w:widowControl w:val="0"/>
        <w:autoSpaceDE w:val="0"/>
        <w:autoSpaceDN w:val="0"/>
        <w:spacing w:line="600" w:lineRule="exact"/>
        <w:ind w:firstLine="0" w:firstLineChars="0"/>
        <w:jc w:val="both"/>
        <w:outlineLvl w:val="1"/>
        <w:rPr>
          <w:rFonts w:ascii="宋体" w:hAnsi="宋体" w:eastAsia="宋体" w:cs="Times New Roman"/>
          <w:b/>
          <w:bCs/>
          <w:snapToGrid w:val="0"/>
          <w:kern w:val="2"/>
          <w:sz w:val="21"/>
          <w:szCs w:val="24"/>
          <w:lang w:val="en-US" w:eastAsia="zh-CN" w:bidi="ar-SA"/>
        </w:rPr>
      </w:pPr>
      <w:r>
        <w:rPr>
          <w:rFonts w:hint="eastAsia" w:ascii="宋体" w:hAnsi="宋体" w:eastAsia="宋体" w:cs="Times New Roman"/>
          <w:b/>
          <w:bCs/>
          <w:snapToGrid w:val="0"/>
          <w:kern w:val="2"/>
          <w:sz w:val="21"/>
          <w:szCs w:val="24"/>
          <w:lang w:val="en-US" w:eastAsia="zh-CN" w:bidi="ar-SA"/>
        </w:rPr>
        <w:t>1. 询比项目内容</w:t>
      </w:r>
      <w:bookmarkEnd w:id="2"/>
      <w:bookmarkEnd w:id="3"/>
    </w:p>
    <w:tbl>
      <w:tblPr>
        <w:tblStyle w:val="6"/>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252"/>
        <w:gridCol w:w="1269"/>
        <w:gridCol w:w="1281"/>
        <w:gridCol w:w="2265"/>
      </w:tblGrid>
      <w:tr w14:paraId="0C3B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5EEC3C46">
            <w:pPr>
              <w:widowControl w:val="0"/>
              <w:autoSpaceDE w:val="0"/>
              <w:autoSpaceDN w:val="0"/>
              <w:spacing w:line="240" w:lineRule="auto"/>
              <w:ind w:firstLine="0" w:firstLineChars="0"/>
              <w:jc w:val="center"/>
              <w:rPr>
                <w:rFonts w:ascii="宋体" w:hAnsi="宋体" w:eastAsia="宋体" w:cs="宋体"/>
                <w:b/>
                <w:bCs/>
                <w:kern w:val="2"/>
                <w:sz w:val="21"/>
                <w:szCs w:val="18"/>
                <w:highlight w:val="none"/>
                <w:lang w:val="en-US" w:eastAsia="zh-CN" w:bidi="ar-SA"/>
              </w:rPr>
            </w:pPr>
            <w:r>
              <w:rPr>
                <w:rFonts w:hint="eastAsia" w:ascii="宋体" w:hAnsi="宋体" w:eastAsia="宋体" w:cs="宋体"/>
                <w:b/>
                <w:bCs/>
                <w:kern w:val="2"/>
                <w:sz w:val="21"/>
                <w:szCs w:val="18"/>
                <w:highlight w:val="none"/>
                <w:lang w:val="en-US" w:eastAsia="zh-CN" w:bidi="ar-SA"/>
              </w:rPr>
              <w:t>序号</w:t>
            </w:r>
          </w:p>
        </w:tc>
        <w:tc>
          <w:tcPr>
            <w:tcW w:w="3252" w:type="dxa"/>
            <w:tcBorders>
              <w:top w:val="single" w:color="auto" w:sz="4" w:space="0"/>
              <w:left w:val="single" w:color="auto" w:sz="4" w:space="0"/>
              <w:bottom w:val="single" w:color="auto" w:sz="4" w:space="0"/>
              <w:right w:val="single" w:color="auto" w:sz="4" w:space="0"/>
            </w:tcBorders>
            <w:vAlign w:val="center"/>
          </w:tcPr>
          <w:p w14:paraId="21551E9A">
            <w:pPr>
              <w:widowControl w:val="0"/>
              <w:autoSpaceDE w:val="0"/>
              <w:autoSpaceDN w:val="0"/>
              <w:spacing w:line="240" w:lineRule="auto"/>
              <w:ind w:firstLine="0" w:firstLineChars="0"/>
              <w:jc w:val="center"/>
              <w:rPr>
                <w:rFonts w:ascii="宋体" w:hAnsi="宋体" w:eastAsia="宋体" w:cs="宋体"/>
                <w:b/>
                <w:bCs/>
                <w:kern w:val="2"/>
                <w:sz w:val="21"/>
                <w:szCs w:val="18"/>
                <w:highlight w:val="none"/>
                <w:lang w:val="en-US" w:eastAsia="zh-CN" w:bidi="ar-SA"/>
              </w:rPr>
            </w:pPr>
            <w:r>
              <w:rPr>
                <w:rFonts w:hint="eastAsia" w:ascii="宋体" w:hAnsi="宋体" w:eastAsia="宋体" w:cs="宋体"/>
                <w:b/>
                <w:bCs/>
                <w:kern w:val="2"/>
                <w:sz w:val="21"/>
                <w:szCs w:val="18"/>
                <w:highlight w:val="none"/>
                <w:lang w:val="en-US" w:eastAsia="zh-CN" w:bidi="ar-SA"/>
              </w:rPr>
              <w:t>项目名称</w:t>
            </w:r>
          </w:p>
        </w:tc>
        <w:tc>
          <w:tcPr>
            <w:tcW w:w="1269" w:type="dxa"/>
            <w:tcBorders>
              <w:top w:val="single" w:color="auto" w:sz="4" w:space="0"/>
              <w:left w:val="single" w:color="auto" w:sz="4" w:space="0"/>
              <w:bottom w:val="single" w:color="auto" w:sz="4" w:space="0"/>
              <w:right w:val="single" w:color="auto" w:sz="4" w:space="0"/>
            </w:tcBorders>
            <w:vAlign w:val="center"/>
          </w:tcPr>
          <w:p w14:paraId="609453FF">
            <w:pPr>
              <w:widowControl w:val="0"/>
              <w:autoSpaceDE w:val="0"/>
              <w:autoSpaceDN w:val="0"/>
              <w:spacing w:line="240" w:lineRule="auto"/>
              <w:ind w:firstLine="0" w:firstLineChars="0"/>
              <w:jc w:val="center"/>
              <w:rPr>
                <w:rFonts w:ascii="宋体" w:hAnsi="宋体" w:eastAsia="宋体" w:cs="宋体"/>
                <w:b/>
                <w:bCs/>
                <w:kern w:val="2"/>
                <w:sz w:val="21"/>
                <w:szCs w:val="18"/>
                <w:highlight w:val="none"/>
                <w:lang w:val="en-US" w:eastAsia="zh-CN" w:bidi="ar-SA"/>
              </w:rPr>
            </w:pPr>
            <w:r>
              <w:rPr>
                <w:rFonts w:hint="eastAsia" w:ascii="宋体" w:hAnsi="宋体" w:eastAsia="宋体" w:cs="宋体"/>
                <w:b/>
                <w:bCs/>
                <w:kern w:val="2"/>
                <w:sz w:val="21"/>
                <w:szCs w:val="18"/>
                <w:highlight w:val="none"/>
                <w:lang w:val="en-US" w:eastAsia="zh-CN" w:bidi="ar-SA"/>
              </w:rPr>
              <w:t>最高限价</w:t>
            </w:r>
          </w:p>
        </w:tc>
        <w:tc>
          <w:tcPr>
            <w:tcW w:w="1281" w:type="dxa"/>
            <w:tcBorders>
              <w:top w:val="single" w:color="auto" w:sz="4" w:space="0"/>
              <w:left w:val="single" w:color="auto" w:sz="4" w:space="0"/>
              <w:bottom w:val="single" w:color="auto" w:sz="4" w:space="0"/>
              <w:right w:val="single" w:color="auto" w:sz="4" w:space="0"/>
            </w:tcBorders>
            <w:vAlign w:val="center"/>
          </w:tcPr>
          <w:p w14:paraId="0181CE0C">
            <w:pPr>
              <w:widowControl w:val="0"/>
              <w:autoSpaceDE w:val="0"/>
              <w:autoSpaceDN w:val="0"/>
              <w:spacing w:line="240" w:lineRule="auto"/>
              <w:ind w:firstLine="0" w:firstLineChars="0"/>
              <w:jc w:val="center"/>
              <w:rPr>
                <w:rFonts w:ascii="宋体" w:hAnsi="宋体" w:eastAsia="宋体" w:cs="宋体"/>
                <w:b/>
                <w:bCs/>
                <w:kern w:val="2"/>
                <w:sz w:val="21"/>
                <w:szCs w:val="18"/>
                <w:highlight w:val="none"/>
                <w:lang w:val="en-US" w:eastAsia="zh-CN" w:bidi="ar-SA"/>
              </w:rPr>
            </w:pPr>
            <w:r>
              <w:rPr>
                <w:rFonts w:hint="eastAsia" w:ascii="宋体" w:hAnsi="宋体" w:eastAsia="宋体" w:cs="宋体"/>
                <w:b/>
                <w:bCs/>
                <w:kern w:val="2"/>
                <w:sz w:val="21"/>
                <w:szCs w:val="18"/>
                <w:highlight w:val="none"/>
                <w:lang w:val="en-US" w:eastAsia="zh-CN" w:bidi="ar-SA"/>
              </w:rPr>
              <w:t>成交供应商</w:t>
            </w:r>
          </w:p>
          <w:p w14:paraId="49316FE4">
            <w:pPr>
              <w:widowControl w:val="0"/>
              <w:autoSpaceDE w:val="0"/>
              <w:autoSpaceDN w:val="0"/>
              <w:spacing w:line="240" w:lineRule="auto"/>
              <w:ind w:firstLine="0" w:firstLineChars="0"/>
              <w:jc w:val="center"/>
              <w:rPr>
                <w:rFonts w:ascii="宋体" w:hAnsi="宋体" w:eastAsia="宋体" w:cs="宋体"/>
                <w:b/>
                <w:bCs/>
                <w:kern w:val="2"/>
                <w:sz w:val="21"/>
                <w:szCs w:val="18"/>
                <w:highlight w:val="none"/>
                <w:lang w:val="en-US" w:eastAsia="zh-CN" w:bidi="ar-SA"/>
              </w:rPr>
            </w:pPr>
            <w:r>
              <w:rPr>
                <w:rFonts w:hint="eastAsia" w:ascii="宋体" w:hAnsi="宋体" w:eastAsia="宋体" w:cs="宋体"/>
                <w:b/>
                <w:bCs/>
                <w:kern w:val="2"/>
                <w:sz w:val="21"/>
                <w:szCs w:val="18"/>
                <w:highlight w:val="none"/>
                <w:lang w:val="en-US" w:eastAsia="zh-CN" w:bidi="ar-SA"/>
              </w:rPr>
              <w:t>数量</w:t>
            </w:r>
          </w:p>
        </w:tc>
        <w:tc>
          <w:tcPr>
            <w:tcW w:w="2265" w:type="dxa"/>
            <w:tcBorders>
              <w:top w:val="single" w:color="auto" w:sz="4" w:space="0"/>
              <w:left w:val="single" w:color="auto" w:sz="4" w:space="0"/>
              <w:bottom w:val="single" w:color="auto" w:sz="4" w:space="0"/>
              <w:right w:val="single" w:color="auto" w:sz="4" w:space="0"/>
            </w:tcBorders>
            <w:vAlign w:val="center"/>
          </w:tcPr>
          <w:p w14:paraId="3BE3428B">
            <w:pPr>
              <w:widowControl w:val="0"/>
              <w:autoSpaceDE w:val="0"/>
              <w:autoSpaceDN w:val="0"/>
              <w:spacing w:line="240" w:lineRule="auto"/>
              <w:ind w:firstLine="0" w:firstLineChars="0"/>
              <w:jc w:val="center"/>
              <w:rPr>
                <w:rFonts w:ascii="宋体" w:hAnsi="宋体" w:eastAsia="宋体" w:cs="宋体"/>
                <w:b/>
                <w:bCs/>
                <w:kern w:val="2"/>
                <w:sz w:val="21"/>
                <w:szCs w:val="18"/>
                <w:highlight w:val="none"/>
                <w:lang w:val="en-US" w:eastAsia="zh-CN" w:bidi="ar-SA"/>
              </w:rPr>
            </w:pPr>
            <w:r>
              <w:rPr>
                <w:rFonts w:hint="eastAsia" w:ascii="宋体" w:hAnsi="宋体" w:eastAsia="宋体" w:cs="宋体"/>
                <w:b/>
                <w:bCs/>
                <w:kern w:val="2"/>
                <w:sz w:val="21"/>
                <w:szCs w:val="18"/>
                <w:highlight w:val="none"/>
                <w:lang w:val="en-US" w:eastAsia="zh-CN" w:bidi="ar-SA"/>
              </w:rPr>
              <w:t>备注</w:t>
            </w:r>
          </w:p>
        </w:tc>
      </w:tr>
      <w:tr w14:paraId="1617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614963A6">
            <w:pPr>
              <w:widowControl w:val="0"/>
              <w:autoSpaceDE w:val="0"/>
              <w:autoSpaceDN w:val="0"/>
              <w:spacing w:line="240" w:lineRule="auto"/>
              <w:ind w:firstLine="0" w:firstLineChars="0"/>
              <w:jc w:val="center"/>
              <w:rPr>
                <w:rFonts w:ascii="宋体" w:hAnsi="宋体" w:eastAsia="宋体" w:cs="宋体"/>
                <w:b/>
                <w:bCs/>
                <w:kern w:val="2"/>
                <w:sz w:val="21"/>
                <w:szCs w:val="18"/>
                <w:highlight w:val="none"/>
                <w:lang w:val="en-US" w:eastAsia="zh-CN" w:bidi="ar-SA"/>
              </w:rPr>
            </w:pPr>
            <w:r>
              <w:rPr>
                <w:rFonts w:hint="eastAsia" w:ascii="宋体" w:hAnsi="宋体" w:eastAsia="宋体" w:cs="宋体"/>
                <w:b/>
                <w:bCs/>
                <w:kern w:val="2"/>
                <w:sz w:val="21"/>
                <w:szCs w:val="18"/>
                <w:highlight w:val="none"/>
                <w:lang w:val="en-US" w:eastAsia="zh-CN" w:bidi="ar-SA"/>
              </w:rPr>
              <w:t>1</w:t>
            </w:r>
          </w:p>
        </w:tc>
        <w:tc>
          <w:tcPr>
            <w:tcW w:w="3252" w:type="dxa"/>
            <w:tcBorders>
              <w:top w:val="single" w:color="auto" w:sz="4" w:space="0"/>
              <w:left w:val="single" w:color="auto" w:sz="4" w:space="0"/>
              <w:bottom w:val="single" w:color="auto" w:sz="4" w:space="0"/>
              <w:right w:val="single" w:color="auto" w:sz="4" w:space="0"/>
            </w:tcBorders>
            <w:vAlign w:val="center"/>
          </w:tcPr>
          <w:p w14:paraId="33809FF9">
            <w:pPr>
              <w:widowControl w:val="0"/>
              <w:autoSpaceDE w:val="0"/>
              <w:autoSpaceDN w:val="0"/>
              <w:spacing w:line="240" w:lineRule="auto"/>
              <w:ind w:firstLine="0" w:firstLineChars="0"/>
              <w:jc w:val="center"/>
              <w:rPr>
                <w:rFonts w:hint="eastAsia" w:ascii="宋体" w:hAnsi="宋体" w:eastAsia="宋体" w:cs="宋体"/>
                <w:b w:val="0"/>
                <w:bCs/>
                <w:kern w:val="2"/>
                <w:sz w:val="21"/>
                <w:szCs w:val="20"/>
                <w:highlight w:val="none"/>
                <w:lang w:val="en-US" w:eastAsia="zh-CN" w:bidi="ar-SA"/>
              </w:rPr>
            </w:pPr>
            <w:r>
              <w:rPr>
                <w:rFonts w:ascii="宋体" w:hAnsi="宋体" w:eastAsia="宋体" w:cs="宋体"/>
                <w:b w:val="0"/>
                <w:bCs/>
                <w:snapToGrid w:val="0"/>
                <w:kern w:val="2"/>
                <w:sz w:val="21"/>
                <w:szCs w:val="20"/>
                <w:highlight w:val="none"/>
                <w:lang w:val="en-US" w:eastAsia="zh-CN" w:bidi="ar-SA"/>
              </w:rPr>
              <w:t>重庆三峡银行</w:t>
            </w:r>
            <w:r>
              <w:rPr>
                <w:rFonts w:hint="eastAsia" w:ascii="宋体" w:hAnsi="宋体" w:eastAsia="宋体" w:cs="宋体"/>
                <w:b w:val="0"/>
                <w:bCs/>
                <w:snapToGrid w:val="0"/>
                <w:kern w:val="2"/>
                <w:sz w:val="21"/>
                <w:szCs w:val="20"/>
                <w:highlight w:val="none"/>
                <w:lang w:val="en-US" w:eastAsia="zh-CN" w:bidi="ar-SA"/>
              </w:rPr>
              <w:t>西永数据中心信创网络安全设备采购</w:t>
            </w:r>
            <w:r>
              <w:rPr>
                <w:rFonts w:hint="eastAsia" w:ascii="宋体" w:hAnsi="宋体" w:eastAsia="宋体" w:cs="宋体"/>
                <w:b w:val="0"/>
                <w:bCs/>
                <w:kern w:val="2"/>
                <w:sz w:val="21"/>
                <w:szCs w:val="20"/>
                <w:highlight w:val="none"/>
                <w:lang w:val="en-US" w:eastAsia="zh-CN" w:bidi="ar-SA"/>
              </w:rPr>
              <w:t>项目（标段</w:t>
            </w:r>
            <w:r>
              <w:rPr>
                <w:rFonts w:ascii="宋体" w:hAnsi="宋体" w:eastAsia="宋体" w:cs="宋体"/>
                <w:b w:val="0"/>
                <w:bCs/>
                <w:kern w:val="2"/>
                <w:sz w:val="21"/>
                <w:szCs w:val="20"/>
                <w:highlight w:val="none"/>
                <w:lang w:val="en-US" w:eastAsia="zh-CN" w:bidi="ar-SA"/>
              </w:rPr>
              <w:t>1：路由交换设备</w:t>
            </w:r>
            <w:r>
              <w:rPr>
                <w:rFonts w:hint="eastAsia" w:ascii="宋体" w:hAnsi="宋体" w:eastAsia="宋体" w:cs="宋体"/>
                <w:b w:val="0"/>
                <w:bCs/>
                <w:kern w:val="2"/>
                <w:sz w:val="21"/>
                <w:szCs w:val="20"/>
                <w:highlight w:val="none"/>
                <w:lang w:val="en-US" w:eastAsia="zh-CN" w:bidi="ar-SA"/>
              </w:rPr>
              <w:t>）</w:t>
            </w:r>
          </w:p>
        </w:tc>
        <w:tc>
          <w:tcPr>
            <w:tcW w:w="1269" w:type="dxa"/>
            <w:tcBorders>
              <w:top w:val="single" w:color="auto" w:sz="4" w:space="0"/>
              <w:left w:val="single" w:color="auto" w:sz="4" w:space="0"/>
              <w:bottom w:val="single" w:color="auto" w:sz="4" w:space="0"/>
              <w:right w:val="single" w:color="auto" w:sz="4" w:space="0"/>
            </w:tcBorders>
            <w:vAlign w:val="center"/>
          </w:tcPr>
          <w:p w14:paraId="2DF3D461">
            <w:pPr>
              <w:widowControl w:val="0"/>
              <w:autoSpaceDE w:val="0"/>
              <w:autoSpaceDN w:val="0"/>
              <w:spacing w:line="240" w:lineRule="auto"/>
              <w:ind w:firstLine="0" w:firstLineChars="0"/>
              <w:jc w:val="center"/>
              <w:rPr>
                <w:rFonts w:hint="eastAsia" w:ascii="宋体" w:hAnsi="宋体" w:eastAsia="宋体" w:cs="宋体"/>
                <w:b w:val="0"/>
                <w:bCs/>
                <w:kern w:val="2"/>
                <w:sz w:val="21"/>
                <w:szCs w:val="20"/>
                <w:highlight w:val="none"/>
                <w:lang w:val="en-US" w:eastAsia="zh-CN" w:bidi="ar-SA"/>
              </w:rPr>
            </w:pPr>
            <w:r>
              <w:rPr>
                <w:rFonts w:hint="eastAsia" w:ascii="宋体" w:hAnsi="Times New Roman" w:eastAsia="宋体" w:cs="宋体"/>
                <w:b w:val="0"/>
                <w:bCs/>
                <w:kern w:val="2"/>
                <w:sz w:val="21"/>
                <w:szCs w:val="18"/>
                <w:highlight w:val="none"/>
                <w:lang w:val="en-US" w:eastAsia="zh-CN" w:bidi="ar-SA"/>
              </w:rPr>
              <w:t>615.9万元</w:t>
            </w:r>
          </w:p>
        </w:tc>
        <w:tc>
          <w:tcPr>
            <w:tcW w:w="1281" w:type="dxa"/>
            <w:tcBorders>
              <w:top w:val="single" w:color="auto" w:sz="4" w:space="0"/>
              <w:left w:val="single" w:color="auto" w:sz="4" w:space="0"/>
              <w:bottom w:val="single" w:color="auto" w:sz="4" w:space="0"/>
              <w:right w:val="single" w:color="auto" w:sz="4" w:space="0"/>
            </w:tcBorders>
            <w:vAlign w:val="center"/>
          </w:tcPr>
          <w:p w14:paraId="7EA2CC0E">
            <w:pPr>
              <w:widowControl w:val="0"/>
              <w:autoSpaceDE w:val="0"/>
              <w:autoSpaceDN w:val="0"/>
              <w:spacing w:line="240" w:lineRule="auto"/>
              <w:ind w:firstLine="0" w:firstLineChars="0"/>
              <w:jc w:val="center"/>
              <w:rPr>
                <w:rFonts w:hint="eastAsia" w:ascii="宋体" w:hAnsi="宋体" w:eastAsia="宋体" w:cs="宋体"/>
                <w:b w:val="0"/>
                <w:bCs/>
                <w:kern w:val="2"/>
                <w:sz w:val="21"/>
                <w:szCs w:val="20"/>
                <w:highlight w:val="none"/>
                <w:lang w:val="en-US" w:eastAsia="zh-CN" w:bidi="ar-SA"/>
              </w:rPr>
            </w:pPr>
            <w:r>
              <w:rPr>
                <w:rFonts w:hint="eastAsia" w:ascii="宋体" w:hAnsi="宋体" w:eastAsia="宋体" w:cs="宋体"/>
                <w:b w:val="0"/>
                <w:bCs/>
                <w:kern w:val="2"/>
                <w:sz w:val="21"/>
                <w:szCs w:val="20"/>
                <w:highlight w:val="none"/>
                <w:lang w:val="en-US" w:eastAsia="zh-CN" w:bidi="ar-SA"/>
              </w:rPr>
              <w:t>1</w:t>
            </w:r>
          </w:p>
        </w:tc>
        <w:tc>
          <w:tcPr>
            <w:tcW w:w="2265" w:type="dxa"/>
            <w:tcBorders>
              <w:top w:val="single" w:color="auto" w:sz="4" w:space="0"/>
              <w:left w:val="single" w:color="auto" w:sz="4" w:space="0"/>
              <w:bottom w:val="single" w:color="auto" w:sz="4" w:space="0"/>
              <w:right w:val="single" w:color="auto" w:sz="4" w:space="0"/>
            </w:tcBorders>
            <w:vAlign w:val="center"/>
          </w:tcPr>
          <w:p w14:paraId="679455DA">
            <w:pPr>
              <w:widowControl w:val="0"/>
              <w:autoSpaceDE w:val="0"/>
              <w:autoSpaceDN w:val="0"/>
              <w:spacing w:line="240" w:lineRule="auto"/>
              <w:ind w:firstLine="0" w:firstLineChars="0"/>
              <w:jc w:val="center"/>
              <w:rPr>
                <w:rFonts w:hint="eastAsia" w:ascii="宋体" w:hAnsi="宋体" w:eastAsia="宋体" w:cs="宋体"/>
                <w:b w:val="0"/>
                <w:bCs/>
                <w:snapToGrid w:val="0"/>
                <w:kern w:val="2"/>
                <w:sz w:val="21"/>
                <w:szCs w:val="20"/>
                <w:highlight w:val="none"/>
                <w:lang w:val="en-US" w:eastAsia="zh-CN" w:bidi="ar-SA"/>
              </w:rPr>
            </w:pPr>
            <w:r>
              <w:rPr>
                <w:rFonts w:ascii="宋体" w:hAnsi="宋体" w:eastAsia="宋体" w:cs="宋体"/>
                <w:b w:val="0"/>
                <w:bCs/>
                <w:snapToGrid w:val="0"/>
                <w:kern w:val="2"/>
                <w:sz w:val="21"/>
                <w:szCs w:val="20"/>
                <w:highlight w:val="none"/>
                <w:lang w:val="en-US" w:eastAsia="zh-CN" w:bidi="ar-SA"/>
              </w:rPr>
              <w:t>含税，</w:t>
            </w:r>
            <w:r>
              <w:rPr>
                <w:rFonts w:hint="eastAsia" w:ascii="宋体" w:hAnsi="宋体" w:eastAsia="宋体" w:cs="宋体"/>
                <w:b w:val="0"/>
                <w:bCs/>
                <w:snapToGrid w:val="0"/>
                <w:kern w:val="2"/>
                <w:sz w:val="21"/>
                <w:szCs w:val="20"/>
                <w:highlight w:val="none"/>
                <w:lang w:val="en-US" w:eastAsia="zh-CN" w:bidi="ar-SA"/>
              </w:rPr>
              <w:t>按要求完成新采购设备的安装、部署。</w:t>
            </w:r>
          </w:p>
        </w:tc>
      </w:tr>
      <w:tr w14:paraId="7AE3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25A81304">
            <w:pPr>
              <w:widowControl w:val="0"/>
              <w:autoSpaceDE w:val="0"/>
              <w:autoSpaceDN w:val="0"/>
              <w:spacing w:line="240" w:lineRule="auto"/>
              <w:ind w:firstLine="0" w:firstLineChars="0"/>
              <w:jc w:val="center"/>
              <w:rPr>
                <w:rFonts w:ascii="宋体" w:hAnsi="宋体" w:eastAsia="宋体" w:cs="宋体"/>
                <w:b/>
                <w:bCs/>
                <w:kern w:val="2"/>
                <w:sz w:val="21"/>
                <w:szCs w:val="18"/>
                <w:highlight w:val="none"/>
                <w:lang w:val="en-US" w:eastAsia="zh-CN" w:bidi="ar-SA"/>
              </w:rPr>
            </w:pPr>
            <w:r>
              <w:rPr>
                <w:rFonts w:ascii="宋体" w:hAnsi="宋体" w:eastAsia="宋体" w:cs="宋体"/>
                <w:b/>
                <w:bCs/>
                <w:kern w:val="2"/>
                <w:sz w:val="21"/>
                <w:szCs w:val="18"/>
                <w:highlight w:val="none"/>
                <w:lang w:val="en-US" w:eastAsia="zh-CN" w:bidi="ar-SA"/>
              </w:rPr>
              <w:t>2</w:t>
            </w:r>
          </w:p>
        </w:tc>
        <w:tc>
          <w:tcPr>
            <w:tcW w:w="3252" w:type="dxa"/>
            <w:tcBorders>
              <w:top w:val="single" w:color="auto" w:sz="4" w:space="0"/>
              <w:left w:val="single" w:color="auto" w:sz="4" w:space="0"/>
              <w:bottom w:val="single" w:color="auto" w:sz="4" w:space="0"/>
              <w:right w:val="single" w:color="auto" w:sz="4" w:space="0"/>
            </w:tcBorders>
            <w:vAlign w:val="center"/>
          </w:tcPr>
          <w:p w14:paraId="30C13064">
            <w:pPr>
              <w:widowControl w:val="0"/>
              <w:autoSpaceDE w:val="0"/>
              <w:autoSpaceDN w:val="0"/>
              <w:spacing w:line="240" w:lineRule="auto"/>
              <w:ind w:firstLine="0" w:firstLineChars="0"/>
              <w:jc w:val="center"/>
              <w:rPr>
                <w:rFonts w:hint="eastAsia" w:ascii="宋体" w:hAnsi="宋体" w:eastAsia="宋体" w:cs="宋体"/>
                <w:b w:val="0"/>
                <w:bCs/>
                <w:kern w:val="2"/>
                <w:sz w:val="21"/>
                <w:szCs w:val="20"/>
                <w:highlight w:val="none"/>
                <w:lang w:val="en-US" w:eastAsia="zh-CN" w:bidi="ar-SA"/>
              </w:rPr>
            </w:pPr>
            <w:r>
              <w:rPr>
                <w:rFonts w:ascii="宋体" w:hAnsi="宋体" w:eastAsia="宋体" w:cs="宋体"/>
                <w:b w:val="0"/>
                <w:bCs/>
                <w:snapToGrid w:val="0"/>
                <w:kern w:val="2"/>
                <w:sz w:val="21"/>
                <w:szCs w:val="20"/>
                <w:highlight w:val="none"/>
                <w:lang w:val="en-US" w:eastAsia="zh-CN" w:bidi="ar-SA"/>
              </w:rPr>
              <w:t>重庆三峡银行</w:t>
            </w:r>
            <w:r>
              <w:rPr>
                <w:rFonts w:hint="eastAsia" w:ascii="宋体" w:hAnsi="宋体" w:eastAsia="宋体" w:cs="宋体"/>
                <w:b w:val="0"/>
                <w:bCs/>
                <w:snapToGrid w:val="0"/>
                <w:kern w:val="2"/>
                <w:sz w:val="21"/>
                <w:szCs w:val="20"/>
                <w:highlight w:val="none"/>
                <w:lang w:val="en-US" w:eastAsia="zh-CN" w:bidi="ar-SA"/>
              </w:rPr>
              <w:t>西永数据中心信创网络安全设备采购</w:t>
            </w:r>
            <w:r>
              <w:rPr>
                <w:rFonts w:hint="eastAsia" w:ascii="宋体" w:hAnsi="宋体" w:eastAsia="宋体" w:cs="宋体"/>
                <w:b w:val="0"/>
                <w:bCs/>
                <w:kern w:val="2"/>
                <w:sz w:val="21"/>
                <w:szCs w:val="20"/>
                <w:highlight w:val="none"/>
                <w:lang w:val="en-US" w:eastAsia="zh-CN" w:bidi="ar-SA"/>
              </w:rPr>
              <w:t>项目（标段</w:t>
            </w:r>
            <w:r>
              <w:rPr>
                <w:rFonts w:ascii="宋体" w:hAnsi="宋体" w:eastAsia="宋体" w:cs="宋体"/>
                <w:b w:val="0"/>
                <w:bCs/>
                <w:kern w:val="2"/>
                <w:sz w:val="21"/>
                <w:szCs w:val="20"/>
                <w:highlight w:val="none"/>
                <w:lang w:val="en-US" w:eastAsia="zh-CN" w:bidi="ar-SA"/>
              </w:rPr>
              <w:t>2：负载均衡</w:t>
            </w:r>
            <w:r>
              <w:rPr>
                <w:rFonts w:hint="eastAsia" w:ascii="宋体" w:hAnsi="宋体" w:eastAsia="宋体" w:cs="宋体"/>
                <w:b w:val="0"/>
                <w:bCs/>
                <w:kern w:val="2"/>
                <w:sz w:val="21"/>
                <w:szCs w:val="20"/>
                <w:highlight w:val="none"/>
                <w:lang w:val="en-US" w:eastAsia="zh-CN" w:bidi="ar-SA"/>
              </w:rPr>
              <w:t>）</w:t>
            </w:r>
          </w:p>
        </w:tc>
        <w:tc>
          <w:tcPr>
            <w:tcW w:w="1269" w:type="dxa"/>
            <w:tcBorders>
              <w:top w:val="single" w:color="auto" w:sz="4" w:space="0"/>
              <w:left w:val="single" w:color="auto" w:sz="4" w:space="0"/>
              <w:bottom w:val="single" w:color="auto" w:sz="4" w:space="0"/>
              <w:right w:val="single" w:color="auto" w:sz="4" w:space="0"/>
            </w:tcBorders>
            <w:vAlign w:val="center"/>
          </w:tcPr>
          <w:p w14:paraId="1164AB18">
            <w:pPr>
              <w:widowControl w:val="0"/>
              <w:autoSpaceDE w:val="0"/>
              <w:autoSpaceDN w:val="0"/>
              <w:spacing w:line="240" w:lineRule="auto"/>
              <w:ind w:firstLine="0" w:firstLineChars="0"/>
              <w:jc w:val="center"/>
              <w:rPr>
                <w:rFonts w:hint="eastAsia" w:ascii="宋体" w:hAnsi="宋体" w:eastAsia="宋体" w:cs="宋体"/>
                <w:b w:val="0"/>
                <w:bCs/>
                <w:kern w:val="2"/>
                <w:sz w:val="21"/>
                <w:szCs w:val="20"/>
                <w:highlight w:val="none"/>
                <w:lang w:val="en-US" w:eastAsia="zh-CN" w:bidi="ar-SA"/>
              </w:rPr>
            </w:pPr>
            <w:r>
              <w:rPr>
                <w:rFonts w:hint="eastAsia" w:ascii="宋体" w:hAnsi="Times New Roman" w:eastAsia="宋体" w:cs="宋体"/>
                <w:b w:val="0"/>
                <w:bCs/>
                <w:kern w:val="2"/>
                <w:sz w:val="21"/>
                <w:szCs w:val="18"/>
                <w:highlight w:val="none"/>
                <w:lang w:val="en-US" w:eastAsia="zh-CN" w:bidi="ar-SA"/>
              </w:rPr>
              <w:t>240万元</w:t>
            </w:r>
          </w:p>
        </w:tc>
        <w:tc>
          <w:tcPr>
            <w:tcW w:w="1281" w:type="dxa"/>
            <w:tcBorders>
              <w:top w:val="single" w:color="auto" w:sz="4" w:space="0"/>
              <w:left w:val="single" w:color="auto" w:sz="4" w:space="0"/>
              <w:bottom w:val="single" w:color="auto" w:sz="4" w:space="0"/>
              <w:right w:val="single" w:color="auto" w:sz="4" w:space="0"/>
            </w:tcBorders>
            <w:vAlign w:val="center"/>
          </w:tcPr>
          <w:p w14:paraId="48ABDDDA">
            <w:pPr>
              <w:widowControl w:val="0"/>
              <w:autoSpaceDE w:val="0"/>
              <w:autoSpaceDN w:val="0"/>
              <w:spacing w:line="240" w:lineRule="auto"/>
              <w:ind w:firstLine="0" w:firstLineChars="0"/>
              <w:jc w:val="center"/>
              <w:rPr>
                <w:rFonts w:hint="eastAsia" w:ascii="宋体" w:hAnsi="宋体" w:eastAsia="宋体" w:cs="宋体"/>
                <w:b w:val="0"/>
                <w:bCs/>
                <w:kern w:val="2"/>
                <w:sz w:val="21"/>
                <w:szCs w:val="20"/>
                <w:highlight w:val="none"/>
                <w:lang w:val="en-US" w:eastAsia="zh-CN" w:bidi="ar-SA"/>
              </w:rPr>
            </w:pPr>
            <w:r>
              <w:rPr>
                <w:rFonts w:hint="eastAsia" w:ascii="宋体" w:hAnsi="宋体" w:eastAsia="宋体" w:cs="宋体"/>
                <w:b w:val="0"/>
                <w:bCs/>
                <w:kern w:val="2"/>
                <w:sz w:val="21"/>
                <w:szCs w:val="20"/>
                <w:highlight w:val="none"/>
                <w:lang w:val="en-US" w:eastAsia="zh-CN" w:bidi="ar-SA"/>
              </w:rPr>
              <w:t>1</w:t>
            </w:r>
          </w:p>
        </w:tc>
        <w:tc>
          <w:tcPr>
            <w:tcW w:w="2265" w:type="dxa"/>
            <w:tcBorders>
              <w:top w:val="single" w:color="auto" w:sz="4" w:space="0"/>
              <w:left w:val="single" w:color="auto" w:sz="4" w:space="0"/>
              <w:bottom w:val="single" w:color="auto" w:sz="4" w:space="0"/>
              <w:right w:val="single" w:color="auto" w:sz="4" w:space="0"/>
            </w:tcBorders>
            <w:vAlign w:val="center"/>
          </w:tcPr>
          <w:p w14:paraId="43620922">
            <w:pPr>
              <w:widowControl w:val="0"/>
              <w:autoSpaceDE w:val="0"/>
              <w:autoSpaceDN w:val="0"/>
              <w:spacing w:line="240" w:lineRule="auto"/>
              <w:ind w:firstLine="0" w:firstLineChars="0"/>
              <w:jc w:val="center"/>
              <w:rPr>
                <w:rFonts w:hint="eastAsia" w:ascii="宋体" w:hAnsi="宋体" w:eastAsia="宋体" w:cs="宋体"/>
                <w:b w:val="0"/>
                <w:bCs/>
                <w:snapToGrid w:val="0"/>
                <w:kern w:val="2"/>
                <w:sz w:val="21"/>
                <w:szCs w:val="20"/>
                <w:highlight w:val="none"/>
                <w:lang w:val="en-US" w:eastAsia="zh-CN" w:bidi="ar-SA"/>
              </w:rPr>
            </w:pPr>
            <w:r>
              <w:rPr>
                <w:rFonts w:ascii="宋体" w:hAnsi="宋体" w:eastAsia="宋体" w:cs="宋体"/>
                <w:b w:val="0"/>
                <w:bCs/>
                <w:snapToGrid w:val="0"/>
                <w:kern w:val="2"/>
                <w:sz w:val="21"/>
                <w:szCs w:val="20"/>
                <w:highlight w:val="none"/>
                <w:lang w:val="en-US" w:eastAsia="zh-CN" w:bidi="ar-SA"/>
              </w:rPr>
              <w:t>含税，</w:t>
            </w:r>
            <w:r>
              <w:rPr>
                <w:rFonts w:hint="eastAsia" w:ascii="宋体" w:hAnsi="宋体" w:eastAsia="宋体" w:cs="宋体"/>
                <w:b w:val="0"/>
                <w:bCs/>
                <w:snapToGrid w:val="0"/>
                <w:kern w:val="2"/>
                <w:sz w:val="21"/>
                <w:szCs w:val="20"/>
                <w:highlight w:val="none"/>
                <w:lang w:val="en-US" w:eastAsia="zh-CN" w:bidi="ar-SA"/>
              </w:rPr>
              <w:t>按要求完成新采购设备的安装、部署。</w:t>
            </w:r>
          </w:p>
        </w:tc>
      </w:tr>
      <w:tr w14:paraId="584F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497D2BFE">
            <w:pPr>
              <w:widowControl w:val="0"/>
              <w:autoSpaceDE w:val="0"/>
              <w:autoSpaceDN w:val="0"/>
              <w:spacing w:line="240" w:lineRule="auto"/>
              <w:ind w:firstLine="0" w:firstLineChars="0"/>
              <w:jc w:val="center"/>
              <w:rPr>
                <w:rFonts w:ascii="宋体" w:hAnsi="宋体" w:eastAsia="宋体" w:cs="宋体"/>
                <w:b/>
                <w:bCs/>
                <w:kern w:val="2"/>
                <w:sz w:val="21"/>
                <w:szCs w:val="18"/>
                <w:highlight w:val="none"/>
                <w:lang w:val="en-US" w:eastAsia="zh-CN" w:bidi="ar-SA"/>
              </w:rPr>
            </w:pPr>
            <w:r>
              <w:rPr>
                <w:rFonts w:ascii="宋体" w:hAnsi="宋体" w:eastAsia="宋体" w:cs="宋体"/>
                <w:b/>
                <w:bCs/>
                <w:kern w:val="2"/>
                <w:sz w:val="21"/>
                <w:szCs w:val="18"/>
                <w:highlight w:val="none"/>
                <w:lang w:val="en-US" w:eastAsia="zh-CN" w:bidi="ar-SA"/>
              </w:rPr>
              <w:t>3</w:t>
            </w:r>
          </w:p>
        </w:tc>
        <w:tc>
          <w:tcPr>
            <w:tcW w:w="3252" w:type="dxa"/>
            <w:tcBorders>
              <w:top w:val="single" w:color="auto" w:sz="4" w:space="0"/>
              <w:left w:val="single" w:color="auto" w:sz="4" w:space="0"/>
              <w:bottom w:val="single" w:color="auto" w:sz="4" w:space="0"/>
              <w:right w:val="single" w:color="auto" w:sz="4" w:space="0"/>
            </w:tcBorders>
            <w:vAlign w:val="center"/>
          </w:tcPr>
          <w:p w14:paraId="2F864BB9">
            <w:pPr>
              <w:widowControl w:val="0"/>
              <w:autoSpaceDE w:val="0"/>
              <w:autoSpaceDN w:val="0"/>
              <w:spacing w:line="240" w:lineRule="auto"/>
              <w:ind w:firstLine="0" w:firstLineChars="0"/>
              <w:jc w:val="center"/>
              <w:rPr>
                <w:rFonts w:hint="eastAsia" w:ascii="宋体" w:hAnsi="宋体" w:eastAsia="宋体" w:cs="宋体"/>
                <w:b w:val="0"/>
                <w:bCs/>
                <w:kern w:val="2"/>
                <w:sz w:val="21"/>
                <w:szCs w:val="20"/>
                <w:highlight w:val="none"/>
                <w:lang w:val="en-US" w:eastAsia="zh-CN" w:bidi="ar-SA"/>
              </w:rPr>
            </w:pPr>
            <w:r>
              <w:rPr>
                <w:rFonts w:ascii="宋体" w:hAnsi="宋体" w:eastAsia="宋体" w:cs="宋体"/>
                <w:b w:val="0"/>
                <w:bCs/>
                <w:snapToGrid w:val="0"/>
                <w:kern w:val="2"/>
                <w:sz w:val="21"/>
                <w:szCs w:val="20"/>
                <w:highlight w:val="none"/>
                <w:lang w:val="en-US" w:eastAsia="zh-CN" w:bidi="ar-SA"/>
              </w:rPr>
              <w:t>重庆三峡银行</w:t>
            </w:r>
            <w:r>
              <w:rPr>
                <w:rFonts w:hint="eastAsia" w:ascii="宋体" w:hAnsi="宋体" w:eastAsia="宋体" w:cs="宋体"/>
                <w:b w:val="0"/>
                <w:bCs/>
                <w:snapToGrid w:val="0"/>
                <w:kern w:val="2"/>
                <w:sz w:val="21"/>
                <w:szCs w:val="20"/>
                <w:highlight w:val="none"/>
                <w:lang w:val="en-US" w:eastAsia="zh-CN" w:bidi="ar-SA"/>
              </w:rPr>
              <w:t>西永数据中心信创网络安全设备采购</w:t>
            </w:r>
            <w:r>
              <w:rPr>
                <w:rFonts w:hint="eastAsia" w:ascii="宋体" w:hAnsi="宋体" w:eastAsia="宋体" w:cs="宋体"/>
                <w:b w:val="0"/>
                <w:bCs/>
                <w:kern w:val="2"/>
                <w:sz w:val="21"/>
                <w:szCs w:val="20"/>
                <w:highlight w:val="none"/>
                <w:lang w:val="en-US" w:eastAsia="zh-CN" w:bidi="ar-SA"/>
              </w:rPr>
              <w:t>项目（标段</w:t>
            </w:r>
            <w:r>
              <w:rPr>
                <w:rFonts w:ascii="宋体" w:hAnsi="宋体" w:eastAsia="宋体" w:cs="宋体"/>
                <w:b w:val="0"/>
                <w:bCs/>
                <w:kern w:val="2"/>
                <w:sz w:val="21"/>
                <w:szCs w:val="20"/>
                <w:highlight w:val="none"/>
                <w:lang w:val="en-US" w:eastAsia="zh-CN" w:bidi="ar-SA"/>
              </w:rPr>
              <w:t>3：安全设备</w:t>
            </w:r>
            <w:r>
              <w:rPr>
                <w:rFonts w:hint="eastAsia" w:ascii="宋体" w:hAnsi="宋体" w:eastAsia="宋体" w:cs="宋体"/>
                <w:b w:val="0"/>
                <w:bCs/>
                <w:kern w:val="2"/>
                <w:sz w:val="21"/>
                <w:szCs w:val="20"/>
                <w:highlight w:val="none"/>
                <w:lang w:val="en-US" w:eastAsia="zh-CN" w:bidi="ar-SA"/>
              </w:rPr>
              <w:t>）</w:t>
            </w:r>
          </w:p>
        </w:tc>
        <w:tc>
          <w:tcPr>
            <w:tcW w:w="1269" w:type="dxa"/>
            <w:tcBorders>
              <w:top w:val="single" w:color="auto" w:sz="4" w:space="0"/>
              <w:left w:val="single" w:color="auto" w:sz="4" w:space="0"/>
              <w:bottom w:val="single" w:color="auto" w:sz="4" w:space="0"/>
              <w:right w:val="single" w:color="auto" w:sz="4" w:space="0"/>
            </w:tcBorders>
            <w:vAlign w:val="center"/>
          </w:tcPr>
          <w:p w14:paraId="6445F09E">
            <w:pPr>
              <w:widowControl w:val="0"/>
              <w:autoSpaceDE w:val="0"/>
              <w:autoSpaceDN w:val="0"/>
              <w:spacing w:line="240" w:lineRule="auto"/>
              <w:ind w:firstLine="0" w:firstLineChars="0"/>
              <w:jc w:val="center"/>
              <w:rPr>
                <w:rFonts w:hint="eastAsia" w:ascii="宋体" w:hAnsi="宋体" w:eastAsia="宋体" w:cs="宋体"/>
                <w:b w:val="0"/>
                <w:bCs/>
                <w:kern w:val="2"/>
                <w:sz w:val="21"/>
                <w:szCs w:val="20"/>
                <w:highlight w:val="none"/>
                <w:lang w:val="en-US" w:eastAsia="zh-CN" w:bidi="ar-SA"/>
              </w:rPr>
            </w:pPr>
            <w:r>
              <w:rPr>
                <w:rFonts w:hint="eastAsia" w:ascii="宋体" w:hAnsi="Times New Roman" w:eastAsia="宋体" w:cs="宋体"/>
                <w:b w:val="0"/>
                <w:bCs/>
                <w:kern w:val="2"/>
                <w:sz w:val="21"/>
                <w:szCs w:val="18"/>
                <w:highlight w:val="none"/>
                <w:lang w:val="en-US" w:eastAsia="zh-CN" w:bidi="ar-SA"/>
              </w:rPr>
              <w:t>572万元</w:t>
            </w:r>
          </w:p>
        </w:tc>
        <w:tc>
          <w:tcPr>
            <w:tcW w:w="1281" w:type="dxa"/>
            <w:tcBorders>
              <w:top w:val="single" w:color="auto" w:sz="4" w:space="0"/>
              <w:left w:val="single" w:color="auto" w:sz="4" w:space="0"/>
              <w:bottom w:val="single" w:color="auto" w:sz="4" w:space="0"/>
              <w:right w:val="single" w:color="auto" w:sz="4" w:space="0"/>
            </w:tcBorders>
            <w:vAlign w:val="center"/>
          </w:tcPr>
          <w:p w14:paraId="1BD600A5">
            <w:pPr>
              <w:widowControl w:val="0"/>
              <w:autoSpaceDE w:val="0"/>
              <w:autoSpaceDN w:val="0"/>
              <w:spacing w:line="240" w:lineRule="auto"/>
              <w:ind w:firstLine="0" w:firstLineChars="0"/>
              <w:jc w:val="center"/>
              <w:rPr>
                <w:rFonts w:hint="eastAsia" w:ascii="宋体" w:hAnsi="宋体" w:eastAsia="宋体" w:cs="宋体"/>
                <w:b w:val="0"/>
                <w:bCs/>
                <w:kern w:val="2"/>
                <w:sz w:val="21"/>
                <w:szCs w:val="20"/>
                <w:highlight w:val="none"/>
                <w:lang w:val="en-US" w:eastAsia="zh-CN" w:bidi="ar-SA"/>
              </w:rPr>
            </w:pPr>
            <w:r>
              <w:rPr>
                <w:rFonts w:hint="eastAsia" w:ascii="宋体" w:hAnsi="宋体" w:eastAsia="宋体" w:cs="宋体"/>
                <w:b w:val="0"/>
                <w:bCs/>
                <w:kern w:val="2"/>
                <w:sz w:val="21"/>
                <w:szCs w:val="20"/>
                <w:highlight w:val="none"/>
                <w:lang w:val="en-US" w:eastAsia="zh-CN" w:bidi="ar-SA"/>
              </w:rPr>
              <w:t>1</w:t>
            </w:r>
          </w:p>
        </w:tc>
        <w:tc>
          <w:tcPr>
            <w:tcW w:w="2265" w:type="dxa"/>
            <w:tcBorders>
              <w:top w:val="single" w:color="auto" w:sz="4" w:space="0"/>
              <w:left w:val="single" w:color="auto" w:sz="4" w:space="0"/>
              <w:bottom w:val="single" w:color="auto" w:sz="4" w:space="0"/>
              <w:right w:val="single" w:color="auto" w:sz="4" w:space="0"/>
            </w:tcBorders>
            <w:vAlign w:val="center"/>
          </w:tcPr>
          <w:p w14:paraId="136B13F6">
            <w:pPr>
              <w:widowControl w:val="0"/>
              <w:autoSpaceDE w:val="0"/>
              <w:autoSpaceDN w:val="0"/>
              <w:spacing w:line="240" w:lineRule="auto"/>
              <w:ind w:firstLine="0" w:firstLineChars="0"/>
              <w:jc w:val="center"/>
              <w:rPr>
                <w:rFonts w:hint="eastAsia" w:ascii="宋体" w:hAnsi="宋体" w:eastAsia="宋体" w:cs="宋体"/>
                <w:b w:val="0"/>
                <w:bCs/>
                <w:snapToGrid w:val="0"/>
                <w:kern w:val="2"/>
                <w:sz w:val="21"/>
                <w:szCs w:val="20"/>
                <w:highlight w:val="none"/>
                <w:lang w:val="en-US" w:eastAsia="zh-CN" w:bidi="ar-SA"/>
              </w:rPr>
            </w:pPr>
            <w:r>
              <w:rPr>
                <w:rFonts w:ascii="宋体" w:hAnsi="宋体" w:eastAsia="宋体" w:cs="宋体"/>
                <w:b w:val="0"/>
                <w:bCs/>
                <w:snapToGrid w:val="0"/>
                <w:kern w:val="2"/>
                <w:sz w:val="21"/>
                <w:szCs w:val="20"/>
                <w:highlight w:val="none"/>
                <w:lang w:val="en-US" w:eastAsia="zh-CN" w:bidi="ar-SA"/>
              </w:rPr>
              <w:t>含税，</w:t>
            </w:r>
            <w:r>
              <w:rPr>
                <w:rFonts w:hint="eastAsia" w:ascii="宋体" w:hAnsi="宋体" w:eastAsia="宋体" w:cs="宋体"/>
                <w:b w:val="0"/>
                <w:bCs/>
                <w:snapToGrid w:val="0"/>
                <w:kern w:val="2"/>
                <w:sz w:val="21"/>
                <w:szCs w:val="20"/>
                <w:highlight w:val="none"/>
                <w:lang w:val="en-US" w:eastAsia="zh-CN" w:bidi="ar-SA"/>
              </w:rPr>
              <w:t>按要求完成新采购设备的安装、部署。</w:t>
            </w:r>
          </w:p>
        </w:tc>
      </w:tr>
    </w:tbl>
    <w:p w14:paraId="77A714FF">
      <w:pPr>
        <w:bidi w:val="0"/>
        <w:rPr>
          <w:rFonts w:hint="eastAsia"/>
        </w:rPr>
      </w:pPr>
      <w:bookmarkStart w:id="5" w:name="_Toc89675128"/>
      <w:bookmarkStart w:id="6" w:name="_Toc469574664"/>
      <w:bookmarkStart w:id="7" w:name="_Toc55379219"/>
      <w:bookmarkStart w:id="8" w:name="_Toc297817088"/>
      <w:bookmarkStart w:id="9" w:name="_Toc288224935"/>
      <w:r>
        <w:rPr>
          <w:rFonts w:hint="eastAsia" w:ascii="宋体" w:eastAsia="宋体"/>
          <w:lang w:val="en-US" w:eastAsia="zh-CN"/>
        </w:rPr>
        <w:t>注：单价限价详见第三章“</w:t>
      </w:r>
      <w:r>
        <w:rPr>
          <w:lang w:val="en-US" w:eastAsia="zh-CN"/>
        </w:rPr>
        <w:t>11.</w:t>
      </w:r>
      <w:r>
        <w:rPr>
          <w:rFonts w:hint="eastAsia"/>
        </w:rPr>
        <w:t>报价要求</w:t>
      </w:r>
      <w:r>
        <w:rPr>
          <w:rFonts w:hint="eastAsia" w:ascii="宋体" w:eastAsia="宋体"/>
          <w:lang w:val="en-US" w:eastAsia="zh-CN"/>
        </w:rPr>
        <w:t>”。</w:t>
      </w:r>
    </w:p>
    <w:p w14:paraId="5BCAE286">
      <w:pPr>
        <w:widowControl w:val="0"/>
        <w:autoSpaceDE w:val="0"/>
        <w:autoSpaceDN w:val="0"/>
        <w:spacing w:line="600" w:lineRule="exact"/>
        <w:ind w:firstLine="0" w:firstLineChars="0"/>
        <w:jc w:val="both"/>
        <w:outlineLvl w:val="1"/>
        <w:rPr>
          <w:rFonts w:ascii="宋体" w:hAnsi="宋体" w:eastAsia="宋体" w:cs="Times New Roman"/>
          <w:b/>
          <w:bCs/>
          <w:snapToGrid w:val="0"/>
          <w:kern w:val="2"/>
          <w:sz w:val="21"/>
          <w:szCs w:val="24"/>
          <w:highlight w:val="none"/>
          <w:lang w:val="en-US" w:eastAsia="zh-CN" w:bidi="ar-SA"/>
        </w:rPr>
      </w:pPr>
      <w:r>
        <w:rPr>
          <w:rFonts w:hint="eastAsia" w:ascii="宋体" w:hAnsi="宋体" w:eastAsia="宋体" w:cs="Times New Roman"/>
          <w:b/>
          <w:bCs/>
          <w:snapToGrid w:val="0"/>
          <w:kern w:val="2"/>
          <w:sz w:val="21"/>
          <w:szCs w:val="24"/>
          <w:highlight w:val="none"/>
          <w:lang w:val="en-US" w:eastAsia="zh-CN" w:bidi="ar-SA"/>
        </w:rPr>
        <w:t>2. 响应人资格要求</w:t>
      </w:r>
      <w:bookmarkEnd w:id="5"/>
      <w:bookmarkEnd w:id="6"/>
      <w:bookmarkEnd w:id="7"/>
      <w:bookmarkEnd w:id="8"/>
      <w:bookmarkEnd w:id="9"/>
    </w:p>
    <w:p w14:paraId="51ABDC22">
      <w:pPr>
        <w:rPr>
          <w:highlight w:val="none"/>
        </w:rPr>
      </w:pPr>
      <w:bookmarkStart w:id="10" w:name="_Hlk55488870"/>
      <w:r>
        <w:rPr>
          <w:rFonts w:hint="eastAsia"/>
          <w:highlight w:val="none"/>
        </w:rPr>
        <w:t>2.1 具有独立承担民事责任的能力</w:t>
      </w:r>
    </w:p>
    <w:p w14:paraId="23F51AC7">
      <w:pPr>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096C76FD">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0CF71A29">
      <w:pPr>
        <w:rPr>
          <w:highlight w:val="none"/>
        </w:rPr>
      </w:pPr>
      <w:r>
        <w:rPr>
          <w:rFonts w:hint="eastAsia"/>
          <w:highlight w:val="none"/>
        </w:rPr>
        <w:t>2.3 本项目不允许任何形式的转包【提供书面声明】。</w:t>
      </w:r>
    </w:p>
    <w:p w14:paraId="569E1859">
      <w:pPr>
        <w:rPr>
          <w:highlight w:val="none"/>
        </w:rPr>
      </w:pPr>
      <w:r>
        <w:rPr>
          <w:rFonts w:hint="eastAsia"/>
          <w:highlight w:val="none"/>
        </w:rPr>
        <w:t>2.4 法人及法定代表人没有被人民法院列为失信被执行人名单【提供：1、法人在</w:t>
      </w:r>
      <w:r>
        <w:rPr>
          <w:highlight w:val="none"/>
        </w:rPr>
        <w:t>中国执行信息公开网</w:t>
      </w:r>
      <w:r>
        <w:rPr>
          <w:rFonts w:hint="eastAsia"/>
          <w:highlight w:val="none"/>
        </w:rPr>
        <w:t>（中国执行信息公开网网址：https://zxgk.court.gov.cn/）的查询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32FC96A3">
      <w:pPr>
        <w:rPr>
          <w:highlight w:val="none"/>
        </w:rPr>
      </w:pPr>
      <w:r>
        <w:rPr>
          <w:rFonts w:hint="eastAsia"/>
          <w:highlight w:val="none"/>
        </w:rPr>
        <w:t>2.5 本次询比不接受联合体响应。</w:t>
      </w:r>
    </w:p>
    <w:p w14:paraId="6CA8703F">
      <w:pPr>
        <w:rPr>
          <w:color w:val="auto"/>
          <w:highlight w:val="none"/>
        </w:rPr>
      </w:pPr>
      <w:r>
        <w:rPr>
          <w:rFonts w:hint="eastAsia"/>
          <w:highlight w:val="none"/>
        </w:rPr>
        <w:t>2.6</w:t>
      </w:r>
      <w:r>
        <w:rPr>
          <w:highlight w:val="none"/>
        </w:rPr>
        <w:t xml:space="preserve"> </w:t>
      </w:r>
      <w:r>
        <w:rPr>
          <w:color w:val="auto"/>
          <w:highlight w:val="none"/>
        </w:rPr>
        <w:t>2022</w:t>
      </w:r>
      <w:r>
        <w:rPr>
          <w:rFonts w:hint="eastAsia"/>
          <w:color w:val="auto"/>
          <w:highlight w:val="none"/>
        </w:rPr>
        <w:t>年</w:t>
      </w:r>
      <w:r>
        <w:rPr>
          <w:color w:val="auto"/>
          <w:highlight w:val="none"/>
        </w:rPr>
        <w:t>1</w:t>
      </w:r>
      <w:r>
        <w:rPr>
          <w:rFonts w:hint="eastAsia"/>
          <w:color w:val="auto"/>
          <w:highlight w:val="none"/>
        </w:rPr>
        <w:t>月</w:t>
      </w:r>
      <w:r>
        <w:rPr>
          <w:color w:val="auto"/>
          <w:highlight w:val="none"/>
        </w:rPr>
        <w:t>1</w:t>
      </w:r>
      <w:r>
        <w:rPr>
          <w:rFonts w:hint="eastAsia"/>
          <w:color w:val="auto"/>
          <w:highlight w:val="none"/>
        </w:rPr>
        <w:t>日至</w:t>
      </w:r>
      <w:r>
        <w:rPr>
          <w:color w:val="auto"/>
          <w:highlight w:val="none"/>
        </w:rPr>
        <w:t>本询比文件发出日期间</w:t>
      </w:r>
      <w:r>
        <w:rPr>
          <w:rFonts w:hint="eastAsia"/>
          <w:color w:val="auto"/>
          <w:highlight w:val="none"/>
        </w:rPr>
        <w:t>（以合同签订时间为准），</w:t>
      </w:r>
      <w:r>
        <w:rPr>
          <w:color w:val="auto"/>
          <w:highlight w:val="none"/>
        </w:rPr>
        <w:t>生产厂商</w:t>
      </w:r>
      <w:r>
        <w:rPr>
          <w:rFonts w:hint="eastAsia"/>
          <w:color w:val="auto"/>
          <w:highlight w:val="none"/>
        </w:rPr>
        <w:t>具有</w:t>
      </w:r>
      <w:r>
        <w:rPr>
          <w:color w:val="auto"/>
          <w:highlight w:val="none"/>
        </w:rPr>
        <w:t>金融行业总部（银行、保险、证券、期货等）</w:t>
      </w:r>
      <w:r>
        <w:rPr>
          <w:rFonts w:hint="eastAsia"/>
          <w:color w:val="auto"/>
          <w:highlight w:val="none"/>
        </w:rPr>
        <w:t>相关案例不少于</w:t>
      </w:r>
      <w:r>
        <w:rPr>
          <w:color w:val="auto"/>
          <w:highlight w:val="none"/>
        </w:rPr>
        <w:t>3</w:t>
      </w:r>
      <w:r>
        <w:rPr>
          <w:rFonts w:hint="eastAsia"/>
          <w:color w:val="auto"/>
          <w:highlight w:val="none"/>
        </w:rPr>
        <w:t>个，</w:t>
      </w:r>
      <w:r>
        <w:rPr>
          <w:color w:val="auto"/>
          <w:highlight w:val="none"/>
        </w:rPr>
        <w:t>其中</w:t>
      </w:r>
      <w:r>
        <w:rPr>
          <w:rFonts w:hint="eastAsia" w:hAnsi="仿宋"/>
          <w:color w:val="auto"/>
          <w:szCs w:val="18"/>
          <w:highlight w:val="none"/>
        </w:rPr>
        <w:t>合同内容产品列表中</w:t>
      </w:r>
      <w:r>
        <w:rPr>
          <w:rFonts w:hAnsi="仿宋"/>
          <w:color w:val="auto"/>
          <w:szCs w:val="18"/>
          <w:highlight w:val="none"/>
        </w:rPr>
        <w:t>的产品型号必须和本次所投</w:t>
      </w:r>
      <w:r>
        <w:rPr>
          <w:rFonts w:hAnsi="仿宋"/>
          <w:bCs/>
          <w:color w:val="auto"/>
          <w:szCs w:val="18"/>
          <w:highlight w:val="none"/>
        </w:rPr>
        <w:t>产品型号一致</w:t>
      </w:r>
      <w:r>
        <w:rPr>
          <w:rFonts w:hAnsi="仿宋"/>
          <w:color w:val="auto"/>
          <w:szCs w:val="18"/>
          <w:highlight w:val="none"/>
        </w:rPr>
        <w:t>，</w:t>
      </w:r>
      <w:r>
        <w:rPr>
          <w:rFonts w:hint="eastAsia"/>
          <w:color w:val="auto"/>
          <w:highlight w:val="none"/>
        </w:rPr>
        <w:t>低于</w:t>
      </w:r>
      <w:r>
        <w:rPr>
          <w:color w:val="auto"/>
          <w:highlight w:val="none"/>
        </w:rPr>
        <w:t>3</w:t>
      </w:r>
      <w:r>
        <w:rPr>
          <w:rFonts w:hint="eastAsia"/>
          <w:color w:val="auto"/>
          <w:highlight w:val="none"/>
        </w:rPr>
        <w:t>个案例（不含</w:t>
      </w:r>
      <w:r>
        <w:rPr>
          <w:color w:val="auto"/>
          <w:highlight w:val="none"/>
        </w:rPr>
        <w:t>3</w:t>
      </w:r>
      <w:r>
        <w:rPr>
          <w:rFonts w:hint="eastAsia"/>
          <w:color w:val="auto"/>
          <w:highlight w:val="none"/>
        </w:rPr>
        <w:t>个）取消响应资质</w:t>
      </w:r>
      <w:r>
        <w:rPr>
          <w:color w:val="auto"/>
          <w:highlight w:val="none"/>
        </w:rPr>
        <w:t>。</w:t>
      </w:r>
    </w:p>
    <w:p w14:paraId="0FE3CB60">
      <w:pPr>
        <w:rPr>
          <w:rFonts w:hint="eastAsia" w:eastAsia="宋体"/>
          <w:highlight w:val="none"/>
          <w:lang w:eastAsia="zh-CN"/>
        </w:rPr>
      </w:pPr>
      <w:r>
        <w:rPr>
          <w:rFonts w:hint="eastAsia" w:ascii="宋体" w:cs="Cambria"/>
          <w:szCs w:val="24"/>
          <w:highlight w:val="none"/>
          <w:lang w:val="zh-CN" w:eastAsia="zh-CN" w:bidi="ar-SA"/>
        </w:rPr>
        <w:t>案例时间以合同</w:t>
      </w:r>
      <w:r>
        <w:rPr>
          <w:rFonts w:ascii="宋体" w:cs="Cambria"/>
          <w:szCs w:val="24"/>
          <w:highlight w:val="none"/>
          <w:lang w:val="zh-CN" w:eastAsia="zh-CN" w:bidi="ar-SA"/>
        </w:rPr>
        <w:t>（或订单）</w:t>
      </w:r>
      <w:r>
        <w:rPr>
          <w:rFonts w:hint="eastAsia" w:ascii="宋体" w:cs="Cambria"/>
          <w:szCs w:val="24"/>
          <w:highlight w:val="none"/>
          <w:lang w:val="zh-CN" w:eastAsia="zh-CN" w:bidi="ar-SA"/>
        </w:rPr>
        <w:t xml:space="preserve">签订时间为准。（注: </w:t>
      </w:r>
      <w:r>
        <w:rPr>
          <w:rFonts w:hint="eastAsia" w:ascii="宋体" w:hAnsi="宋体"/>
          <w:highlight w:val="none"/>
        </w:rPr>
        <w:t>同一家单位</w:t>
      </w:r>
      <w:r>
        <w:rPr>
          <w:rFonts w:ascii="宋体" w:hAnsi="宋体"/>
          <w:highlight w:val="none"/>
        </w:rPr>
        <w:t>同一品牌型号设备合同（或订单）签订时间不同只算一个</w:t>
      </w:r>
      <w:r>
        <w:rPr>
          <w:rFonts w:hint="eastAsia" w:ascii="宋体" w:cs="Cambria"/>
          <w:szCs w:val="24"/>
          <w:highlight w:val="none"/>
          <w:lang w:val="zh-CN" w:eastAsia="zh-CN" w:bidi="ar-SA"/>
        </w:rPr>
        <w:t>案例</w:t>
      </w:r>
      <w:r>
        <w:rPr>
          <w:rFonts w:ascii="宋体" w:hAnsi="宋体"/>
          <w:highlight w:val="none"/>
        </w:rPr>
        <w:t>。</w:t>
      </w:r>
      <w:r>
        <w:rPr>
          <w:rFonts w:hint="eastAsia" w:ascii="宋体" w:cs="Cambria"/>
          <w:szCs w:val="24"/>
          <w:highlight w:val="none"/>
          <w:lang w:val="zh-CN" w:eastAsia="zh-CN" w:bidi="ar-SA"/>
        </w:rPr>
        <w:t>案例须提供合同</w:t>
      </w:r>
      <w:r>
        <w:rPr>
          <w:rFonts w:ascii="宋体" w:cs="Cambria"/>
          <w:szCs w:val="24"/>
          <w:highlight w:val="none"/>
          <w:lang w:val="zh-CN" w:eastAsia="zh-CN" w:bidi="ar-SA"/>
        </w:rPr>
        <w:t>（或订单）</w:t>
      </w:r>
      <w:r>
        <w:rPr>
          <w:rFonts w:hint="eastAsia" w:ascii="宋体" w:cs="Cambria"/>
          <w:szCs w:val="24"/>
          <w:highlight w:val="none"/>
          <w:lang w:val="zh-CN" w:eastAsia="zh-CN" w:bidi="ar-SA"/>
        </w:rPr>
        <w:t>复印件</w:t>
      </w:r>
      <w:r>
        <w:rPr>
          <w:rFonts w:ascii="宋体" w:cs="Cambria"/>
          <w:szCs w:val="24"/>
          <w:highlight w:val="none"/>
          <w:lang w:val="zh-CN" w:eastAsia="zh-CN" w:bidi="ar-SA"/>
        </w:rPr>
        <w:t>和项目简介</w:t>
      </w:r>
      <w:r>
        <w:rPr>
          <w:rFonts w:hint="eastAsia" w:ascii="宋体" w:cs="Cambria"/>
          <w:szCs w:val="24"/>
          <w:highlight w:val="none"/>
          <w:lang w:val="zh-CN" w:eastAsia="zh-CN" w:bidi="ar-SA"/>
        </w:rPr>
        <w:t>，合同</w:t>
      </w:r>
      <w:r>
        <w:rPr>
          <w:rFonts w:ascii="宋体" w:cs="Cambria"/>
          <w:szCs w:val="24"/>
          <w:highlight w:val="none"/>
          <w:lang w:val="zh-CN" w:eastAsia="zh-CN" w:bidi="ar-SA"/>
        </w:rPr>
        <w:t>（或订单）</w:t>
      </w:r>
      <w:r>
        <w:rPr>
          <w:rFonts w:hint="eastAsia" w:ascii="宋体" w:cs="Cambria"/>
          <w:szCs w:val="24"/>
          <w:highlight w:val="none"/>
          <w:lang w:val="zh-CN" w:eastAsia="zh-CN" w:bidi="ar-SA"/>
        </w:rPr>
        <w:t>以下信息不可隐藏</w:t>
      </w:r>
      <w:r>
        <w:rPr>
          <w:rFonts w:hint="eastAsia" w:ascii="宋体" w:cs="Cambria"/>
          <w:szCs w:val="24"/>
          <w:highlight w:val="none"/>
          <w:lang w:bidi="ar-SA"/>
        </w:rPr>
        <w:t>，包含：甲乙双方名称、双方印章、项目名称、</w:t>
      </w:r>
      <w:r>
        <w:rPr>
          <w:rFonts w:ascii="宋体" w:cs="Cambria"/>
          <w:szCs w:val="24"/>
          <w:highlight w:val="none"/>
          <w:lang w:bidi="ar-SA"/>
        </w:rPr>
        <w:t>型号数量、</w:t>
      </w:r>
      <w:r>
        <w:rPr>
          <w:rFonts w:hint="eastAsia" w:ascii="宋体" w:cs="Cambria"/>
          <w:szCs w:val="24"/>
          <w:highlight w:val="none"/>
          <w:lang w:bidi="ar-SA"/>
        </w:rPr>
        <w:t>签订时间等</w:t>
      </w:r>
      <w:r>
        <w:rPr>
          <w:rFonts w:ascii="宋体" w:cs="Cambria"/>
          <w:szCs w:val="24"/>
          <w:highlight w:val="none"/>
          <w:lang w:bidi="ar-SA"/>
        </w:rPr>
        <w:t>。</w:t>
      </w:r>
      <w:r>
        <w:rPr>
          <w:rFonts w:hint="eastAsia" w:ascii="宋体" w:cs="Cambria"/>
          <w:szCs w:val="24"/>
          <w:highlight w:val="none"/>
          <w:lang w:bidi="ar-SA"/>
        </w:rPr>
        <w:t>响应文件中须附相关证明文件复印件并逐页加盖</w:t>
      </w:r>
      <w:r>
        <w:rPr>
          <w:rFonts w:ascii="宋体" w:cs="Cambria"/>
          <w:szCs w:val="24"/>
          <w:highlight w:val="none"/>
          <w:lang w:bidi="ar-SA"/>
        </w:rPr>
        <w:t>响应人</w:t>
      </w:r>
      <w:r>
        <w:rPr>
          <w:rFonts w:hint="eastAsia" w:ascii="宋体" w:cs="Cambria"/>
          <w:szCs w:val="24"/>
          <w:highlight w:val="none"/>
          <w:lang w:bidi="ar-SA"/>
        </w:rPr>
        <w:t>公章</w:t>
      </w:r>
      <w:r>
        <w:rPr>
          <w:color w:val="auto"/>
          <w:highlight w:val="none"/>
        </w:rPr>
        <w:t>。</w:t>
      </w:r>
      <w:r>
        <w:rPr>
          <w:rFonts w:hint="eastAsia" w:eastAsia="宋体"/>
          <w:color w:val="auto"/>
          <w:highlight w:val="none"/>
          <w:lang w:eastAsia="zh-CN"/>
        </w:rPr>
        <w:t>【</w:t>
      </w:r>
      <w:r>
        <w:rPr>
          <w:rFonts w:hint="eastAsia" w:ascii="宋体" w:eastAsia="宋体"/>
          <w:color w:val="auto"/>
          <w:highlight w:val="none"/>
          <w:lang w:val="en-US" w:eastAsia="zh-CN"/>
        </w:rPr>
        <w:t>提供：1、合同关键页；2、项目简介</w:t>
      </w:r>
      <w:r>
        <w:rPr>
          <w:rFonts w:hint="eastAsia" w:eastAsia="宋体"/>
          <w:color w:val="auto"/>
          <w:highlight w:val="none"/>
          <w:lang w:eastAsia="zh-CN"/>
        </w:rPr>
        <w:t>】</w:t>
      </w:r>
    </w:p>
    <w:p w14:paraId="7AD40B74">
      <w:pPr>
        <w:rPr>
          <w:highlight w:val="none"/>
        </w:rPr>
      </w:pPr>
      <w:r>
        <w:rPr>
          <w:rFonts w:hint="eastAsia"/>
          <w:highlight w:val="none"/>
        </w:rPr>
        <w:t>2.</w:t>
      </w:r>
      <w:r>
        <w:rPr>
          <w:highlight w:val="none"/>
        </w:rPr>
        <w:t>7</w:t>
      </w:r>
      <w:r>
        <w:rPr>
          <w:rFonts w:hint="eastAsia"/>
          <w:highlight w:val="none"/>
        </w:rPr>
        <w:t xml:space="preserve"> 响应人注册成立时间不少于3年，且注册资本不低于1000万元【提供营业执照复印件，如营业执照无法体现注册资本，则提供网页截图等第三方证明】</w:t>
      </w:r>
    </w:p>
    <w:p w14:paraId="69FCAED1">
      <w:pPr>
        <w:rPr>
          <w:highlight w:val="none"/>
        </w:rPr>
      </w:pPr>
      <w:r>
        <w:rPr>
          <w:rFonts w:hint="eastAsia"/>
          <w:highlight w:val="none"/>
        </w:rPr>
        <w:t>2.</w:t>
      </w:r>
      <w:r>
        <w:rPr>
          <w:highlight w:val="none"/>
        </w:rPr>
        <w:t>8</w:t>
      </w:r>
      <w:r>
        <w:rPr>
          <w:rFonts w:hint="eastAsia"/>
          <w:highlight w:val="none"/>
        </w:rPr>
        <w:t xml:space="preserve"> 员工社保缴纳总人数不低于50人，员工参保单位须为响应人，委托第三方公司代缴的不予认定。【提供：1. 2024年8月1日至今任意月份的员工社保缴纳总人数及社保缴纳材料证明。】</w:t>
      </w:r>
    </w:p>
    <w:p w14:paraId="3F41D732">
      <w:pPr>
        <w:widowControl/>
        <w:ind w:firstLine="420" w:firstLineChars="200"/>
        <w:jc w:val="left"/>
        <w:rPr>
          <w:rFonts w:hint="eastAsia" w:ascii="宋体" w:cs="Cambria"/>
          <w:szCs w:val="28"/>
          <w:highlight w:val="none"/>
          <w:lang w:bidi="ar-SA"/>
        </w:rPr>
      </w:pPr>
      <w:r>
        <w:rPr>
          <w:rFonts w:ascii="宋体" w:cs="Cambria"/>
          <w:szCs w:val="28"/>
          <w:highlight w:val="none"/>
          <w:lang w:bidi="ar-SA"/>
        </w:rPr>
        <w:t>2</w:t>
      </w:r>
      <w:r>
        <w:rPr>
          <w:rFonts w:hint="eastAsia" w:ascii="Times New Roman" w:hAnsi="Times New Roman"/>
          <w:color w:val="FF0000"/>
          <w:highlight w:val="none"/>
        </w:rPr>
        <w:t>.</w:t>
      </w:r>
      <w:r>
        <w:rPr>
          <w:rFonts w:ascii="宋体" w:cs="Cambria"/>
          <w:szCs w:val="28"/>
          <w:highlight w:val="none"/>
          <w:lang w:bidi="ar-SA"/>
        </w:rPr>
        <w:t xml:space="preserve">9 </w:t>
      </w:r>
      <w:r>
        <w:rPr>
          <w:rFonts w:hint="eastAsia" w:ascii="宋体" w:cs="Cambria"/>
          <w:szCs w:val="28"/>
          <w:highlight w:val="none"/>
          <w:lang w:bidi="ar-SA"/>
        </w:rPr>
        <w:t>响应人为厂商直投或其合法代理商；</w:t>
      </w:r>
    </w:p>
    <w:p w14:paraId="5C82F8BD">
      <w:pPr>
        <w:widowControl/>
        <w:ind w:firstLine="420" w:firstLineChars="200"/>
        <w:jc w:val="left"/>
        <w:rPr>
          <w:rFonts w:hint="eastAsia" w:ascii="宋体" w:eastAsia="宋体" w:cs="Cambria"/>
          <w:szCs w:val="24"/>
          <w:lang w:eastAsia="zh-CN" w:bidi="ar-SA"/>
        </w:rPr>
      </w:pPr>
      <w:r>
        <w:rPr>
          <w:rFonts w:ascii="宋体" w:cs="Cambria"/>
          <w:szCs w:val="24"/>
          <w:highlight w:val="none"/>
          <w:lang w:bidi="ar-SA"/>
        </w:rPr>
        <w:t>1</w:t>
      </w:r>
      <w:r>
        <w:rPr>
          <w:rFonts w:hint="eastAsia" w:ascii="宋体" w:hAnsi="宋体"/>
          <w:highlight w:val="none"/>
        </w:rPr>
        <w:t>、</w:t>
      </w:r>
      <w:r>
        <w:rPr>
          <w:rFonts w:hint="eastAsia" w:ascii="宋体" w:cs="Cambria"/>
          <w:szCs w:val="24"/>
          <w:highlight w:val="none"/>
          <w:lang w:bidi="ar-SA"/>
        </w:rPr>
        <w:t>若为厂商直接参与询比，需提供售后服务承诺函（包括原厂维保时间及售后服务等</w:t>
      </w:r>
      <w:r>
        <w:rPr>
          <w:rFonts w:hint="eastAsia" w:ascii="宋体" w:cs="Cambria"/>
          <w:szCs w:val="24"/>
          <w:lang w:bidi="ar-SA"/>
        </w:rPr>
        <w:t>级）原件。</w:t>
      </w:r>
      <w:r>
        <w:rPr>
          <w:rFonts w:hint="eastAsia" w:cs="Cambria"/>
          <w:szCs w:val="24"/>
          <w:lang w:eastAsia="zh-CN" w:bidi="ar-SA"/>
        </w:rPr>
        <w:t>【</w:t>
      </w:r>
      <w:r>
        <w:rPr>
          <w:rFonts w:hint="eastAsia" w:ascii="宋体" w:cs="Cambria"/>
          <w:szCs w:val="24"/>
          <w:highlight w:val="none"/>
          <w:lang w:bidi="ar-SA"/>
        </w:rPr>
        <w:t>若为厂商</w:t>
      </w:r>
      <w:r>
        <w:rPr>
          <w:rFonts w:hint="eastAsia" w:ascii="宋体" w:cs="Cambria"/>
          <w:szCs w:val="24"/>
          <w:highlight w:val="none"/>
          <w:lang w:eastAsia="zh-CN" w:bidi="ar-SA"/>
        </w:rPr>
        <w:t>，</w:t>
      </w:r>
      <w:r>
        <w:rPr>
          <w:rFonts w:hint="eastAsia" w:cs="Cambria"/>
          <w:szCs w:val="24"/>
          <w:lang w:val="en-US" w:eastAsia="zh-CN" w:bidi="ar-SA"/>
        </w:rPr>
        <w:t>提供</w:t>
      </w:r>
      <w:r>
        <w:rPr>
          <w:rFonts w:hint="eastAsia" w:ascii="宋体" w:cs="Cambria"/>
          <w:szCs w:val="24"/>
          <w:highlight w:val="none"/>
          <w:lang w:bidi="ar-SA"/>
        </w:rPr>
        <w:t>售后服务承诺函</w:t>
      </w:r>
      <w:r>
        <w:rPr>
          <w:rFonts w:hint="eastAsia" w:cs="Cambria"/>
          <w:szCs w:val="24"/>
          <w:lang w:eastAsia="zh-CN" w:bidi="ar-SA"/>
        </w:rPr>
        <w:t>】</w:t>
      </w:r>
    </w:p>
    <w:p w14:paraId="1F0DC6A7">
      <w:pPr>
        <w:rPr>
          <w:rFonts w:hint="eastAsia" w:ascii="宋体" w:eastAsia="宋体" w:cs="Cambria"/>
          <w:szCs w:val="24"/>
          <w:lang w:eastAsia="zh-CN" w:bidi="ar-SA"/>
        </w:rPr>
      </w:pPr>
      <w:r>
        <w:rPr>
          <w:rFonts w:hint="eastAsia" w:ascii="宋体" w:hAnsi="宋体"/>
        </w:rPr>
        <w:t>2、</w:t>
      </w:r>
      <w:r>
        <w:rPr>
          <w:rFonts w:hint="eastAsia" w:ascii="宋体" w:cs="Cambria"/>
          <w:szCs w:val="24"/>
          <w:lang w:bidi="ar-SA"/>
        </w:rPr>
        <w:t>若为代理商参与询比，响应人须提供询比产品原厂对本项目出具的授权函原件及售后服务承诺函（包括原厂维保时间及售后服务等级）原件。</w:t>
      </w:r>
      <w:r>
        <w:rPr>
          <w:rFonts w:hint="eastAsia" w:cs="Cambria"/>
          <w:szCs w:val="24"/>
          <w:lang w:eastAsia="zh-CN" w:bidi="ar-SA"/>
        </w:rPr>
        <w:t>【</w:t>
      </w:r>
      <w:r>
        <w:rPr>
          <w:rFonts w:hint="eastAsia" w:ascii="宋体" w:cs="Cambria"/>
          <w:szCs w:val="24"/>
          <w:lang w:bidi="ar-SA"/>
        </w:rPr>
        <w:t>若为代理商</w:t>
      </w:r>
      <w:r>
        <w:rPr>
          <w:rFonts w:hint="eastAsia" w:ascii="宋体" w:cs="Cambria"/>
          <w:szCs w:val="24"/>
          <w:lang w:eastAsia="zh-CN" w:bidi="ar-SA"/>
        </w:rPr>
        <w:t>，</w:t>
      </w:r>
      <w:r>
        <w:rPr>
          <w:rFonts w:hint="eastAsia" w:cs="Cambria"/>
          <w:szCs w:val="24"/>
          <w:lang w:val="en-US" w:eastAsia="zh-CN" w:bidi="ar-SA"/>
        </w:rPr>
        <w:t>提供：1、</w:t>
      </w:r>
      <w:r>
        <w:rPr>
          <w:rFonts w:hint="eastAsia" w:ascii="宋体" w:cs="Cambria"/>
          <w:szCs w:val="24"/>
          <w:highlight w:val="none"/>
          <w:lang w:bidi="ar-SA"/>
        </w:rPr>
        <w:t>售后服务承诺函</w:t>
      </w:r>
      <w:r>
        <w:rPr>
          <w:rFonts w:hint="eastAsia" w:ascii="宋体" w:cs="Cambria"/>
          <w:szCs w:val="24"/>
          <w:highlight w:val="none"/>
          <w:lang w:eastAsia="zh-CN" w:bidi="ar-SA"/>
        </w:rPr>
        <w:t>；</w:t>
      </w:r>
      <w:r>
        <w:rPr>
          <w:rFonts w:hint="eastAsia" w:ascii="宋体" w:cs="Cambria"/>
          <w:szCs w:val="24"/>
          <w:highlight w:val="none"/>
          <w:lang w:val="en-US" w:eastAsia="zh-CN" w:bidi="ar-SA"/>
        </w:rPr>
        <w:t>2、原厂授权证明文件</w:t>
      </w:r>
      <w:r>
        <w:rPr>
          <w:rFonts w:hint="eastAsia" w:cs="Cambria"/>
          <w:szCs w:val="24"/>
          <w:lang w:eastAsia="zh-CN" w:bidi="ar-SA"/>
        </w:rPr>
        <w:t>】</w:t>
      </w:r>
    </w:p>
    <w:p w14:paraId="42F9B4C2">
      <w:pPr>
        <w:rPr>
          <w:color w:val="FF0000"/>
          <w:highlight w:val="none"/>
        </w:rPr>
      </w:pPr>
      <w:r>
        <w:rPr>
          <w:rFonts w:hint="eastAsia" w:ascii="宋体" w:cs="Cambria"/>
          <w:szCs w:val="24"/>
          <w:lang w:bidi="ar-SA"/>
        </w:rPr>
        <w:t>(注：</w:t>
      </w:r>
      <w:r>
        <w:rPr>
          <w:rFonts w:hint="eastAsia" w:ascii="宋体" w:hAnsi="宋体"/>
        </w:rPr>
        <w:t>（1）同一品牌的制造商和代理商不能同时参与本项目询比。（2）一个制造商对同一</w:t>
      </w:r>
      <w:r>
        <w:rPr>
          <w:rFonts w:ascii="宋体" w:hAnsi="宋体"/>
        </w:rPr>
        <w:t>型号</w:t>
      </w:r>
      <w:r>
        <w:rPr>
          <w:rFonts w:hint="eastAsia" w:ascii="宋体" w:hAnsi="宋体"/>
        </w:rPr>
        <w:t>的产品，仅能委托一个代理商参与本项目询比。（3）</w:t>
      </w:r>
      <w:r>
        <w:rPr>
          <w:rFonts w:ascii="宋体" w:hAnsi="宋体"/>
        </w:rPr>
        <w:t>响应</w:t>
      </w:r>
      <w:r>
        <w:rPr>
          <w:rFonts w:hint="eastAsia" w:ascii="宋体" w:hAnsi="宋体"/>
        </w:rPr>
        <w:t>人必须对产品询比报价，</w:t>
      </w:r>
      <w:r>
        <w:rPr>
          <w:rFonts w:hint="eastAsia" w:ascii="宋体" w:hAnsi="宋体"/>
          <w:highlight w:val="none"/>
        </w:rPr>
        <w:t>不能选择对其中部分类型产品询比报价。违反以上要求，各相关询比均无效。</w:t>
      </w:r>
      <w:r>
        <w:rPr>
          <w:rFonts w:hint="eastAsia" w:ascii="宋体" w:cs="Cambria"/>
          <w:szCs w:val="24"/>
          <w:highlight w:val="none"/>
          <w:lang w:bidi="ar-SA"/>
        </w:rPr>
        <w:t>）</w:t>
      </w:r>
    </w:p>
    <w:p w14:paraId="3216E1CB">
      <w:pPr>
        <w:rPr>
          <w:rFonts w:hint="eastAsia"/>
          <w:highlight w:val="none"/>
        </w:rPr>
      </w:pPr>
      <w:r>
        <w:rPr>
          <w:rFonts w:hint="eastAsia"/>
          <w:highlight w:val="none"/>
        </w:rPr>
        <w:t>注:以上证明文件若采购人存疑，响应人需提供原件备查，响应文件中须附相关证明文件复印件并逐页加盖公章。</w:t>
      </w:r>
    </w:p>
    <w:p w14:paraId="4A743A7D">
      <w:pPr>
        <w:rPr>
          <w:highlight w:val="none"/>
        </w:rPr>
      </w:pPr>
      <w:r>
        <w:rPr>
          <w:rFonts w:hint="eastAsia"/>
          <w:b/>
          <w:bCs/>
          <w:highlight w:val="none"/>
        </w:rPr>
        <w:t>同一参选人参与不同标段时，各标段分别制作参选文件，各标段均有中选资格。</w:t>
      </w:r>
    </w:p>
    <w:p w14:paraId="1713AEC5">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6"/>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790A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0454C126">
            <w:pPr>
              <w:widowControl w:val="0"/>
              <w:autoSpaceDE w:val="0"/>
              <w:autoSpaceDN w:val="0"/>
              <w:spacing w:line="240" w:lineRule="auto"/>
              <w:ind w:firstLine="0" w:firstLineChars="0"/>
              <w:jc w:val="center"/>
              <w:rPr>
                <w:rFonts w:ascii="宋体" w:hAnsi="宋体" w:eastAsia="宋体" w:cs="宋体"/>
                <w:b/>
                <w:bCs/>
                <w:kern w:val="2"/>
                <w:sz w:val="21"/>
                <w:szCs w:val="18"/>
                <w:highlight w:val="none"/>
                <w:lang w:val="en-US" w:eastAsia="zh-CN" w:bidi="ar-SA"/>
              </w:rPr>
            </w:pPr>
            <w:r>
              <w:rPr>
                <w:rFonts w:hint="eastAsia" w:ascii="宋体" w:hAnsi="宋体" w:eastAsia="宋体" w:cs="宋体"/>
                <w:b/>
                <w:bCs/>
                <w:kern w:val="2"/>
                <w:sz w:val="21"/>
                <w:szCs w:val="18"/>
                <w:highlight w:val="none"/>
                <w:lang w:val="en-US" w:eastAsia="zh-CN" w:bidi="ar-SA"/>
              </w:rPr>
              <w:t>序号</w:t>
            </w:r>
          </w:p>
        </w:tc>
        <w:tc>
          <w:tcPr>
            <w:tcW w:w="4933" w:type="dxa"/>
          </w:tcPr>
          <w:p w14:paraId="031BE986">
            <w:pPr>
              <w:widowControl w:val="0"/>
              <w:autoSpaceDE w:val="0"/>
              <w:autoSpaceDN w:val="0"/>
              <w:spacing w:line="240" w:lineRule="auto"/>
              <w:ind w:firstLine="0" w:firstLineChars="0"/>
              <w:jc w:val="center"/>
              <w:rPr>
                <w:rFonts w:ascii="宋体" w:hAnsi="宋体" w:eastAsia="宋体" w:cs="宋体"/>
                <w:b/>
                <w:bCs/>
                <w:kern w:val="2"/>
                <w:sz w:val="21"/>
                <w:szCs w:val="18"/>
                <w:highlight w:val="none"/>
                <w:lang w:val="en-US" w:eastAsia="zh-CN" w:bidi="ar-SA"/>
              </w:rPr>
            </w:pPr>
            <w:r>
              <w:rPr>
                <w:rFonts w:hint="eastAsia" w:ascii="宋体" w:hAnsi="宋体" w:eastAsia="宋体" w:cs="宋体"/>
                <w:b/>
                <w:bCs/>
                <w:kern w:val="2"/>
                <w:sz w:val="21"/>
                <w:szCs w:val="18"/>
                <w:highlight w:val="none"/>
                <w:lang w:val="en-US" w:eastAsia="zh-CN" w:bidi="ar-SA"/>
              </w:rPr>
              <w:t>公司</w:t>
            </w:r>
          </w:p>
        </w:tc>
      </w:tr>
      <w:tr w14:paraId="1314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50F9E886">
            <w:pPr>
              <w:widowControl w:val="0"/>
              <w:autoSpaceDE w:val="0"/>
              <w:autoSpaceDN w:val="0"/>
              <w:spacing w:line="240" w:lineRule="auto"/>
              <w:ind w:firstLine="0" w:firstLineChars="0"/>
              <w:jc w:val="both"/>
              <w:rPr>
                <w:rFonts w:ascii="宋体" w:hAnsi="宋体" w:eastAsia="宋体" w:cs="宋体"/>
                <w:bCs/>
                <w:kern w:val="2"/>
                <w:sz w:val="21"/>
                <w:szCs w:val="18"/>
                <w:highlight w:val="none"/>
                <w:lang w:val="en-US" w:eastAsia="zh-CN" w:bidi="ar-SA"/>
              </w:rPr>
            </w:pPr>
            <w:r>
              <w:rPr>
                <w:rFonts w:hint="eastAsia" w:ascii="宋体" w:hAnsi="宋体" w:eastAsia="宋体" w:cs="宋体"/>
                <w:bCs/>
                <w:kern w:val="2"/>
                <w:sz w:val="21"/>
                <w:szCs w:val="21"/>
                <w:highlight w:val="none"/>
                <w:lang w:val="en-US" w:eastAsia="zh-CN" w:bidi="ar-SA"/>
              </w:rPr>
              <w:t>1</w:t>
            </w:r>
          </w:p>
        </w:tc>
        <w:tc>
          <w:tcPr>
            <w:tcW w:w="4933" w:type="dxa"/>
            <w:tcBorders>
              <w:left w:val="single" w:color="auto" w:sz="4" w:space="0"/>
            </w:tcBorders>
          </w:tcPr>
          <w:p w14:paraId="0B3DF80D">
            <w:pPr>
              <w:widowControl w:val="0"/>
              <w:autoSpaceDE w:val="0"/>
              <w:autoSpaceDN w:val="0"/>
              <w:spacing w:line="240" w:lineRule="auto"/>
              <w:ind w:firstLine="0" w:firstLineChars="0"/>
              <w:jc w:val="both"/>
              <w:rPr>
                <w:rFonts w:ascii="宋体" w:hAnsi="宋体" w:eastAsia="宋体" w:cs="宋体"/>
                <w:bCs/>
                <w:kern w:val="2"/>
                <w:sz w:val="21"/>
                <w:szCs w:val="18"/>
                <w:highlight w:val="none"/>
                <w:lang w:val="en-US" w:eastAsia="zh-CN" w:bidi="ar-SA"/>
              </w:rPr>
            </w:pPr>
            <w:r>
              <w:rPr>
                <w:rFonts w:hint="eastAsia" w:ascii="宋体" w:hAnsi="宋体" w:eastAsia="宋体" w:cs="宋体"/>
                <w:bCs/>
                <w:kern w:val="2"/>
                <w:sz w:val="21"/>
                <w:szCs w:val="21"/>
                <w:highlight w:val="none"/>
                <w:lang w:val="en-US" w:eastAsia="zh-CN" w:bidi="ar-SA"/>
              </w:rPr>
              <w:t>依米康软件技术（深圳）有限责任公司</w:t>
            </w:r>
          </w:p>
        </w:tc>
      </w:tr>
    </w:tbl>
    <w:p w14:paraId="2F942CB3">
      <w:pPr>
        <w:rPr>
          <w:highlight w:val="none"/>
        </w:rPr>
      </w:pPr>
    </w:p>
    <w:bookmarkEnd w:id="10"/>
    <w:p w14:paraId="2849FCD8">
      <w:pPr>
        <w:widowControl w:val="0"/>
        <w:autoSpaceDE w:val="0"/>
        <w:autoSpaceDN w:val="0"/>
        <w:spacing w:line="600" w:lineRule="exact"/>
        <w:ind w:firstLine="0" w:firstLineChars="0"/>
        <w:jc w:val="both"/>
        <w:outlineLvl w:val="1"/>
        <w:rPr>
          <w:rFonts w:ascii="宋体" w:hAnsi="宋体" w:eastAsia="宋体" w:cs="Times New Roman"/>
          <w:b/>
          <w:bCs/>
          <w:snapToGrid w:val="0"/>
          <w:kern w:val="2"/>
          <w:sz w:val="21"/>
          <w:szCs w:val="24"/>
          <w:highlight w:val="none"/>
          <w:lang w:val="en-US" w:eastAsia="zh-CN" w:bidi="ar-SA"/>
        </w:rPr>
      </w:pPr>
      <w:bookmarkStart w:id="11" w:name="_Toc55379220"/>
      <w:bookmarkStart w:id="12" w:name="_Toc469574667"/>
      <w:bookmarkStart w:id="13" w:name="_Toc89675130"/>
      <w:bookmarkStart w:id="14" w:name="_Toc297817090"/>
      <w:r>
        <w:rPr>
          <w:rFonts w:hint="eastAsia" w:ascii="宋体" w:hAnsi="宋体" w:eastAsia="宋体" w:cs="Times New Roman"/>
          <w:b/>
          <w:bCs/>
          <w:snapToGrid w:val="0"/>
          <w:kern w:val="2"/>
          <w:sz w:val="21"/>
          <w:szCs w:val="24"/>
          <w:highlight w:val="none"/>
          <w:lang w:val="en-US" w:eastAsia="zh-CN" w:bidi="ar-SA"/>
        </w:rPr>
        <w:t>3. 询比文件的获取</w:t>
      </w:r>
      <w:bookmarkEnd w:id="11"/>
    </w:p>
    <w:p w14:paraId="4EDFD49C">
      <w:pPr>
        <w:rPr>
          <w:highlight w:val="none"/>
        </w:rPr>
      </w:pPr>
      <w:r>
        <w:rPr>
          <w:rFonts w:hint="eastAsia"/>
          <w:highlight w:val="none"/>
        </w:rPr>
        <w:t>3.1 响应截止时间：</w:t>
      </w:r>
      <w:r>
        <w:rPr>
          <w:rFonts w:hint="eastAsia"/>
          <w:highlight w:val="none"/>
          <w:u w:val="single"/>
        </w:rPr>
        <w:t xml:space="preserve"> </w:t>
      </w:r>
      <w:r>
        <w:rPr>
          <w:rFonts w:hint="eastAsia" w:ascii="宋体" w:eastAsia="宋体"/>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ascii="宋体" w:eastAsia="宋体"/>
          <w:highlight w:val="none"/>
          <w:u w:val="single"/>
          <w:lang w:val="en-US" w:eastAsia="zh-CN"/>
        </w:rPr>
        <w:t>9</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ascii="宋体" w:eastAsia="宋体"/>
          <w:highlight w:val="none"/>
          <w:u w:val="single"/>
          <w:lang w:val="en-US" w:eastAsia="zh-CN"/>
        </w:rPr>
        <w:t>28</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ascii="宋体" w:eastAsia="宋体"/>
          <w:highlight w:val="none"/>
          <w:u w:val="single"/>
          <w:lang w:val="en-US" w:eastAsia="zh-CN"/>
        </w:rPr>
        <w:t>9</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ascii="宋体" w:eastAsia="宋体"/>
          <w:highlight w:val="none"/>
          <w:u w:val="single"/>
          <w:lang w:val="en-US" w:eastAsia="zh-CN"/>
        </w:rPr>
        <w:t>30</w:t>
      </w:r>
      <w:r>
        <w:rPr>
          <w:rFonts w:hint="eastAsia"/>
          <w:highlight w:val="none"/>
          <w:u w:val="single"/>
        </w:rPr>
        <w:t xml:space="preserve"> </w:t>
      </w:r>
      <w:r>
        <w:rPr>
          <w:rFonts w:hint="eastAsia"/>
          <w:highlight w:val="none"/>
        </w:rPr>
        <w:t>分（北京时间）</w:t>
      </w:r>
    </w:p>
    <w:p w14:paraId="67EAB6A5">
      <w:pPr>
        <w:rPr>
          <w:highlight w:val="none"/>
        </w:rPr>
      </w:pPr>
      <w:r>
        <w:rPr>
          <w:rFonts w:hint="eastAsia"/>
          <w:highlight w:val="none"/>
        </w:rPr>
        <w:t>3.2 获取时间和方式：从</w:t>
      </w:r>
      <w:r>
        <w:rPr>
          <w:rFonts w:hint="eastAsia"/>
          <w:highlight w:val="none"/>
          <w:u w:val="single"/>
        </w:rPr>
        <w:t xml:space="preserve"> </w:t>
      </w:r>
      <w:r>
        <w:rPr>
          <w:rFonts w:hint="eastAsia" w:ascii="宋体" w:eastAsia="宋体"/>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ascii="宋体" w:eastAsia="宋体"/>
          <w:highlight w:val="none"/>
          <w:u w:val="single"/>
          <w:lang w:val="en-US" w:eastAsia="zh-CN"/>
        </w:rPr>
        <w:t>9</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ascii="宋体" w:eastAsia="宋体"/>
          <w:highlight w:val="none"/>
          <w:u w:val="single"/>
          <w:lang w:val="en-US" w:eastAsia="zh-CN"/>
        </w:rPr>
        <w:t>12</w:t>
      </w:r>
      <w:r>
        <w:rPr>
          <w:rFonts w:hint="eastAsia"/>
          <w:highlight w:val="none"/>
          <w:u w:val="single"/>
        </w:rPr>
        <w:t xml:space="preserve"> </w:t>
      </w:r>
      <w:r>
        <w:rPr>
          <w:rFonts w:hint="eastAsia"/>
          <w:highlight w:val="none"/>
        </w:rPr>
        <w:t>日到响应截止时间，在重庆市公共资源交易网（www.cqggzy.com）下载询比文件。</w:t>
      </w:r>
    </w:p>
    <w:p w14:paraId="739C8254">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rPr>
        <w:t xml:space="preserve"> </w:t>
      </w:r>
      <w:r>
        <w:rPr>
          <w:rFonts w:hint="eastAsia" w:ascii="宋体" w:eastAsia="宋体"/>
          <w:highlight w:val="none"/>
          <w:u w:val="single"/>
          <w:lang w:val="en-US" w:eastAsia="zh-CN"/>
        </w:rPr>
        <w:t xml:space="preserve">2025 </w:t>
      </w:r>
      <w:r>
        <w:rPr>
          <w:rFonts w:hint="eastAsia"/>
          <w:highlight w:val="none"/>
        </w:rPr>
        <w:t>年</w:t>
      </w:r>
      <w:r>
        <w:rPr>
          <w:rFonts w:hint="eastAsia"/>
          <w:highlight w:val="none"/>
          <w:u w:val="single"/>
        </w:rPr>
        <w:t xml:space="preserve"> </w:t>
      </w:r>
      <w:r>
        <w:rPr>
          <w:rFonts w:hint="eastAsia" w:ascii="宋体" w:eastAsia="宋体"/>
          <w:highlight w:val="none"/>
          <w:u w:val="single"/>
          <w:lang w:val="en-US" w:eastAsia="zh-CN"/>
        </w:rPr>
        <w:t>9</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ascii="宋体" w:eastAsia="宋体"/>
          <w:highlight w:val="none"/>
          <w:u w:val="single"/>
          <w:lang w:val="en-US" w:eastAsia="zh-CN"/>
        </w:rPr>
        <w:t>15</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ascii="宋体" w:eastAsia="宋体"/>
          <w:highlight w:val="none"/>
          <w:u w:val="single"/>
          <w:lang w:val="en-US" w:eastAsia="zh-CN"/>
        </w:rPr>
        <w:t>17</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ascii="宋体" w:eastAsia="宋体"/>
          <w:highlight w:val="none"/>
          <w:u w:val="single"/>
          <w:lang w:val="en-US" w:eastAsia="zh-CN"/>
        </w:rPr>
        <w:t>00</w:t>
      </w:r>
      <w:r>
        <w:rPr>
          <w:rFonts w:hint="eastAsia"/>
          <w:highlight w:val="none"/>
          <w:u w:val="single"/>
        </w:rPr>
        <w:t xml:space="preserve"> </w:t>
      </w:r>
      <w:r>
        <w:rPr>
          <w:rFonts w:hint="eastAsia"/>
          <w:highlight w:val="none"/>
        </w:rPr>
        <w:t>分（北京时间）前自行在重庆市公共资源交易网（http://www.cqggzy.com/）询比公告的“我要提问”栏目匿名提出。响应人未提出，则视为响应人已全面确认询比文件内容。</w:t>
      </w:r>
    </w:p>
    <w:p w14:paraId="0375AB79">
      <w:pPr>
        <w:rPr>
          <w:color w:val="auto"/>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w:t>
      </w:r>
      <w:r>
        <w:rPr>
          <w:rFonts w:hint="eastAsia"/>
          <w:color w:val="auto"/>
          <w:highlight w:val="none"/>
        </w:rPr>
        <w:t>发布的所有资料并全部知晓有关询比过程和事宜，由此产生的一切后果由响应人自负。</w:t>
      </w:r>
    </w:p>
    <w:p w14:paraId="0E334484">
      <w:pPr>
        <w:widowControl w:val="0"/>
        <w:autoSpaceDE w:val="0"/>
        <w:autoSpaceDN w:val="0"/>
        <w:spacing w:line="600" w:lineRule="exact"/>
        <w:ind w:firstLine="0" w:firstLineChars="0"/>
        <w:jc w:val="both"/>
        <w:outlineLvl w:val="1"/>
        <w:rPr>
          <w:rFonts w:ascii="宋体" w:hAnsi="宋体" w:eastAsia="宋体" w:cs="Times New Roman"/>
          <w:b/>
          <w:bCs/>
          <w:snapToGrid w:val="0"/>
          <w:color w:val="auto"/>
          <w:kern w:val="2"/>
          <w:sz w:val="21"/>
          <w:szCs w:val="24"/>
          <w:highlight w:val="none"/>
          <w:lang w:val="en-US" w:eastAsia="zh-CN" w:bidi="ar-SA"/>
        </w:rPr>
      </w:pPr>
      <w:bookmarkStart w:id="15" w:name="_Toc55379221"/>
      <w:r>
        <w:rPr>
          <w:rFonts w:hint="eastAsia" w:ascii="宋体" w:hAnsi="宋体" w:eastAsia="宋体" w:cs="Times New Roman"/>
          <w:b/>
          <w:bCs/>
          <w:snapToGrid w:val="0"/>
          <w:color w:val="auto"/>
          <w:kern w:val="2"/>
          <w:sz w:val="21"/>
          <w:szCs w:val="24"/>
          <w:highlight w:val="none"/>
          <w:lang w:val="en-US" w:eastAsia="zh-CN" w:bidi="ar-SA"/>
        </w:rPr>
        <w:t>4. 响应保证金的递交</w:t>
      </w:r>
      <w:bookmarkEnd w:id="12"/>
      <w:bookmarkEnd w:id="13"/>
      <w:bookmarkEnd w:id="14"/>
      <w:bookmarkEnd w:id="15"/>
    </w:p>
    <w:p w14:paraId="1ABF25D8">
      <w:pPr>
        <w:rPr>
          <w:rFonts w:hint="eastAsia"/>
          <w:color w:val="auto"/>
          <w:highlight w:val="none"/>
        </w:rPr>
      </w:pPr>
      <w:bookmarkStart w:id="16" w:name="_Toc469574668"/>
      <w:bookmarkStart w:id="17" w:name="_Toc55379222"/>
      <w:bookmarkStart w:id="18" w:name="_Toc297817091"/>
      <w:bookmarkStart w:id="19" w:name="_Toc89675131"/>
      <w:r>
        <w:rPr>
          <w:rFonts w:hint="eastAsia"/>
          <w:color w:val="auto"/>
          <w:highlight w:val="none"/>
        </w:rPr>
        <w:t>4.1 响应保证金的金额：</w:t>
      </w:r>
    </w:p>
    <w:p w14:paraId="53454C9E">
      <w:pPr>
        <w:rPr>
          <w:rFonts w:ascii="宋体" w:cs="Cambria"/>
          <w:snapToGrid w:val="0"/>
          <w:color w:val="auto"/>
          <w:kern w:val="0"/>
          <w:szCs w:val="28"/>
          <w:highlight w:val="none"/>
        </w:rPr>
      </w:pPr>
      <w:r>
        <w:rPr>
          <w:rFonts w:ascii="宋体" w:cs="Cambria"/>
          <w:snapToGrid w:val="0"/>
          <w:color w:val="auto"/>
          <w:kern w:val="0"/>
          <w:szCs w:val="28"/>
          <w:highlight w:val="none"/>
        </w:rPr>
        <w:t>标段1：路由交换设备：</w:t>
      </w:r>
      <w:r>
        <w:rPr>
          <w:rFonts w:ascii="Times New Roman" w:hAnsi="Times New Roman"/>
          <w:color w:val="auto"/>
          <w:szCs w:val="21"/>
          <w:highlight w:val="none"/>
          <w:u w:val="none"/>
        </w:rPr>
        <w:t>123,000元</w:t>
      </w:r>
      <w:r>
        <w:rPr>
          <w:rFonts w:ascii="宋体" w:cs="Cambria"/>
          <w:snapToGrid w:val="0"/>
          <w:color w:val="auto"/>
          <w:kern w:val="0"/>
          <w:szCs w:val="28"/>
          <w:highlight w:val="none"/>
        </w:rPr>
        <w:t>（大写</w:t>
      </w:r>
      <w:r>
        <w:rPr>
          <w:rFonts w:hint="eastAsia" w:ascii="宋体" w:cs="Cambria"/>
          <w:snapToGrid w:val="0"/>
          <w:color w:val="auto"/>
          <w:kern w:val="0"/>
          <w:szCs w:val="28"/>
          <w:highlight w:val="none"/>
        </w:rPr>
        <w:t>：</w:t>
      </w:r>
      <w:r>
        <w:rPr>
          <w:rFonts w:ascii="宋体" w:cs="Cambria"/>
          <w:snapToGrid w:val="0"/>
          <w:color w:val="auto"/>
          <w:kern w:val="0"/>
          <w:szCs w:val="28"/>
          <w:highlight w:val="none"/>
        </w:rPr>
        <w:t>壹拾贰万叁仟元</w:t>
      </w:r>
      <w:r>
        <w:rPr>
          <w:rFonts w:hint="eastAsia" w:ascii="宋体" w:cs="Cambria"/>
          <w:snapToGrid w:val="0"/>
          <w:color w:val="auto"/>
          <w:kern w:val="0"/>
          <w:szCs w:val="28"/>
          <w:highlight w:val="none"/>
        </w:rPr>
        <w:t>整）</w:t>
      </w:r>
      <w:r>
        <w:rPr>
          <w:rFonts w:ascii="宋体" w:cs="Cambria"/>
          <w:snapToGrid w:val="0"/>
          <w:color w:val="auto"/>
          <w:kern w:val="0"/>
          <w:szCs w:val="28"/>
          <w:highlight w:val="none"/>
        </w:rPr>
        <w:t>；</w:t>
      </w:r>
    </w:p>
    <w:p w14:paraId="2F554186">
      <w:pPr>
        <w:rPr>
          <w:rFonts w:ascii="宋体" w:cs="Cambria"/>
          <w:snapToGrid w:val="0"/>
          <w:color w:val="auto"/>
          <w:kern w:val="0"/>
          <w:szCs w:val="28"/>
          <w:highlight w:val="none"/>
        </w:rPr>
      </w:pPr>
      <w:r>
        <w:rPr>
          <w:rFonts w:ascii="宋体" w:cs="Cambria"/>
          <w:snapToGrid w:val="0"/>
          <w:color w:val="auto"/>
          <w:kern w:val="0"/>
          <w:szCs w:val="28"/>
          <w:highlight w:val="none"/>
        </w:rPr>
        <w:t>标段2：负载均衡设备：</w:t>
      </w:r>
      <w:r>
        <w:rPr>
          <w:rFonts w:ascii="Times New Roman" w:hAnsi="Times New Roman"/>
          <w:color w:val="auto"/>
          <w:szCs w:val="21"/>
          <w:highlight w:val="none"/>
          <w:u w:val="none"/>
        </w:rPr>
        <w:t>48,000</w:t>
      </w:r>
      <w:r>
        <w:rPr>
          <w:rFonts w:ascii="Times New Roman" w:hAnsi="Times New Roman" w:cs="Times New Roman"/>
          <w:color w:val="auto"/>
          <w:szCs w:val="21"/>
          <w:highlight w:val="none"/>
          <w:u w:val="none"/>
          <w:lang w:bidi="ar-SA"/>
        </w:rPr>
        <w:t>元</w:t>
      </w:r>
      <w:r>
        <w:rPr>
          <w:rFonts w:ascii="宋体" w:cs="Cambria"/>
          <w:snapToGrid w:val="0"/>
          <w:color w:val="auto"/>
          <w:kern w:val="0"/>
          <w:szCs w:val="28"/>
          <w:highlight w:val="none"/>
        </w:rPr>
        <w:t>（大写：肆万捌仟元整）；</w:t>
      </w:r>
    </w:p>
    <w:p w14:paraId="6C86751C">
      <w:pPr>
        <w:rPr>
          <w:color w:val="auto"/>
          <w:highlight w:val="none"/>
        </w:rPr>
      </w:pPr>
      <w:r>
        <w:rPr>
          <w:rFonts w:ascii="宋体" w:cs="Cambria"/>
          <w:snapToGrid w:val="0"/>
          <w:color w:val="auto"/>
          <w:kern w:val="0"/>
          <w:szCs w:val="28"/>
          <w:highlight w:val="none"/>
        </w:rPr>
        <w:t>标段3：安全设备：</w:t>
      </w:r>
      <w:r>
        <w:rPr>
          <w:rFonts w:ascii="Times New Roman" w:hAnsi="Times New Roman" w:cs="Times New Roman"/>
          <w:color w:val="auto"/>
          <w:szCs w:val="21"/>
          <w:highlight w:val="none"/>
          <w:u w:val="none"/>
          <w:lang w:bidi="ar-SA"/>
        </w:rPr>
        <w:t>114,000元</w:t>
      </w:r>
      <w:r>
        <w:rPr>
          <w:rFonts w:ascii="宋体" w:cs="Cambria"/>
          <w:snapToGrid w:val="0"/>
          <w:color w:val="auto"/>
          <w:kern w:val="0"/>
          <w:szCs w:val="28"/>
          <w:highlight w:val="none"/>
        </w:rPr>
        <w:t>（壹拾壹万肆仟元整）</w:t>
      </w:r>
      <w:r>
        <w:rPr>
          <w:rFonts w:hint="eastAsia"/>
          <w:color w:val="auto"/>
          <w:highlight w:val="none"/>
        </w:rPr>
        <w:t>。</w:t>
      </w:r>
    </w:p>
    <w:p w14:paraId="17E24A8E">
      <w:pPr>
        <w:rPr>
          <w:highlight w:val="none"/>
        </w:rPr>
      </w:pPr>
      <w:r>
        <w:rPr>
          <w:rFonts w:hint="eastAsia"/>
          <w:color w:val="auto"/>
          <w:highlight w:val="none"/>
        </w:rPr>
        <w:t>4.2 响应保证金缴纳方式：响应人从响应人的银行账户，</w:t>
      </w:r>
      <w:r>
        <w:rPr>
          <w:rFonts w:hint="eastAsia"/>
          <w:highlight w:val="none"/>
        </w:rPr>
        <w:t>通过转账或电汇方式直接划付至对应标段公告下方指定的账户（任选其一），否则，响应保证金无效。响应人自行考虑汇入到账时间风险，本项目响应保证金不接受任何形式保函（包括电子保函）；</w:t>
      </w:r>
    </w:p>
    <w:p w14:paraId="2E7F4689">
      <w:pPr>
        <w:rPr>
          <w:b/>
          <w:bCs/>
          <w:highlight w:val="none"/>
        </w:rPr>
      </w:pPr>
      <w:r>
        <w:rPr>
          <w:rFonts w:hint="eastAsia"/>
          <w:b/>
          <w:bCs/>
          <w:highlight w:val="none"/>
        </w:rPr>
        <w:t>响应人</w:t>
      </w:r>
      <w:r>
        <w:rPr>
          <w:rFonts w:hint="eastAsia" w:ascii="宋体" w:eastAsia="宋体"/>
          <w:b/>
          <w:bCs/>
          <w:highlight w:val="none"/>
          <w:lang w:val="en-US" w:eastAsia="zh-CN"/>
        </w:rPr>
        <w:t>可</w:t>
      </w:r>
      <w:r>
        <w:rPr>
          <w:rFonts w:hint="eastAsia"/>
          <w:b/>
          <w:bCs/>
          <w:highlight w:val="none"/>
        </w:rPr>
        <w:t>在付款凭证备注栏中注明项目简称。可简写成：</w:t>
      </w:r>
      <w:r>
        <w:rPr>
          <w:rFonts w:hint="eastAsia"/>
          <w:snapToGrid w:val="0"/>
          <w:highlight w:val="none"/>
          <w:u w:val="single"/>
        </w:rPr>
        <w:t>西永数据中心信创网络安全设备采购</w:t>
      </w:r>
      <w:r>
        <w:rPr>
          <w:snapToGrid w:val="0"/>
          <w:highlight w:val="none"/>
          <w:u w:val="single"/>
        </w:rPr>
        <w:t>项目</w:t>
      </w:r>
      <w:r>
        <w:rPr>
          <w:rFonts w:hint="eastAsia"/>
          <w:bCs/>
          <w:snapToGrid w:val="0"/>
          <w:highlight w:val="none"/>
          <w:u w:val="single"/>
        </w:rPr>
        <w:t>（标段X</w:t>
      </w:r>
      <w:r>
        <w:rPr>
          <w:bCs/>
          <w:snapToGrid w:val="0"/>
          <w:highlight w:val="none"/>
          <w:u w:val="single"/>
        </w:rPr>
        <w:t>:XXXXX</w:t>
      </w:r>
      <w:r>
        <w:rPr>
          <w:rFonts w:hint="eastAsia"/>
          <w:bCs/>
          <w:snapToGrid w:val="0"/>
          <w:highlight w:val="none"/>
          <w:u w:val="single"/>
        </w:rPr>
        <w:t>）</w:t>
      </w:r>
      <w:r>
        <w:rPr>
          <w:rFonts w:hint="eastAsia"/>
          <w:b/>
          <w:bCs/>
          <w:highlight w:val="none"/>
        </w:rPr>
        <w:t>。</w:t>
      </w:r>
    </w:p>
    <w:p w14:paraId="77DA9020">
      <w:pPr>
        <w:rPr>
          <w:highlight w:val="none"/>
        </w:rPr>
      </w:pPr>
      <w:r>
        <w:rPr>
          <w:rFonts w:hint="eastAsia"/>
          <w:highlight w:val="none"/>
        </w:rPr>
        <w:t>4.3 响应保证金递交的截止时间同响应截止时间。响应保证金以重庆市公共资源交易中心询比现场展示的保证金交纳情况为准。</w:t>
      </w:r>
    </w:p>
    <w:p w14:paraId="33FBBBE8">
      <w:pPr>
        <w:rPr>
          <w:highlight w:val="none"/>
        </w:rPr>
      </w:pPr>
      <w:r>
        <w:rPr>
          <w:rFonts w:hint="eastAsia"/>
          <w:highlight w:val="none"/>
        </w:rPr>
        <w:t>4.</w:t>
      </w:r>
      <w:r>
        <w:rPr>
          <w:highlight w:val="none"/>
        </w:rPr>
        <w:t>4</w:t>
      </w:r>
      <w:r>
        <w:rPr>
          <w:rFonts w:hint="eastAsia"/>
          <w:highlight w:val="none"/>
        </w:rPr>
        <w:t xml:space="preserve"> 响应保证金专用账户如下：</w:t>
      </w:r>
    </w:p>
    <w:p w14:paraId="49251129">
      <w:pPr>
        <w:rPr>
          <w:highlight w:val="none"/>
        </w:rPr>
      </w:pPr>
      <w:r>
        <w:rPr>
          <w:rFonts w:hint="eastAsia"/>
          <w:highlight w:val="none"/>
        </w:rPr>
        <w:t>详见重庆市公共资源交易网（www.cqggzy.com）对应本项目询比公告信息栏中的保证金信息。</w:t>
      </w:r>
    </w:p>
    <w:p w14:paraId="022E1A24">
      <w:pPr>
        <w:widowControl w:val="0"/>
        <w:autoSpaceDE w:val="0"/>
        <w:autoSpaceDN w:val="0"/>
        <w:spacing w:line="600" w:lineRule="exact"/>
        <w:ind w:firstLine="0" w:firstLineChars="0"/>
        <w:jc w:val="both"/>
        <w:outlineLvl w:val="1"/>
        <w:rPr>
          <w:rFonts w:ascii="宋体" w:hAnsi="宋体" w:eastAsia="宋体" w:cs="Times New Roman"/>
          <w:b/>
          <w:bCs/>
          <w:snapToGrid w:val="0"/>
          <w:kern w:val="2"/>
          <w:sz w:val="21"/>
          <w:szCs w:val="24"/>
          <w:highlight w:val="none"/>
          <w:lang w:val="en-US" w:eastAsia="zh-CN" w:bidi="ar-SA"/>
        </w:rPr>
      </w:pPr>
      <w:r>
        <w:rPr>
          <w:rFonts w:hint="eastAsia" w:ascii="宋体" w:hAnsi="宋体" w:eastAsia="宋体" w:cs="Times New Roman"/>
          <w:b/>
          <w:bCs/>
          <w:snapToGrid w:val="0"/>
          <w:kern w:val="2"/>
          <w:sz w:val="21"/>
          <w:szCs w:val="24"/>
          <w:highlight w:val="none"/>
          <w:lang w:val="en-US" w:eastAsia="zh-CN" w:bidi="ar-SA"/>
        </w:rPr>
        <w:t>5. 市场主体信息登记</w:t>
      </w:r>
    </w:p>
    <w:p w14:paraId="5620D38D">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6"/>
    <w:bookmarkEnd w:id="17"/>
    <w:bookmarkEnd w:id="18"/>
    <w:bookmarkEnd w:id="19"/>
    <w:p w14:paraId="1ED8C8E7">
      <w:pPr>
        <w:widowControl w:val="0"/>
        <w:autoSpaceDE w:val="0"/>
        <w:autoSpaceDN w:val="0"/>
        <w:spacing w:line="600" w:lineRule="exact"/>
        <w:ind w:firstLine="0" w:firstLineChars="0"/>
        <w:jc w:val="both"/>
        <w:outlineLvl w:val="1"/>
        <w:rPr>
          <w:rFonts w:ascii="宋体" w:hAnsi="宋体" w:eastAsia="宋体" w:cs="Times New Roman"/>
          <w:b/>
          <w:bCs/>
          <w:snapToGrid w:val="0"/>
          <w:kern w:val="2"/>
          <w:sz w:val="21"/>
          <w:szCs w:val="24"/>
          <w:highlight w:val="none"/>
          <w:lang w:val="en-US" w:eastAsia="zh-CN" w:bidi="ar-SA"/>
        </w:rPr>
      </w:pPr>
      <w:r>
        <w:rPr>
          <w:rFonts w:hint="eastAsia" w:ascii="宋体" w:hAnsi="宋体" w:eastAsia="宋体" w:cs="Times New Roman"/>
          <w:b/>
          <w:bCs/>
          <w:snapToGrid w:val="0"/>
          <w:kern w:val="2"/>
          <w:sz w:val="21"/>
          <w:szCs w:val="24"/>
          <w:highlight w:val="none"/>
          <w:lang w:val="en-US" w:eastAsia="zh-CN" w:bidi="ar-SA"/>
        </w:rPr>
        <w:t>6. 响应文件的递交</w:t>
      </w:r>
    </w:p>
    <w:p w14:paraId="39998C6D">
      <w:pPr>
        <w:rPr>
          <w:highlight w:val="none"/>
        </w:rPr>
      </w:pPr>
      <w:bookmarkStart w:id="20" w:name="_Toc55379223"/>
      <w:bookmarkStart w:id="21" w:name="_Toc89675132"/>
      <w:bookmarkStart w:id="22" w:name="_Toc469574669"/>
      <w:r>
        <w:rPr>
          <w:rFonts w:hint="eastAsia"/>
          <w:highlight w:val="none"/>
        </w:rPr>
        <w:t>6.1 响应文件现场递交时间为</w:t>
      </w:r>
      <w:r>
        <w:rPr>
          <w:rFonts w:hint="eastAsia"/>
          <w:highlight w:val="none"/>
          <w:u w:val="single"/>
        </w:rPr>
        <w:t xml:space="preserve"> </w:t>
      </w:r>
      <w:r>
        <w:rPr>
          <w:rFonts w:hint="eastAsia" w:ascii="宋体" w:eastAsia="宋体"/>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ascii="宋体" w:eastAsia="宋体"/>
          <w:highlight w:val="none"/>
          <w:u w:val="single"/>
          <w:lang w:val="en-US" w:eastAsia="zh-CN"/>
        </w:rPr>
        <w:t>9</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ascii="宋体" w:eastAsia="宋体"/>
          <w:highlight w:val="none"/>
          <w:u w:val="single"/>
          <w:lang w:val="en-US" w:eastAsia="zh-CN"/>
        </w:rPr>
        <w:t>28</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ascii="宋体" w:eastAsia="宋体"/>
          <w:highlight w:val="none"/>
          <w:u w:val="single"/>
          <w:lang w:val="en-US" w:eastAsia="zh-CN"/>
        </w:rPr>
        <w:t>9</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ascii="宋体" w:eastAsia="宋体"/>
          <w:highlight w:val="none"/>
          <w:u w:val="single"/>
          <w:lang w:val="en-US" w:eastAsia="zh-CN"/>
        </w:rPr>
        <w:t>00</w:t>
      </w:r>
      <w:r>
        <w:rPr>
          <w:rFonts w:hint="eastAsia"/>
          <w:highlight w:val="none"/>
          <w:u w:val="single"/>
        </w:rPr>
        <w:t xml:space="preserve"> </w:t>
      </w:r>
      <w:r>
        <w:rPr>
          <w:rFonts w:hint="eastAsia"/>
          <w:highlight w:val="none"/>
        </w:rPr>
        <w:t>分(北京时间)至响应截止时间。</w:t>
      </w:r>
    </w:p>
    <w:p w14:paraId="31F2DB58">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59D817F9">
      <w:pPr>
        <w:rPr>
          <w:highlight w:val="none"/>
        </w:rPr>
      </w:pPr>
      <w:r>
        <w:rPr>
          <w:rFonts w:hint="eastAsia"/>
          <w:highlight w:val="none"/>
        </w:rPr>
        <w:t>6.3 逾期送达的响应文件，不予接收。</w:t>
      </w:r>
    </w:p>
    <w:p w14:paraId="442427EB">
      <w:pPr>
        <w:widowControl w:val="0"/>
        <w:autoSpaceDE w:val="0"/>
        <w:autoSpaceDN w:val="0"/>
        <w:spacing w:line="600" w:lineRule="exact"/>
        <w:ind w:firstLine="0" w:firstLineChars="0"/>
        <w:jc w:val="both"/>
        <w:outlineLvl w:val="1"/>
        <w:rPr>
          <w:rFonts w:ascii="宋体" w:hAnsi="宋体" w:eastAsia="宋体" w:cs="Times New Roman"/>
          <w:b/>
          <w:bCs/>
          <w:snapToGrid w:val="0"/>
          <w:kern w:val="2"/>
          <w:sz w:val="21"/>
          <w:szCs w:val="24"/>
          <w:highlight w:val="none"/>
          <w:lang w:val="en-US" w:eastAsia="zh-CN" w:bidi="ar-SA"/>
        </w:rPr>
      </w:pPr>
      <w:r>
        <w:rPr>
          <w:rFonts w:hint="eastAsia" w:ascii="宋体" w:hAnsi="宋体" w:eastAsia="宋体" w:cs="Times New Roman"/>
          <w:b/>
          <w:bCs/>
          <w:snapToGrid w:val="0"/>
          <w:kern w:val="2"/>
          <w:sz w:val="21"/>
          <w:szCs w:val="24"/>
          <w:highlight w:val="none"/>
          <w:lang w:val="en-US" w:eastAsia="zh-CN" w:bidi="ar-SA"/>
        </w:rPr>
        <w:t>7. 发布公告的媒介</w:t>
      </w:r>
      <w:bookmarkEnd w:id="20"/>
      <w:bookmarkEnd w:id="21"/>
      <w:bookmarkEnd w:id="22"/>
    </w:p>
    <w:p w14:paraId="7E6153C1">
      <w:pPr>
        <w:rPr>
          <w:highlight w:val="none"/>
        </w:rPr>
      </w:pPr>
      <w:bookmarkStart w:id="23" w:name="_Toc89675133"/>
      <w:bookmarkStart w:id="24" w:name="_Toc469574670"/>
      <w:bookmarkStart w:id="25" w:name="_Toc250565211"/>
      <w:bookmarkStart w:id="26" w:name="_Toc55379224"/>
      <w:r>
        <w:rPr>
          <w:rFonts w:hint="eastAsia"/>
          <w:highlight w:val="none"/>
        </w:rPr>
        <w:t>本次询比公告同时在《重庆市公共资源交易网（www.cqggzy.com）》《重庆三峡银行官网（https://www.ccqtgb.com）》和《中国招标投标公共服务平台（http://www.cebpubservice.com）》上发布。</w:t>
      </w:r>
    </w:p>
    <w:p w14:paraId="2D9537C3">
      <w:pPr>
        <w:widowControl w:val="0"/>
        <w:autoSpaceDE w:val="0"/>
        <w:autoSpaceDN w:val="0"/>
        <w:spacing w:line="600" w:lineRule="exact"/>
        <w:ind w:firstLine="0" w:firstLineChars="0"/>
        <w:jc w:val="both"/>
        <w:outlineLvl w:val="1"/>
        <w:rPr>
          <w:rFonts w:ascii="宋体" w:hAnsi="宋体" w:eastAsia="宋体" w:cs="Times New Roman"/>
          <w:b/>
          <w:bCs/>
          <w:snapToGrid w:val="0"/>
          <w:kern w:val="2"/>
          <w:sz w:val="21"/>
          <w:szCs w:val="24"/>
          <w:highlight w:val="none"/>
          <w:lang w:val="en-US" w:eastAsia="zh-CN" w:bidi="ar-SA"/>
        </w:rPr>
      </w:pPr>
      <w:r>
        <w:rPr>
          <w:rFonts w:hint="eastAsia" w:ascii="宋体" w:hAnsi="宋体" w:eastAsia="宋体" w:cs="Times New Roman"/>
          <w:b/>
          <w:bCs/>
          <w:snapToGrid w:val="0"/>
          <w:kern w:val="2"/>
          <w:sz w:val="21"/>
          <w:szCs w:val="24"/>
          <w:highlight w:val="none"/>
          <w:lang w:val="en-US" w:eastAsia="zh-CN" w:bidi="ar-SA"/>
        </w:rPr>
        <w:t>8. 联系方式</w:t>
      </w:r>
      <w:bookmarkEnd w:id="23"/>
      <w:bookmarkEnd w:id="24"/>
      <w:bookmarkEnd w:id="25"/>
      <w:bookmarkEnd w:id="26"/>
    </w:p>
    <w:p w14:paraId="76233A7B">
      <w:pPr>
        <w:rPr>
          <w:highlight w:val="none"/>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10AC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353F544E">
            <w:pPr>
              <w:ind w:firstLine="0" w:firstLineChars="0"/>
              <w:jc w:val="left"/>
              <w:rPr>
                <w:highlight w:val="none"/>
              </w:rPr>
            </w:pPr>
            <w:r>
              <w:rPr>
                <w:rFonts w:hint="eastAsia"/>
                <w:highlight w:val="none"/>
              </w:rPr>
              <w:t>8.1 项目需求咨询</w:t>
            </w:r>
          </w:p>
        </w:tc>
      </w:tr>
      <w:tr w14:paraId="73DC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6B261B1">
            <w:pPr>
              <w:ind w:firstLine="0" w:firstLineChars="0"/>
              <w:jc w:val="left"/>
              <w:rPr>
                <w:rFonts w:cs="宋体"/>
                <w:szCs w:val="21"/>
                <w:highlight w:val="none"/>
              </w:rPr>
            </w:pPr>
            <w:r>
              <w:rPr>
                <w:rFonts w:hint="eastAsia"/>
                <w:highlight w:val="none"/>
              </w:rPr>
              <w:t>项目联系人：</w:t>
            </w:r>
            <w:r>
              <w:rPr>
                <w:highlight w:val="none"/>
              </w:rPr>
              <w:t>白老师</w:t>
            </w:r>
          </w:p>
        </w:tc>
        <w:tc>
          <w:tcPr>
            <w:tcW w:w="4480" w:type="dxa"/>
            <w:tcBorders>
              <w:top w:val="nil"/>
              <w:left w:val="nil"/>
              <w:bottom w:val="nil"/>
              <w:right w:val="single" w:color="auto" w:sz="4" w:space="0"/>
            </w:tcBorders>
          </w:tcPr>
          <w:p w14:paraId="51E5B7C2">
            <w:pPr>
              <w:ind w:firstLine="0" w:firstLineChars="0"/>
              <w:jc w:val="left"/>
              <w:rPr>
                <w:rFonts w:cs="宋体"/>
                <w:szCs w:val="21"/>
                <w:highlight w:val="none"/>
              </w:rPr>
            </w:pPr>
            <w:r>
              <w:rPr>
                <w:rFonts w:hint="eastAsia"/>
                <w:highlight w:val="none"/>
              </w:rPr>
              <w:t>联系方式：</w:t>
            </w:r>
            <w:r>
              <w:rPr>
                <w:highlight w:val="none"/>
              </w:rPr>
              <w:t>18908375995</w:t>
            </w:r>
          </w:p>
        </w:tc>
      </w:tr>
      <w:tr w14:paraId="4AC6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EF51AC6">
            <w:pPr>
              <w:ind w:firstLine="0" w:firstLineChars="0"/>
              <w:jc w:val="left"/>
              <w:rPr>
                <w:highlight w:val="none"/>
              </w:rPr>
            </w:pPr>
          </w:p>
        </w:tc>
      </w:tr>
      <w:tr w14:paraId="65F9C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ACD2297">
            <w:pPr>
              <w:ind w:firstLine="0" w:firstLineChars="0"/>
              <w:jc w:val="left"/>
              <w:rPr>
                <w:highlight w:val="none"/>
              </w:rPr>
            </w:pPr>
            <w:r>
              <w:rPr>
                <w:rFonts w:hint="eastAsia"/>
                <w:highlight w:val="none"/>
              </w:rPr>
              <w:t>8.2 项目流程咨询</w:t>
            </w:r>
          </w:p>
        </w:tc>
      </w:tr>
      <w:tr w14:paraId="5F95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B97FCB8">
            <w:pPr>
              <w:ind w:firstLine="0" w:firstLineChars="0"/>
              <w:jc w:val="left"/>
              <w:rPr>
                <w:highlight w:val="none"/>
              </w:rPr>
            </w:pPr>
            <w:r>
              <w:rPr>
                <w:rFonts w:hint="eastAsia"/>
                <w:highlight w:val="none"/>
              </w:rPr>
              <w:t>平台服务机构：重庆联合产权交易所集团股份有限公司</w:t>
            </w:r>
          </w:p>
        </w:tc>
      </w:tr>
      <w:tr w14:paraId="5665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F82B3A7">
            <w:pPr>
              <w:ind w:firstLine="0" w:firstLineChars="0"/>
              <w:jc w:val="left"/>
              <w:rPr>
                <w:rFonts w:hint="eastAsia" w:eastAsia="宋体" w:cs="宋体"/>
                <w:szCs w:val="21"/>
                <w:highlight w:val="none"/>
                <w:lang w:val="en-US" w:eastAsia="zh-CN"/>
              </w:rPr>
            </w:pPr>
            <w:r>
              <w:rPr>
                <w:rFonts w:hint="eastAsia"/>
                <w:highlight w:val="none"/>
              </w:rPr>
              <w:t>平台联系人：</w:t>
            </w:r>
            <w:r>
              <w:rPr>
                <w:rFonts w:hint="eastAsia" w:ascii="宋体" w:eastAsia="宋体"/>
                <w:highlight w:val="none"/>
                <w:lang w:val="en-US" w:eastAsia="zh-CN"/>
              </w:rPr>
              <w:t>罗老师</w:t>
            </w:r>
          </w:p>
        </w:tc>
        <w:tc>
          <w:tcPr>
            <w:tcW w:w="4480" w:type="dxa"/>
            <w:tcBorders>
              <w:top w:val="nil"/>
              <w:left w:val="nil"/>
              <w:bottom w:val="nil"/>
              <w:right w:val="single" w:color="auto" w:sz="4" w:space="0"/>
            </w:tcBorders>
          </w:tcPr>
          <w:p w14:paraId="4CA39AB5">
            <w:pPr>
              <w:ind w:firstLine="0" w:firstLineChars="0"/>
              <w:jc w:val="left"/>
              <w:rPr>
                <w:rFonts w:cs="宋体"/>
                <w:szCs w:val="21"/>
                <w:highlight w:val="none"/>
              </w:rPr>
            </w:pPr>
            <w:r>
              <w:rPr>
                <w:rFonts w:hint="eastAsia"/>
                <w:highlight w:val="none"/>
              </w:rPr>
              <w:t>联系方式：023-63621694</w:t>
            </w:r>
          </w:p>
        </w:tc>
      </w:tr>
      <w:tr w14:paraId="63ED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D15DA67">
            <w:pPr>
              <w:ind w:firstLine="0" w:firstLineChars="0"/>
              <w:jc w:val="left"/>
            </w:pPr>
          </w:p>
        </w:tc>
      </w:tr>
      <w:tr w14:paraId="56FF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CF66543">
            <w:pPr>
              <w:ind w:firstLine="0" w:firstLineChars="0"/>
              <w:jc w:val="left"/>
            </w:pPr>
            <w:r>
              <w:rPr>
                <w:rFonts w:hint="eastAsia"/>
              </w:rPr>
              <w:t>8.3 采购人联系方式</w:t>
            </w:r>
          </w:p>
        </w:tc>
      </w:tr>
      <w:tr w14:paraId="1A8A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7ECDE8C">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525C6E2A">
            <w:pPr>
              <w:ind w:firstLine="0" w:firstLineChars="0"/>
              <w:jc w:val="left"/>
              <w:rPr>
                <w:rFonts w:cs="宋体"/>
                <w:szCs w:val="21"/>
              </w:rPr>
            </w:pPr>
            <w:r>
              <w:rPr>
                <w:rFonts w:hint="eastAsia"/>
              </w:rPr>
              <w:t>联系方式：023-88890395</w:t>
            </w:r>
          </w:p>
        </w:tc>
      </w:tr>
      <w:tr w14:paraId="21F3E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BF37B1D">
            <w:pPr>
              <w:ind w:firstLine="0" w:firstLineChars="0"/>
              <w:jc w:val="left"/>
            </w:pPr>
            <w:r>
              <w:rPr>
                <w:rFonts w:hint="eastAsia"/>
              </w:rPr>
              <w:t>采购人地址：重庆市渝北区嘉州路88号中渝国际都会4号写字楼21层</w:t>
            </w:r>
          </w:p>
        </w:tc>
      </w:tr>
    </w:tbl>
    <w:p w14:paraId="5D8DB3DD"/>
    <w:p w14:paraId="09C77E95">
      <w:pPr>
        <w:rPr>
          <w:rFonts w:hint="default" w:eastAsia="宋体"/>
          <w:lang w:val="en-US" w:eastAsia="zh-CN"/>
        </w:rPr>
      </w:pPr>
      <w:r>
        <w:rPr>
          <w:rFonts w:hint="eastAsia"/>
          <w:lang w:val="en-US" w:eastAsia="zh-CN"/>
        </w:rPr>
        <w:t>附件：</w:t>
      </w:r>
      <w:r>
        <w:rPr>
          <w:rFonts w:ascii="宋体" w:hAnsi="宋体" w:eastAsia="宋体" w:cs="宋体"/>
          <w:b w:val="0"/>
          <w:bCs/>
          <w:snapToGrid w:val="0"/>
          <w:kern w:val="2"/>
          <w:sz w:val="21"/>
          <w:szCs w:val="20"/>
          <w:highlight w:val="none"/>
          <w:lang w:val="en-US" w:eastAsia="zh-CN" w:bidi="ar-SA"/>
        </w:rPr>
        <w:t>重庆三峡银行</w:t>
      </w:r>
      <w:r>
        <w:rPr>
          <w:rFonts w:hint="eastAsia" w:ascii="宋体" w:hAnsi="宋体" w:eastAsia="宋体" w:cs="宋体"/>
          <w:b w:val="0"/>
          <w:bCs/>
          <w:snapToGrid w:val="0"/>
          <w:kern w:val="2"/>
          <w:sz w:val="21"/>
          <w:szCs w:val="20"/>
          <w:highlight w:val="none"/>
          <w:lang w:val="en-US" w:eastAsia="zh-CN" w:bidi="ar-SA"/>
        </w:rPr>
        <w:t>西永数据中心信创网络安全设备采购</w:t>
      </w:r>
      <w:r>
        <w:rPr>
          <w:rFonts w:hint="eastAsia" w:ascii="宋体" w:hAnsi="宋体" w:eastAsia="宋体" w:cs="宋体"/>
          <w:b w:val="0"/>
          <w:bCs/>
          <w:kern w:val="2"/>
          <w:sz w:val="21"/>
          <w:szCs w:val="20"/>
          <w:highlight w:val="none"/>
          <w:lang w:val="en-US" w:eastAsia="zh-CN" w:bidi="ar-SA"/>
        </w:rPr>
        <w:t>项目</w:t>
      </w:r>
      <w:r>
        <w:rPr>
          <w:rFonts w:hint="eastAsia" w:cs="宋体"/>
          <w:b w:val="0"/>
          <w:bCs/>
          <w:kern w:val="2"/>
          <w:sz w:val="21"/>
          <w:szCs w:val="20"/>
          <w:highlight w:val="none"/>
          <w:lang w:val="en-US" w:eastAsia="zh-CN" w:bidi="ar-SA"/>
        </w:rPr>
        <w:t>询比文件</w:t>
      </w:r>
    </w:p>
    <w:p w14:paraId="399AC561"/>
    <w:p w14:paraId="2A827486"/>
    <w:p w14:paraId="7A0CA428">
      <w:pPr>
        <w:spacing w:line="240" w:lineRule="auto"/>
        <w:ind w:firstLine="0" w:firstLineChars="0"/>
        <w:jc w:val="right"/>
      </w:pPr>
      <w:r>
        <w:rPr>
          <w:rFonts w:hint="eastAsia"/>
        </w:rPr>
        <w:t>重庆三峡银行股份有限公司</w:t>
      </w:r>
    </w:p>
    <w:p w14:paraId="71E9E5E4">
      <w:pPr>
        <w:ind w:firstLine="0" w:firstLineChars="0"/>
        <w:jc w:val="right"/>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9</w:t>
      </w:r>
      <w:r>
        <w:rPr>
          <w:rFonts w:hint="eastAsia"/>
          <w:highlight w:val="none"/>
        </w:rPr>
        <w:t>月</w:t>
      </w:r>
      <w:r>
        <w:rPr>
          <w:rFonts w:hint="eastAsia"/>
          <w:highlight w:val="none"/>
          <w:lang w:val="en-US" w:eastAsia="zh-CN"/>
        </w:rPr>
        <w:t>12</w:t>
      </w:r>
      <w:r>
        <w:rPr>
          <w:rFonts w:hint="eastAsia"/>
          <w:highlight w:val="none"/>
        </w:rPr>
        <w:t>日</w:t>
      </w:r>
    </w:p>
    <w:p w14:paraId="347FF86E"/>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E3A2D">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04900" cy="346075"/>
              <wp:effectExtent l="0" t="0" r="0" b="0"/>
              <wp:wrapNone/>
              <wp:docPr id="1" name="文本框 1"/>
              <wp:cNvGraphicFramePr/>
              <a:graphic xmlns:a="http://schemas.openxmlformats.org/drawingml/2006/main">
                <a:graphicData uri="http://schemas.microsoft.com/office/word/2010/wordprocessingShape">
                  <wps:wsp>
                    <wps:cNvSpPr/>
                    <wps:spPr>
                      <a:xfrm>
                        <a:off x="0" y="0"/>
                        <a:ext cx="1104900" cy="345876"/>
                      </a:xfrm>
                      <a:prstGeom prst="rect">
                        <a:avLst/>
                      </a:prstGeom>
                      <a:noFill/>
                      <a:ln w="6350" cap="flat" cmpd="sng">
                        <a:noFill/>
                        <a:prstDash val="solid"/>
                        <a:round/>
                      </a:ln>
                    </wps:spPr>
                    <wps:txbx>
                      <w:txbxContent>
                        <w:p w14:paraId="39DA0075">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27.25pt;width:87pt;mso-position-horizontal:center;mso-position-horizontal-relative:margin;mso-wrap-style:none;z-index:251659264;mso-width-relative:page;mso-height-relative:page;" filled="f" stroked="f" coordsize="21600,21600" o:gfxdata="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t9iBNcAAAAEAQAADwAAAAAAAAABACAAAAAiAAAAZHJzL2Rv&#10;d25yZXYueG1sUEsBAhQAFAAAAAgAh07iQNTp5nMCAgAA9QMAAA4AAAAAAAAAAQAgAAAAJgEAAGRy&#10;cy9lMm9Eb2MueG1sUEsFBgAAAAAGAAYAWQEAAJoFAAAAAA==&#10;">
              <v:fill on="f" focussize="0,0"/>
              <v:stroke on="f" weight="0.5pt" joinstyle="round"/>
              <v:imagedata o:title=""/>
              <o:lock v:ext="edit" aspectratio="f"/>
              <v:textbox inset="0mm,0mm,0mm,0mm" style="mso-fit-shape-to-text:t;">
                <w:txbxContent>
                  <w:p w14:paraId="39DA0075">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109D4"/>
    <w:rsid w:val="04E109D4"/>
    <w:rsid w:val="09AD738E"/>
    <w:rsid w:val="0AC7217B"/>
    <w:rsid w:val="24A51F50"/>
    <w:rsid w:val="334F6C71"/>
    <w:rsid w:val="40993106"/>
    <w:rsid w:val="60FD6695"/>
    <w:rsid w:val="67794A0C"/>
    <w:rsid w:val="6E9C129B"/>
    <w:rsid w:val="714B7C09"/>
    <w:rsid w:val="7C12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宋体" w:hAnsi="宋体" w:eastAsia="宋体" w:cs="宋体"/>
      <w:kern w:val="2"/>
      <w:sz w:val="21"/>
      <w:szCs w:val="20"/>
      <w:lang w:val="en-US" w:eastAsia="zh-CN" w:bidi="ar-SA"/>
    </w:rPr>
  </w:style>
  <w:style w:type="paragraph" w:styleId="2">
    <w:name w:val="heading 1"/>
    <w:basedOn w:val="1"/>
    <w:next w:val="1"/>
    <w:qFormat/>
    <w:uiPriority w:val="0"/>
    <w:pPr>
      <w:keepNext w:val="0"/>
      <w:keepLines w:val="0"/>
      <w:spacing w:beforeLines="0" w:beforeAutospacing="0" w:afterLines="0" w:afterAutospacing="0" w:line="600" w:lineRule="exact"/>
      <w:ind w:firstLine="0" w:firstLineChars="0"/>
      <w:outlineLvl w:val="0"/>
    </w:pPr>
    <w:rPr>
      <w:rFonts w:eastAsia="方正黑体_GBK"/>
      <w:kern w:val="44"/>
    </w:rPr>
  </w:style>
  <w:style w:type="paragraph" w:styleId="3">
    <w:name w:val="heading 2"/>
    <w:basedOn w:val="1"/>
    <w:next w:val="1"/>
    <w:semiHidden/>
    <w:unhideWhenUsed/>
    <w:qFormat/>
    <w:uiPriority w:val="0"/>
    <w:pPr>
      <w:keepNext w:val="0"/>
      <w:keepLines w:val="0"/>
      <w:spacing w:beforeLines="0" w:beforeAutospacing="0" w:afterLines="0" w:afterAutospacing="0" w:line="600" w:lineRule="exact"/>
      <w:ind w:firstLine="640" w:firstLineChars="200"/>
      <w:outlineLvl w:val="1"/>
    </w:pPr>
    <w:rPr>
      <w:rFonts w:ascii="Arial" w:hAnsi="Arial" w:eastAsia="方正楷体_GBK"/>
    </w:rPr>
  </w:style>
  <w:style w:type="paragraph" w:styleId="4">
    <w:name w:val="heading 3"/>
    <w:basedOn w:val="1"/>
    <w:next w:val="1"/>
    <w:semiHidden/>
    <w:unhideWhenUsed/>
    <w:qFormat/>
    <w:uiPriority w:val="0"/>
    <w:pPr>
      <w:keepNext w:val="0"/>
      <w:keepLines w:val="0"/>
      <w:spacing w:beforeLines="0" w:beforeAutospacing="0" w:afterLines="0" w:afterAutospacing="0" w:line="600" w:lineRule="exact"/>
      <w:ind w:firstLine="640" w:firstLineChars="200"/>
      <w:outlineLvl w:val="2"/>
    </w:p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character" w:styleId="8">
    <w:name w:val="annotation reference"/>
    <w:basedOn w:val="7"/>
    <w:qFormat/>
    <w:uiPriority w:val="0"/>
    <w:rPr>
      <w:sz w:val="21"/>
      <w:szCs w:val="21"/>
    </w:rPr>
  </w:style>
  <w:style w:type="paragraph" w:customStyle="1" w:styleId="9">
    <w:name w:val="表格（标题）"/>
    <w:basedOn w:val="1"/>
    <w:qFormat/>
    <w:locked/>
    <w:uiPriority w:val="0"/>
    <w:pPr>
      <w:spacing w:line="240" w:lineRule="auto"/>
      <w:ind w:firstLine="0" w:firstLineChars="0"/>
      <w:jc w:val="center"/>
    </w:pPr>
    <w:rPr>
      <w:b/>
      <w:bCs/>
      <w:szCs w:val="18"/>
    </w:rPr>
  </w:style>
  <w:style w:type="paragraph" w:customStyle="1" w:styleId="10">
    <w:name w:val="表格"/>
    <w:basedOn w:val="1"/>
    <w:qFormat/>
    <w:locked/>
    <w:uiPriority w:val="0"/>
    <w:pPr>
      <w:spacing w:line="240" w:lineRule="auto"/>
      <w:ind w:firstLine="0" w:firstLineChars="0"/>
    </w:pPr>
    <w:rPr>
      <w:bCs/>
      <w:szCs w:val="18"/>
    </w:rPr>
  </w:style>
  <w:style w:type="character" w:customStyle="1" w:styleId="11">
    <w:name w:val="font31"/>
    <w:autoRedefine/>
    <w:qFormat/>
    <w:uiPriority w:val="0"/>
    <w:rPr>
      <w:rFonts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2983</Words>
  <Characters>3347</Characters>
  <Lines>0</Lines>
  <Paragraphs>0</Paragraphs>
  <TotalTime>0</TotalTime>
  <ScaleCrop>false</ScaleCrop>
  <LinksUpToDate>false</LinksUpToDate>
  <CharactersWithSpaces>3443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2025-09-03T09:42:00Z</dcterms:created>
  <dc:creator>交易中心-罗</dc:creator>
  <cp:lastModifiedBy>交易中心-罗</cp:lastModifiedBy>
  <dcterms:modified xsi:type="dcterms:W3CDTF">2025-09-12T03:45:49Z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071238D43BB94844A1CE84AA25F958F5_11</vt:lpwstr>
  </property>
  <property fmtid="{D5CDD505-2E9C-101B-9397-08002B2CF9AE}" pid="4" name="KSOTemplateDocerSaveRecord">
    <vt:lpwstr>eyJoZGlkIjoiYTQ5ZmY1ODA0NTUyNTIzOGU4NGRmM2JhYjg3Y2Q0YjMiLCJ1c2VySWQiOiIxNTcyMDkyNjg5In0=</vt:lpwstr>
  </property>
</Properties>
</file>