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DEF3E"/>
    <w:p w14:paraId="0737B358"/>
    <w:p w14:paraId="52DEC7FB">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4A413E61">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西永数据中心信创网络</w:t>
      </w:r>
    </w:p>
    <w:p w14:paraId="4EFE6C41">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安全设备采购项目</w:t>
      </w:r>
    </w:p>
    <w:p w14:paraId="6A275BB9"/>
    <w:p w14:paraId="52FCFF1B"/>
    <w:p w14:paraId="21015082"/>
    <w:p w14:paraId="0B30C366"/>
    <w:p w14:paraId="544E70AA"/>
    <w:p w14:paraId="0461E762"/>
    <w:p w14:paraId="6702708D"/>
    <w:p w14:paraId="6D52022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6FEADD8D"/>
    <w:p w14:paraId="7F3DF204"/>
    <w:p w14:paraId="328FDC27"/>
    <w:p w14:paraId="57062637"/>
    <w:p w14:paraId="71D76590"/>
    <w:p w14:paraId="639762DA"/>
    <w:p w14:paraId="12F1517D"/>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D98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65FC29C">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0518834B">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2019F22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712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EDCE7B1">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935E8DD">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 xml:space="preserve"> 9</w:t>
            </w:r>
            <w:r>
              <w:rPr>
                <w:rFonts w:cs="Times New Roman"/>
                <w:b/>
                <w:snapToGrid w:val="0"/>
                <w:kern w:val="0"/>
                <w:sz w:val="30"/>
                <w:szCs w:val="30"/>
              </w:rPr>
              <w:t>月</w:t>
            </w:r>
          </w:p>
        </w:tc>
        <w:tc>
          <w:tcPr>
            <w:tcW w:w="2020" w:type="dxa"/>
            <w:vMerge w:val="continue"/>
            <w:tcBorders>
              <w:tl2br w:val="nil"/>
              <w:tr2bl w:val="nil"/>
            </w:tcBorders>
            <w:vAlign w:val="center"/>
          </w:tcPr>
          <w:p w14:paraId="76CADFF8"/>
        </w:tc>
      </w:tr>
    </w:tbl>
    <w:p w14:paraId="7D6C2E3F"/>
    <w:p w14:paraId="57112707">
      <w:p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607DF0">
      <w:pPr>
        <w:pStyle w:val="45"/>
      </w:pPr>
      <w:r>
        <w:t>目录</w:t>
      </w:r>
    </w:p>
    <w:p w14:paraId="6B2A9A71">
      <w:pPr>
        <w:pStyle w:val="15"/>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_Toc4476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_Toc4476 \h </w:instrText>
      </w:r>
      <w:r>
        <w:fldChar w:fldCharType="separate"/>
      </w:r>
      <w:r>
        <w:t>1</w:t>
      </w:r>
      <w:r>
        <w:fldChar w:fldCharType="end"/>
      </w:r>
      <w:r>
        <w:rPr>
          <w:rFonts w:ascii="宋体" w:hAnsi="宋体"/>
          <w:snapToGrid w:val="0"/>
          <w:kern w:val="0"/>
          <w:szCs w:val="24"/>
          <w:highlight w:val="yellow"/>
        </w:rPr>
        <w:fldChar w:fldCharType="end"/>
      </w:r>
    </w:p>
    <w:p w14:paraId="08B06205">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_Toc31742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_Toc31742 \h </w:instrText>
      </w:r>
      <w:r>
        <w:fldChar w:fldCharType="separate"/>
      </w:r>
      <w:r>
        <w:t>6</w:t>
      </w:r>
      <w:r>
        <w:fldChar w:fldCharType="end"/>
      </w:r>
      <w:r>
        <w:rPr>
          <w:rFonts w:ascii="宋体" w:hAnsi="宋体"/>
          <w:snapToGrid w:val="0"/>
          <w:kern w:val="0"/>
          <w:szCs w:val="24"/>
          <w:highlight w:val="yellow"/>
        </w:rPr>
        <w:fldChar w:fldCharType="end"/>
      </w:r>
    </w:p>
    <w:p w14:paraId="6EFD406A">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_Toc9555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_Toc9555 \h </w:instrText>
      </w:r>
      <w:r>
        <w:fldChar w:fldCharType="separate"/>
      </w:r>
      <w:r>
        <w:t>14</w:t>
      </w:r>
      <w:r>
        <w:fldChar w:fldCharType="end"/>
      </w:r>
      <w:r>
        <w:rPr>
          <w:rFonts w:ascii="宋体" w:hAnsi="宋体"/>
          <w:snapToGrid w:val="0"/>
          <w:kern w:val="0"/>
          <w:szCs w:val="24"/>
          <w:highlight w:val="yellow"/>
        </w:rPr>
        <w:fldChar w:fldCharType="end"/>
      </w:r>
    </w:p>
    <w:p w14:paraId="07276C24">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_Toc10868 </w:instrText>
      </w:r>
      <w:r>
        <w:rPr>
          <w:rFonts w:ascii="宋体" w:hAnsi="宋体"/>
          <w:snapToGrid w:val="0"/>
          <w:kern w:val="0"/>
          <w:szCs w:val="24"/>
          <w:highlight w:val="yellow"/>
        </w:rPr>
        <w:fldChar w:fldCharType="separate"/>
      </w:r>
      <w:r>
        <w:rPr>
          <w:rFonts w:hint="eastAsia"/>
        </w:rPr>
        <w:t>第四章 评审办法（经评审的最低价法）</w:t>
      </w:r>
      <w:r>
        <w:tab/>
      </w:r>
      <w:r>
        <w:fldChar w:fldCharType="begin"/>
      </w:r>
      <w:r>
        <w:instrText xml:space="preserve"> PAGEREF _Toc10868 \h </w:instrText>
      </w:r>
      <w:r>
        <w:fldChar w:fldCharType="separate"/>
      </w:r>
      <w:r>
        <w:t>36</w:t>
      </w:r>
      <w:r>
        <w:fldChar w:fldCharType="end"/>
      </w:r>
      <w:r>
        <w:rPr>
          <w:rFonts w:ascii="宋体" w:hAnsi="宋体"/>
          <w:snapToGrid w:val="0"/>
          <w:kern w:val="0"/>
          <w:szCs w:val="24"/>
          <w:highlight w:val="yellow"/>
        </w:rPr>
        <w:fldChar w:fldCharType="end"/>
      </w:r>
    </w:p>
    <w:p w14:paraId="1837CACF">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_Toc9381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_Toc9381 \h </w:instrText>
      </w:r>
      <w:r>
        <w:fldChar w:fldCharType="separate"/>
      </w:r>
      <w:r>
        <w:t>39</w:t>
      </w:r>
      <w:r>
        <w:fldChar w:fldCharType="end"/>
      </w:r>
      <w:r>
        <w:rPr>
          <w:rFonts w:ascii="宋体" w:hAnsi="宋体"/>
          <w:snapToGrid w:val="0"/>
          <w:kern w:val="0"/>
          <w:szCs w:val="24"/>
          <w:highlight w:val="yellow"/>
        </w:rPr>
        <w:fldChar w:fldCharType="end"/>
      </w:r>
    </w:p>
    <w:p w14:paraId="66B7C878">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_Toc12934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_Toc12934 \h </w:instrText>
      </w:r>
      <w:r>
        <w:fldChar w:fldCharType="separate"/>
      </w:r>
      <w:r>
        <w:t>52</w:t>
      </w:r>
      <w:r>
        <w:fldChar w:fldCharType="end"/>
      </w:r>
      <w:r>
        <w:rPr>
          <w:rFonts w:ascii="宋体" w:hAnsi="宋体"/>
          <w:snapToGrid w:val="0"/>
          <w:kern w:val="0"/>
          <w:szCs w:val="24"/>
          <w:highlight w:val="yellow"/>
        </w:rPr>
        <w:fldChar w:fldCharType="end"/>
      </w:r>
    </w:p>
    <w:p w14:paraId="1A329572">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6447D792">
      <w:pPr>
        <w:widowControl/>
        <w:jc w:val="left"/>
        <w:rPr>
          <w:rFonts w:ascii="宋体" w:hAnsi="宋体"/>
          <w:snapToGrid w:val="0"/>
          <w:kern w:val="0"/>
          <w:sz w:val="24"/>
          <w:szCs w:val="24"/>
          <w:highlight w:val="yellow"/>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B93927E">
      <w:pPr>
        <w:pStyle w:val="2"/>
      </w:pPr>
      <w:bookmarkStart w:id="0" w:name="_Toc440628903"/>
      <w:bookmarkStart w:id="1" w:name="_Toc6745"/>
      <w:bookmarkStart w:id="2" w:name="_Toc469574661"/>
      <w:bookmarkStart w:id="3" w:name="_Toc25883"/>
      <w:bookmarkStart w:id="4" w:name="_Toc4476"/>
      <w:bookmarkStart w:id="101" w:name="_GoBack"/>
      <w:bookmarkEnd w:id="101"/>
      <w:r>
        <w:rPr>
          <w:rFonts w:hint="eastAsia"/>
        </w:rPr>
        <w:t>第一章</w:t>
      </w:r>
      <w:bookmarkEnd w:id="0"/>
      <w:r>
        <w:rPr>
          <w:rFonts w:hint="eastAsia"/>
        </w:rPr>
        <w:t xml:space="preserve"> </w:t>
      </w:r>
      <w:bookmarkEnd w:id="1"/>
      <w:bookmarkEnd w:id="2"/>
      <w:r>
        <w:rPr>
          <w:rFonts w:hint="eastAsia"/>
        </w:rPr>
        <w:t>询比公告</w:t>
      </w:r>
      <w:bookmarkEnd w:id="3"/>
      <w:bookmarkEnd w:id="4"/>
    </w:p>
    <w:p w14:paraId="7A88B9C0">
      <w:pPr>
        <w:bidi w:val="0"/>
      </w:pPr>
      <w:bookmarkStart w:id="5" w:name="_Toc89675127"/>
      <w:bookmarkStart w:id="6" w:name="_Toc55379218"/>
      <w:r>
        <w:rPr>
          <w:rFonts w:hint="eastAsia"/>
          <w:lang w:eastAsia="zh-CN"/>
        </w:rPr>
        <w:t>为贯彻落实国家信息技术应用创新（信创）战略要求，提升我行西永数据中心网络安全基础设施的自主可控能力，保障数据安全与业务连续性，现申请采购一批符合信创标准的网络</w:t>
      </w:r>
      <w:r>
        <w:rPr>
          <w:rFonts w:hint="eastAsia"/>
        </w:rPr>
        <w:t>安全设备。现对重庆三峡银行西永数据中心信创网络安全设备采购项目进行公开询比，</w:t>
      </w:r>
      <w:r>
        <w:t>特邀请有</w:t>
      </w:r>
      <w:bookmarkStart w:id="7" w:name="_Hlk59455120"/>
      <w:r>
        <w:t>意向</w:t>
      </w:r>
      <w:bookmarkEnd w:id="7"/>
      <w:r>
        <w:t>的潜在</w:t>
      </w:r>
      <w:r>
        <w:rPr>
          <w:rFonts w:hint="eastAsia"/>
        </w:rPr>
        <w:t>响应人参与响应</w:t>
      </w:r>
      <w:r>
        <w:t>。</w:t>
      </w:r>
    </w:p>
    <w:p w14:paraId="6415983D">
      <w:pPr>
        <w:pStyle w:val="3"/>
      </w:pPr>
      <w:r>
        <w:rPr>
          <w:rFonts w:hint="eastAsia"/>
        </w:rPr>
        <w:t>1. 询比项目内容</w:t>
      </w:r>
      <w:bookmarkEnd w:id="5"/>
      <w:bookmarkEnd w:id="6"/>
    </w:p>
    <w:tbl>
      <w:tblPr>
        <w:tblStyle w:val="19"/>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52"/>
        <w:gridCol w:w="1269"/>
        <w:gridCol w:w="1281"/>
        <w:gridCol w:w="2265"/>
      </w:tblGrid>
      <w:tr w14:paraId="33D7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1404C118">
            <w:pPr>
              <w:pStyle w:val="41"/>
              <w:rPr>
                <w:highlight w:val="none"/>
              </w:rPr>
            </w:pPr>
            <w:r>
              <w:rPr>
                <w:rFonts w:hint="eastAsia"/>
                <w:highlight w:val="none"/>
              </w:rPr>
              <w:t>序号</w:t>
            </w:r>
          </w:p>
        </w:tc>
        <w:tc>
          <w:tcPr>
            <w:tcW w:w="3252" w:type="dxa"/>
            <w:tcBorders>
              <w:top w:val="single" w:color="auto" w:sz="4" w:space="0"/>
              <w:left w:val="single" w:color="auto" w:sz="4" w:space="0"/>
              <w:bottom w:val="single" w:color="auto" w:sz="4" w:space="0"/>
              <w:right w:val="single" w:color="auto" w:sz="4" w:space="0"/>
            </w:tcBorders>
            <w:vAlign w:val="center"/>
          </w:tcPr>
          <w:p w14:paraId="3A23D923">
            <w:pPr>
              <w:pStyle w:val="41"/>
              <w:rPr>
                <w:highlight w:val="none"/>
              </w:rPr>
            </w:pPr>
            <w:r>
              <w:rPr>
                <w:rFonts w:hint="eastAsia"/>
                <w:highlight w:val="none"/>
              </w:rPr>
              <w:t>项目名称</w:t>
            </w:r>
          </w:p>
        </w:tc>
        <w:tc>
          <w:tcPr>
            <w:tcW w:w="1269" w:type="dxa"/>
            <w:tcBorders>
              <w:top w:val="single" w:color="auto" w:sz="4" w:space="0"/>
              <w:left w:val="single" w:color="auto" w:sz="4" w:space="0"/>
              <w:bottom w:val="single" w:color="auto" w:sz="4" w:space="0"/>
              <w:right w:val="single" w:color="auto" w:sz="4" w:space="0"/>
            </w:tcBorders>
            <w:vAlign w:val="center"/>
          </w:tcPr>
          <w:p w14:paraId="7FC940DE">
            <w:pPr>
              <w:pStyle w:val="41"/>
              <w:rPr>
                <w:highlight w:val="none"/>
              </w:rPr>
            </w:pPr>
            <w:r>
              <w:rPr>
                <w:rFonts w:hint="eastAsia"/>
                <w:highlight w:val="none"/>
              </w:rPr>
              <w:t>最高限价</w:t>
            </w:r>
          </w:p>
        </w:tc>
        <w:tc>
          <w:tcPr>
            <w:tcW w:w="1281" w:type="dxa"/>
            <w:tcBorders>
              <w:top w:val="single" w:color="auto" w:sz="4" w:space="0"/>
              <w:left w:val="single" w:color="auto" w:sz="4" w:space="0"/>
              <w:bottom w:val="single" w:color="auto" w:sz="4" w:space="0"/>
              <w:right w:val="single" w:color="auto" w:sz="4" w:space="0"/>
            </w:tcBorders>
            <w:vAlign w:val="center"/>
          </w:tcPr>
          <w:p w14:paraId="77CEA8D1">
            <w:pPr>
              <w:pStyle w:val="41"/>
              <w:rPr>
                <w:highlight w:val="none"/>
              </w:rPr>
            </w:pPr>
            <w:r>
              <w:rPr>
                <w:rFonts w:hint="eastAsia"/>
                <w:highlight w:val="none"/>
              </w:rPr>
              <w:t>成交供应商</w:t>
            </w:r>
          </w:p>
          <w:p w14:paraId="1A5D483A">
            <w:pPr>
              <w:pStyle w:val="41"/>
              <w:rPr>
                <w:highlight w:val="none"/>
              </w:rPr>
            </w:pPr>
            <w:r>
              <w:rPr>
                <w:rFonts w:hint="eastAsia"/>
                <w:highlight w:val="none"/>
              </w:rPr>
              <w:t>数量</w:t>
            </w:r>
          </w:p>
        </w:tc>
        <w:tc>
          <w:tcPr>
            <w:tcW w:w="2265" w:type="dxa"/>
            <w:tcBorders>
              <w:top w:val="single" w:color="auto" w:sz="4" w:space="0"/>
              <w:left w:val="single" w:color="auto" w:sz="4" w:space="0"/>
              <w:bottom w:val="single" w:color="auto" w:sz="4" w:space="0"/>
              <w:right w:val="single" w:color="auto" w:sz="4" w:space="0"/>
            </w:tcBorders>
            <w:vAlign w:val="center"/>
          </w:tcPr>
          <w:p w14:paraId="71E7B1D8">
            <w:pPr>
              <w:pStyle w:val="41"/>
              <w:rPr>
                <w:highlight w:val="none"/>
              </w:rPr>
            </w:pPr>
            <w:r>
              <w:rPr>
                <w:rFonts w:hint="eastAsia"/>
                <w:highlight w:val="none"/>
              </w:rPr>
              <w:t>备注</w:t>
            </w:r>
          </w:p>
        </w:tc>
      </w:tr>
      <w:tr w14:paraId="2979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07EF375E">
            <w:pPr>
              <w:pStyle w:val="41"/>
              <w:rPr>
                <w:highlight w:val="none"/>
              </w:rPr>
            </w:pPr>
            <w:r>
              <w:rPr>
                <w:rFonts w:hint="eastAsia"/>
                <w:highlight w:val="none"/>
              </w:rPr>
              <w:t>1</w:t>
            </w:r>
          </w:p>
        </w:tc>
        <w:tc>
          <w:tcPr>
            <w:tcW w:w="3252" w:type="dxa"/>
            <w:tcBorders>
              <w:top w:val="single" w:color="auto" w:sz="4" w:space="0"/>
              <w:left w:val="single" w:color="auto" w:sz="4" w:space="0"/>
              <w:bottom w:val="single" w:color="auto" w:sz="4" w:space="0"/>
              <w:right w:val="single" w:color="auto" w:sz="4" w:space="0"/>
            </w:tcBorders>
            <w:vAlign w:val="center"/>
          </w:tcPr>
          <w:p w14:paraId="4D021D68">
            <w:pPr>
              <w:pStyle w:val="41"/>
              <w:rPr>
                <w:rFonts w:hint="eastAsia"/>
                <w:b w:val="0"/>
                <w:szCs w:val="20"/>
                <w:highlight w:val="none"/>
              </w:rPr>
            </w:pPr>
            <w:r>
              <w:rPr>
                <w:b w:val="0"/>
                <w:snapToGrid w:val="0"/>
                <w:szCs w:val="20"/>
                <w:highlight w:val="none"/>
              </w:rPr>
              <w:t>重庆三峡银行</w:t>
            </w:r>
            <w:r>
              <w:rPr>
                <w:rFonts w:hint="eastAsia"/>
                <w:b w:val="0"/>
                <w:snapToGrid w:val="0"/>
                <w:szCs w:val="20"/>
                <w:highlight w:val="none"/>
              </w:rPr>
              <w:t>西永数据中心信创网络安全设备采购</w:t>
            </w:r>
            <w:r>
              <w:rPr>
                <w:rFonts w:hint="eastAsia"/>
                <w:b w:val="0"/>
                <w:szCs w:val="20"/>
                <w:highlight w:val="none"/>
              </w:rPr>
              <w:t>项目（标段</w:t>
            </w:r>
            <w:r>
              <w:rPr>
                <w:b w:val="0"/>
                <w:szCs w:val="20"/>
                <w:highlight w:val="none"/>
              </w:rPr>
              <w:t>1：路由交换设备</w:t>
            </w:r>
            <w:r>
              <w:rPr>
                <w:rFonts w:hint="eastAsia"/>
                <w:b w:val="0"/>
                <w:szCs w:val="20"/>
                <w:highlight w:val="none"/>
              </w:rPr>
              <w:t>）</w:t>
            </w:r>
          </w:p>
        </w:tc>
        <w:tc>
          <w:tcPr>
            <w:tcW w:w="1269" w:type="dxa"/>
            <w:tcBorders>
              <w:top w:val="single" w:color="auto" w:sz="4" w:space="0"/>
              <w:left w:val="single" w:color="auto" w:sz="4" w:space="0"/>
              <w:bottom w:val="single" w:color="auto" w:sz="4" w:space="0"/>
              <w:right w:val="single" w:color="auto" w:sz="4" w:space="0"/>
            </w:tcBorders>
            <w:vAlign w:val="center"/>
          </w:tcPr>
          <w:p w14:paraId="0563230E">
            <w:pPr>
              <w:pStyle w:val="41"/>
              <w:rPr>
                <w:rFonts w:hint="eastAsia"/>
                <w:b w:val="0"/>
                <w:szCs w:val="20"/>
                <w:highlight w:val="none"/>
              </w:rPr>
            </w:pPr>
            <w:r>
              <w:rPr>
                <w:rFonts w:hint="eastAsia" w:hAnsi="Times New Roman"/>
                <w:b w:val="0"/>
                <w:highlight w:val="none"/>
              </w:rPr>
              <w:t>615.9万元</w:t>
            </w:r>
          </w:p>
        </w:tc>
        <w:tc>
          <w:tcPr>
            <w:tcW w:w="1281" w:type="dxa"/>
            <w:tcBorders>
              <w:top w:val="single" w:color="auto" w:sz="4" w:space="0"/>
              <w:left w:val="single" w:color="auto" w:sz="4" w:space="0"/>
              <w:bottom w:val="single" w:color="auto" w:sz="4" w:space="0"/>
              <w:right w:val="single" w:color="auto" w:sz="4" w:space="0"/>
            </w:tcBorders>
            <w:vAlign w:val="center"/>
          </w:tcPr>
          <w:p w14:paraId="3A6F2C5F">
            <w:pPr>
              <w:pStyle w:val="41"/>
              <w:rPr>
                <w:rFonts w:hint="eastAsia"/>
                <w:b w:val="0"/>
                <w:szCs w:val="20"/>
                <w:highlight w:val="none"/>
              </w:rPr>
            </w:pPr>
            <w:r>
              <w:rPr>
                <w:rFonts w:hint="eastAsia"/>
                <w:b w:val="0"/>
                <w:szCs w:val="20"/>
                <w:highlight w:val="none"/>
              </w:rPr>
              <w:t>1</w:t>
            </w:r>
          </w:p>
        </w:tc>
        <w:tc>
          <w:tcPr>
            <w:tcW w:w="2265" w:type="dxa"/>
            <w:tcBorders>
              <w:top w:val="single" w:color="auto" w:sz="4" w:space="0"/>
              <w:left w:val="single" w:color="auto" w:sz="4" w:space="0"/>
              <w:bottom w:val="single" w:color="auto" w:sz="4" w:space="0"/>
              <w:right w:val="single" w:color="auto" w:sz="4" w:space="0"/>
            </w:tcBorders>
            <w:vAlign w:val="center"/>
          </w:tcPr>
          <w:p w14:paraId="255E2A57">
            <w:pPr>
              <w:pStyle w:val="41"/>
              <w:rPr>
                <w:rFonts w:hint="eastAsia"/>
                <w:b w:val="0"/>
                <w:snapToGrid w:val="0"/>
                <w:szCs w:val="20"/>
                <w:highlight w:val="none"/>
              </w:rPr>
            </w:pPr>
            <w:r>
              <w:rPr>
                <w:b w:val="0"/>
                <w:snapToGrid w:val="0"/>
                <w:szCs w:val="20"/>
                <w:highlight w:val="none"/>
              </w:rPr>
              <w:t>含税，</w:t>
            </w:r>
            <w:r>
              <w:rPr>
                <w:rFonts w:hint="eastAsia"/>
                <w:b w:val="0"/>
                <w:snapToGrid w:val="0"/>
                <w:szCs w:val="20"/>
                <w:highlight w:val="none"/>
              </w:rPr>
              <w:t>按要求完成新采购设备的安装、部署。</w:t>
            </w:r>
          </w:p>
        </w:tc>
      </w:tr>
      <w:tr w14:paraId="7C5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60CBAB61">
            <w:pPr>
              <w:pStyle w:val="41"/>
              <w:rPr>
                <w:highlight w:val="none"/>
              </w:rPr>
            </w:pPr>
            <w:r>
              <w:rPr>
                <w:highlight w:val="none"/>
              </w:rPr>
              <w:t>2</w:t>
            </w:r>
          </w:p>
        </w:tc>
        <w:tc>
          <w:tcPr>
            <w:tcW w:w="3252" w:type="dxa"/>
            <w:tcBorders>
              <w:top w:val="single" w:color="auto" w:sz="4" w:space="0"/>
              <w:left w:val="single" w:color="auto" w:sz="4" w:space="0"/>
              <w:bottom w:val="single" w:color="auto" w:sz="4" w:space="0"/>
              <w:right w:val="single" w:color="auto" w:sz="4" w:space="0"/>
            </w:tcBorders>
            <w:vAlign w:val="center"/>
          </w:tcPr>
          <w:p w14:paraId="2E2C21DA">
            <w:pPr>
              <w:pStyle w:val="41"/>
              <w:rPr>
                <w:rFonts w:hint="eastAsia"/>
                <w:b w:val="0"/>
                <w:szCs w:val="20"/>
                <w:highlight w:val="none"/>
              </w:rPr>
            </w:pPr>
            <w:r>
              <w:rPr>
                <w:b w:val="0"/>
                <w:snapToGrid w:val="0"/>
                <w:szCs w:val="20"/>
                <w:highlight w:val="none"/>
              </w:rPr>
              <w:t>重庆三峡银行</w:t>
            </w:r>
            <w:r>
              <w:rPr>
                <w:rFonts w:hint="eastAsia"/>
                <w:b w:val="0"/>
                <w:snapToGrid w:val="0"/>
                <w:szCs w:val="20"/>
                <w:highlight w:val="none"/>
              </w:rPr>
              <w:t>西永数据中心信创网络安全设备采购</w:t>
            </w:r>
            <w:r>
              <w:rPr>
                <w:rFonts w:hint="eastAsia"/>
                <w:b w:val="0"/>
                <w:szCs w:val="20"/>
                <w:highlight w:val="none"/>
              </w:rPr>
              <w:t>项目（标段</w:t>
            </w:r>
            <w:r>
              <w:rPr>
                <w:b w:val="0"/>
                <w:szCs w:val="20"/>
                <w:highlight w:val="none"/>
              </w:rPr>
              <w:t>2：负载均衡</w:t>
            </w:r>
            <w:r>
              <w:rPr>
                <w:rFonts w:hint="eastAsia"/>
                <w:b w:val="0"/>
                <w:szCs w:val="20"/>
                <w:highlight w:val="none"/>
              </w:rPr>
              <w:t>）</w:t>
            </w:r>
          </w:p>
        </w:tc>
        <w:tc>
          <w:tcPr>
            <w:tcW w:w="1269" w:type="dxa"/>
            <w:tcBorders>
              <w:top w:val="single" w:color="auto" w:sz="4" w:space="0"/>
              <w:left w:val="single" w:color="auto" w:sz="4" w:space="0"/>
              <w:bottom w:val="single" w:color="auto" w:sz="4" w:space="0"/>
              <w:right w:val="single" w:color="auto" w:sz="4" w:space="0"/>
            </w:tcBorders>
            <w:vAlign w:val="center"/>
          </w:tcPr>
          <w:p w14:paraId="0F9A2F0F">
            <w:pPr>
              <w:pStyle w:val="41"/>
              <w:rPr>
                <w:rFonts w:hint="eastAsia"/>
                <w:b w:val="0"/>
                <w:szCs w:val="20"/>
                <w:highlight w:val="none"/>
              </w:rPr>
            </w:pPr>
            <w:r>
              <w:rPr>
                <w:rFonts w:hint="eastAsia" w:hAnsi="Times New Roman"/>
                <w:b w:val="0"/>
                <w:highlight w:val="none"/>
                <w:lang w:bidi="ar-SA"/>
              </w:rPr>
              <w:t>240万元</w:t>
            </w:r>
          </w:p>
        </w:tc>
        <w:tc>
          <w:tcPr>
            <w:tcW w:w="1281" w:type="dxa"/>
            <w:tcBorders>
              <w:top w:val="single" w:color="auto" w:sz="4" w:space="0"/>
              <w:left w:val="single" w:color="auto" w:sz="4" w:space="0"/>
              <w:bottom w:val="single" w:color="auto" w:sz="4" w:space="0"/>
              <w:right w:val="single" w:color="auto" w:sz="4" w:space="0"/>
            </w:tcBorders>
            <w:vAlign w:val="center"/>
          </w:tcPr>
          <w:p w14:paraId="071B33D9">
            <w:pPr>
              <w:pStyle w:val="41"/>
              <w:rPr>
                <w:rFonts w:hint="eastAsia"/>
                <w:b w:val="0"/>
                <w:szCs w:val="20"/>
                <w:highlight w:val="none"/>
              </w:rPr>
            </w:pPr>
            <w:r>
              <w:rPr>
                <w:rFonts w:hint="eastAsia"/>
                <w:b w:val="0"/>
                <w:szCs w:val="20"/>
                <w:highlight w:val="none"/>
              </w:rPr>
              <w:t>1</w:t>
            </w:r>
          </w:p>
        </w:tc>
        <w:tc>
          <w:tcPr>
            <w:tcW w:w="2265" w:type="dxa"/>
            <w:tcBorders>
              <w:top w:val="single" w:color="auto" w:sz="4" w:space="0"/>
              <w:left w:val="single" w:color="auto" w:sz="4" w:space="0"/>
              <w:bottom w:val="single" w:color="auto" w:sz="4" w:space="0"/>
              <w:right w:val="single" w:color="auto" w:sz="4" w:space="0"/>
            </w:tcBorders>
            <w:vAlign w:val="center"/>
          </w:tcPr>
          <w:p w14:paraId="48A2851A">
            <w:pPr>
              <w:pStyle w:val="41"/>
              <w:rPr>
                <w:rFonts w:hint="eastAsia"/>
                <w:b w:val="0"/>
                <w:snapToGrid w:val="0"/>
                <w:szCs w:val="20"/>
                <w:highlight w:val="none"/>
              </w:rPr>
            </w:pPr>
            <w:r>
              <w:rPr>
                <w:b w:val="0"/>
                <w:snapToGrid w:val="0"/>
                <w:szCs w:val="20"/>
                <w:highlight w:val="none"/>
              </w:rPr>
              <w:t>含税，</w:t>
            </w:r>
            <w:r>
              <w:rPr>
                <w:rFonts w:hint="eastAsia"/>
                <w:b w:val="0"/>
                <w:snapToGrid w:val="0"/>
                <w:szCs w:val="20"/>
                <w:highlight w:val="none"/>
              </w:rPr>
              <w:t>按要求完成新采购设备的安装、部署。</w:t>
            </w:r>
          </w:p>
        </w:tc>
      </w:tr>
      <w:tr w14:paraId="50CC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03859C14">
            <w:pPr>
              <w:pStyle w:val="41"/>
              <w:rPr>
                <w:highlight w:val="none"/>
              </w:rPr>
            </w:pPr>
            <w:r>
              <w:rPr>
                <w:highlight w:val="none"/>
              </w:rPr>
              <w:t>3</w:t>
            </w:r>
          </w:p>
        </w:tc>
        <w:tc>
          <w:tcPr>
            <w:tcW w:w="3252" w:type="dxa"/>
            <w:tcBorders>
              <w:top w:val="single" w:color="auto" w:sz="4" w:space="0"/>
              <w:left w:val="single" w:color="auto" w:sz="4" w:space="0"/>
              <w:bottom w:val="single" w:color="auto" w:sz="4" w:space="0"/>
              <w:right w:val="single" w:color="auto" w:sz="4" w:space="0"/>
            </w:tcBorders>
            <w:vAlign w:val="center"/>
          </w:tcPr>
          <w:p w14:paraId="37E31194">
            <w:pPr>
              <w:pStyle w:val="41"/>
              <w:rPr>
                <w:rFonts w:hint="eastAsia"/>
                <w:b w:val="0"/>
                <w:szCs w:val="20"/>
                <w:highlight w:val="none"/>
              </w:rPr>
            </w:pPr>
            <w:r>
              <w:rPr>
                <w:b w:val="0"/>
                <w:snapToGrid w:val="0"/>
                <w:szCs w:val="20"/>
                <w:highlight w:val="none"/>
              </w:rPr>
              <w:t>重庆三峡银行</w:t>
            </w:r>
            <w:r>
              <w:rPr>
                <w:rFonts w:hint="eastAsia"/>
                <w:b w:val="0"/>
                <w:snapToGrid w:val="0"/>
                <w:szCs w:val="20"/>
                <w:highlight w:val="none"/>
              </w:rPr>
              <w:t>西永数据中心信创网络安全设备采购</w:t>
            </w:r>
            <w:r>
              <w:rPr>
                <w:rFonts w:hint="eastAsia"/>
                <w:b w:val="0"/>
                <w:szCs w:val="20"/>
                <w:highlight w:val="none"/>
              </w:rPr>
              <w:t>项目（标段</w:t>
            </w:r>
            <w:r>
              <w:rPr>
                <w:b w:val="0"/>
                <w:szCs w:val="20"/>
                <w:highlight w:val="none"/>
              </w:rPr>
              <w:t>3：安全设备</w:t>
            </w:r>
            <w:r>
              <w:rPr>
                <w:rFonts w:hint="eastAsia"/>
                <w:b w:val="0"/>
                <w:szCs w:val="20"/>
                <w:highlight w:val="none"/>
              </w:rPr>
              <w:t>）</w:t>
            </w:r>
          </w:p>
        </w:tc>
        <w:tc>
          <w:tcPr>
            <w:tcW w:w="1269" w:type="dxa"/>
            <w:tcBorders>
              <w:top w:val="single" w:color="auto" w:sz="4" w:space="0"/>
              <w:left w:val="single" w:color="auto" w:sz="4" w:space="0"/>
              <w:bottom w:val="single" w:color="auto" w:sz="4" w:space="0"/>
              <w:right w:val="single" w:color="auto" w:sz="4" w:space="0"/>
            </w:tcBorders>
            <w:vAlign w:val="center"/>
          </w:tcPr>
          <w:p w14:paraId="69C328E6">
            <w:pPr>
              <w:pStyle w:val="41"/>
              <w:rPr>
                <w:rFonts w:hint="eastAsia"/>
                <w:b w:val="0"/>
                <w:szCs w:val="20"/>
                <w:highlight w:val="none"/>
              </w:rPr>
            </w:pPr>
            <w:r>
              <w:rPr>
                <w:rFonts w:hint="eastAsia" w:hAnsi="Times New Roman"/>
                <w:b w:val="0"/>
                <w:highlight w:val="none"/>
                <w:lang w:bidi="ar-SA"/>
              </w:rPr>
              <w:t>572万元</w:t>
            </w:r>
          </w:p>
        </w:tc>
        <w:tc>
          <w:tcPr>
            <w:tcW w:w="1281" w:type="dxa"/>
            <w:tcBorders>
              <w:top w:val="single" w:color="auto" w:sz="4" w:space="0"/>
              <w:left w:val="single" w:color="auto" w:sz="4" w:space="0"/>
              <w:bottom w:val="single" w:color="auto" w:sz="4" w:space="0"/>
              <w:right w:val="single" w:color="auto" w:sz="4" w:space="0"/>
            </w:tcBorders>
            <w:vAlign w:val="center"/>
          </w:tcPr>
          <w:p w14:paraId="5E4A02CA">
            <w:pPr>
              <w:pStyle w:val="41"/>
              <w:rPr>
                <w:rFonts w:hint="eastAsia"/>
                <w:b w:val="0"/>
                <w:szCs w:val="20"/>
                <w:highlight w:val="none"/>
              </w:rPr>
            </w:pPr>
            <w:r>
              <w:rPr>
                <w:rFonts w:hint="eastAsia"/>
                <w:b w:val="0"/>
                <w:szCs w:val="20"/>
                <w:highlight w:val="none"/>
              </w:rPr>
              <w:t>1</w:t>
            </w:r>
          </w:p>
        </w:tc>
        <w:tc>
          <w:tcPr>
            <w:tcW w:w="2265" w:type="dxa"/>
            <w:tcBorders>
              <w:top w:val="single" w:color="auto" w:sz="4" w:space="0"/>
              <w:left w:val="single" w:color="auto" w:sz="4" w:space="0"/>
              <w:bottom w:val="single" w:color="auto" w:sz="4" w:space="0"/>
              <w:right w:val="single" w:color="auto" w:sz="4" w:space="0"/>
            </w:tcBorders>
            <w:vAlign w:val="center"/>
          </w:tcPr>
          <w:p w14:paraId="45D9C3A6">
            <w:pPr>
              <w:pStyle w:val="41"/>
              <w:rPr>
                <w:rFonts w:hint="eastAsia"/>
                <w:b w:val="0"/>
                <w:snapToGrid w:val="0"/>
                <w:szCs w:val="20"/>
                <w:highlight w:val="none"/>
              </w:rPr>
            </w:pPr>
            <w:r>
              <w:rPr>
                <w:b w:val="0"/>
                <w:snapToGrid w:val="0"/>
                <w:szCs w:val="20"/>
                <w:highlight w:val="none"/>
              </w:rPr>
              <w:t>含税，</w:t>
            </w:r>
            <w:r>
              <w:rPr>
                <w:rFonts w:hint="eastAsia"/>
                <w:b w:val="0"/>
                <w:snapToGrid w:val="0"/>
                <w:szCs w:val="20"/>
                <w:highlight w:val="none"/>
              </w:rPr>
              <w:t>按要求完成新采购设备的安装、部署。</w:t>
            </w:r>
          </w:p>
        </w:tc>
      </w:tr>
    </w:tbl>
    <w:p w14:paraId="07AE2BF8">
      <w:pPr>
        <w:bidi w:val="0"/>
        <w:rPr>
          <w:rFonts w:hint="eastAsia"/>
        </w:rPr>
      </w:pPr>
      <w:bookmarkStart w:id="8" w:name="_Toc89675128"/>
      <w:bookmarkStart w:id="9" w:name="_Toc469574664"/>
      <w:bookmarkStart w:id="10" w:name="_Toc297817088"/>
      <w:bookmarkStart w:id="11" w:name="_Toc288224935"/>
      <w:bookmarkStart w:id="12" w:name="_Toc55379219"/>
      <w:r>
        <w:rPr>
          <w:rFonts w:hint="eastAsia"/>
          <w:lang w:val="en-US" w:eastAsia="zh-CN"/>
        </w:rPr>
        <w:t>注：单价限价详见第三章“</w:t>
      </w:r>
      <w:r>
        <w:rPr>
          <w:lang w:val="en-US" w:eastAsia="zh-CN"/>
        </w:rPr>
        <w:t>11.</w:t>
      </w:r>
      <w:r>
        <w:rPr>
          <w:rFonts w:hint="eastAsia"/>
        </w:rPr>
        <w:t>报价要求</w:t>
      </w:r>
      <w:r>
        <w:rPr>
          <w:rFonts w:hint="eastAsia"/>
          <w:lang w:val="en-US" w:eastAsia="zh-CN"/>
        </w:rPr>
        <w:t>”。</w:t>
      </w:r>
    </w:p>
    <w:p w14:paraId="6E592916">
      <w:pPr>
        <w:pStyle w:val="3"/>
        <w:rPr>
          <w:highlight w:val="none"/>
        </w:rPr>
      </w:pPr>
      <w:r>
        <w:rPr>
          <w:rFonts w:hint="eastAsia"/>
          <w:highlight w:val="none"/>
        </w:rPr>
        <w:t>2. 响应人资格要求</w:t>
      </w:r>
      <w:bookmarkEnd w:id="8"/>
      <w:bookmarkEnd w:id="9"/>
      <w:bookmarkEnd w:id="10"/>
      <w:bookmarkEnd w:id="11"/>
      <w:bookmarkEnd w:id="12"/>
    </w:p>
    <w:p w14:paraId="6E0A4149">
      <w:pPr>
        <w:rPr>
          <w:highlight w:val="none"/>
        </w:rPr>
      </w:pPr>
      <w:bookmarkStart w:id="13" w:name="_Hlk55488870"/>
      <w:r>
        <w:rPr>
          <w:rFonts w:hint="eastAsia"/>
          <w:highlight w:val="none"/>
        </w:rPr>
        <w:t>2.1 具有独立承担民事责任的能力</w:t>
      </w:r>
    </w:p>
    <w:p w14:paraId="4DD6BBAB">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422A7B2">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EE16049">
      <w:pPr>
        <w:rPr>
          <w:highlight w:val="none"/>
        </w:rPr>
      </w:pPr>
      <w:r>
        <w:rPr>
          <w:rFonts w:hint="eastAsia"/>
          <w:highlight w:val="none"/>
        </w:rPr>
        <w:t>2.3 本项目不允许任何形式的转包【提供书面声明】。</w:t>
      </w:r>
    </w:p>
    <w:p w14:paraId="4F758938">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4605666">
      <w:pPr>
        <w:rPr>
          <w:highlight w:val="none"/>
        </w:rPr>
      </w:pPr>
      <w:r>
        <w:rPr>
          <w:rFonts w:hint="eastAsia"/>
          <w:highlight w:val="none"/>
        </w:rPr>
        <w:t>2.5 本次询比不接受联合体响应。</w:t>
      </w:r>
    </w:p>
    <w:p w14:paraId="43B32AB1">
      <w:pPr>
        <w:rPr>
          <w:color w:val="auto"/>
          <w:highlight w:val="none"/>
        </w:rPr>
      </w:pPr>
      <w:r>
        <w:rPr>
          <w:rFonts w:hint="eastAsia"/>
          <w:highlight w:val="none"/>
        </w:rPr>
        <w:t>2.6</w:t>
      </w:r>
      <w:r>
        <w:rPr>
          <w:highlight w:val="none"/>
        </w:rPr>
        <w:t xml:space="preserve">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生产厂商</w:t>
      </w:r>
      <w:r>
        <w:rPr>
          <w:rFonts w:hint="eastAsia"/>
          <w:color w:val="auto"/>
          <w:highlight w:val="none"/>
        </w:rPr>
        <w:t>具有</w:t>
      </w:r>
      <w:r>
        <w:rPr>
          <w:color w:val="auto"/>
          <w:highlight w:val="none"/>
        </w:rPr>
        <w:t>金融行业总部（银行、保险、证券、期货等）</w:t>
      </w:r>
      <w:r>
        <w:rPr>
          <w:rFonts w:hint="eastAsia"/>
          <w:color w:val="auto"/>
          <w:highlight w:val="none"/>
        </w:rPr>
        <w:t>相关案例不少于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合同内容产品列表中</w:t>
      </w:r>
      <w:r>
        <w:rPr>
          <w:rFonts w:hAnsi="仿宋"/>
          <w:color w:val="auto"/>
          <w:szCs w:val="18"/>
          <w:highlight w:val="none"/>
        </w:rPr>
        <w:t>的产品型号必须和本次所投</w:t>
      </w:r>
      <w:r>
        <w:rPr>
          <w:rFonts w:hAnsi="仿宋"/>
          <w:bCs/>
          <w:color w:val="auto"/>
          <w:szCs w:val="18"/>
          <w:highlight w:val="none"/>
        </w:rPr>
        <w:t>产品型号一致</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w:t>
      </w:r>
      <w:r>
        <w:rPr>
          <w:color w:val="auto"/>
          <w:highlight w:val="none"/>
        </w:rPr>
        <w:t>。</w:t>
      </w:r>
    </w:p>
    <w:p w14:paraId="0569C280">
      <w:pPr>
        <w:rPr>
          <w:rFonts w:hint="eastAsia" w:eastAsia="宋体"/>
          <w:highlight w:val="none"/>
          <w:lang w:eastAsia="zh-CN"/>
        </w:rPr>
      </w:pPr>
      <w:r>
        <w:rPr>
          <w:rFonts w:hint="eastAsia" w:ascii="宋体" w:cs="Cambria"/>
          <w:szCs w:val="24"/>
          <w:highlight w:val="none"/>
          <w:lang w:val="zh-CN" w:eastAsia="zh-CN" w:bidi="ar-SA"/>
        </w:rPr>
        <w:t>案例时间以合同</w:t>
      </w:r>
      <w:r>
        <w:rPr>
          <w:rFonts w:ascii="宋体" w:cs="Cambria"/>
          <w:szCs w:val="24"/>
          <w:highlight w:val="none"/>
          <w:lang w:val="zh-CN" w:eastAsia="zh-CN" w:bidi="ar-SA"/>
        </w:rPr>
        <w:t>（或订单）</w:t>
      </w:r>
      <w:r>
        <w:rPr>
          <w:rFonts w:hint="eastAsia" w:ascii="宋体" w:cs="Cambria"/>
          <w:szCs w:val="24"/>
          <w:highlight w:val="none"/>
          <w:lang w:val="zh-CN" w:eastAsia="zh-CN" w:bidi="ar-SA"/>
        </w:rPr>
        <w:t xml:space="preserve">签订时间为准。（注: </w:t>
      </w:r>
      <w:r>
        <w:rPr>
          <w:rFonts w:hint="eastAsia" w:ascii="宋体" w:hAnsi="宋体"/>
          <w:highlight w:val="none"/>
        </w:rPr>
        <w:t>同一家单位</w:t>
      </w:r>
      <w:r>
        <w:rPr>
          <w:rFonts w:ascii="宋体" w:hAnsi="宋体"/>
          <w:highlight w:val="none"/>
        </w:rPr>
        <w:t>同一品牌型号设备合同（或订单）签订时间不同只算一个</w:t>
      </w:r>
      <w:r>
        <w:rPr>
          <w:rFonts w:hint="eastAsia" w:ascii="宋体" w:cs="Cambria"/>
          <w:szCs w:val="24"/>
          <w:highlight w:val="none"/>
          <w:lang w:val="zh-CN" w:eastAsia="zh-CN" w:bidi="ar-SA"/>
        </w:rPr>
        <w:t>案例</w:t>
      </w:r>
      <w:r>
        <w:rPr>
          <w:rFonts w:ascii="宋体" w:hAnsi="宋体"/>
          <w:highlight w:val="none"/>
        </w:rPr>
        <w:t>。</w:t>
      </w:r>
      <w:r>
        <w:rPr>
          <w:rFonts w:hint="eastAsia" w:ascii="宋体" w:cs="Cambria"/>
          <w:szCs w:val="24"/>
          <w:highlight w:val="none"/>
          <w:lang w:val="zh-CN" w:eastAsia="zh-CN" w:bidi="ar-SA"/>
        </w:rPr>
        <w:t>案例须提供合同</w:t>
      </w:r>
      <w:r>
        <w:rPr>
          <w:rFonts w:ascii="宋体" w:cs="Cambria"/>
          <w:szCs w:val="24"/>
          <w:highlight w:val="none"/>
          <w:lang w:val="zh-CN" w:eastAsia="zh-CN" w:bidi="ar-SA"/>
        </w:rPr>
        <w:t>（或订单）</w:t>
      </w:r>
      <w:r>
        <w:rPr>
          <w:rFonts w:hint="eastAsia" w:ascii="宋体" w:cs="Cambria"/>
          <w:szCs w:val="24"/>
          <w:highlight w:val="none"/>
          <w:lang w:val="zh-CN" w:eastAsia="zh-CN" w:bidi="ar-SA"/>
        </w:rPr>
        <w:t>复印件</w:t>
      </w:r>
      <w:r>
        <w:rPr>
          <w:rFonts w:ascii="宋体" w:cs="Cambria"/>
          <w:szCs w:val="24"/>
          <w:highlight w:val="none"/>
          <w:lang w:val="zh-CN" w:eastAsia="zh-CN" w:bidi="ar-SA"/>
        </w:rPr>
        <w:t>和项目简介</w:t>
      </w:r>
      <w:r>
        <w:rPr>
          <w:rFonts w:hint="eastAsia" w:ascii="宋体" w:cs="Cambria"/>
          <w:szCs w:val="24"/>
          <w:highlight w:val="none"/>
          <w:lang w:val="zh-CN" w:eastAsia="zh-CN" w:bidi="ar-SA"/>
        </w:rPr>
        <w:t>，合同</w:t>
      </w:r>
      <w:r>
        <w:rPr>
          <w:rFonts w:ascii="宋体" w:cs="Cambria"/>
          <w:szCs w:val="24"/>
          <w:highlight w:val="none"/>
          <w:lang w:val="zh-CN" w:eastAsia="zh-CN" w:bidi="ar-SA"/>
        </w:rPr>
        <w:t>（或订单）</w:t>
      </w:r>
      <w:r>
        <w:rPr>
          <w:rFonts w:hint="eastAsia" w:ascii="宋体" w:cs="Cambria"/>
          <w:szCs w:val="24"/>
          <w:highlight w:val="none"/>
          <w:lang w:val="zh-CN" w:eastAsia="zh-CN" w:bidi="ar-SA"/>
        </w:rPr>
        <w:t>以下信息不可隐藏</w:t>
      </w:r>
      <w:r>
        <w:rPr>
          <w:rFonts w:hint="eastAsia" w:ascii="宋体" w:cs="Cambria"/>
          <w:szCs w:val="24"/>
          <w:highlight w:val="none"/>
          <w:lang w:bidi="ar-SA"/>
        </w:rPr>
        <w:t>，包含：甲乙双方名称、双方印章、项目名称、</w:t>
      </w:r>
      <w:r>
        <w:rPr>
          <w:rFonts w:ascii="宋体" w:cs="Cambria"/>
          <w:szCs w:val="24"/>
          <w:highlight w:val="none"/>
          <w:lang w:bidi="ar-SA"/>
        </w:rPr>
        <w:t>型号数量、</w:t>
      </w:r>
      <w:r>
        <w:rPr>
          <w:rFonts w:hint="eastAsia" w:ascii="宋体" w:cs="Cambria"/>
          <w:szCs w:val="24"/>
          <w:highlight w:val="none"/>
          <w:lang w:bidi="ar-SA"/>
        </w:rPr>
        <w:t>签订时间等</w:t>
      </w:r>
      <w:r>
        <w:rPr>
          <w:rFonts w:ascii="宋体" w:cs="Cambria"/>
          <w:szCs w:val="24"/>
          <w:highlight w:val="none"/>
          <w:lang w:bidi="ar-SA"/>
        </w:rPr>
        <w:t>。</w:t>
      </w:r>
      <w:r>
        <w:rPr>
          <w:rFonts w:hint="eastAsia" w:ascii="宋体" w:cs="Cambria"/>
          <w:szCs w:val="24"/>
          <w:highlight w:val="none"/>
          <w:lang w:bidi="ar-SA"/>
        </w:rPr>
        <w:t>响应文件中须附相关证明文件复印件并逐页加盖</w:t>
      </w:r>
      <w:r>
        <w:rPr>
          <w:rFonts w:ascii="宋体" w:cs="Cambria"/>
          <w:szCs w:val="24"/>
          <w:highlight w:val="none"/>
          <w:lang w:bidi="ar-SA"/>
        </w:rPr>
        <w:t>响应人</w:t>
      </w:r>
      <w:r>
        <w:rPr>
          <w:rFonts w:hint="eastAsia" w:ascii="宋体" w:cs="Cambria"/>
          <w:szCs w:val="24"/>
          <w:highlight w:val="none"/>
          <w:lang w:bidi="ar-SA"/>
        </w:rPr>
        <w:t>公章</w:t>
      </w:r>
      <w:r>
        <w:rPr>
          <w:color w:val="auto"/>
          <w:highlight w:val="none"/>
        </w:rPr>
        <w:t>。</w:t>
      </w:r>
      <w:r>
        <w:rPr>
          <w:rFonts w:hint="eastAsia"/>
          <w:color w:val="auto"/>
          <w:highlight w:val="none"/>
          <w:lang w:eastAsia="zh-CN"/>
        </w:rPr>
        <w:t>【</w:t>
      </w:r>
      <w:r>
        <w:rPr>
          <w:rFonts w:hint="eastAsia"/>
          <w:color w:val="auto"/>
          <w:highlight w:val="none"/>
          <w:lang w:val="en-US" w:eastAsia="zh-CN"/>
        </w:rPr>
        <w:t>提供：1、合同关键页；2、项目简介</w:t>
      </w:r>
      <w:r>
        <w:rPr>
          <w:rFonts w:hint="eastAsia"/>
          <w:color w:val="auto"/>
          <w:highlight w:val="none"/>
          <w:lang w:eastAsia="zh-CN"/>
        </w:rPr>
        <w:t>】</w:t>
      </w:r>
    </w:p>
    <w:p w14:paraId="57A6722C">
      <w:pPr>
        <w:rPr>
          <w:highlight w:val="none"/>
        </w:rPr>
      </w:pPr>
      <w:r>
        <w:rPr>
          <w:rFonts w:hint="eastAsia"/>
          <w:highlight w:val="none"/>
        </w:rPr>
        <w:t>2.</w:t>
      </w:r>
      <w:r>
        <w:rPr>
          <w:highlight w:val="none"/>
        </w:rPr>
        <w:t>7</w:t>
      </w:r>
      <w:r>
        <w:rPr>
          <w:rFonts w:hint="eastAsia"/>
          <w:highlight w:val="none"/>
        </w:rPr>
        <w:t xml:space="preserve"> 响应人注册成立时间不少于3年，且注册资本不低于1000万元【提供营业执照复印件，如营业执照无法体现注册资本，则提供网页截图等第三方证明】</w:t>
      </w:r>
    </w:p>
    <w:p w14:paraId="39D26A28">
      <w:pPr>
        <w:rPr>
          <w:rStyle w:val="21"/>
          <w:highlight w:val="none"/>
        </w:rPr>
      </w:pPr>
      <w:r>
        <w:rPr>
          <w:rFonts w:hint="eastAsia"/>
          <w:highlight w:val="none"/>
        </w:rPr>
        <w:t>2.</w:t>
      </w:r>
      <w:r>
        <w:rPr>
          <w:highlight w:val="none"/>
        </w:rPr>
        <w:t>8</w:t>
      </w:r>
      <w:r>
        <w:rPr>
          <w:rFonts w:hint="eastAsia"/>
          <w:highlight w:val="none"/>
        </w:rPr>
        <w:t xml:space="preserve"> 员工社保缴纳总人数不低于50人，员工参保单位须为响应人，委托第三方公司代缴的不予认定。【提供：1. 2024年8月1日至今任意月份的员工社保缴纳总人数及社保缴纳材料证明。】</w:t>
      </w:r>
    </w:p>
    <w:p w14:paraId="3457E41E">
      <w:pPr>
        <w:widowControl/>
        <w:ind w:firstLine="420" w:firstLineChars="200"/>
        <w:jc w:val="left"/>
        <w:rPr>
          <w:rFonts w:hint="eastAsia" w:ascii="宋体" w:cs="Cambria"/>
          <w:szCs w:val="28"/>
          <w:highlight w:val="none"/>
          <w:lang w:bidi="ar-SA"/>
        </w:rPr>
      </w:pPr>
      <w:r>
        <w:rPr>
          <w:rFonts w:ascii="宋体" w:cs="Cambria"/>
          <w:szCs w:val="28"/>
          <w:highlight w:val="none"/>
          <w:lang w:bidi="ar-SA"/>
        </w:rPr>
        <w:t>2</w:t>
      </w:r>
      <w:r>
        <w:rPr>
          <w:rFonts w:hint="eastAsia" w:ascii="Times New Roman" w:hAnsi="Times New Roman"/>
          <w:color w:val="FF0000"/>
          <w:highlight w:val="none"/>
        </w:rPr>
        <w:t>.</w:t>
      </w:r>
      <w:r>
        <w:rPr>
          <w:rFonts w:ascii="宋体" w:cs="Cambria"/>
          <w:szCs w:val="28"/>
          <w:highlight w:val="none"/>
          <w:lang w:bidi="ar-SA"/>
        </w:rPr>
        <w:t xml:space="preserve">9 </w:t>
      </w:r>
      <w:r>
        <w:rPr>
          <w:rFonts w:hint="eastAsia" w:ascii="宋体" w:cs="Cambria"/>
          <w:szCs w:val="28"/>
          <w:highlight w:val="none"/>
          <w:lang w:bidi="ar-SA"/>
        </w:rPr>
        <w:t>响应人为厂商直投或其合法代理商；</w:t>
      </w:r>
    </w:p>
    <w:p w14:paraId="27ED9834">
      <w:pPr>
        <w:widowControl/>
        <w:ind w:firstLine="420" w:firstLineChars="200"/>
        <w:jc w:val="left"/>
        <w:rPr>
          <w:rFonts w:hint="eastAsia" w:ascii="宋体" w:eastAsia="宋体" w:cs="Cambria"/>
          <w:szCs w:val="24"/>
          <w:lang w:eastAsia="zh-CN" w:bidi="ar-SA"/>
        </w:rPr>
      </w:pPr>
      <w:r>
        <w:rPr>
          <w:rFonts w:ascii="宋体" w:cs="Cambria"/>
          <w:szCs w:val="24"/>
          <w:highlight w:val="none"/>
          <w:lang w:bidi="ar-SA"/>
        </w:rPr>
        <w:t>1</w:t>
      </w:r>
      <w:r>
        <w:rPr>
          <w:rFonts w:hint="eastAsia" w:ascii="宋体" w:hAnsi="宋体"/>
          <w:highlight w:val="none"/>
        </w:rPr>
        <w:t>、</w:t>
      </w:r>
      <w:r>
        <w:rPr>
          <w:rFonts w:hint="eastAsia" w:ascii="宋体" w:cs="Cambria"/>
          <w:szCs w:val="24"/>
          <w:highlight w:val="none"/>
          <w:lang w:bidi="ar-SA"/>
        </w:rPr>
        <w:t>若为厂商直接参与询比，需提供售后服务承诺函（包括原厂维保时间及售后服务等</w:t>
      </w:r>
      <w:r>
        <w:rPr>
          <w:rFonts w:hint="eastAsia" w:ascii="宋体" w:cs="Cambria"/>
          <w:szCs w:val="24"/>
          <w:lang w:bidi="ar-SA"/>
        </w:rPr>
        <w:t>级）原件。</w:t>
      </w:r>
      <w:r>
        <w:rPr>
          <w:rFonts w:hint="eastAsia" w:cs="Cambria"/>
          <w:szCs w:val="24"/>
          <w:lang w:eastAsia="zh-CN" w:bidi="ar-SA"/>
        </w:rPr>
        <w:t>【</w:t>
      </w:r>
      <w:r>
        <w:rPr>
          <w:rFonts w:hint="eastAsia" w:ascii="宋体" w:cs="Cambria"/>
          <w:szCs w:val="24"/>
          <w:highlight w:val="none"/>
          <w:lang w:bidi="ar-SA"/>
        </w:rPr>
        <w:t>若为厂商</w:t>
      </w:r>
      <w:r>
        <w:rPr>
          <w:rFonts w:hint="eastAsia" w:ascii="宋体" w:cs="Cambria"/>
          <w:szCs w:val="24"/>
          <w:highlight w:val="none"/>
          <w:lang w:eastAsia="zh-CN" w:bidi="ar-SA"/>
        </w:rPr>
        <w:t>，</w:t>
      </w:r>
      <w:r>
        <w:rPr>
          <w:rFonts w:hint="eastAsia" w:cs="Cambria"/>
          <w:szCs w:val="24"/>
          <w:lang w:val="en-US" w:eastAsia="zh-CN" w:bidi="ar-SA"/>
        </w:rPr>
        <w:t>提供</w:t>
      </w:r>
      <w:r>
        <w:rPr>
          <w:rFonts w:hint="eastAsia" w:ascii="宋体" w:cs="Cambria"/>
          <w:szCs w:val="24"/>
          <w:highlight w:val="none"/>
          <w:lang w:bidi="ar-SA"/>
        </w:rPr>
        <w:t>售后服务承诺函</w:t>
      </w:r>
      <w:r>
        <w:rPr>
          <w:rFonts w:hint="eastAsia" w:cs="Cambria"/>
          <w:szCs w:val="24"/>
          <w:lang w:eastAsia="zh-CN" w:bidi="ar-SA"/>
        </w:rPr>
        <w:t>】</w:t>
      </w:r>
    </w:p>
    <w:p w14:paraId="4A7A78D4">
      <w:pPr>
        <w:rPr>
          <w:rFonts w:hint="eastAsia" w:ascii="宋体" w:eastAsia="宋体" w:cs="Cambria"/>
          <w:szCs w:val="24"/>
          <w:lang w:eastAsia="zh-CN" w:bidi="ar-SA"/>
        </w:rPr>
      </w:pPr>
      <w:r>
        <w:rPr>
          <w:rFonts w:hint="eastAsia" w:ascii="宋体" w:hAnsi="宋体"/>
        </w:rPr>
        <w:t>2、</w:t>
      </w:r>
      <w:r>
        <w:rPr>
          <w:rFonts w:hint="eastAsia" w:ascii="宋体" w:cs="Cambria"/>
          <w:szCs w:val="24"/>
          <w:lang w:bidi="ar-SA"/>
        </w:rPr>
        <w:t>若为代理商参与询比，响应人须提供询比产品原厂对本项目出具的授权函原件及售后服务承诺函（包括原厂维保时间及售后服务等级）原件。</w:t>
      </w:r>
      <w:r>
        <w:rPr>
          <w:rFonts w:hint="eastAsia" w:cs="Cambria"/>
          <w:szCs w:val="24"/>
          <w:lang w:eastAsia="zh-CN" w:bidi="ar-SA"/>
        </w:rPr>
        <w:t>【</w:t>
      </w:r>
      <w:r>
        <w:rPr>
          <w:rFonts w:hint="eastAsia" w:ascii="宋体" w:cs="Cambria"/>
          <w:szCs w:val="24"/>
          <w:lang w:bidi="ar-SA"/>
        </w:rPr>
        <w:t>若为代理商</w:t>
      </w:r>
      <w:r>
        <w:rPr>
          <w:rFonts w:hint="eastAsia" w:ascii="宋体" w:cs="Cambria"/>
          <w:szCs w:val="24"/>
          <w:lang w:eastAsia="zh-CN" w:bidi="ar-SA"/>
        </w:rPr>
        <w:t>，</w:t>
      </w:r>
      <w:r>
        <w:rPr>
          <w:rFonts w:hint="eastAsia" w:cs="Cambria"/>
          <w:szCs w:val="24"/>
          <w:lang w:val="en-US" w:eastAsia="zh-CN" w:bidi="ar-SA"/>
        </w:rPr>
        <w:t>提供：1、</w:t>
      </w:r>
      <w:r>
        <w:rPr>
          <w:rFonts w:hint="eastAsia" w:ascii="宋体" w:cs="Cambria"/>
          <w:szCs w:val="24"/>
          <w:highlight w:val="none"/>
          <w:lang w:bidi="ar-SA"/>
        </w:rPr>
        <w:t>售后服务承诺函</w:t>
      </w:r>
      <w:r>
        <w:rPr>
          <w:rFonts w:hint="eastAsia" w:ascii="宋体" w:cs="Cambria"/>
          <w:szCs w:val="24"/>
          <w:highlight w:val="none"/>
          <w:lang w:eastAsia="zh-CN" w:bidi="ar-SA"/>
        </w:rPr>
        <w:t>；</w:t>
      </w:r>
      <w:r>
        <w:rPr>
          <w:rFonts w:hint="eastAsia" w:ascii="宋体" w:cs="Cambria"/>
          <w:szCs w:val="24"/>
          <w:highlight w:val="none"/>
          <w:lang w:val="en-US" w:eastAsia="zh-CN" w:bidi="ar-SA"/>
        </w:rPr>
        <w:t>2、原厂授权证明文件</w:t>
      </w:r>
      <w:r>
        <w:rPr>
          <w:rFonts w:hint="eastAsia" w:cs="Cambria"/>
          <w:szCs w:val="24"/>
          <w:lang w:eastAsia="zh-CN" w:bidi="ar-SA"/>
        </w:rPr>
        <w:t>】</w:t>
      </w:r>
    </w:p>
    <w:p w14:paraId="4904C236">
      <w:pPr>
        <w:rPr>
          <w:color w:val="FF0000"/>
          <w:highlight w:val="none"/>
        </w:rPr>
      </w:pPr>
      <w:r>
        <w:rPr>
          <w:rFonts w:hint="eastAsia" w:ascii="宋体" w:cs="Cambria"/>
          <w:szCs w:val="24"/>
          <w:lang w:bidi="ar-SA"/>
        </w:rPr>
        <w:t>(注：</w:t>
      </w:r>
      <w:r>
        <w:rPr>
          <w:rFonts w:hint="eastAsia" w:ascii="宋体" w:hAnsi="宋体"/>
        </w:rPr>
        <w:t>（1）同一品牌的制造商和代理商不能同时参与本项目询比。（2）一个制造商对同一</w:t>
      </w:r>
      <w:r>
        <w:rPr>
          <w:rFonts w:ascii="宋体" w:hAnsi="宋体"/>
        </w:rPr>
        <w:t>型号</w:t>
      </w:r>
      <w:r>
        <w:rPr>
          <w:rFonts w:hint="eastAsia" w:ascii="宋体" w:hAnsi="宋体"/>
        </w:rPr>
        <w:t>的产品，仅能委托一个代理商参与本项目询比。（3）</w:t>
      </w:r>
      <w:r>
        <w:rPr>
          <w:rFonts w:ascii="宋体" w:hAnsi="宋体"/>
        </w:rPr>
        <w:t>响应</w:t>
      </w:r>
      <w:r>
        <w:rPr>
          <w:rFonts w:hint="eastAsia" w:ascii="宋体" w:hAnsi="宋体"/>
        </w:rPr>
        <w:t>人必须对产品询比报价，</w:t>
      </w:r>
      <w:r>
        <w:rPr>
          <w:rFonts w:hint="eastAsia" w:ascii="宋体" w:hAnsi="宋体"/>
          <w:highlight w:val="none"/>
        </w:rPr>
        <w:t>不能选择对其中部分类型产品询比报价。违反以上要求，各相关询比均无效。</w:t>
      </w:r>
      <w:r>
        <w:rPr>
          <w:rFonts w:hint="eastAsia" w:ascii="宋体" w:cs="Cambria"/>
          <w:szCs w:val="24"/>
          <w:highlight w:val="none"/>
          <w:lang w:bidi="ar-SA"/>
        </w:rPr>
        <w:t>）</w:t>
      </w:r>
    </w:p>
    <w:p w14:paraId="1603DBC6">
      <w:pPr>
        <w:rPr>
          <w:rFonts w:hint="eastAsia"/>
          <w:highlight w:val="none"/>
        </w:rPr>
      </w:pPr>
      <w:r>
        <w:rPr>
          <w:rFonts w:hint="eastAsia"/>
          <w:highlight w:val="none"/>
        </w:rPr>
        <w:t>注:以上证明文件若采购人存疑，响应人需提供原件备查，响应文件中须附相关证明文件复印件并逐页加盖公章。</w:t>
      </w:r>
    </w:p>
    <w:p w14:paraId="70CCF466">
      <w:pPr>
        <w:rPr>
          <w:highlight w:val="none"/>
        </w:rPr>
      </w:pPr>
      <w:r>
        <w:rPr>
          <w:rFonts w:hint="eastAsia"/>
          <w:b/>
          <w:bCs/>
          <w:highlight w:val="none"/>
        </w:rPr>
        <w:t>同一参选人参与不同标段时，各标段分别制作参选文件，各标段均有中选资格。</w:t>
      </w:r>
    </w:p>
    <w:p w14:paraId="7D73457D">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515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2DD0804">
            <w:pPr>
              <w:pStyle w:val="41"/>
              <w:rPr>
                <w:highlight w:val="none"/>
              </w:rPr>
            </w:pPr>
            <w:r>
              <w:rPr>
                <w:rFonts w:hint="eastAsia"/>
                <w:highlight w:val="none"/>
              </w:rPr>
              <w:t>序号</w:t>
            </w:r>
          </w:p>
        </w:tc>
        <w:tc>
          <w:tcPr>
            <w:tcW w:w="4933" w:type="dxa"/>
          </w:tcPr>
          <w:p w14:paraId="7D2C09B4">
            <w:pPr>
              <w:pStyle w:val="41"/>
              <w:rPr>
                <w:highlight w:val="none"/>
              </w:rPr>
            </w:pPr>
            <w:r>
              <w:rPr>
                <w:rFonts w:hint="eastAsia"/>
                <w:highlight w:val="none"/>
              </w:rPr>
              <w:t>公司</w:t>
            </w:r>
          </w:p>
        </w:tc>
      </w:tr>
      <w:tr w14:paraId="78D9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F94C730">
            <w:pPr>
              <w:pStyle w:val="40"/>
              <w:rPr>
                <w:highlight w:val="none"/>
              </w:rPr>
            </w:pPr>
            <w:r>
              <w:rPr>
                <w:rFonts w:hint="eastAsia" w:cs="宋体"/>
                <w:szCs w:val="21"/>
                <w:highlight w:val="none"/>
              </w:rPr>
              <w:t>1</w:t>
            </w:r>
          </w:p>
        </w:tc>
        <w:tc>
          <w:tcPr>
            <w:tcW w:w="4933" w:type="dxa"/>
            <w:tcBorders>
              <w:left w:val="single" w:color="auto" w:sz="4" w:space="0"/>
            </w:tcBorders>
          </w:tcPr>
          <w:p w14:paraId="1DB94037">
            <w:pPr>
              <w:pStyle w:val="40"/>
              <w:rPr>
                <w:highlight w:val="none"/>
              </w:rPr>
            </w:pPr>
            <w:r>
              <w:rPr>
                <w:rFonts w:hint="eastAsia" w:cs="宋体"/>
                <w:szCs w:val="21"/>
                <w:highlight w:val="none"/>
              </w:rPr>
              <w:t>依米康软件技术（深圳）有限责任公司</w:t>
            </w:r>
          </w:p>
        </w:tc>
      </w:tr>
    </w:tbl>
    <w:p w14:paraId="057F054A">
      <w:pPr>
        <w:rPr>
          <w:highlight w:val="none"/>
        </w:rPr>
      </w:pPr>
    </w:p>
    <w:bookmarkEnd w:id="13"/>
    <w:p w14:paraId="083799AF">
      <w:pPr>
        <w:pStyle w:val="3"/>
        <w:rPr>
          <w:highlight w:val="none"/>
        </w:rPr>
      </w:pPr>
      <w:bookmarkStart w:id="14" w:name="_Toc55379220"/>
      <w:bookmarkStart w:id="15" w:name="_Toc469574667"/>
      <w:bookmarkStart w:id="16" w:name="_Toc297817090"/>
      <w:bookmarkStart w:id="17" w:name="_Toc89675130"/>
      <w:r>
        <w:rPr>
          <w:rFonts w:hint="eastAsia"/>
          <w:highlight w:val="none"/>
        </w:rPr>
        <w:t>3. 询比文件的获取</w:t>
      </w:r>
      <w:bookmarkEnd w:id="14"/>
    </w:p>
    <w:p w14:paraId="353A0558">
      <w:pPr>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28</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532BF8CA">
      <w:pPr>
        <w:rPr>
          <w:highlight w:val="none"/>
        </w:rPr>
      </w:pPr>
      <w:r>
        <w:rPr>
          <w:rFonts w:hint="eastAsia"/>
          <w:highlight w:val="none"/>
        </w:rPr>
        <w:t>3.2 获取时间和方式：从</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日到响应截止时间，在重庆市公共资源交易网（www.cqggzy.com）下载询比文件。</w:t>
      </w:r>
    </w:p>
    <w:p w14:paraId="66D7C915">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 xml:space="preserve">2025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分（北京时间）前自行在重庆市公共资源交易网（http://www.cqggzy.com/）询比公告的“我要提问”栏目匿名提出。响应人未提出，则视为响应人已全面确认询比文件内容。</w:t>
      </w:r>
    </w:p>
    <w:p w14:paraId="66F37EB4">
      <w:pPr>
        <w:rPr>
          <w:color w:val="auto"/>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w:t>
      </w:r>
      <w:r>
        <w:rPr>
          <w:rFonts w:hint="eastAsia"/>
          <w:color w:val="auto"/>
          <w:highlight w:val="none"/>
        </w:rPr>
        <w:t>发布的所有资料并全部知晓有关询比过程和事宜，由此产生的一切后果由响应人自负。</w:t>
      </w:r>
    </w:p>
    <w:p w14:paraId="4ACAA5A5">
      <w:pPr>
        <w:pStyle w:val="3"/>
        <w:rPr>
          <w:color w:val="auto"/>
          <w:highlight w:val="none"/>
        </w:rPr>
      </w:pPr>
      <w:bookmarkStart w:id="18" w:name="_Toc55379221"/>
      <w:r>
        <w:rPr>
          <w:rFonts w:hint="eastAsia"/>
          <w:color w:val="auto"/>
          <w:highlight w:val="none"/>
        </w:rPr>
        <w:t>4. 响应保证金的递交</w:t>
      </w:r>
      <w:bookmarkEnd w:id="15"/>
      <w:bookmarkEnd w:id="16"/>
      <w:bookmarkEnd w:id="17"/>
      <w:bookmarkEnd w:id="18"/>
    </w:p>
    <w:p w14:paraId="6B65164F">
      <w:pPr>
        <w:rPr>
          <w:rFonts w:hint="eastAsia"/>
          <w:color w:val="auto"/>
          <w:highlight w:val="none"/>
        </w:rPr>
      </w:pPr>
      <w:bookmarkStart w:id="19" w:name="_Toc297817091"/>
      <w:bookmarkStart w:id="20" w:name="_Toc55379222"/>
      <w:bookmarkStart w:id="21" w:name="_Toc469574668"/>
      <w:bookmarkStart w:id="22" w:name="_Toc89675131"/>
      <w:r>
        <w:rPr>
          <w:rFonts w:hint="eastAsia"/>
          <w:color w:val="auto"/>
          <w:highlight w:val="none"/>
        </w:rPr>
        <w:t>4.1 响应保证金的金额：</w:t>
      </w:r>
    </w:p>
    <w:p w14:paraId="7A33532D">
      <w:pPr>
        <w:rPr>
          <w:rFonts w:ascii="宋体" w:cs="Cambria"/>
          <w:snapToGrid w:val="0"/>
          <w:color w:val="auto"/>
          <w:kern w:val="0"/>
          <w:szCs w:val="28"/>
          <w:highlight w:val="none"/>
        </w:rPr>
      </w:pPr>
      <w:r>
        <w:rPr>
          <w:rFonts w:ascii="宋体" w:cs="Cambria"/>
          <w:snapToGrid w:val="0"/>
          <w:color w:val="auto"/>
          <w:kern w:val="0"/>
          <w:szCs w:val="28"/>
          <w:highlight w:val="none"/>
        </w:rPr>
        <w:t>标段1：路由交换设备：</w:t>
      </w:r>
      <w:r>
        <w:rPr>
          <w:rStyle w:val="49"/>
          <w:rFonts w:ascii="Times New Roman" w:hAnsi="Times New Roman"/>
          <w:color w:val="auto"/>
          <w:highlight w:val="none"/>
        </w:rPr>
        <w:t>123,000元</w:t>
      </w:r>
      <w:r>
        <w:rPr>
          <w:rFonts w:ascii="宋体" w:cs="Cambria"/>
          <w:snapToGrid w:val="0"/>
          <w:color w:val="auto"/>
          <w:kern w:val="0"/>
          <w:szCs w:val="28"/>
          <w:highlight w:val="none"/>
        </w:rPr>
        <w:t>（大写</w:t>
      </w:r>
      <w:r>
        <w:rPr>
          <w:rFonts w:hint="eastAsia" w:ascii="宋体" w:cs="Cambria"/>
          <w:snapToGrid w:val="0"/>
          <w:color w:val="auto"/>
          <w:kern w:val="0"/>
          <w:szCs w:val="28"/>
          <w:highlight w:val="none"/>
        </w:rPr>
        <w:t>：</w:t>
      </w:r>
      <w:r>
        <w:rPr>
          <w:rFonts w:ascii="宋体" w:cs="Cambria"/>
          <w:snapToGrid w:val="0"/>
          <w:color w:val="auto"/>
          <w:kern w:val="0"/>
          <w:szCs w:val="28"/>
          <w:highlight w:val="none"/>
        </w:rPr>
        <w:t>壹拾贰万叁仟元</w:t>
      </w:r>
      <w:r>
        <w:rPr>
          <w:rFonts w:hint="eastAsia" w:ascii="宋体" w:cs="Cambria"/>
          <w:snapToGrid w:val="0"/>
          <w:color w:val="auto"/>
          <w:kern w:val="0"/>
          <w:szCs w:val="28"/>
          <w:highlight w:val="none"/>
        </w:rPr>
        <w:t>整）</w:t>
      </w:r>
      <w:r>
        <w:rPr>
          <w:rFonts w:ascii="宋体" w:cs="Cambria"/>
          <w:snapToGrid w:val="0"/>
          <w:color w:val="auto"/>
          <w:kern w:val="0"/>
          <w:szCs w:val="28"/>
          <w:highlight w:val="none"/>
        </w:rPr>
        <w:t>；</w:t>
      </w:r>
    </w:p>
    <w:p w14:paraId="424D5A5C">
      <w:pPr>
        <w:rPr>
          <w:rFonts w:ascii="宋体" w:cs="Cambria"/>
          <w:snapToGrid w:val="0"/>
          <w:color w:val="auto"/>
          <w:kern w:val="0"/>
          <w:szCs w:val="28"/>
          <w:highlight w:val="none"/>
        </w:rPr>
      </w:pPr>
      <w:r>
        <w:rPr>
          <w:rFonts w:ascii="宋体" w:cs="Cambria"/>
          <w:snapToGrid w:val="0"/>
          <w:color w:val="auto"/>
          <w:kern w:val="0"/>
          <w:szCs w:val="28"/>
          <w:highlight w:val="none"/>
        </w:rPr>
        <w:t>标段2：负载均衡设备：</w:t>
      </w:r>
      <w:r>
        <w:rPr>
          <w:rStyle w:val="49"/>
          <w:rFonts w:ascii="Times New Roman" w:hAnsi="Times New Roman"/>
          <w:color w:val="auto"/>
          <w:highlight w:val="none"/>
        </w:rPr>
        <w:t>48,000</w:t>
      </w:r>
      <w:r>
        <w:rPr>
          <w:rStyle w:val="49"/>
          <w:rFonts w:ascii="Times New Roman" w:hAnsi="Times New Roman" w:cs="Times New Roman"/>
          <w:color w:val="auto"/>
          <w:highlight w:val="none"/>
          <w:lang w:bidi="ar-SA"/>
        </w:rPr>
        <w:t>元</w:t>
      </w:r>
      <w:r>
        <w:rPr>
          <w:rFonts w:ascii="宋体" w:cs="Cambria"/>
          <w:snapToGrid w:val="0"/>
          <w:color w:val="auto"/>
          <w:kern w:val="0"/>
          <w:szCs w:val="28"/>
          <w:highlight w:val="none"/>
        </w:rPr>
        <w:t>（大写：肆万捌仟元整）；</w:t>
      </w:r>
    </w:p>
    <w:p w14:paraId="795EC0C4">
      <w:pPr>
        <w:rPr>
          <w:color w:val="auto"/>
          <w:highlight w:val="none"/>
        </w:rPr>
      </w:pPr>
      <w:r>
        <w:rPr>
          <w:rFonts w:ascii="宋体" w:cs="Cambria"/>
          <w:snapToGrid w:val="0"/>
          <w:color w:val="auto"/>
          <w:kern w:val="0"/>
          <w:szCs w:val="28"/>
          <w:highlight w:val="none"/>
        </w:rPr>
        <w:t>标段3：安全设备：</w:t>
      </w:r>
      <w:r>
        <w:rPr>
          <w:rStyle w:val="49"/>
          <w:rFonts w:ascii="Times New Roman" w:hAnsi="Times New Roman" w:cs="Times New Roman"/>
          <w:color w:val="auto"/>
          <w:highlight w:val="none"/>
          <w:lang w:bidi="ar-SA"/>
        </w:rPr>
        <w:t>114,000元</w:t>
      </w:r>
      <w:r>
        <w:rPr>
          <w:rFonts w:ascii="宋体" w:cs="Cambria"/>
          <w:snapToGrid w:val="0"/>
          <w:color w:val="auto"/>
          <w:kern w:val="0"/>
          <w:szCs w:val="28"/>
          <w:highlight w:val="none"/>
        </w:rPr>
        <w:t>（壹拾壹万肆仟元整）</w:t>
      </w:r>
      <w:r>
        <w:rPr>
          <w:rFonts w:hint="eastAsia"/>
          <w:color w:val="auto"/>
          <w:highlight w:val="none"/>
        </w:rPr>
        <w:t>。</w:t>
      </w:r>
    </w:p>
    <w:p w14:paraId="1FC8B21B">
      <w:pPr>
        <w:rPr>
          <w:highlight w:val="none"/>
        </w:rPr>
      </w:pPr>
      <w:r>
        <w:rPr>
          <w:rFonts w:hint="eastAsia"/>
          <w:color w:val="auto"/>
          <w:highlight w:val="none"/>
        </w:rPr>
        <w:t>4.2 响应保证金缴纳方式：响应人从响应人的银行账户，</w:t>
      </w:r>
      <w:r>
        <w:rPr>
          <w:rFonts w:hint="eastAsia"/>
          <w:highlight w:val="none"/>
        </w:rPr>
        <w:t>通过转账或电汇方式直接划付至对应标段公告下方指定的账户（任选其一），否则，响应保证金无效。响应人自行考虑汇入到账时间风险，本项目响应保证金不接受任何形式保函（包括电子保函）；</w:t>
      </w:r>
    </w:p>
    <w:p w14:paraId="57F42C26">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rFonts w:hint="eastAsia"/>
          <w:snapToGrid w:val="0"/>
          <w:highlight w:val="none"/>
          <w:u w:val="single"/>
        </w:rPr>
        <w:t>西永数据中心信创网络安全设备采购</w:t>
      </w:r>
      <w:r>
        <w:rPr>
          <w:snapToGrid w:val="0"/>
          <w:highlight w:val="none"/>
          <w:u w:val="single"/>
        </w:rPr>
        <w:t>项目</w:t>
      </w:r>
      <w:r>
        <w:rPr>
          <w:rFonts w:hint="eastAsia"/>
          <w:bCs/>
          <w:snapToGrid w:val="0"/>
          <w:highlight w:val="none"/>
          <w:u w:val="single"/>
        </w:rPr>
        <w:t>（标段X</w:t>
      </w:r>
      <w:r>
        <w:rPr>
          <w:bCs/>
          <w:snapToGrid w:val="0"/>
          <w:highlight w:val="none"/>
          <w:u w:val="single"/>
        </w:rPr>
        <w:t>:XXXXX</w:t>
      </w:r>
      <w:r>
        <w:rPr>
          <w:rFonts w:hint="eastAsia"/>
          <w:bCs/>
          <w:snapToGrid w:val="0"/>
          <w:highlight w:val="none"/>
          <w:u w:val="single"/>
        </w:rPr>
        <w:t>）</w:t>
      </w:r>
      <w:r>
        <w:rPr>
          <w:rFonts w:hint="eastAsia"/>
          <w:b/>
          <w:bCs/>
          <w:highlight w:val="none"/>
        </w:rPr>
        <w:t>。</w:t>
      </w:r>
    </w:p>
    <w:p w14:paraId="49677FB0">
      <w:pPr>
        <w:rPr>
          <w:highlight w:val="none"/>
        </w:rPr>
      </w:pPr>
      <w:r>
        <w:rPr>
          <w:rFonts w:hint="eastAsia"/>
          <w:highlight w:val="none"/>
        </w:rPr>
        <w:t>4.3 响应保证金递交的截止时间同响应截止时间。响应保证金以重庆市公共资源交易中心询比现场展示的保证金交纳情况为准。</w:t>
      </w:r>
    </w:p>
    <w:p w14:paraId="3C02D29A">
      <w:pPr>
        <w:rPr>
          <w:highlight w:val="none"/>
        </w:rPr>
      </w:pPr>
      <w:r>
        <w:rPr>
          <w:rFonts w:hint="eastAsia"/>
          <w:highlight w:val="none"/>
        </w:rPr>
        <w:t>4.</w:t>
      </w:r>
      <w:r>
        <w:rPr>
          <w:highlight w:val="none"/>
        </w:rPr>
        <w:t>4</w:t>
      </w:r>
      <w:r>
        <w:rPr>
          <w:rFonts w:hint="eastAsia"/>
          <w:highlight w:val="none"/>
        </w:rPr>
        <w:t xml:space="preserve"> 响应保证金专用账户如下：</w:t>
      </w:r>
    </w:p>
    <w:p w14:paraId="2316B196">
      <w:pPr>
        <w:rPr>
          <w:highlight w:val="none"/>
        </w:rPr>
      </w:pPr>
      <w:r>
        <w:rPr>
          <w:rFonts w:hint="eastAsia"/>
          <w:highlight w:val="none"/>
        </w:rPr>
        <w:t>详见重庆市公共资源交易网（www.cqggzy.com）对应本项目询比公告信息栏中的保证金信息。</w:t>
      </w:r>
    </w:p>
    <w:p w14:paraId="46E7898A">
      <w:pPr>
        <w:pStyle w:val="3"/>
        <w:rPr>
          <w:highlight w:val="none"/>
        </w:rPr>
      </w:pPr>
      <w:r>
        <w:rPr>
          <w:rFonts w:hint="eastAsia"/>
          <w:highlight w:val="none"/>
        </w:rPr>
        <w:t>5. 市场主体信息登记</w:t>
      </w:r>
    </w:p>
    <w:p w14:paraId="417557FB">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5943141A">
      <w:pPr>
        <w:pStyle w:val="3"/>
        <w:rPr>
          <w:highlight w:val="none"/>
        </w:rPr>
      </w:pPr>
      <w:r>
        <w:rPr>
          <w:rFonts w:hint="eastAsia"/>
          <w:highlight w:val="none"/>
        </w:rPr>
        <w:t>6. 响应文件的递交</w:t>
      </w:r>
    </w:p>
    <w:p w14:paraId="0576AE59">
      <w:pPr>
        <w:rPr>
          <w:highlight w:val="none"/>
        </w:rPr>
      </w:pPr>
      <w:bookmarkStart w:id="23" w:name="_Toc469574669"/>
      <w:bookmarkStart w:id="24" w:name="_Toc89675132"/>
      <w:bookmarkStart w:id="25" w:name="_Toc55379223"/>
      <w:r>
        <w:rPr>
          <w:rFonts w:hint="eastAsia"/>
          <w:highlight w:val="none"/>
        </w:rPr>
        <w:t>6.1 响应文件现场递交时间为</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28</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分(北京时间)至响应截止时间。</w:t>
      </w:r>
    </w:p>
    <w:p w14:paraId="37FC0D64">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2B0CF50">
      <w:pPr>
        <w:rPr>
          <w:highlight w:val="none"/>
        </w:rPr>
      </w:pPr>
      <w:r>
        <w:rPr>
          <w:rFonts w:hint="eastAsia"/>
          <w:highlight w:val="none"/>
        </w:rPr>
        <w:t>6.3 逾期送达的响应文件，不予接收。</w:t>
      </w:r>
    </w:p>
    <w:p w14:paraId="27E1BC4A">
      <w:pPr>
        <w:pStyle w:val="3"/>
        <w:rPr>
          <w:highlight w:val="none"/>
        </w:rPr>
      </w:pPr>
      <w:r>
        <w:rPr>
          <w:rFonts w:hint="eastAsia"/>
          <w:highlight w:val="none"/>
        </w:rPr>
        <w:t>7. 发布公告的媒介</w:t>
      </w:r>
      <w:bookmarkEnd w:id="23"/>
      <w:bookmarkEnd w:id="24"/>
      <w:bookmarkEnd w:id="25"/>
    </w:p>
    <w:p w14:paraId="547B262A">
      <w:pPr>
        <w:rPr>
          <w:highlight w:val="none"/>
        </w:rPr>
      </w:pPr>
      <w:bookmarkStart w:id="26" w:name="_Toc469574670"/>
      <w:bookmarkStart w:id="27" w:name="_Toc89675133"/>
      <w:bookmarkStart w:id="28" w:name="_Toc55379224"/>
      <w:bookmarkStart w:id="29" w:name="_Toc250565211"/>
      <w:r>
        <w:rPr>
          <w:rFonts w:hint="eastAsia"/>
          <w:highlight w:val="none"/>
        </w:rPr>
        <w:t>本次询比公告同时在《重庆市公共资源交易网（www.cqggzy.com）》《重庆三峡银行官网（https://www.ccqtgb.com）》和《中国招标投标公共服务平台（http://www.cebpubservice.com）》上发布。</w:t>
      </w:r>
    </w:p>
    <w:p w14:paraId="0956857C">
      <w:pPr>
        <w:pStyle w:val="3"/>
        <w:rPr>
          <w:highlight w:val="none"/>
        </w:rPr>
      </w:pPr>
      <w:r>
        <w:rPr>
          <w:rFonts w:hint="eastAsia"/>
          <w:highlight w:val="none"/>
        </w:rPr>
        <w:t>8. 联系方式</w:t>
      </w:r>
      <w:bookmarkEnd w:id="26"/>
      <w:bookmarkEnd w:id="27"/>
      <w:bookmarkEnd w:id="28"/>
      <w:bookmarkEnd w:id="29"/>
    </w:p>
    <w:p w14:paraId="52BC890F">
      <w:pPr>
        <w:rPr>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CB3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98A2577">
            <w:pPr>
              <w:ind w:firstLine="0" w:firstLineChars="0"/>
              <w:jc w:val="left"/>
              <w:rPr>
                <w:highlight w:val="none"/>
              </w:rPr>
            </w:pPr>
            <w:r>
              <w:rPr>
                <w:rFonts w:hint="eastAsia"/>
                <w:highlight w:val="none"/>
              </w:rPr>
              <w:t>8.1 项目需求咨询</w:t>
            </w:r>
          </w:p>
        </w:tc>
      </w:tr>
      <w:tr w14:paraId="6D55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F53E9B1">
            <w:pPr>
              <w:ind w:firstLine="0" w:firstLineChars="0"/>
              <w:jc w:val="left"/>
              <w:rPr>
                <w:rFonts w:cs="宋体"/>
                <w:szCs w:val="21"/>
                <w:highlight w:val="none"/>
              </w:rPr>
            </w:pPr>
            <w:r>
              <w:rPr>
                <w:rFonts w:hint="eastAsia"/>
                <w:highlight w:val="none"/>
              </w:rPr>
              <w:t>项目联系人：</w:t>
            </w:r>
            <w:r>
              <w:rPr>
                <w:highlight w:val="none"/>
              </w:rPr>
              <w:t>白老师</w:t>
            </w:r>
          </w:p>
        </w:tc>
        <w:tc>
          <w:tcPr>
            <w:tcW w:w="4480" w:type="dxa"/>
            <w:tcBorders>
              <w:top w:val="nil"/>
              <w:left w:val="nil"/>
              <w:bottom w:val="nil"/>
              <w:right w:val="single" w:color="auto" w:sz="4" w:space="0"/>
            </w:tcBorders>
          </w:tcPr>
          <w:p w14:paraId="50C77A55">
            <w:pPr>
              <w:ind w:firstLine="0" w:firstLineChars="0"/>
              <w:jc w:val="left"/>
              <w:rPr>
                <w:rFonts w:cs="宋体"/>
                <w:szCs w:val="21"/>
                <w:highlight w:val="none"/>
              </w:rPr>
            </w:pPr>
            <w:r>
              <w:rPr>
                <w:rFonts w:hint="eastAsia"/>
                <w:highlight w:val="none"/>
              </w:rPr>
              <w:t>联系方式：</w:t>
            </w:r>
            <w:r>
              <w:rPr>
                <w:highlight w:val="none"/>
              </w:rPr>
              <w:t>18908375995</w:t>
            </w:r>
          </w:p>
        </w:tc>
      </w:tr>
      <w:tr w14:paraId="61D8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E4FA54">
            <w:pPr>
              <w:ind w:firstLine="0" w:firstLineChars="0"/>
              <w:jc w:val="left"/>
              <w:rPr>
                <w:highlight w:val="none"/>
              </w:rPr>
            </w:pPr>
          </w:p>
        </w:tc>
      </w:tr>
      <w:tr w14:paraId="1E79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3B305E5">
            <w:pPr>
              <w:ind w:firstLine="0" w:firstLineChars="0"/>
              <w:jc w:val="left"/>
              <w:rPr>
                <w:highlight w:val="none"/>
              </w:rPr>
            </w:pPr>
            <w:r>
              <w:rPr>
                <w:rFonts w:hint="eastAsia"/>
                <w:highlight w:val="none"/>
              </w:rPr>
              <w:t>8.2 项目流程咨询</w:t>
            </w:r>
          </w:p>
        </w:tc>
      </w:tr>
      <w:tr w14:paraId="21C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5721EB">
            <w:pPr>
              <w:ind w:firstLine="0" w:firstLineChars="0"/>
              <w:jc w:val="left"/>
              <w:rPr>
                <w:highlight w:val="none"/>
              </w:rPr>
            </w:pPr>
            <w:r>
              <w:rPr>
                <w:rFonts w:hint="eastAsia"/>
                <w:highlight w:val="none"/>
              </w:rPr>
              <w:t>平台服务机构：重庆联合产权交易所集团股份有限公司</w:t>
            </w:r>
          </w:p>
        </w:tc>
      </w:tr>
      <w:tr w14:paraId="23E6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D1F2EEA">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罗老师</w:t>
            </w:r>
          </w:p>
        </w:tc>
        <w:tc>
          <w:tcPr>
            <w:tcW w:w="4480" w:type="dxa"/>
            <w:tcBorders>
              <w:top w:val="nil"/>
              <w:left w:val="nil"/>
              <w:bottom w:val="nil"/>
              <w:right w:val="single" w:color="auto" w:sz="4" w:space="0"/>
            </w:tcBorders>
          </w:tcPr>
          <w:p w14:paraId="52C1F8B9">
            <w:pPr>
              <w:ind w:firstLine="0" w:firstLineChars="0"/>
              <w:jc w:val="left"/>
              <w:rPr>
                <w:rFonts w:cs="宋体"/>
                <w:szCs w:val="21"/>
                <w:highlight w:val="none"/>
              </w:rPr>
            </w:pPr>
            <w:r>
              <w:rPr>
                <w:rFonts w:hint="eastAsia"/>
                <w:highlight w:val="none"/>
              </w:rPr>
              <w:t>联系方式：023-63621694</w:t>
            </w:r>
          </w:p>
        </w:tc>
      </w:tr>
      <w:tr w14:paraId="1908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B3C5125">
            <w:pPr>
              <w:ind w:firstLine="0" w:firstLineChars="0"/>
              <w:jc w:val="left"/>
            </w:pPr>
          </w:p>
        </w:tc>
      </w:tr>
      <w:tr w14:paraId="49A2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CB6F045">
            <w:pPr>
              <w:ind w:firstLine="0" w:firstLineChars="0"/>
              <w:jc w:val="left"/>
            </w:pPr>
            <w:r>
              <w:rPr>
                <w:rFonts w:hint="eastAsia"/>
              </w:rPr>
              <w:t>8.3 采购人联系方式</w:t>
            </w:r>
          </w:p>
        </w:tc>
      </w:tr>
      <w:tr w14:paraId="364C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A8B60AA">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7AF695B9">
            <w:pPr>
              <w:ind w:firstLine="0" w:firstLineChars="0"/>
              <w:jc w:val="left"/>
              <w:rPr>
                <w:rFonts w:cs="宋体"/>
                <w:szCs w:val="21"/>
              </w:rPr>
            </w:pPr>
            <w:r>
              <w:rPr>
                <w:rFonts w:hint="eastAsia"/>
              </w:rPr>
              <w:t>联系方式：023-88890395</w:t>
            </w:r>
          </w:p>
        </w:tc>
      </w:tr>
      <w:tr w14:paraId="6B68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E2643D7">
            <w:pPr>
              <w:ind w:firstLine="0" w:firstLineChars="0"/>
              <w:jc w:val="left"/>
            </w:pPr>
            <w:r>
              <w:rPr>
                <w:rFonts w:hint="eastAsia"/>
              </w:rPr>
              <w:t>采购人地址：重庆市渝北区嘉州路88号中渝国际都会4号写字楼21层</w:t>
            </w:r>
          </w:p>
        </w:tc>
      </w:tr>
    </w:tbl>
    <w:p w14:paraId="0A095D48"/>
    <w:p w14:paraId="1C679FBF">
      <w:pPr>
        <w:spacing w:line="240" w:lineRule="auto"/>
        <w:ind w:firstLine="0" w:firstLineChars="0"/>
        <w:jc w:val="right"/>
      </w:pPr>
      <w:r>
        <w:rPr>
          <w:rFonts w:hint="eastAsia"/>
        </w:rPr>
        <w:t>重庆三峡银行股份有限公司</w:t>
      </w:r>
    </w:p>
    <w:p w14:paraId="75CD0E73">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12</w:t>
      </w:r>
      <w:r>
        <w:rPr>
          <w:rFonts w:hint="eastAsia"/>
          <w:highlight w:val="none"/>
        </w:rPr>
        <w:t>日</w:t>
      </w:r>
    </w:p>
    <w:p w14:paraId="316DB0F5">
      <w:pPr>
        <w:ind w:firstLine="0" w:firstLineChars="0"/>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0" w:name="_Toc89675159"/>
      <w:bookmarkStart w:id="31" w:name="_Toc303066033"/>
    </w:p>
    <w:p w14:paraId="22C29D8B">
      <w:pPr>
        <w:pStyle w:val="2"/>
      </w:pPr>
      <w:bookmarkStart w:id="32" w:name="_Toc10417"/>
      <w:bookmarkStart w:id="33" w:name="_Toc31742"/>
      <w:r>
        <w:rPr>
          <w:rFonts w:hint="eastAsia"/>
        </w:rPr>
        <w:t>第二章 响应人须知</w:t>
      </w:r>
      <w:bookmarkEnd w:id="30"/>
      <w:bookmarkEnd w:id="31"/>
      <w:bookmarkEnd w:id="32"/>
      <w:bookmarkEnd w:id="33"/>
    </w:p>
    <w:p w14:paraId="19CD86B0">
      <w:pPr>
        <w:pStyle w:val="3"/>
        <w:rPr>
          <w:highlight w:val="none"/>
        </w:rPr>
      </w:pPr>
      <w:bookmarkStart w:id="34" w:name="_Toc89675160"/>
      <w:r>
        <w:rPr>
          <w:rFonts w:hint="eastAsia"/>
          <w:highlight w:val="none"/>
        </w:rPr>
        <w:t>1. 采购人</w:t>
      </w:r>
    </w:p>
    <w:p w14:paraId="4A4E914A">
      <w:pPr>
        <w:rPr>
          <w:highlight w:val="none"/>
        </w:rPr>
      </w:pPr>
      <w:r>
        <w:rPr>
          <w:highlight w:val="none"/>
        </w:rPr>
        <w:t>重庆三峡银行股份有限公司</w:t>
      </w:r>
      <w:r>
        <w:rPr>
          <w:rFonts w:hint="eastAsia"/>
          <w:highlight w:val="none"/>
        </w:rPr>
        <w:t>。</w:t>
      </w:r>
    </w:p>
    <w:bookmarkEnd w:id="34"/>
    <w:p w14:paraId="3179663F">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5DAEDC07">
      <w:pPr>
        <w:rPr>
          <w:highlight w:val="none"/>
        </w:rPr>
      </w:pPr>
      <w:r>
        <w:rPr>
          <w:rFonts w:hint="eastAsia"/>
          <w:highlight w:val="none"/>
        </w:rPr>
        <w:t>为采购人提供工程、货物和服务的承包商、供货商和服务商。</w:t>
      </w:r>
    </w:p>
    <w:p w14:paraId="565BC8FE">
      <w:pPr>
        <w:pStyle w:val="4"/>
        <w:rPr>
          <w:highlight w:val="none"/>
        </w:rPr>
      </w:pPr>
      <w:r>
        <w:rPr>
          <w:rFonts w:hint="eastAsia"/>
          <w:highlight w:val="none"/>
        </w:rPr>
        <w:t>2.1 合格响应人条件</w:t>
      </w:r>
    </w:p>
    <w:p w14:paraId="2E0B969E">
      <w:pPr>
        <w:rPr>
          <w:highlight w:val="none"/>
        </w:rPr>
      </w:pPr>
      <w:r>
        <w:rPr>
          <w:rFonts w:hint="eastAsia"/>
          <w:highlight w:val="none"/>
        </w:rPr>
        <w:t>合格响应人应完全符合询比文件第一章中规定的响应人资格条件，并对询比文件作出实质性响应。</w:t>
      </w:r>
    </w:p>
    <w:p w14:paraId="26B0B1BF">
      <w:pPr>
        <w:pStyle w:val="4"/>
        <w:rPr>
          <w:highlight w:val="none"/>
        </w:rPr>
      </w:pPr>
      <w:r>
        <w:rPr>
          <w:rFonts w:hint="eastAsia"/>
          <w:highlight w:val="none"/>
        </w:rPr>
        <w:t>2.2 响应人的风险</w:t>
      </w:r>
    </w:p>
    <w:p w14:paraId="02D6AAFB">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741A8739">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4243A47B">
      <w:pPr>
        <w:rPr>
          <w:highlight w:val="none"/>
        </w:rPr>
      </w:pPr>
      <w:r>
        <w:rPr>
          <w:rFonts w:hint="eastAsia"/>
          <w:highlight w:val="none"/>
        </w:rPr>
        <w:t>采购人根据自身采购方案或需求编制的采购文件。</w:t>
      </w:r>
    </w:p>
    <w:p w14:paraId="76AF0184">
      <w:pPr>
        <w:rPr>
          <w:highlight w:val="none"/>
        </w:rPr>
      </w:pPr>
      <w:r>
        <w:rPr>
          <w:rFonts w:hint="eastAsia"/>
          <w:highlight w:val="none"/>
        </w:rPr>
        <w:t>询比文件是响应人编制响应文件的依据，是评审委员会评判依据和标准。询比文件也是采购人与成交供应商签订合同的基础。</w:t>
      </w:r>
    </w:p>
    <w:p w14:paraId="411F7D78">
      <w:pPr>
        <w:rPr>
          <w:highlight w:val="none"/>
        </w:rPr>
      </w:pPr>
      <w:r>
        <w:rPr>
          <w:rFonts w:hint="eastAsia"/>
          <w:highlight w:val="none"/>
        </w:rPr>
        <w:t>采购人对询比文件所作的一切有效的书面通知、修改及补充，都是询比文件不可分割的部分。</w:t>
      </w:r>
    </w:p>
    <w:p w14:paraId="1725FEDF">
      <w:pPr>
        <w:pStyle w:val="3"/>
        <w:rPr>
          <w:highlight w:val="none"/>
        </w:rPr>
      </w:pPr>
      <w:bookmarkStart w:id="37" w:name="_Toc89675163"/>
      <w:r>
        <w:rPr>
          <w:rFonts w:hint="eastAsia"/>
          <w:highlight w:val="none"/>
        </w:rPr>
        <w:t xml:space="preserve">4. </w:t>
      </w:r>
      <w:bookmarkEnd w:id="37"/>
      <w:r>
        <w:rPr>
          <w:rFonts w:hint="eastAsia"/>
          <w:highlight w:val="none"/>
        </w:rPr>
        <w:t>响应</w:t>
      </w:r>
    </w:p>
    <w:p w14:paraId="50F56924">
      <w:pPr>
        <w:rPr>
          <w:highlight w:val="none"/>
        </w:rPr>
      </w:pPr>
      <w:r>
        <w:rPr>
          <w:rFonts w:hint="eastAsia"/>
          <w:highlight w:val="none"/>
        </w:rPr>
        <w:t>响应人应当按照询比文件的要求编制响应文件，并对询比文件提出的要求和条件作出实质性响应。</w:t>
      </w:r>
    </w:p>
    <w:p w14:paraId="5E8125F6">
      <w:pPr>
        <w:pStyle w:val="4"/>
        <w:rPr>
          <w:highlight w:val="none"/>
        </w:rPr>
      </w:pPr>
      <w:r>
        <w:rPr>
          <w:rFonts w:hint="eastAsia"/>
          <w:highlight w:val="none"/>
        </w:rPr>
        <w:t>4.1 响应文件</w:t>
      </w:r>
    </w:p>
    <w:p w14:paraId="6649F76A">
      <w:pPr>
        <w:rPr>
          <w:highlight w:val="none"/>
        </w:rPr>
      </w:pPr>
      <w:r>
        <w:rPr>
          <w:rFonts w:hint="eastAsia"/>
          <w:highlight w:val="none"/>
        </w:rPr>
        <w:t>参与询比活动的响应人按照询比文件的要求编制提交的要约文件的统称。</w:t>
      </w:r>
    </w:p>
    <w:p w14:paraId="18327956">
      <w:pPr>
        <w:pStyle w:val="4"/>
        <w:rPr>
          <w:highlight w:val="none"/>
        </w:rPr>
      </w:pPr>
      <w:r>
        <w:rPr>
          <w:rFonts w:hint="eastAsia"/>
          <w:highlight w:val="none"/>
        </w:rPr>
        <w:t>4.2 响应文件组成</w:t>
      </w:r>
    </w:p>
    <w:p w14:paraId="5F32E153">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3A8A0DE8">
      <w:pPr>
        <w:pStyle w:val="4"/>
        <w:rPr>
          <w:highlight w:val="none"/>
        </w:rPr>
      </w:pPr>
      <w:r>
        <w:rPr>
          <w:rFonts w:hint="eastAsia"/>
          <w:highlight w:val="none"/>
        </w:rPr>
        <w:t>4.3 联合响应</w:t>
      </w:r>
    </w:p>
    <w:p w14:paraId="52CAF898">
      <w:pPr>
        <w:rPr>
          <w:highlight w:val="none"/>
        </w:rPr>
      </w:pPr>
      <w:r>
        <w:rPr>
          <w:rFonts w:hint="eastAsia"/>
          <w:highlight w:val="none"/>
        </w:rPr>
        <w:t>本询比项目不接受联合响应</w:t>
      </w:r>
    </w:p>
    <w:p w14:paraId="35F5DD3B">
      <w:pPr>
        <w:pStyle w:val="4"/>
        <w:rPr>
          <w:highlight w:val="none"/>
        </w:rPr>
      </w:pPr>
      <w:r>
        <w:rPr>
          <w:rFonts w:hint="eastAsia"/>
          <w:highlight w:val="none"/>
        </w:rPr>
        <w:t>4.4 响应有效期</w:t>
      </w:r>
    </w:p>
    <w:p w14:paraId="21E6422C">
      <w:pPr>
        <w:rPr>
          <w:highlight w:val="none"/>
        </w:rPr>
      </w:pPr>
      <w:r>
        <w:rPr>
          <w:rFonts w:hint="eastAsia"/>
          <w:highlight w:val="none"/>
        </w:rPr>
        <w:t>响应有效期为响应截止时间后90天内。</w:t>
      </w:r>
    </w:p>
    <w:p w14:paraId="321AD099">
      <w:pPr>
        <w:pStyle w:val="4"/>
        <w:rPr>
          <w:highlight w:val="none"/>
        </w:rPr>
      </w:pPr>
      <w:r>
        <w:rPr>
          <w:rFonts w:hint="eastAsia"/>
          <w:highlight w:val="none"/>
        </w:rPr>
        <w:t>4.5 响应保证金</w:t>
      </w:r>
    </w:p>
    <w:p w14:paraId="72C7EFF9">
      <w:pPr>
        <w:rPr>
          <w:highlight w:val="none"/>
        </w:rPr>
      </w:pPr>
      <w:r>
        <w:rPr>
          <w:rFonts w:hint="eastAsia"/>
          <w:highlight w:val="none"/>
        </w:rPr>
        <w:t>4.5.1 响应人应在响应截止时间前，按询比文件第一章规定向采购人缴纳响应保证金。</w:t>
      </w:r>
    </w:p>
    <w:p w14:paraId="1CF17C91">
      <w:pPr>
        <w:rPr>
          <w:highlight w:val="none"/>
        </w:rPr>
      </w:pPr>
      <w:r>
        <w:rPr>
          <w:rFonts w:hint="eastAsia"/>
          <w:highlight w:val="none"/>
        </w:rPr>
        <w:t>4.5.2 响应保证金为响应的有效约束条件。</w:t>
      </w:r>
    </w:p>
    <w:p w14:paraId="555A18AB">
      <w:pPr>
        <w:rPr>
          <w:highlight w:val="none"/>
        </w:rPr>
      </w:pPr>
      <w:r>
        <w:rPr>
          <w:rFonts w:hint="eastAsia"/>
          <w:highlight w:val="none"/>
        </w:rPr>
        <w:t>4.5.3 响应保证金有效期与响应文件有效期一致。</w:t>
      </w:r>
    </w:p>
    <w:p w14:paraId="3056BCAD">
      <w:pPr>
        <w:rPr>
          <w:highlight w:val="none"/>
        </w:rPr>
      </w:pPr>
      <w:r>
        <w:rPr>
          <w:rFonts w:hint="eastAsia"/>
          <w:highlight w:val="none"/>
        </w:rPr>
        <w:t>4.5.4 响应保证金币种应与响应报价币种相同。</w:t>
      </w:r>
    </w:p>
    <w:p w14:paraId="0DFB96B7">
      <w:pPr>
        <w:rPr>
          <w:highlight w:val="none"/>
        </w:rPr>
      </w:pPr>
      <w:r>
        <w:rPr>
          <w:rFonts w:hint="eastAsia"/>
          <w:highlight w:val="none"/>
        </w:rPr>
        <w:t>4.5.5 响应保证金的退还：</w:t>
      </w:r>
    </w:p>
    <w:p w14:paraId="70160C69">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6CAEC674">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7CDA8879">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37963709">
      <w:pPr>
        <w:rPr>
          <w:highlight w:val="none"/>
        </w:rPr>
      </w:pPr>
      <w:r>
        <w:rPr>
          <w:rFonts w:hint="eastAsia"/>
          <w:highlight w:val="none"/>
        </w:rPr>
        <w:t>4.5.6 响应人有下列情形之一的，响应保证金将不予退还：</w:t>
      </w:r>
    </w:p>
    <w:p w14:paraId="5B78607C">
      <w:pPr>
        <w:rPr>
          <w:highlight w:val="none"/>
        </w:rPr>
      </w:pPr>
      <w:r>
        <w:rPr>
          <w:rFonts w:hint="eastAsia"/>
          <w:highlight w:val="none"/>
        </w:rPr>
        <w:t>4.5.6.1 响应人在响应有效期内撤销响应文件的；</w:t>
      </w:r>
    </w:p>
    <w:p w14:paraId="20C365F6">
      <w:pPr>
        <w:rPr>
          <w:highlight w:val="none"/>
        </w:rPr>
      </w:pPr>
      <w:r>
        <w:rPr>
          <w:rFonts w:hint="eastAsia"/>
          <w:highlight w:val="none"/>
        </w:rPr>
        <w:t>4.5.6.2 响应人在响应过程中弄虚作假，提供虚假材料的；</w:t>
      </w:r>
    </w:p>
    <w:p w14:paraId="4FA34D84">
      <w:pPr>
        <w:rPr>
          <w:highlight w:val="none"/>
        </w:rPr>
      </w:pPr>
      <w:r>
        <w:rPr>
          <w:rFonts w:hint="eastAsia"/>
          <w:highlight w:val="none"/>
        </w:rPr>
        <w:t>4.5.6.3 成交供应商无故弃选或无正当理由不与采购人签订合同的；</w:t>
      </w:r>
    </w:p>
    <w:p w14:paraId="23577FC3">
      <w:pPr>
        <w:rPr>
          <w:highlight w:val="none"/>
        </w:rPr>
      </w:pPr>
      <w:r>
        <w:rPr>
          <w:rFonts w:hint="eastAsia"/>
          <w:highlight w:val="none"/>
        </w:rPr>
        <w:t>4.5.6.4 成交供应商将成交项目转让给他人或者在响应文件中未说明且未经询比单位同意，将成交项目分包给他人的；</w:t>
      </w:r>
    </w:p>
    <w:p w14:paraId="1A84C574">
      <w:pPr>
        <w:rPr>
          <w:highlight w:val="none"/>
        </w:rPr>
      </w:pPr>
      <w:r>
        <w:rPr>
          <w:rFonts w:hint="eastAsia"/>
          <w:highlight w:val="none"/>
        </w:rPr>
        <w:t>4.5.6.5 成交供应商拒绝履行合同义务的；</w:t>
      </w:r>
    </w:p>
    <w:p w14:paraId="0B92844A">
      <w:pPr>
        <w:rPr>
          <w:highlight w:val="none"/>
        </w:rPr>
      </w:pPr>
      <w:r>
        <w:rPr>
          <w:rFonts w:hint="eastAsia"/>
          <w:highlight w:val="none"/>
        </w:rPr>
        <w:t>4.5.6.6 其他严重扰乱询比程序的；</w:t>
      </w:r>
    </w:p>
    <w:p w14:paraId="09F76BF3">
      <w:pPr>
        <w:pStyle w:val="4"/>
        <w:rPr>
          <w:highlight w:val="none"/>
        </w:rPr>
      </w:pPr>
      <w:r>
        <w:rPr>
          <w:rFonts w:hint="eastAsia"/>
          <w:highlight w:val="none"/>
        </w:rPr>
        <w:t>4.6 响应文件的份数和签署</w:t>
      </w:r>
    </w:p>
    <w:p w14:paraId="667C3AED">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D92800A">
      <w:pPr>
        <w:rPr>
          <w:highlight w:val="none"/>
        </w:rPr>
      </w:pPr>
      <w:r>
        <w:rPr>
          <w:rFonts w:hint="eastAsia"/>
          <w:highlight w:val="none"/>
        </w:rPr>
        <w:t>4.6.2 响应文件正本中，每一页均应由响应人加盖公章，其中规定格式的文件应当按要求签名和加盖响应人公章。</w:t>
      </w:r>
    </w:p>
    <w:p w14:paraId="52C8C4CF">
      <w:pPr>
        <w:rPr>
          <w:highlight w:val="none"/>
        </w:rPr>
      </w:pPr>
      <w:r>
        <w:rPr>
          <w:rFonts w:hint="eastAsia"/>
          <w:highlight w:val="none"/>
        </w:rPr>
        <w:t>4.6.3 若响应人对响应文件的错处作必要修改，则应在修改处加盖响应人公章或由法人或委托代理人签字确认。</w:t>
      </w:r>
    </w:p>
    <w:p w14:paraId="52BDC89E">
      <w:pPr>
        <w:rPr>
          <w:highlight w:val="none"/>
        </w:rPr>
      </w:pPr>
      <w:r>
        <w:rPr>
          <w:rFonts w:hint="eastAsia"/>
          <w:highlight w:val="none"/>
        </w:rPr>
        <w:t>4.6.4 电报、电话、邮寄、传真形式的响应文件概不接受。</w:t>
      </w:r>
    </w:p>
    <w:p w14:paraId="70426DD1">
      <w:pPr>
        <w:pStyle w:val="4"/>
        <w:rPr>
          <w:highlight w:val="none"/>
        </w:rPr>
      </w:pPr>
      <w:r>
        <w:rPr>
          <w:rFonts w:hint="eastAsia"/>
          <w:highlight w:val="none"/>
        </w:rPr>
        <w:t>4.7 响应文件的密封与标记</w:t>
      </w:r>
    </w:p>
    <w:p w14:paraId="6BB655B1">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664EE333">
      <w:pPr>
        <w:rPr>
          <w:highlight w:val="none"/>
        </w:rPr>
      </w:pPr>
      <w:r>
        <w:rPr>
          <w:rFonts w:hint="eastAsia"/>
          <w:highlight w:val="none"/>
        </w:rPr>
        <w:t>如果未按上述规定进行密封和标记，则其响应将作为无效响应处理。</w:t>
      </w:r>
    </w:p>
    <w:p w14:paraId="740A63D2">
      <w:pPr>
        <w:pStyle w:val="4"/>
        <w:rPr>
          <w:highlight w:val="none"/>
        </w:rPr>
      </w:pPr>
      <w:r>
        <w:rPr>
          <w:rFonts w:hint="eastAsia"/>
          <w:highlight w:val="none"/>
        </w:rPr>
        <w:t>4.8 响应报价</w:t>
      </w:r>
    </w:p>
    <w:p w14:paraId="58486B8E">
      <w:pPr>
        <w:rPr>
          <w:highlight w:val="none"/>
        </w:rPr>
      </w:pPr>
      <w:r>
        <w:rPr>
          <w:rFonts w:hint="eastAsia"/>
          <w:highlight w:val="none"/>
        </w:rPr>
        <w:t>4.8.1 响应人应严格按照“响应文件格式”填写报价。</w:t>
      </w:r>
    </w:p>
    <w:p w14:paraId="48CB13B2">
      <w:pPr>
        <w:rPr>
          <w:highlight w:val="none"/>
        </w:rPr>
      </w:pPr>
      <w:r>
        <w:rPr>
          <w:rFonts w:hint="eastAsia"/>
          <w:highlight w:val="none"/>
        </w:rPr>
        <w:t>4.8.2 响应人的报价为一次性报价，即在响应有效期内响应价格固定不变。</w:t>
      </w:r>
    </w:p>
    <w:p w14:paraId="3318F2F8">
      <w:pPr>
        <w:rPr>
          <w:highlight w:val="none"/>
        </w:rPr>
      </w:pPr>
      <w:r>
        <w:rPr>
          <w:rFonts w:hint="eastAsia"/>
          <w:highlight w:val="none"/>
        </w:rPr>
        <w:t>4.8.3 本项目只接受一个响应报价，有选择的或有条件的响应将不予接受。</w:t>
      </w:r>
    </w:p>
    <w:p w14:paraId="28612E94">
      <w:pPr>
        <w:rPr>
          <w:highlight w:val="none"/>
        </w:rPr>
      </w:pPr>
      <w:r>
        <w:rPr>
          <w:rFonts w:hint="eastAsia"/>
          <w:highlight w:val="none"/>
        </w:rPr>
        <w:t>4.8.4 响应报价不得高于最高限价。</w:t>
      </w:r>
    </w:p>
    <w:p w14:paraId="5C1BCDCE">
      <w:pPr>
        <w:pStyle w:val="4"/>
        <w:rPr>
          <w:highlight w:val="none"/>
        </w:rPr>
      </w:pPr>
      <w:r>
        <w:rPr>
          <w:rFonts w:hint="eastAsia"/>
          <w:highlight w:val="none"/>
        </w:rPr>
        <w:t>4.9 修正错误</w:t>
      </w:r>
    </w:p>
    <w:p w14:paraId="58218E2A">
      <w:pPr>
        <w:rPr>
          <w:highlight w:val="none"/>
        </w:rPr>
      </w:pPr>
      <w:r>
        <w:rPr>
          <w:rFonts w:hint="eastAsia"/>
          <w:highlight w:val="none"/>
        </w:rPr>
        <w:t>若响应文件出现计算或表达上的错误，修正错误的原则如下：</w:t>
      </w:r>
    </w:p>
    <w:p w14:paraId="6E57262B">
      <w:pPr>
        <w:rPr>
          <w:highlight w:val="none"/>
        </w:rPr>
      </w:pPr>
      <w:r>
        <w:rPr>
          <w:rFonts w:hint="eastAsia"/>
          <w:highlight w:val="none"/>
        </w:rPr>
        <w:t>4.9.1 响应文件的大写金额和小写金额不一致的，以大写金额为准；</w:t>
      </w:r>
    </w:p>
    <w:p w14:paraId="770136F6">
      <w:pPr>
        <w:rPr>
          <w:highlight w:val="none"/>
        </w:rPr>
      </w:pPr>
      <w:r>
        <w:rPr>
          <w:rFonts w:hint="eastAsia"/>
          <w:highlight w:val="none"/>
        </w:rPr>
        <w:t>4.9.2 总价金额与按单价汇总金额不一致的，以单价金额计算结果为准；</w:t>
      </w:r>
    </w:p>
    <w:p w14:paraId="0AC9129B">
      <w:pPr>
        <w:rPr>
          <w:highlight w:val="none"/>
        </w:rPr>
      </w:pPr>
      <w:r>
        <w:rPr>
          <w:rFonts w:hint="eastAsia"/>
          <w:highlight w:val="none"/>
        </w:rPr>
        <w:t>4.9.3 单价金额小数点有明显错位的，应以总价为准，并修正单价；</w:t>
      </w:r>
    </w:p>
    <w:p w14:paraId="317F69A7">
      <w:pPr>
        <w:rPr>
          <w:highlight w:val="none"/>
        </w:rPr>
      </w:pPr>
      <w:r>
        <w:rPr>
          <w:rFonts w:hint="eastAsia"/>
          <w:highlight w:val="none"/>
        </w:rPr>
        <w:t>4.9.4 对不同文字文本响应文件的解释发生异议的，以中文文本为准。</w:t>
      </w:r>
    </w:p>
    <w:p w14:paraId="25B39B05">
      <w:pPr>
        <w:rPr>
          <w:highlight w:val="none"/>
        </w:rPr>
      </w:pPr>
      <w:r>
        <w:rPr>
          <w:rFonts w:hint="eastAsia"/>
          <w:highlight w:val="none"/>
        </w:rPr>
        <w:t>4.9.5 含税金额与不含税金额不一致的，以含税金额为准。</w:t>
      </w:r>
    </w:p>
    <w:p w14:paraId="75874C35">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EE8DA10">
      <w:pPr>
        <w:pStyle w:val="3"/>
        <w:rPr>
          <w:highlight w:val="none"/>
        </w:rPr>
      </w:pPr>
      <w:bookmarkStart w:id="38" w:name="_Toc89675166"/>
      <w:r>
        <w:rPr>
          <w:rFonts w:hint="eastAsia"/>
          <w:highlight w:val="none"/>
        </w:rPr>
        <w:t>5. 询比程序</w:t>
      </w:r>
    </w:p>
    <w:p w14:paraId="4C6943EA">
      <w:pPr>
        <w:rPr>
          <w:highlight w:val="none"/>
        </w:rPr>
      </w:pPr>
      <w:r>
        <w:rPr>
          <w:rFonts w:hint="eastAsia"/>
          <w:highlight w:val="none"/>
        </w:rPr>
        <w:t>主持人按下列程序进行询比：</w:t>
      </w:r>
    </w:p>
    <w:p w14:paraId="6B03FDB7">
      <w:pPr>
        <w:rPr>
          <w:highlight w:val="none"/>
        </w:rPr>
      </w:pPr>
      <w:r>
        <w:rPr>
          <w:rFonts w:hint="eastAsia"/>
          <w:highlight w:val="none"/>
        </w:rPr>
        <w:t>5.1 宣布询比纪律；</w:t>
      </w:r>
    </w:p>
    <w:p w14:paraId="27B2B1AA">
      <w:pPr>
        <w:rPr>
          <w:highlight w:val="none"/>
        </w:rPr>
      </w:pPr>
      <w:r>
        <w:rPr>
          <w:rFonts w:hint="eastAsia"/>
          <w:highlight w:val="none"/>
        </w:rPr>
        <w:t>5.2 宣布采购人、唱标人、记录人、监督人等有关人员姓名；</w:t>
      </w:r>
    </w:p>
    <w:p w14:paraId="174AB23E">
      <w:pPr>
        <w:rPr>
          <w:highlight w:val="none"/>
        </w:rPr>
      </w:pPr>
      <w:r>
        <w:rPr>
          <w:rFonts w:hint="eastAsia"/>
          <w:highlight w:val="none"/>
        </w:rPr>
        <w:t>5.3 公布在响应截止时间前递交响应文件的响应人名称，并点名确认响应人是否派人到场；</w:t>
      </w:r>
    </w:p>
    <w:p w14:paraId="11B54B8E">
      <w:pPr>
        <w:rPr>
          <w:highlight w:val="none"/>
        </w:rPr>
      </w:pPr>
      <w:r>
        <w:rPr>
          <w:rFonts w:hint="eastAsia"/>
          <w:highlight w:val="none"/>
        </w:rPr>
        <w:t>5.4 展示响应保证金，响应保证金缴款不全或有误的，则记录在案交由评审委员会评审；</w:t>
      </w:r>
    </w:p>
    <w:p w14:paraId="4296AE7A">
      <w:pPr>
        <w:rPr>
          <w:highlight w:val="none"/>
        </w:rPr>
      </w:pPr>
      <w:r>
        <w:rPr>
          <w:rFonts w:hint="eastAsia"/>
          <w:highlight w:val="none"/>
        </w:rPr>
        <w:t>5.5 封装情况检查：响应人或者其推选的代表检查各响应文件的封装情况并确认；</w:t>
      </w:r>
    </w:p>
    <w:p w14:paraId="7FD6C923">
      <w:pPr>
        <w:rPr>
          <w:highlight w:val="none"/>
        </w:rPr>
      </w:pPr>
      <w:r>
        <w:rPr>
          <w:rFonts w:hint="eastAsia"/>
          <w:highlight w:val="none"/>
        </w:rPr>
        <w:t>5.6 设有最高限价的，公布最高限价；</w:t>
      </w:r>
    </w:p>
    <w:p w14:paraId="24A65DAA">
      <w:pPr>
        <w:rPr>
          <w:highlight w:val="none"/>
        </w:rPr>
      </w:pPr>
      <w:r>
        <w:rPr>
          <w:rFonts w:hint="eastAsia"/>
          <w:highlight w:val="none"/>
        </w:rPr>
        <w:t>5.7 开启响应文件；</w:t>
      </w:r>
    </w:p>
    <w:p w14:paraId="20ABA0DC">
      <w:pPr>
        <w:rPr>
          <w:highlight w:val="none"/>
        </w:rPr>
      </w:pPr>
      <w:r>
        <w:rPr>
          <w:rFonts w:hint="eastAsia"/>
          <w:highlight w:val="none"/>
        </w:rPr>
        <w:t>5.8 采购人代表、响应人代表、监督人、记录人等有关人员在询比记录上签字确认；</w:t>
      </w:r>
    </w:p>
    <w:p w14:paraId="7695F7D0">
      <w:pPr>
        <w:rPr>
          <w:highlight w:val="none"/>
        </w:rPr>
      </w:pPr>
      <w:r>
        <w:rPr>
          <w:rFonts w:hint="eastAsia"/>
          <w:highlight w:val="none"/>
        </w:rPr>
        <w:t>5.9 询比结束。</w:t>
      </w:r>
    </w:p>
    <w:p w14:paraId="01400078">
      <w:pPr>
        <w:pStyle w:val="3"/>
        <w:rPr>
          <w:highlight w:val="none"/>
        </w:rPr>
      </w:pPr>
      <w:r>
        <w:rPr>
          <w:rFonts w:hint="eastAsia"/>
          <w:highlight w:val="none"/>
        </w:rPr>
        <w:t>6. 评审</w:t>
      </w:r>
    </w:p>
    <w:p w14:paraId="5E361667">
      <w:pPr>
        <w:rPr>
          <w:highlight w:val="none"/>
        </w:rPr>
      </w:pPr>
      <w:r>
        <w:rPr>
          <w:rFonts w:hint="eastAsia"/>
          <w:highlight w:val="none"/>
        </w:rPr>
        <w:t>见第四章内容。</w:t>
      </w:r>
    </w:p>
    <w:p w14:paraId="4C18CAD3">
      <w:pPr>
        <w:pStyle w:val="3"/>
        <w:rPr>
          <w:highlight w:val="none"/>
        </w:rPr>
      </w:pPr>
      <w:r>
        <w:rPr>
          <w:rFonts w:hint="eastAsia"/>
          <w:highlight w:val="none"/>
        </w:rPr>
        <w:t xml:space="preserve">7. </w:t>
      </w:r>
      <w:bookmarkEnd w:id="38"/>
      <w:r>
        <w:rPr>
          <w:rFonts w:hint="eastAsia"/>
          <w:highlight w:val="none"/>
        </w:rPr>
        <w:t>确定成交供应商</w:t>
      </w:r>
    </w:p>
    <w:p w14:paraId="159D0052">
      <w:pPr>
        <w:rPr>
          <w:highlight w:val="none"/>
        </w:rPr>
      </w:pPr>
      <w:r>
        <w:rPr>
          <w:rFonts w:hint="eastAsia"/>
          <w:highlight w:val="none"/>
        </w:rPr>
        <w:t>7.1 确定成交供应商原则</w:t>
      </w:r>
    </w:p>
    <w:p w14:paraId="50FE0A97">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3FEE7FFD">
      <w:pPr>
        <w:rPr>
          <w:highlight w:val="none"/>
        </w:rPr>
      </w:pPr>
      <w:r>
        <w:rPr>
          <w:rFonts w:hint="eastAsia"/>
          <w:highlight w:val="none"/>
        </w:rPr>
        <w:t>7.2 不承诺最低价格成交。</w:t>
      </w:r>
    </w:p>
    <w:p w14:paraId="4285A046">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19FE278D">
      <w:pPr>
        <w:pStyle w:val="3"/>
        <w:rPr>
          <w:highlight w:val="none"/>
        </w:rPr>
      </w:pPr>
      <w:bookmarkStart w:id="39" w:name="_Toc89675168"/>
      <w:bookmarkStart w:id="40" w:name="_Toc12245"/>
      <w:r>
        <w:rPr>
          <w:rFonts w:hint="eastAsia"/>
          <w:highlight w:val="none"/>
        </w:rPr>
        <w:t>8. 签订合同</w:t>
      </w:r>
      <w:bookmarkEnd w:id="39"/>
      <w:bookmarkEnd w:id="40"/>
    </w:p>
    <w:p w14:paraId="2AF4A994">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1CB0F51">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40E7420D">
      <w:pPr>
        <w:rPr>
          <w:highlight w:val="none"/>
        </w:rPr>
      </w:pPr>
      <w:r>
        <w:rPr>
          <w:rFonts w:hint="eastAsia"/>
          <w:highlight w:val="none"/>
        </w:rPr>
        <w:t>8.3 询比文件、成交供应商的响应文件及澄清文件等，均为签订合同的依据。</w:t>
      </w:r>
    </w:p>
    <w:p w14:paraId="0230B2CE">
      <w:pPr>
        <w:rPr>
          <w:highlight w:val="none"/>
        </w:rPr>
      </w:pPr>
      <w:r>
        <w:rPr>
          <w:rFonts w:hint="eastAsia"/>
          <w:highlight w:val="none"/>
        </w:rPr>
        <w:t>8.4 合同生效条款由供需双方约定，法律、行政法规规定应当办理批准、登记等手续后生效的合同，依照其规定。</w:t>
      </w:r>
    </w:p>
    <w:p w14:paraId="6BA36364">
      <w:pPr>
        <w:rPr>
          <w:highlight w:val="none"/>
        </w:rPr>
      </w:pPr>
      <w:r>
        <w:rPr>
          <w:rFonts w:hint="eastAsia"/>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16DF5F02">
      <w:pPr>
        <w:rPr>
          <w:highlight w:val="none"/>
        </w:rPr>
      </w:pPr>
      <w:r>
        <w:rPr>
          <w:rFonts w:hint="eastAsia"/>
          <w:highlight w:val="none"/>
        </w:rPr>
        <w:t>8.6 该项目不允许任何形式的转包。</w:t>
      </w:r>
    </w:p>
    <w:p w14:paraId="7AB66453">
      <w:pPr>
        <w:pStyle w:val="3"/>
        <w:rPr>
          <w:highlight w:val="none"/>
        </w:rPr>
      </w:pPr>
      <w:r>
        <w:rPr>
          <w:rFonts w:hint="eastAsia"/>
          <w:highlight w:val="none"/>
        </w:rPr>
        <w:t>9. 纪律与要求</w:t>
      </w:r>
    </w:p>
    <w:p w14:paraId="6366325E">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19730142">
      <w:pPr>
        <w:rPr>
          <w:highlight w:val="none"/>
        </w:rPr>
      </w:pPr>
      <w:r>
        <w:rPr>
          <w:rFonts w:hint="eastAsia"/>
          <w:highlight w:val="none"/>
        </w:rPr>
        <w:t>9.1 有下列情形之一的，属于响应人相互串通响应：</w:t>
      </w:r>
    </w:p>
    <w:p w14:paraId="11BC6BD0">
      <w:pPr>
        <w:rPr>
          <w:highlight w:val="none"/>
        </w:rPr>
      </w:pPr>
      <w:r>
        <w:rPr>
          <w:rFonts w:hint="eastAsia"/>
          <w:highlight w:val="none"/>
        </w:rPr>
        <w:t>9.1.1 响应人之间协商响应报价等响应文件的实质性内容；</w:t>
      </w:r>
    </w:p>
    <w:p w14:paraId="713095F5">
      <w:pPr>
        <w:rPr>
          <w:highlight w:val="none"/>
        </w:rPr>
      </w:pPr>
      <w:r>
        <w:rPr>
          <w:rFonts w:hint="eastAsia"/>
          <w:highlight w:val="none"/>
        </w:rPr>
        <w:t>9.1.2 响应人之间约定成交供应商；</w:t>
      </w:r>
    </w:p>
    <w:p w14:paraId="3D0E03FB">
      <w:pPr>
        <w:rPr>
          <w:highlight w:val="none"/>
        </w:rPr>
      </w:pPr>
      <w:r>
        <w:rPr>
          <w:rFonts w:hint="eastAsia"/>
          <w:highlight w:val="none"/>
        </w:rPr>
        <w:t>9.1.3 响应人之间约定部分响应人放弃响应或者成交；</w:t>
      </w:r>
    </w:p>
    <w:p w14:paraId="5370D1A9">
      <w:pPr>
        <w:rPr>
          <w:highlight w:val="none"/>
        </w:rPr>
      </w:pPr>
      <w:r>
        <w:rPr>
          <w:rFonts w:hint="eastAsia"/>
          <w:highlight w:val="none"/>
        </w:rPr>
        <w:t>9.1.4 属于同一集团、协会、商会等组织成员的响应人按照该组织要求协同响应；</w:t>
      </w:r>
    </w:p>
    <w:p w14:paraId="3DAB3439">
      <w:pPr>
        <w:rPr>
          <w:highlight w:val="none"/>
        </w:rPr>
      </w:pPr>
      <w:r>
        <w:rPr>
          <w:rFonts w:hint="eastAsia"/>
          <w:highlight w:val="none"/>
        </w:rPr>
        <w:t>9.1.5 响应人之间为谋取成交或者排斥特定响应人而采取的其他联合行动。</w:t>
      </w:r>
    </w:p>
    <w:p w14:paraId="15FB7DDC">
      <w:pPr>
        <w:rPr>
          <w:highlight w:val="none"/>
        </w:rPr>
      </w:pPr>
      <w:r>
        <w:rPr>
          <w:rFonts w:hint="eastAsia"/>
          <w:highlight w:val="none"/>
        </w:rPr>
        <w:t>9.2 有下列情形之一的，视为响应人相互串通响应：</w:t>
      </w:r>
    </w:p>
    <w:p w14:paraId="72C1C5BD">
      <w:pPr>
        <w:rPr>
          <w:highlight w:val="none"/>
        </w:rPr>
      </w:pPr>
      <w:r>
        <w:rPr>
          <w:rFonts w:hint="eastAsia"/>
          <w:highlight w:val="none"/>
        </w:rPr>
        <w:t>9.2.1 不同响应人的响应文件由同一单位或者个人编制；</w:t>
      </w:r>
    </w:p>
    <w:p w14:paraId="1F9D4EFD">
      <w:pPr>
        <w:rPr>
          <w:highlight w:val="none"/>
        </w:rPr>
      </w:pPr>
      <w:r>
        <w:rPr>
          <w:rFonts w:hint="eastAsia"/>
          <w:highlight w:val="none"/>
        </w:rPr>
        <w:t>9.2.2 不同响应人委托同一单位或者个人办理响应事宜；</w:t>
      </w:r>
    </w:p>
    <w:p w14:paraId="178DEA02">
      <w:pPr>
        <w:rPr>
          <w:highlight w:val="none"/>
        </w:rPr>
      </w:pPr>
      <w:r>
        <w:rPr>
          <w:rFonts w:hint="eastAsia"/>
          <w:highlight w:val="none"/>
        </w:rPr>
        <w:t>9.2.3 不同响应人的响应文件载明的项目管理成员为同一人；</w:t>
      </w:r>
    </w:p>
    <w:p w14:paraId="43E1C131">
      <w:pPr>
        <w:rPr>
          <w:highlight w:val="none"/>
        </w:rPr>
      </w:pPr>
      <w:r>
        <w:rPr>
          <w:rFonts w:hint="eastAsia"/>
          <w:highlight w:val="none"/>
        </w:rPr>
        <w:t>9.2.4 不同响应人的响应文件相互混装；</w:t>
      </w:r>
    </w:p>
    <w:p w14:paraId="48AAC2A7">
      <w:pPr>
        <w:rPr>
          <w:highlight w:val="none"/>
        </w:rPr>
      </w:pPr>
      <w:r>
        <w:rPr>
          <w:rFonts w:hint="eastAsia"/>
          <w:highlight w:val="none"/>
        </w:rPr>
        <w:t>9.2.5 不同响应人的响应保证金从同一单位或者个人的账户转出。</w:t>
      </w:r>
    </w:p>
    <w:p w14:paraId="0B71D6A0">
      <w:pPr>
        <w:rPr>
          <w:highlight w:val="none"/>
        </w:rPr>
      </w:pPr>
      <w:r>
        <w:rPr>
          <w:rFonts w:hint="eastAsia"/>
          <w:highlight w:val="none"/>
        </w:rPr>
        <w:t>9.3 使用通过受让或者租借等方式获取的资格、资质证书响应的，属于以他人名义响应。</w:t>
      </w:r>
    </w:p>
    <w:p w14:paraId="7718740A">
      <w:pPr>
        <w:rPr>
          <w:highlight w:val="none"/>
        </w:rPr>
      </w:pPr>
      <w:r>
        <w:rPr>
          <w:rFonts w:hint="eastAsia"/>
          <w:highlight w:val="none"/>
        </w:rPr>
        <w:t>9.4 响应人有下列情形之一的，属于弄虚作假的行为：</w:t>
      </w:r>
    </w:p>
    <w:p w14:paraId="0302DCB1">
      <w:pPr>
        <w:rPr>
          <w:highlight w:val="none"/>
        </w:rPr>
      </w:pPr>
      <w:r>
        <w:rPr>
          <w:rFonts w:hint="eastAsia"/>
          <w:highlight w:val="none"/>
        </w:rPr>
        <w:t>9.4.1 使用伪造、变造的许可证件；</w:t>
      </w:r>
    </w:p>
    <w:p w14:paraId="11998092">
      <w:pPr>
        <w:rPr>
          <w:highlight w:val="none"/>
        </w:rPr>
      </w:pPr>
      <w:r>
        <w:rPr>
          <w:rFonts w:hint="eastAsia"/>
          <w:highlight w:val="none"/>
        </w:rPr>
        <w:t>9.4.2 提供虚假的财务状况或者虚假业绩；</w:t>
      </w:r>
    </w:p>
    <w:p w14:paraId="39BDC570">
      <w:pPr>
        <w:rPr>
          <w:highlight w:val="none"/>
        </w:rPr>
      </w:pPr>
      <w:r>
        <w:rPr>
          <w:rFonts w:hint="eastAsia"/>
          <w:highlight w:val="none"/>
        </w:rPr>
        <w:t>9.4.3 提供虚假的项目负责人或者主要技术人员简历、劳动关系证明；</w:t>
      </w:r>
    </w:p>
    <w:p w14:paraId="6B87A095">
      <w:pPr>
        <w:rPr>
          <w:highlight w:val="none"/>
        </w:rPr>
      </w:pPr>
      <w:r>
        <w:rPr>
          <w:rFonts w:hint="eastAsia"/>
          <w:highlight w:val="none"/>
        </w:rPr>
        <w:t>9.4.4 提供虚假的信用状况；</w:t>
      </w:r>
    </w:p>
    <w:p w14:paraId="4432C400">
      <w:pPr>
        <w:rPr>
          <w:highlight w:val="none"/>
        </w:rPr>
      </w:pPr>
      <w:r>
        <w:rPr>
          <w:rFonts w:hint="eastAsia"/>
          <w:highlight w:val="none"/>
        </w:rPr>
        <w:t>9.4.5 其它弄虚作假的行为。</w:t>
      </w:r>
    </w:p>
    <w:p w14:paraId="1D38EA1C">
      <w:pPr>
        <w:rPr>
          <w:highlight w:val="none"/>
        </w:rPr>
      </w:pPr>
      <w:r>
        <w:rPr>
          <w:rFonts w:hint="eastAsia"/>
          <w:highlight w:val="none"/>
        </w:rPr>
        <w:t>针对以上情况，采购人有权没收响应人的响应保证金，并保留进一步追究由此带来损失的权利。</w:t>
      </w:r>
    </w:p>
    <w:p w14:paraId="64CEBD0A">
      <w:pPr>
        <w:pStyle w:val="3"/>
        <w:rPr>
          <w:highlight w:val="none"/>
        </w:rPr>
      </w:pPr>
      <w:bookmarkStart w:id="41" w:name="_Toc89675169"/>
      <w:r>
        <w:rPr>
          <w:rFonts w:hint="eastAsia"/>
          <w:highlight w:val="none"/>
        </w:rPr>
        <w:t>10. 提问、质疑、投诉</w:t>
      </w:r>
    </w:p>
    <w:p w14:paraId="00F0D55E">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7D851246">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CC73D8A">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7953FE2F">
      <w:pPr>
        <w:rPr>
          <w:highlight w:val="none"/>
        </w:rPr>
      </w:pPr>
      <w:r>
        <w:rPr>
          <w:rFonts w:hint="eastAsia"/>
          <w:highlight w:val="none"/>
        </w:rPr>
        <w:t>10.4 响应人对采购人的答复不满意或者有质疑，可向采购人纪检监察部投诉。</w:t>
      </w:r>
    </w:p>
    <w:p w14:paraId="5B06122E">
      <w:pPr>
        <w:rPr>
          <w:highlight w:val="none"/>
        </w:rPr>
      </w:pPr>
      <w:r>
        <w:rPr>
          <w:rFonts w:hint="eastAsia"/>
          <w:highlight w:val="none"/>
        </w:rPr>
        <w:t>采购质疑邮箱：</w:t>
      </w:r>
      <w:r>
        <w:rPr>
          <w:highlight w:val="none"/>
        </w:rPr>
        <w:t>sx.jcb@ccqtgb.com</w:t>
      </w:r>
    </w:p>
    <w:p w14:paraId="456F57E2">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33616DFB">
      <w:pPr>
        <w:pStyle w:val="3"/>
        <w:rPr>
          <w:highlight w:val="none"/>
        </w:rPr>
      </w:pPr>
      <w:bookmarkStart w:id="43" w:name="_Toc89675157"/>
      <w:bookmarkStart w:id="44" w:name="_Toc11439"/>
      <w:bookmarkStart w:id="45" w:name="_Toc15059431"/>
      <w:bookmarkStart w:id="46" w:name="_Toc440628924"/>
      <w:bookmarkStart w:id="47" w:name="_Toc275199618"/>
      <w:r>
        <w:rPr>
          <w:rFonts w:hint="eastAsia"/>
          <w:highlight w:val="none"/>
        </w:rPr>
        <w:t>11. 无效响应条款</w:t>
      </w:r>
      <w:bookmarkEnd w:id="43"/>
      <w:bookmarkEnd w:id="44"/>
      <w:bookmarkEnd w:id="45"/>
      <w:bookmarkEnd w:id="46"/>
      <w:bookmarkEnd w:id="47"/>
    </w:p>
    <w:p w14:paraId="64C6C8CB">
      <w:pPr>
        <w:rPr>
          <w:highlight w:val="none"/>
        </w:rPr>
      </w:pPr>
      <w:r>
        <w:rPr>
          <w:rFonts w:hint="eastAsia"/>
          <w:highlight w:val="none"/>
        </w:rPr>
        <w:t>响应人或其响应文件出现下列情况之一者，应为无效响应：</w:t>
      </w:r>
    </w:p>
    <w:p w14:paraId="78476922">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03D9C1AB">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266994E0">
      <w:pPr>
        <w:rPr>
          <w:highlight w:val="none"/>
        </w:rPr>
      </w:pPr>
      <w:r>
        <w:rPr>
          <w:rFonts w:hint="eastAsia"/>
          <w:highlight w:val="none"/>
        </w:rPr>
        <w:t>11.3 响应人超出其营业执照或事业单位法人证书上经营范围（业务范围）响应的。</w:t>
      </w:r>
    </w:p>
    <w:p w14:paraId="597EAA99">
      <w:pPr>
        <w:rPr>
          <w:highlight w:val="none"/>
        </w:rPr>
      </w:pPr>
      <w:r>
        <w:rPr>
          <w:rFonts w:hint="eastAsia"/>
          <w:highlight w:val="none"/>
        </w:rPr>
        <w:t>11.4 单位负责人为同一人或者存在直接控股、管理关系的不同响应人，不得参加同一合同项下的采购活动。</w:t>
      </w:r>
    </w:p>
    <w:p w14:paraId="2833B6A3">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57B48E85">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2383A48E">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50B32E5A">
      <w:pPr>
        <w:rPr>
          <w:highlight w:val="none"/>
        </w:rPr>
      </w:pPr>
      <w:r>
        <w:rPr>
          <w:rFonts w:hint="eastAsia"/>
          <w:highlight w:val="none"/>
        </w:rPr>
        <w:t>11.8 响应报价</w:t>
      </w:r>
      <w:r>
        <w:rPr>
          <w:highlight w:val="none"/>
        </w:rPr>
        <w:t>超出最高限价的</w:t>
      </w:r>
      <w:r>
        <w:rPr>
          <w:rFonts w:hint="eastAsia"/>
          <w:highlight w:val="none"/>
        </w:rPr>
        <w:t>。</w:t>
      </w:r>
    </w:p>
    <w:p w14:paraId="6596EE7C">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5461F608">
      <w:pPr>
        <w:rPr>
          <w:highlight w:val="none"/>
        </w:rPr>
      </w:pPr>
      <w:r>
        <w:rPr>
          <w:rFonts w:hint="eastAsia"/>
          <w:highlight w:val="none"/>
        </w:rPr>
        <w:t>11.10 出现影响询比公正的违法、违规行为的。</w:t>
      </w:r>
    </w:p>
    <w:p w14:paraId="158FC839">
      <w:pPr>
        <w:rPr>
          <w:highlight w:val="none"/>
        </w:rPr>
      </w:pPr>
      <w:r>
        <w:rPr>
          <w:rFonts w:hint="eastAsia"/>
          <w:highlight w:val="none"/>
        </w:rPr>
        <w:t>11.11 与采购人、评审专家、其他响应人恶意串通。</w:t>
      </w:r>
    </w:p>
    <w:p w14:paraId="692E9D3C">
      <w:pPr>
        <w:rPr>
          <w:highlight w:val="none"/>
        </w:rPr>
      </w:pPr>
      <w:r>
        <w:rPr>
          <w:rFonts w:hint="eastAsia"/>
          <w:highlight w:val="none"/>
        </w:rPr>
        <w:t>11.12 参与响应的法人发生合并、分立、破产等重大变化后，不再具备询比要求的资格条件的。</w:t>
      </w:r>
    </w:p>
    <w:p w14:paraId="5F8B0607">
      <w:pPr>
        <w:rPr>
          <w:highlight w:val="none"/>
        </w:rPr>
      </w:pPr>
      <w:r>
        <w:rPr>
          <w:rFonts w:hint="eastAsia"/>
          <w:highlight w:val="none"/>
        </w:rPr>
        <w:t>11.13 提供虚假材料谋取成交资格的。</w:t>
      </w:r>
    </w:p>
    <w:p w14:paraId="5517B506">
      <w:pPr>
        <w:rPr>
          <w:highlight w:val="none"/>
        </w:rPr>
      </w:pPr>
      <w:r>
        <w:rPr>
          <w:rFonts w:hint="eastAsia"/>
          <w:highlight w:val="none"/>
        </w:rPr>
        <w:t>11.14 响应文件含有采购人不能接受的附件条件的。</w:t>
      </w:r>
    </w:p>
    <w:p w14:paraId="2C68BA82">
      <w:pPr>
        <w:pStyle w:val="3"/>
        <w:rPr>
          <w:highlight w:val="none"/>
        </w:rPr>
      </w:pPr>
      <w:r>
        <w:rPr>
          <w:rFonts w:hint="eastAsia"/>
          <w:highlight w:val="none"/>
        </w:rPr>
        <w:t>12. 询比失败情形</w:t>
      </w:r>
    </w:p>
    <w:p w14:paraId="7A8BF157">
      <w:pPr>
        <w:rPr>
          <w:highlight w:val="none"/>
        </w:rPr>
      </w:pPr>
      <w:r>
        <w:rPr>
          <w:rFonts w:hint="eastAsia"/>
          <w:highlight w:val="none"/>
        </w:rPr>
        <w:t>12.1 出现以下情形本次询比失败：</w:t>
      </w:r>
    </w:p>
    <w:p w14:paraId="6450A51D">
      <w:pPr>
        <w:rPr>
          <w:highlight w:val="none"/>
        </w:rPr>
      </w:pPr>
      <w:r>
        <w:rPr>
          <w:rFonts w:hint="eastAsia"/>
          <w:highlight w:val="none"/>
        </w:rPr>
        <w:t>12.1.1 首次询比的项目，截至响应截止时间，响应人少于3个的。</w:t>
      </w:r>
    </w:p>
    <w:p w14:paraId="35282950">
      <w:pPr>
        <w:rPr>
          <w:highlight w:val="none"/>
        </w:rPr>
      </w:pPr>
      <w:r>
        <w:rPr>
          <w:rFonts w:hint="eastAsia"/>
          <w:highlight w:val="none"/>
        </w:rPr>
        <w:t>12.1.2 经评审委员会评审后否决所有响应的。</w:t>
      </w:r>
    </w:p>
    <w:p w14:paraId="0AD87D3F">
      <w:pPr>
        <w:rPr>
          <w:highlight w:val="none"/>
        </w:rPr>
      </w:pPr>
      <w:r>
        <w:rPr>
          <w:rFonts w:hint="eastAsia"/>
          <w:highlight w:val="none"/>
        </w:rPr>
        <w:t>12.1.3 法律法规规定的其他情形。</w:t>
      </w:r>
    </w:p>
    <w:p w14:paraId="0AE1A356">
      <w:pPr>
        <w:rPr>
          <w:highlight w:val="none"/>
        </w:rPr>
      </w:pPr>
      <w:r>
        <w:rPr>
          <w:rFonts w:hint="eastAsia"/>
          <w:highlight w:val="none"/>
        </w:rPr>
        <w:t>12.2 重新询比和不再询比</w:t>
      </w:r>
    </w:p>
    <w:p w14:paraId="6BA5DFBD">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2E212ADC">
      <w:pPr>
        <w:pStyle w:val="3"/>
        <w:rPr>
          <w:highlight w:val="none"/>
        </w:rPr>
      </w:pPr>
      <w:r>
        <w:rPr>
          <w:rFonts w:hint="eastAsia"/>
          <w:highlight w:val="none"/>
        </w:rPr>
        <w:t>13. 终止</w:t>
      </w:r>
      <w:bookmarkEnd w:id="41"/>
      <w:r>
        <w:rPr>
          <w:rFonts w:hint="eastAsia"/>
          <w:highlight w:val="none"/>
        </w:rPr>
        <w:t>询比</w:t>
      </w:r>
    </w:p>
    <w:p w14:paraId="784833F9">
      <w:pPr>
        <w:rPr>
          <w:highlight w:val="none"/>
        </w:rPr>
      </w:pPr>
      <w:r>
        <w:rPr>
          <w:rFonts w:hint="eastAsia"/>
          <w:highlight w:val="none"/>
        </w:rPr>
        <w:t>13.1 因情况发生变化或其他原因造成该项目取消的，本次询比自动终止，双方互不承担责任，采购人有息退还响应保证金。</w:t>
      </w:r>
    </w:p>
    <w:p w14:paraId="1D02902F">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079CE179">
      <w:pPr>
        <w:pStyle w:val="3"/>
        <w:rPr>
          <w:highlight w:val="none"/>
        </w:rPr>
      </w:pPr>
      <w:r>
        <w:rPr>
          <w:rFonts w:hint="eastAsia"/>
          <w:highlight w:val="none"/>
        </w:rPr>
        <w:t>14. 参与项目费用</w:t>
      </w:r>
    </w:p>
    <w:p w14:paraId="20DC7ED0">
      <w:pPr>
        <w:rPr>
          <w:rFonts w:hint="eastAsia"/>
          <w:highlight w:val="none"/>
        </w:rPr>
      </w:pPr>
      <w:r>
        <w:rPr>
          <w:rFonts w:hint="eastAsia"/>
          <w:highlight w:val="none"/>
        </w:rPr>
        <w:t>响应人参与本询比项目时，一切与响应有关的费用均由响应人自理。</w:t>
      </w:r>
    </w:p>
    <w:p w14:paraId="6F43D4B9">
      <w:pPr>
        <w:rPr>
          <w:rFonts w:hint="eastAsia"/>
          <w:highlight w:val="none"/>
        </w:rPr>
      </w:pPr>
      <w:r>
        <w:rPr>
          <w:rFonts w:hint="eastAsia"/>
          <w:highlight w:val="none"/>
        </w:rPr>
        <w:t>本项目交易服务费按如下标准收取：</w:t>
      </w:r>
    </w:p>
    <w:p w14:paraId="6D2EE6EB">
      <w:pPr>
        <w:rPr>
          <w:rFonts w:hint="eastAsia"/>
          <w:highlight w:val="none"/>
        </w:rPr>
      </w:pPr>
      <w:r>
        <w:rPr>
          <w:rFonts w:hint="eastAsia"/>
          <w:highlight w:val="none"/>
        </w:rPr>
        <w:t>每个标段（包）采购成交总金额≤50万元的，按0.8万元/标段（包）收取。</w:t>
      </w:r>
    </w:p>
    <w:p w14:paraId="61E851F9">
      <w:pPr>
        <w:rPr>
          <w:rFonts w:hint="eastAsia"/>
          <w:highlight w:val="none"/>
        </w:rPr>
      </w:pPr>
      <w:r>
        <w:rPr>
          <w:rFonts w:hint="eastAsia"/>
          <w:highlight w:val="none"/>
        </w:rPr>
        <w:t>每个标段（包）采购成交总金额＞50万元的，按下表比例（按差额定率累进计算方式）收取交易服务费，不足1.5万元的，按1.5万元收取：</w:t>
      </w:r>
    </w:p>
    <w:p w14:paraId="45F94BFD">
      <w:pPr>
        <w:rPr>
          <w:rFonts w:hint="eastAsia"/>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7FB2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3176E8B">
            <w:pPr>
              <w:pStyle w:val="41"/>
              <w:bidi w:val="0"/>
              <w:rPr>
                <w:highlight w:val="none"/>
              </w:rPr>
            </w:pPr>
            <w:r>
              <w:rPr>
                <w:highlight w:val="none"/>
              </w:rPr>
              <w:t>每个标段（包）采购成交总金额</w:t>
            </w:r>
          </w:p>
        </w:tc>
        <w:tc>
          <w:tcPr>
            <w:tcW w:w="3394" w:type="dxa"/>
            <w:vAlign w:val="center"/>
          </w:tcPr>
          <w:p w14:paraId="6BF0ECEA">
            <w:pPr>
              <w:pStyle w:val="41"/>
              <w:bidi w:val="0"/>
              <w:rPr>
                <w:highlight w:val="none"/>
              </w:rPr>
            </w:pPr>
            <w:r>
              <w:rPr>
                <w:highlight w:val="none"/>
              </w:rPr>
              <w:t>收费比例</w:t>
            </w:r>
          </w:p>
        </w:tc>
      </w:tr>
      <w:tr w14:paraId="78AF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C0DBBCD">
            <w:pPr>
              <w:pStyle w:val="40"/>
              <w:bidi w:val="0"/>
              <w:jc w:val="center"/>
              <w:rPr>
                <w:highlight w:val="none"/>
              </w:rPr>
            </w:pPr>
            <w:r>
              <w:rPr>
                <w:highlight w:val="none"/>
              </w:rPr>
              <w:t>0-1000（含）万元</w:t>
            </w:r>
          </w:p>
        </w:tc>
        <w:tc>
          <w:tcPr>
            <w:tcW w:w="3394" w:type="dxa"/>
            <w:tcBorders>
              <w:left w:val="single" w:color="auto" w:sz="4" w:space="0"/>
            </w:tcBorders>
            <w:vAlign w:val="center"/>
          </w:tcPr>
          <w:p w14:paraId="2FE83E78">
            <w:pPr>
              <w:pStyle w:val="40"/>
              <w:bidi w:val="0"/>
              <w:jc w:val="center"/>
              <w:rPr>
                <w:highlight w:val="none"/>
              </w:rPr>
            </w:pPr>
            <w:r>
              <w:rPr>
                <w:highlight w:val="none"/>
              </w:rPr>
              <w:t>5‰</w:t>
            </w:r>
          </w:p>
        </w:tc>
      </w:tr>
      <w:tr w14:paraId="71D5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4255C3C">
            <w:pPr>
              <w:pStyle w:val="40"/>
              <w:bidi w:val="0"/>
              <w:jc w:val="center"/>
              <w:rPr>
                <w:highlight w:val="none"/>
              </w:rPr>
            </w:pPr>
            <w:r>
              <w:rPr>
                <w:highlight w:val="none"/>
              </w:rPr>
              <w:t>1000-3000（含）万元</w:t>
            </w:r>
          </w:p>
        </w:tc>
        <w:tc>
          <w:tcPr>
            <w:tcW w:w="3394" w:type="dxa"/>
            <w:tcBorders>
              <w:left w:val="single" w:color="auto" w:sz="4" w:space="0"/>
            </w:tcBorders>
            <w:vAlign w:val="center"/>
          </w:tcPr>
          <w:p w14:paraId="644A3D23">
            <w:pPr>
              <w:pStyle w:val="40"/>
              <w:bidi w:val="0"/>
              <w:jc w:val="center"/>
              <w:rPr>
                <w:highlight w:val="none"/>
              </w:rPr>
            </w:pPr>
            <w:r>
              <w:rPr>
                <w:highlight w:val="none"/>
              </w:rPr>
              <w:t>2.5‰</w:t>
            </w:r>
          </w:p>
        </w:tc>
      </w:tr>
      <w:tr w14:paraId="1D6C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F9B63ED">
            <w:pPr>
              <w:pStyle w:val="40"/>
              <w:bidi w:val="0"/>
              <w:jc w:val="center"/>
              <w:rPr>
                <w:highlight w:val="none"/>
              </w:rPr>
            </w:pPr>
            <w:r>
              <w:rPr>
                <w:highlight w:val="none"/>
              </w:rPr>
              <w:t>3000-10000（含）万元</w:t>
            </w:r>
          </w:p>
        </w:tc>
        <w:tc>
          <w:tcPr>
            <w:tcW w:w="3394" w:type="dxa"/>
            <w:tcBorders>
              <w:left w:val="single" w:color="auto" w:sz="4" w:space="0"/>
            </w:tcBorders>
            <w:vAlign w:val="center"/>
          </w:tcPr>
          <w:p w14:paraId="60859D34">
            <w:pPr>
              <w:pStyle w:val="40"/>
              <w:bidi w:val="0"/>
              <w:jc w:val="center"/>
              <w:rPr>
                <w:highlight w:val="none"/>
              </w:rPr>
            </w:pPr>
            <w:r>
              <w:rPr>
                <w:highlight w:val="none"/>
              </w:rPr>
              <w:t>1‰</w:t>
            </w:r>
          </w:p>
        </w:tc>
      </w:tr>
      <w:tr w14:paraId="5A7F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7B3BCC7">
            <w:pPr>
              <w:pStyle w:val="40"/>
              <w:bidi w:val="0"/>
              <w:jc w:val="center"/>
              <w:rPr>
                <w:highlight w:val="none"/>
              </w:rPr>
            </w:pPr>
            <w:r>
              <w:rPr>
                <w:highlight w:val="none"/>
              </w:rPr>
              <w:t>10000万元以上</w:t>
            </w:r>
          </w:p>
        </w:tc>
        <w:tc>
          <w:tcPr>
            <w:tcW w:w="3394" w:type="dxa"/>
            <w:tcBorders>
              <w:left w:val="single" w:color="auto" w:sz="4" w:space="0"/>
            </w:tcBorders>
            <w:vAlign w:val="center"/>
          </w:tcPr>
          <w:p w14:paraId="07E7F735">
            <w:pPr>
              <w:pStyle w:val="40"/>
              <w:bidi w:val="0"/>
              <w:jc w:val="center"/>
              <w:rPr>
                <w:highlight w:val="none"/>
              </w:rPr>
            </w:pPr>
            <w:r>
              <w:rPr>
                <w:highlight w:val="none"/>
              </w:rPr>
              <w:t>0.5‰</w:t>
            </w:r>
          </w:p>
        </w:tc>
      </w:tr>
    </w:tbl>
    <w:p w14:paraId="3CBC97A0">
      <w:pPr>
        <w:rPr>
          <w:rFonts w:hint="eastAsia"/>
          <w:highlight w:val="none"/>
        </w:rPr>
      </w:pPr>
      <w:r>
        <w:rPr>
          <w:rFonts w:hint="eastAsia"/>
          <w:highlight w:val="none"/>
        </w:rPr>
        <w:t>例如：某平台服务的某标段（包）采购成交总金额3200万元，计算交易服务费收费额如下：</w:t>
      </w:r>
    </w:p>
    <w:p w14:paraId="34FDE3C9">
      <w:pPr>
        <w:rPr>
          <w:rFonts w:hint="eastAsia"/>
          <w:highlight w:val="none"/>
        </w:rPr>
      </w:pPr>
      <w:r>
        <w:rPr>
          <w:rFonts w:hint="eastAsia"/>
          <w:highlight w:val="none"/>
        </w:rPr>
        <w:t>1000万元×5‰=5万元</w:t>
      </w:r>
    </w:p>
    <w:p w14:paraId="4C4338A8">
      <w:pPr>
        <w:rPr>
          <w:rFonts w:hint="eastAsia"/>
          <w:highlight w:val="none"/>
        </w:rPr>
      </w:pPr>
      <w:r>
        <w:rPr>
          <w:rFonts w:hint="eastAsia"/>
          <w:highlight w:val="none"/>
        </w:rPr>
        <w:t>（3000-1000）万元×2.5‰=5万元</w:t>
      </w:r>
    </w:p>
    <w:p w14:paraId="5C51B6B6">
      <w:pPr>
        <w:rPr>
          <w:rFonts w:hint="eastAsia"/>
          <w:highlight w:val="none"/>
        </w:rPr>
      </w:pPr>
      <w:r>
        <w:rPr>
          <w:rFonts w:hint="eastAsia"/>
          <w:highlight w:val="none"/>
        </w:rPr>
        <w:t>（3200-3000）万元×1‰=0.2万元</w:t>
      </w:r>
    </w:p>
    <w:p w14:paraId="5B8C78F9">
      <w:pPr>
        <w:rPr>
          <w:rFonts w:hint="eastAsia"/>
          <w:highlight w:val="none"/>
        </w:rPr>
      </w:pPr>
      <w:r>
        <w:rPr>
          <w:rFonts w:hint="eastAsia"/>
          <w:highlight w:val="none"/>
        </w:rPr>
        <w:t>合计收费：=5+5+0.2=10.2万元</w:t>
      </w:r>
    </w:p>
    <w:p w14:paraId="55B10B37">
      <w:pPr>
        <w:rPr>
          <w:rFonts w:hint="eastAsia"/>
          <w:highlight w:val="none"/>
        </w:rPr>
      </w:pPr>
    </w:p>
    <w:p w14:paraId="2787AE3A">
      <w:pPr>
        <w:rPr>
          <w:rFonts w:hint="eastAsia"/>
          <w:highlight w:val="none"/>
        </w:rPr>
      </w:pPr>
      <w:r>
        <w:rPr>
          <w:rFonts w:hint="eastAsia"/>
          <w:highlight w:val="none"/>
        </w:rPr>
        <w:t>交服务费易由成交供应商向重庆联合产权交易所集团股份有限公司支付。成交供应商应在领取成交通知书时一次性缴纳，请各响应人综合考虑进行报价。</w:t>
      </w:r>
    </w:p>
    <w:p w14:paraId="07BEED16">
      <w:pPr>
        <w:rPr>
          <w:highlight w:val="none"/>
        </w:rPr>
      </w:pPr>
      <w:r>
        <w:rPr>
          <w:highlight w:val="none"/>
        </w:rPr>
        <w:br w:type="page"/>
      </w:r>
    </w:p>
    <w:p w14:paraId="4197DA94">
      <w:pPr>
        <w:pStyle w:val="2"/>
      </w:pPr>
      <w:bookmarkStart w:id="48" w:name="_Toc30519"/>
      <w:bookmarkStart w:id="49" w:name="_Toc9555"/>
      <w:r>
        <w:rPr>
          <w:rFonts w:hint="eastAsia"/>
        </w:rPr>
        <w:t>第三章 项目要求</w:t>
      </w:r>
      <w:bookmarkEnd w:id="48"/>
      <w:bookmarkEnd w:id="49"/>
    </w:p>
    <w:p w14:paraId="5A9E12B8">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1.</w:t>
      </w:r>
      <w:r>
        <w:rPr>
          <w:rFonts w:hint="eastAsia"/>
          <w:highlight w:val="none"/>
        </w:rPr>
        <w:t>总体要求</w:t>
      </w:r>
    </w:p>
    <w:p w14:paraId="6D6D3410">
      <w:pPr>
        <w:ind w:right="240" w:firstLine="420" w:firstLineChars="200"/>
        <w:rPr>
          <w:rFonts w:hint="eastAsia" w:cs="宋体"/>
          <w:snapToGrid w:val="0"/>
          <w:color w:val="auto"/>
          <w:kern w:val="0"/>
          <w:highlight w:val="none"/>
        </w:rPr>
      </w:pPr>
      <w:r>
        <w:rPr>
          <w:rFonts w:hint="eastAsia" w:cs="宋体"/>
          <w:bCs/>
          <w:snapToGrid w:val="0"/>
          <w:color w:val="auto"/>
          <w:kern w:val="0"/>
          <w:highlight w:val="none"/>
        </w:rPr>
        <w:t>本项目分为三个</w:t>
      </w:r>
      <w:r>
        <w:rPr>
          <w:rFonts w:cs="宋体"/>
          <w:bCs/>
          <w:snapToGrid w:val="0"/>
          <w:color w:val="auto"/>
          <w:kern w:val="0"/>
          <w:highlight w:val="none"/>
        </w:rPr>
        <w:t>标段</w:t>
      </w:r>
      <w:r>
        <w:rPr>
          <w:rFonts w:hint="eastAsia" w:cs="宋体"/>
          <w:bCs/>
          <w:snapToGrid w:val="0"/>
          <w:color w:val="auto"/>
          <w:kern w:val="0"/>
          <w:highlight w:val="none"/>
        </w:rPr>
        <w:t>完成采购，</w:t>
      </w:r>
      <w:r>
        <w:rPr>
          <w:rFonts w:cs="宋体"/>
          <w:bCs/>
          <w:snapToGrid w:val="0"/>
          <w:color w:val="auto"/>
          <w:kern w:val="0"/>
          <w:highlight w:val="none"/>
        </w:rPr>
        <w:t>每个标段独立进行询比</w:t>
      </w:r>
      <w:r>
        <w:rPr>
          <w:rFonts w:hint="eastAsia" w:cs="宋体"/>
          <w:snapToGrid w:val="0"/>
          <w:color w:val="auto"/>
          <w:kern w:val="0"/>
          <w:highlight w:val="none"/>
        </w:rPr>
        <w:t>，按要求完成新采购设备的安装和部署工作</w:t>
      </w:r>
      <w:r>
        <w:rPr>
          <w:rFonts w:hint="eastAsia" w:ascii="Times New Roman" w:hAnsi="Times New Roman"/>
          <w:color w:val="auto"/>
          <w:highlight w:val="none"/>
        </w:rPr>
        <w:t>。</w:t>
      </w:r>
    </w:p>
    <w:p w14:paraId="737B20F1">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2.</w:t>
      </w:r>
      <w:r>
        <w:rPr>
          <w:rFonts w:hint="eastAsia"/>
          <w:highlight w:val="none"/>
        </w:rPr>
        <w:t>项目要求</w:t>
      </w:r>
    </w:p>
    <w:p w14:paraId="733D4AF1">
      <w:pPr>
        <w:rPr>
          <w:highlight w:val="none"/>
        </w:rPr>
      </w:pPr>
      <w:r>
        <w:rPr>
          <w:rFonts w:hint="eastAsia"/>
          <w:highlight w:val="none"/>
        </w:rPr>
        <w:t>2</w:t>
      </w:r>
      <w:r>
        <w:rPr>
          <w:highlight w:val="none"/>
        </w:rPr>
        <w:t xml:space="preserve">.1 </w:t>
      </w:r>
      <w:r>
        <w:rPr>
          <w:rFonts w:hint="eastAsia"/>
          <w:highlight w:val="none"/>
        </w:rPr>
        <w:t>项目要求</w:t>
      </w:r>
    </w:p>
    <w:p w14:paraId="61702751">
      <w:pPr>
        <w:rPr>
          <w:highlight w:val="none"/>
        </w:rPr>
      </w:pPr>
      <w:r>
        <w:rPr>
          <w:highlight w:val="none"/>
        </w:rPr>
        <w:t>1</w:t>
      </w:r>
      <w:r>
        <w:rPr>
          <w:rFonts w:hint="eastAsia"/>
          <w:highlight w:val="none"/>
        </w:rPr>
        <w:t>）此次采购的设备应与具有相应的后续扩容性，满足市场主流产品的兼容性；</w:t>
      </w:r>
    </w:p>
    <w:p w14:paraId="65708C7A">
      <w:pPr>
        <w:rPr>
          <w:highlight w:val="none"/>
        </w:rPr>
      </w:pPr>
      <w:r>
        <w:rPr>
          <w:highlight w:val="none"/>
        </w:rPr>
        <w:t>2</w:t>
      </w:r>
      <w:r>
        <w:rPr>
          <w:rFonts w:hint="eastAsia"/>
          <w:highlight w:val="none"/>
        </w:rPr>
        <w:t>）保证所采购设备均为原厂正规渠道行货，供货商需获得原厂授权证明文件。</w:t>
      </w:r>
    </w:p>
    <w:p w14:paraId="3683E111">
      <w:pPr>
        <w:rPr>
          <w:highlight w:val="none"/>
        </w:rPr>
      </w:pPr>
      <w:r>
        <w:rPr>
          <w:rFonts w:hint="eastAsia"/>
          <w:highlight w:val="none"/>
        </w:rPr>
        <w:t>2</w:t>
      </w:r>
      <w:r>
        <w:rPr>
          <w:highlight w:val="none"/>
        </w:rPr>
        <w:t xml:space="preserve">.2 </w:t>
      </w:r>
      <w:r>
        <w:rPr>
          <w:rFonts w:hint="eastAsia"/>
          <w:highlight w:val="none"/>
        </w:rPr>
        <w:t>下列技术要求是对本次采购设备的关键性描述，响应人必须严格遵守：</w:t>
      </w:r>
    </w:p>
    <w:p w14:paraId="1C719A19">
      <w:pPr>
        <w:rPr>
          <w:highlight w:val="none"/>
        </w:rPr>
      </w:pPr>
      <w:r>
        <w:rPr>
          <w:rFonts w:hint="eastAsia"/>
          <w:highlight w:val="none"/>
        </w:rPr>
        <w:t>1）先进性：技术选择考虑先进性，即采用业界先进的、主流技术来进行设计。</w:t>
      </w:r>
    </w:p>
    <w:p w14:paraId="0A7D0AEE">
      <w:pPr>
        <w:rPr>
          <w:highlight w:val="none"/>
        </w:rPr>
      </w:pPr>
      <w:r>
        <w:rPr>
          <w:rFonts w:hint="eastAsia"/>
          <w:highlight w:val="none"/>
        </w:rPr>
        <w:t>2）成熟性：采用成熟的技术及成熟产品和经过工程实践检验的先进技术。</w:t>
      </w:r>
    </w:p>
    <w:p w14:paraId="607D5664">
      <w:pPr>
        <w:rPr>
          <w:highlight w:val="none"/>
        </w:rPr>
      </w:pPr>
      <w:r>
        <w:rPr>
          <w:rFonts w:hint="eastAsia"/>
          <w:highlight w:val="none"/>
        </w:rPr>
        <w:t>3）开放性：系统采用开放的技术标准，保证将来交互平台的延展使用。</w:t>
      </w:r>
    </w:p>
    <w:p w14:paraId="122D4E9D">
      <w:pPr>
        <w:rPr>
          <w:highlight w:val="none"/>
        </w:rPr>
      </w:pPr>
      <w:r>
        <w:rPr>
          <w:rFonts w:hint="eastAsia"/>
          <w:highlight w:val="none"/>
        </w:rPr>
        <w:t>4）标准化：系统采用标准化的设计和标准化的主流产品。</w:t>
      </w:r>
    </w:p>
    <w:p w14:paraId="23568BAC">
      <w:pPr>
        <w:rPr>
          <w:highlight w:val="none"/>
        </w:rPr>
      </w:pPr>
      <w:r>
        <w:rPr>
          <w:rFonts w:hint="eastAsia"/>
          <w:highlight w:val="none"/>
        </w:rPr>
        <w:t>5）可扩展性：本次设备采购充分考虑未来3年的发展，为将来的扩展留有余地。</w:t>
      </w:r>
    </w:p>
    <w:p w14:paraId="683A221F">
      <w:pPr>
        <w:rPr>
          <w:highlight w:val="none"/>
        </w:rPr>
      </w:pPr>
      <w:r>
        <w:rPr>
          <w:rFonts w:hint="eastAsia"/>
          <w:highlight w:val="none"/>
        </w:rPr>
        <w:t>6）安全性及可靠性：包括系统自身安全和信息传递的安全。</w:t>
      </w:r>
    </w:p>
    <w:p w14:paraId="3EEC66AC">
      <w:pPr>
        <w:rPr>
          <w:color w:val="auto"/>
          <w:highlight w:val="none"/>
        </w:rPr>
      </w:pPr>
      <w:r>
        <w:rPr>
          <w:rFonts w:hint="eastAsia"/>
          <w:color w:val="auto"/>
          <w:highlight w:val="none"/>
        </w:rPr>
        <w:t>7）兼容性：本次采购的设备可以接入未来互联网视频会议设备主流产品。</w:t>
      </w:r>
    </w:p>
    <w:p w14:paraId="4F1A2A02">
      <w:pPr>
        <w:rPr>
          <w:color w:val="auto"/>
          <w:highlight w:val="none"/>
        </w:rPr>
      </w:pPr>
      <w:r>
        <w:rPr>
          <w:color w:val="auto"/>
          <w:highlight w:val="none"/>
        </w:rPr>
        <w:t xml:space="preserve">2.3 </w:t>
      </w:r>
      <w:r>
        <w:rPr>
          <w:rFonts w:ascii="Times New Roman" w:hAnsi="Times New Roman"/>
          <w:color w:val="auto"/>
          <w:highlight w:val="none"/>
        </w:rPr>
        <w:t>响应人需承诺光模块数量及类型，根据采购人实际部署及实际使用需求进行无条件提供，最高不超过设备的满配数量。</w:t>
      </w:r>
    </w:p>
    <w:p w14:paraId="4A6D4E61">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3.</w:t>
      </w:r>
      <w:r>
        <w:rPr>
          <w:highlight w:val="none"/>
        </w:rPr>
        <w:t>技术</w:t>
      </w:r>
      <w:r>
        <w:rPr>
          <w:rFonts w:hint="eastAsia"/>
          <w:highlight w:val="none"/>
        </w:rPr>
        <w:t>要求</w:t>
      </w:r>
    </w:p>
    <w:p w14:paraId="35477A0D">
      <w:pPr>
        <w:rPr>
          <w:rFonts w:hint="eastAsia" w:ascii="宋体"/>
          <w:b/>
          <w:color w:val="000000"/>
          <w:szCs w:val="24"/>
          <w:highlight w:val="none"/>
        </w:rPr>
      </w:pPr>
      <w:r>
        <w:rPr>
          <w:color w:val="000000"/>
          <w:highlight w:val="none"/>
        </w:rPr>
        <w:t>在本次询比中，</w:t>
      </w:r>
      <w:r>
        <w:rPr>
          <w:rFonts w:hint="eastAsia"/>
          <w:color w:val="000000"/>
          <w:highlight w:val="none"/>
        </w:rPr>
        <w:t>响应人</w:t>
      </w:r>
      <w:r>
        <w:rPr>
          <w:color w:val="000000"/>
          <w:highlight w:val="none"/>
        </w:rPr>
        <w:t>须保证所提供的设备满足下列相关指</w:t>
      </w:r>
      <w:bookmarkStart w:id="50" w:name="OLE_LINK1"/>
      <w:r>
        <w:rPr>
          <w:color w:val="000000"/>
          <w:highlight w:val="none"/>
        </w:rPr>
        <w:t>标</w:t>
      </w:r>
      <w:bookmarkEnd w:id="50"/>
      <w:r>
        <w:rPr>
          <w:color w:val="000000"/>
          <w:highlight w:val="none"/>
        </w:rPr>
        <w:t>要求，并在不影响应用运行及改变系统架构前提下，能平滑过渡升级满足未来3至5年的需求，并提供本项目涉及软硬件的5年原厂维保服务及7*24*4原厂响应服务。</w:t>
      </w:r>
      <w:r>
        <w:rPr>
          <w:rFonts w:hint="eastAsia"/>
          <w:color w:val="000000"/>
          <w:highlight w:val="none"/>
        </w:rPr>
        <w:t>响应人应对</w:t>
      </w:r>
      <w:r>
        <w:rPr>
          <w:rFonts w:hint="eastAsia"/>
          <w:color w:val="000000"/>
          <w:highlight w:val="none"/>
          <w:lang w:val="en-US" w:eastAsia="zh-CN"/>
        </w:rPr>
        <w:t>本章第3.1条对应标段的</w:t>
      </w:r>
      <w:r>
        <w:rPr>
          <w:rFonts w:hint="eastAsia"/>
          <w:color w:val="000000"/>
          <w:highlight w:val="none"/>
        </w:rPr>
        <w:t>技术</w:t>
      </w:r>
      <w:r>
        <w:rPr>
          <w:rFonts w:hint="eastAsia"/>
          <w:color w:val="000000"/>
          <w:highlight w:val="none"/>
          <w:lang w:val="en-US" w:eastAsia="zh-CN"/>
        </w:rPr>
        <w:t>参数</w:t>
      </w:r>
      <w:r>
        <w:rPr>
          <w:rFonts w:hint="eastAsia"/>
          <w:color w:val="000000"/>
          <w:highlight w:val="none"/>
        </w:rPr>
        <w:t>要求提供技术条款偏离表，内容齐全、无遗漏，</w:t>
      </w:r>
      <w:r>
        <w:rPr>
          <w:rFonts w:hint="eastAsia" w:ascii="宋体"/>
          <w:b/>
          <w:color w:val="000000"/>
          <w:szCs w:val="24"/>
          <w:highlight w:val="none"/>
        </w:rPr>
        <w:t>所有技术参数要求皆可正偏离，</w:t>
      </w:r>
      <w:r>
        <w:rPr>
          <w:rFonts w:ascii="宋体"/>
          <w:b/>
          <w:color w:val="000000"/>
          <w:szCs w:val="24"/>
          <w:highlight w:val="none"/>
        </w:rPr>
        <w:t>不接受有负偏离项</w:t>
      </w:r>
      <w:r>
        <w:rPr>
          <w:rFonts w:hint="eastAsia" w:ascii="宋体"/>
          <w:b/>
          <w:color w:val="000000"/>
          <w:szCs w:val="24"/>
          <w:highlight w:val="none"/>
        </w:rPr>
        <w:t>,响应人需对所有参数要求满足需求情况做出整体承诺。【提供技术条款偏离表】</w:t>
      </w:r>
    </w:p>
    <w:p w14:paraId="52C8AE22">
      <w:pPr>
        <w:pStyle w:val="4"/>
        <w:bidi w:val="0"/>
        <w:rPr>
          <w:lang w:val="en-US" w:eastAsia="zh-CN"/>
        </w:rPr>
      </w:pPr>
      <w:r>
        <w:rPr>
          <w:lang w:val="en-US" w:eastAsia="zh-CN"/>
        </w:rPr>
        <w:t>3</w:t>
      </w:r>
      <w:r>
        <w:rPr>
          <w:rFonts w:hint="eastAsia"/>
          <w:lang w:val="en-US" w:eastAsia="zh-CN"/>
        </w:rPr>
        <w:t>.1 技术参数要求</w:t>
      </w:r>
    </w:p>
    <w:p w14:paraId="1DB456CD">
      <w:pPr>
        <w:pStyle w:val="5"/>
        <w:bidi w:val="0"/>
        <w:rPr>
          <w:lang w:val="en-US" w:eastAsia="zh-CN"/>
        </w:rPr>
      </w:pPr>
      <w:r>
        <w:rPr>
          <w:lang w:val="en-US" w:eastAsia="zh-CN"/>
        </w:rPr>
        <w:t>1.（标段1：路由交换设备）</w:t>
      </w:r>
    </w:p>
    <w:tbl>
      <w:tblPr>
        <w:tblStyle w:val="19"/>
        <w:tblW w:w="8562"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7524"/>
      </w:tblGrid>
      <w:tr w14:paraId="4447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D4E2105">
            <w:pPr>
              <w:pStyle w:val="41"/>
              <w:bidi w:val="0"/>
              <w:rPr>
                <w:rFonts w:hint="eastAsia"/>
              </w:rPr>
            </w:pPr>
            <w:r>
              <w:t xml:space="preserve">1.1 </w:t>
            </w:r>
            <w:r>
              <w:rPr>
                <w:rFonts w:hint="eastAsia"/>
              </w:rPr>
              <w:t>千兆接入交换机</w:t>
            </w:r>
          </w:p>
        </w:tc>
      </w:tr>
      <w:tr w14:paraId="63BD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19CB7F3">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0E75204">
            <w:pPr>
              <w:pStyle w:val="41"/>
              <w:bidi w:val="0"/>
              <w:rPr>
                <w:rFonts w:hint="eastAsia"/>
              </w:rPr>
            </w:pPr>
            <w:r>
              <w:rPr>
                <w:rFonts w:hint="eastAsia"/>
              </w:rPr>
              <w:t>参数要求</w:t>
            </w:r>
          </w:p>
        </w:tc>
      </w:tr>
      <w:tr w14:paraId="0C83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21E07423">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6EB8D5F">
            <w:pPr>
              <w:pStyle w:val="40"/>
              <w:bidi w:val="0"/>
              <w:rPr>
                <w:rFonts w:hint="eastAsia"/>
              </w:rPr>
            </w:pPr>
            <w:r>
              <w:rPr>
                <w:rFonts w:hint="eastAsia"/>
              </w:rPr>
              <w:t>非OEM设备，采用国产CPU、国产转发芯片；设备采用国产操作系统；</w:t>
            </w:r>
          </w:p>
        </w:tc>
      </w:tr>
      <w:tr w14:paraId="1513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32B32D5">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743931">
            <w:pPr>
              <w:pStyle w:val="40"/>
              <w:bidi w:val="0"/>
              <w:rPr>
                <w:rFonts w:hint="eastAsia"/>
              </w:rPr>
            </w:pPr>
            <w:r>
              <w:rPr>
                <w:rFonts w:hint="eastAsia"/>
              </w:rPr>
              <w:t>10/100/1000Base-T以太网接口≥48个，万兆SFP+接口≥4个;配置可插拔双电源；配置2个独立堆叠口，单个堆叠口速率≥12Gbps；</w:t>
            </w:r>
          </w:p>
        </w:tc>
      </w:tr>
      <w:tr w14:paraId="77DE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1E0220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9786E52">
            <w:pPr>
              <w:pStyle w:val="40"/>
              <w:bidi w:val="0"/>
              <w:rPr>
                <w:rFonts w:hint="eastAsia"/>
              </w:rPr>
            </w:pPr>
            <w:r>
              <w:rPr>
                <w:rFonts w:hint="eastAsia"/>
              </w:rPr>
              <w:t>交换容量≥430Gbps，包转发率≥207Mpps；官网存在A/B值的，以小值为准；</w:t>
            </w:r>
          </w:p>
        </w:tc>
      </w:tr>
      <w:tr w14:paraId="7EC6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ED3AB97">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5AAB6AE">
            <w:pPr>
              <w:pStyle w:val="40"/>
              <w:bidi w:val="0"/>
              <w:rPr>
                <w:rFonts w:hint="eastAsia"/>
              </w:rPr>
            </w:pPr>
            <w:r>
              <w:rPr>
                <w:rFonts w:hint="eastAsia"/>
              </w:rPr>
              <w:t>支持VLAN，支持STP/MSTP生成树协议，支持端口镜像；</w:t>
            </w:r>
          </w:p>
        </w:tc>
      </w:tr>
      <w:tr w14:paraId="4748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F4170C1">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36FB61D8">
            <w:pPr>
              <w:pStyle w:val="40"/>
              <w:bidi w:val="0"/>
              <w:rPr>
                <w:rFonts w:hint="eastAsia"/>
              </w:rPr>
            </w:pPr>
            <w:r>
              <w:rPr>
                <w:rFonts w:hint="eastAsia"/>
              </w:rPr>
              <w:t>支持 RIP、RIPng、OSPF、IS-ISv6、 BGP、BGP4+；</w:t>
            </w:r>
          </w:p>
        </w:tc>
      </w:tr>
      <w:tr w14:paraId="5A05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E161E3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27054F">
            <w:pPr>
              <w:pStyle w:val="40"/>
              <w:bidi w:val="0"/>
              <w:rPr>
                <w:rFonts w:hint="eastAsia"/>
              </w:rPr>
            </w:pPr>
            <w:r>
              <w:rPr>
                <w:rFonts w:hint="eastAsia"/>
              </w:rPr>
              <w:t>支持 IPv6 Ping、IPv6 Tracert、IPv6 Telnet；</w:t>
            </w:r>
          </w:p>
        </w:tc>
      </w:tr>
      <w:tr w14:paraId="33267C53">
        <w:tblPrEx>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262C3E76">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383FE8F4">
            <w:pPr>
              <w:pStyle w:val="40"/>
              <w:bidi w:val="0"/>
              <w:rPr>
                <w:rFonts w:hint="eastAsia"/>
              </w:rPr>
            </w:pPr>
            <w:r>
              <w:rPr>
                <w:rFonts w:hint="eastAsia"/>
              </w:rPr>
              <w:t>支持 PIM DM、PIM SSM、PIM SM;</w:t>
            </w:r>
          </w:p>
        </w:tc>
      </w:tr>
      <w:tr w14:paraId="4AE9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5408A3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56424C09">
            <w:pPr>
              <w:pStyle w:val="40"/>
              <w:bidi w:val="0"/>
              <w:rPr>
                <w:rFonts w:hint="eastAsia"/>
              </w:rPr>
            </w:pPr>
            <w:r>
              <w:rPr>
                <w:rFonts w:hint="eastAsia"/>
              </w:rPr>
              <w:t>支持IGMP v1/v2/v3 Snooping;</w:t>
            </w:r>
          </w:p>
        </w:tc>
      </w:tr>
      <w:tr w14:paraId="2325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43D0DC8">
            <w:pPr>
              <w:pStyle w:val="40"/>
              <w:bidi w:val="0"/>
              <w:rPr>
                <w:rFonts w:hint="eastAsia"/>
              </w:rPr>
            </w:pPr>
            <w:r>
              <w:rPr>
                <w:rFonts w:hint="eastAsia"/>
              </w:rPr>
              <w:t>ACL及QOS功能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766CC82B">
            <w:pPr>
              <w:pStyle w:val="40"/>
              <w:bidi w:val="0"/>
              <w:rPr>
                <w:rFonts w:hint="eastAsia"/>
              </w:rPr>
            </w:pPr>
            <w:r>
              <w:rPr>
                <w:rFonts w:hint="eastAsia"/>
              </w:rPr>
              <w:t>端口流量监管，CAR 双速率三色标记;</w:t>
            </w:r>
          </w:p>
        </w:tc>
      </w:tr>
      <w:tr w14:paraId="10EA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C23A159"/>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2B6DAEDF">
            <w:pPr>
              <w:pStyle w:val="40"/>
              <w:bidi w:val="0"/>
              <w:rPr>
                <w:rFonts w:hint="eastAsia"/>
              </w:rPr>
            </w:pPr>
            <w:r>
              <w:rPr>
                <w:rFonts w:hint="eastAsia"/>
              </w:rPr>
              <w:t>DRR、SP、 DRR+SP 队列调度算法;</w:t>
            </w:r>
          </w:p>
        </w:tc>
      </w:tr>
      <w:tr w14:paraId="64D8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21458BCD">
            <w:pPr>
              <w:pStyle w:val="40"/>
              <w:bidi w:val="0"/>
              <w:rPr>
                <w:rFonts w:hint="eastAsia"/>
              </w:rPr>
            </w:pPr>
            <w:r>
              <w:rPr>
                <w:rFonts w:hint="eastAsia"/>
              </w:rPr>
              <w:t>内存</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2080D03">
            <w:pPr>
              <w:pStyle w:val="40"/>
              <w:bidi w:val="0"/>
              <w:rPr>
                <w:rFonts w:hint="eastAsia"/>
              </w:rPr>
            </w:pPr>
            <w:r>
              <w:rPr>
                <w:rFonts w:hint="eastAsia"/>
              </w:rPr>
              <w:t>内存支持2GB，2GB容量保证系统可靠运行，未来升级预留空间，未来可以安装第三方软件；</w:t>
            </w:r>
          </w:p>
        </w:tc>
      </w:tr>
      <w:tr w14:paraId="3D27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686BE4FD">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5633B2E">
            <w:pPr>
              <w:pStyle w:val="40"/>
              <w:bidi w:val="0"/>
              <w:rPr>
                <w:rFonts w:hint="eastAsia"/>
              </w:rPr>
            </w:pPr>
            <w:r>
              <w:rPr>
                <w:rFonts w:hint="eastAsia"/>
              </w:rPr>
              <w:t>支持堆叠 、堆叠快速升级；</w:t>
            </w:r>
          </w:p>
        </w:tc>
      </w:tr>
      <w:tr w14:paraId="0762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ED9C1E2">
            <w:pPr>
              <w:pStyle w:val="40"/>
              <w:bidi w:val="0"/>
              <w:rPr>
                <w:rFonts w:hint="eastAsia"/>
              </w:rPr>
            </w:pPr>
            <w:r>
              <w:rPr>
                <w:rFonts w:hint="eastAsia"/>
              </w:rPr>
              <w:t>维护管理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E3492F">
            <w:pPr>
              <w:pStyle w:val="40"/>
              <w:bidi w:val="0"/>
              <w:rPr>
                <w:rFonts w:hint="eastAsia"/>
              </w:rPr>
            </w:pPr>
            <w:r>
              <w:rPr>
                <w:rFonts w:hint="eastAsia"/>
              </w:rPr>
              <w:t>支持虚拟电缆检测，支持 SNMPv1/v2c/v3，支持 RMON；</w:t>
            </w:r>
          </w:p>
        </w:tc>
      </w:tr>
      <w:tr w14:paraId="000D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4D4661B"/>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4E2A39">
            <w:pPr>
              <w:pStyle w:val="40"/>
              <w:bidi w:val="0"/>
              <w:rPr>
                <w:rFonts w:hint="eastAsia"/>
              </w:rPr>
            </w:pPr>
            <w:r>
              <w:rPr>
                <w:rFonts w:hint="eastAsia"/>
              </w:rPr>
              <w:t>支持系统日志、分级告警；</w:t>
            </w:r>
          </w:p>
        </w:tc>
      </w:tr>
      <w:tr w14:paraId="0E2F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79031E4">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CA19B50">
            <w:pPr>
              <w:pStyle w:val="40"/>
              <w:bidi w:val="0"/>
              <w:rPr>
                <w:rFonts w:hint="eastAsia"/>
              </w:rPr>
            </w:pPr>
            <w:r>
              <w:rPr>
                <w:rFonts w:hint="eastAsia"/>
              </w:rPr>
              <w:t>设备入网时间≥2年；</w:t>
            </w:r>
          </w:p>
        </w:tc>
      </w:tr>
      <w:tr w14:paraId="64EC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286EF17C">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B57DCF">
            <w:pPr>
              <w:pStyle w:val="40"/>
              <w:bidi w:val="0"/>
              <w:rPr>
                <w:rFonts w:hint="eastAsia" w:eastAsia="宋体"/>
                <w:lang w:eastAsia="zh-CN"/>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078B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000000" w:sz="6" w:space="0"/>
              <w:right w:val="single" w:color="auto" w:sz="6" w:space="0"/>
              <w:tl2br w:val="nil"/>
              <w:tr2bl w:val="nil"/>
            </w:tcBorders>
            <w:shd w:val="clear" w:color="auto" w:fill="auto"/>
            <w:noWrap/>
            <w:vAlign w:val="center"/>
          </w:tcPr>
          <w:p w14:paraId="4783CFDE">
            <w:pPr>
              <w:pStyle w:val="40"/>
              <w:bidi w:val="0"/>
              <w:rPr>
                <w:rFonts w:hint="eastAsia"/>
              </w:rPr>
            </w:pPr>
            <w:r>
              <w:rPr>
                <w:rFonts w:hint="eastAsia"/>
              </w:rPr>
              <w:t>数量（台）</w:t>
            </w:r>
          </w:p>
        </w:tc>
        <w:tc>
          <w:tcPr>
            <w:tcW w:w="7524" w:type="dxa"/>
            <w:tcBorders>
              <w:top w:val="single" w:color="auto" w:sz="6" w:space="0"/>
              <w:left w:val="single" w:color="auto" w:sz="6" w:space="0"/>
              <w:bottom w:val="single" w:color="000000" w:sz="6" w:space="0"/>
              <w:right w:val="single" w:color="auto" w:sz="6" w:space="0"/>
              <w:tl2br w:val="nil"/>
              <w:tr2bl w:val="nil"/>
            </w:tcBorders>
            <w:shd w:val="clear" w:color="auto" w:fill="auto"/>
            <w:noWrap/>
          </w:tcPr>
          <w:p w14:paraId="4886C8B6">
            <w:pPr>
              <w:pStyle w:val="40"/>
              <w:bidi w:val="0"/>
              <w:rPr>
                <w:rFonts w:hint="eastAsia"/>
              </w:rPr>
            </w:pPr>
            <w:r>
              <w:rPr>
                <w:rFonts w:hint="eastAsia"/>
              </w:rPr>
              <w:t>28</w:t>
            </w:r>
          </w:p>
        </w:tc>
      </w:tr>
      <w:tr w14:paraId="0D22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nil"/>
              <w:bottom w:val="single" w:color="auto" w:sz="6" w:space="0"/>
              <w:right w:val="nil"/>
              <w:tl2br w:val="nil"/>
              <w:tr2bl w:val="nil"/>
            </w:tcBorders>
            <w:shd w:val="clear" w:color="auto" w:fill="auto"/>
            <w:noWrap/>
            <w:vAlign w:val="center"/>
          </w:tcPr>
          <w:p w14:paraId="612AC7EC">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7F06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590115">
            <w:pPr>
              <w:pStyle w:val="41"/>
              <w:bidi w:val="0"/>
              <w:rPr>
                <w:rFonts w:hint="eastAsia"/>
              </w:rPr>
            </w:pPr>
            <w:r>
              <w:t xml:space="preserve">1.2 </w:t>
            </w:r>
            <w:r>
              <w:rPr>
                <w:rFonts w:hint="eastAsia"/>
              </w:rPr>
              <w:t>万兆接入交换机1</w:t>
            </w:r>
          </w:p>
        </w:tc>
      </w:tr>
      <w:tr w14:paraId="20BB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ADBC9F">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A91A66">
            <w:pPr>
              <w:pStyle w:val="41"/>
              <w:bidi w:val="0"/>
              <w:rPr>
                <w:rFonts w:hint="eastAsia"/>
              </w:rPr>
            </w:pPr>
            <w:r>
              <w:rPr>
                <w:rFonts w:hint="eastAsia"/>
              </w:rPr>
              <w:t>参数要求</w:t>
            </w:r>
          </w:p>
        </w:tc>
      </w:tr>
      <w:tr w14:paraId="54C97709">
        <w:tblPrEx>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7F5944C">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074401">
            <w:pPr>
              <w:pStyle w:val="40"/>
              <w:bidi w:val="0"/>
              <w:rPr>
                <w:rFonts w:hint="eastAsia"/>
              </w:rPr>
            </w:pPr>
            <w:r>
              <w:rPr>
                <w:rFonts w:hint="eastAsia"/>
              </w:rPr>
              <w:t>非OEM设备，采用国产CPU、国产转发芯片；设备采用国产操作系统；</w:t>
            </w:r>
          </w:p>
        </w:tc>
      </w:tr>
      <w:tr w14:paraId="2BC54D24">
        <w:tblPrEx>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B97CAB">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E753A2">
            <w:pPr>
              <w:pStyle w:val="40"/>
              <w:bidi w:val="0"/>
              <w:rPr>
                <w:rFonts w:hint="eastAsia"/>
              </w:rPr>
            </w:pPr>
            <w:r>
              <w:rPr>
                <w:rFonts w:hint="eastAsia"/>
              </w:rPr>
              <w:t>设备为数据中心盒式交换机；</w:t>
            </w:r>
          </w:p>
        </w:tc>
      </w:tr>
      <w:tr w14:paraId="2C8F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5476EF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83A2567">
            <w:pPr>
              <w:pStyle w:val="40"/>
              <w:bidi w:val="0"/>
              <w:rPr>
                <w:rFonts w:hint="eastAsia"/>
              </w:rPr>
            </w:pPr>
            <w:r>
              <w:rPr>
                <w:rFonts w:hint="eastAsia"/>
              </w:rPr>
              <w:t>配置10GE SFP+端口≥48个，100GE QSFP28端口（支持自适应到40G）≥6个;配置可插拔双电源；</w:t>
            </w:r>
          </w:p>
        </w:tc>
      </w:tr>
      <w:tr w14:paraId="3E11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A9EF37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0EB904">
            <w:pPr>
              <w:pStyle w:val="40"/>
              <w:bidi w:val="0"/>
              <w:rPr>
                <w:rFonts w:hint="eastAsia"/>
              </w:rPr>
            </w:pPr>
            <w:r>
              <w:rPr>
                <w:rFonts w:hint="eastAsia"/>
              </w:rPr>
              <w:t>交换容量≥4.8Tbps，包转发率≥2000Mpps，官网存在A/B值的，以小值为准；</w:t>
            </w:r>
          </w:p>
        </w:tc>
      </w:tr>
      <w:tr w14:paraId="1240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FA28E4">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F90AA9D">
            <w:pPr>
              <w:pStyle w:val="40"/>
              <w:bidi w:val="0"/>
              <w:rPr>
                <w:rFonts w:hint="eastAsia"/>
              </w:rPr>
            </w:pPr>
            <w:r>
              <w:rPr>
                <w:rFonts w:hint="eastAsia"/>
              </w:rPr>
              <w:t>支持VLAN，支持STP/MSTP生成树协议，支持 QinQ；</w:t>
            </w:r>
          </w:p>
        </w:tc>
      </w:tr>
      <w:tr w14:paraId="2A71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B11654">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A7DA6BA">
            <w:pPr>
              <w:pStyle w:val="40"/>
              <w:bidi w:val="0"/>
              <w:rPr>
                <w:rFonts w:hint="eastAsia"/>
              </w:rPr>
            </w:pPr>
            <w:r>
              <w:rPr>
                <w:rFonts w:hint="eastAsia"/>
              </w:rPr>
              <w:t>支持 RIP、OSPF、ISIS、BGP 等 IPv4 动态路由协议,支持 RIPng、OSPFv3、ISISv6、BGP4+等 IPv6 动态路由协议；</w:t>
            </w:r>
          </w:p>
        </w:tc>
      </w:tr>
      <w:tr w14:paraId="0078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669045"/>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C7A9DBC">
            <w:pPr>
              <w:pStyle w:val="40"/>
              <w:bidi w:val="0"/>
              <w:rPr>
                <w:rFonts w:hint="eastAsia"/>
              </w:rPr>
            </w:pPr>
            <w:r>
              <w:rPr>
                <w:rFonts w:hint="eastAsia"/>
              </w:rPr>
              <w:t>支持IPv6 VXLAN over IPv4；</w:t>
            </w:r>
          </w:p>
        </w:tc>
      </w:tr>
      <w:tr w14:paraId="340B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AF1DFE">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8B4ED7A">
            <w:pPr>
              <w:pStyle w:val="40"/>
              <w:bidi w:val="0"/>
              <w:rPr>
                <w:rFonts w:hint="eastAsia"/>
              </w:rPr>
            </w:pPr>
            <w:r>
              <w:rPr>
                <w:rFonts w:hint="eastAsia"/>
              </w:rPr>
              <w:t>支持 IGMP、PIM-SM 等组播路由协议；</w:t>
            </w:r>
          </w:p>
        </w:tc>
      </w:tr>
      <w:tr w14:paraId="03E7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96B821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D319FF">
            <w:pPr>
              <w:pStyle w:val="40"/>
              <w:bidi w:val="0"/>
              <w:rPr>
                <w:rFonts w:hint="eastAsia"/>
              </w:rPr>
            </w:pPr>
            <w:r>
              <w:rPr>
                <w:rFonts w:hint="eastAsia"/>
              </w:rPr>
              <w:t>支持 Igmp snooping proxy；</w:t>
            </w:r>
          </w:p>
        </w:tc>
      </w:tr>
      <w:tr w14:paraId="5E1F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D76FCA">
            <w:pPr>
              <w:pStyle w:val="40"/>
              <w:bidi w:val="0"/>
              <w:rPr>
                <w:rFonts w:hint="eastAsia"/>
              </w:rPr>
            </w:pPr>
            <w:r>
              <w:rPr>
                <w:rFonts w:hint="eastAsia"/>
              </w:rPr>
              <w:t>ACL及QOS功能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2F60AC0B">
            <w:pPr>
              <w:pStyle w:val="40"/>
              <w:bidi w:val="0"/>
              <w:rPr>
                <w:rFonts w:hint="eastAsia"/>
              </w:rPr>
            </w:pPr>
            <w:r>
              <w:rPr>
                <w:rFonts w:hint="eastAsia"/>
              </w:rPr>
              <w:t>支持 PQ、DRR、 PQ+DRR 等队列调度方式；</w:t>
            </w:r>
          </w:p>
        </w:tc>
      </w:tr>
      <w:tr w14:paraId="51F4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6996F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64B9B9EE">
            <w:pPr>
              <w:pStyle w:val="40"/>
              <w:bidi w:val="0"/>
              <w:rPr>
                <w:rFonts w:hint="eastAsia"/>
              </w:rPr>
            </w:pPr>
            <w:r>
              <w:rPr>
                <w:rFonts w:hint="eastAsia"/>
              </w:rPr>
              <w:t>支持流量整形；</w:t>
            </w:r>
          </w:p>
        </w:tc>
      </w:tr>
      <w:tr w14:paraId="53CC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nil"/>
              <w:right w:val="single" w:color="auto" w:sz="6" w:space="0"/>
              <w:tl2br w:val="nil"/>
              <w:tr2bl w:val="nil"/>
            </w:tcBorders>
            <w:shd w:val="clear" w:color="auto" w:fill="auto"/>
            <w:noWrap/>
            <w:vAlign w:val="center"/>
          </w:tcPr>
          <w:p w14:paraId="7E70F25A">
            <w:pPr>
              <w:pStyle w:val="40"/>
              <w:bidi w:val="0"/>
              <w:rPr>
                <w:rFonts w:hint="eastAsia"/>
              </w:rPr>
            </w:pPr>
            <w:r>
              <w:rPr>
                <w:rFonts w:hint="eastAsia"/>
              </w:rPr>
              <w:t>DC特性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AC9CC4D">
            <w:pPr>
              <w:pStyle w:val="40"/>
              <w:bidi w:val="0"/>
              <w:rPr>
                <w:rFonts w:hint="eastAsia"/>
              </w:rPr>
            </w:pPr>
            <w:r>
              <w:rPr>
                <w:rFonts w:hint="eastAsia"/>
              </w:rPr>
              <w:t>支持 BGP-EVPN，支持 VXLAN routing 和 VXLAN bridging；</w:t>
            </w:r>
          </w:p>
        </w:tc>
      </w:tr>
      <w:tr w14:paraId="1387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nil"/>
              <w:right w:val="single" w:color="auto" w:sz="6" w:space="0"/>
              <w:tl2br w:val="nil"/>
              <w:tr2bl w:val="nil"/>
            </w:tcBorders>
            <w:shd w:val="clear" w:color="auto" w:fill="auto"/>
            <w:noWrap/>
            <w:vAlign w:val="center"/>
          </w:tcPr>
          <w:p w14:paraId="152E72FB">
            <w:pPr>
              <w:pStyle w:val="40"/>
              <w:bidi w:val="0"/>
              <w:rPr>
                <w:rFonts w:hint="eastAsia"/>
              </w:rPr>
            </w:pPr>
            <w:r>
              <w:rPr>
                <w:rFonts w:hint="eastAsia"/>
              </w:rPr>
              <w:t>安全</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EBD436C">
            <w:pPr>
              <w:pStyle w:val="40"/>
              <w:bidi w:val="0"/>
              <w:rPr>
                <w:rFonts w:hint="eastAsia"/>
              </w:rPr>
            </w:pPr>
            <w:r>
              <w:rPr>
                <w:rFonts w:hint="eastAsia"/>
              </w:rPr>
              <w:t>支持防止全零监听；支持完备的国密算法SM2/SM3/SM4；支持安全配置核查，支持主机入侵检测；提供以上功能的第三方测试报告证明；</w:t>
            </w:r>
          </w:p>
        </w:tc>
      </w:tr>
      <w:tr w14:paraId="2EE3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F7C89A">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5392487">
            <w:pPr>
              <w:pStyle w:val="40"/>
              <w:bidi w:val="0"/>
              <w:rPr>
                <w:rFonts w:hint="eastAsia"/>
              </w:rPr>
            </w:pPr>
            <w:r>
              <w:rPr>
                <w:rFonts w:hint="eastAsia"/>
              </w:rPr>
              <w:t>支持 VRRP、VRRP 负载分担、BFD for VRRP；</w:t>
            </w:r>
          </w:p>
        </w:tc>
      </w:tr>
      <w:tr w14:paraId="0533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29FC29A9">
            <w:pPr>
              <w:pStyle w:val="40"/>
              <w:bidi w:val="0"/>
              <w:rPr>
                <w:rFonts w:hint="eastAsia"/>
              </w:rPr>
            </w:pPr>
            <w:r>
              <w:rPr>
                <w:rFonts w:hint="eastAsia"/>
              </w:rPr>
              <w:t>维护管理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E702B01">
            <w:pPr>
              <w:pStyle w:val="40"/>
              <w:bidi w:val="0"/>
              <w:rPr>
                <w:rFonts w:hint="eastAsia"/>
              </w:rPr>
            </w:pPr>
            <w:r>
              <w:rPr>
                <w:rFonts w:hint="eastAsia"/>
              </w:rPr>
              <w:t>支持 Console、Telnet、SSH 等终端服务，支持 BootROM 升级和远程在线升级；</w:t>
            </w:r>
          </w:p>
        </w:tc>
      </w:tr>
      <w:tr w14:paraId="1CE1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nil"/>
              <w:right w:val="single" w:color="auto" w:sz="6" w:space="0"/>
              <w:tl2br w:val="nil"/>
              <w:tr2bl w:val="nil"/>
            </w:tcBorders>
            <w:shd w:val="clear" w:color="auto" w:fill="auto"/>
            <w:noWrap/>
            <w:vAlign w:val="center"/>
          </w:tcPr>
          <w:p w14:paraId="09D84C96"/>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7FE090">
            <w:pPr>
              <w:pStyle w:val="40"/>
              <w:bidi w:val="0"/>
              <w:rPr>
                <w:rFonts w:hint="eastAsia"/>
              </w:rPr>
            </w:pPr>
            <w:r>
              <w:rPr>
                <w:rFonts w:hint="eastAsia"/>
              </w:rPr>
              <w:t>支持基于命令行的配置回滚；</w:t>
            </w:r>
          </w:p>
        </w:tc>
      </w:tr>
      <w:tr w14:paraId="2529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2AE785">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5240700">
            <w:pPr>
              <w:pStyle w:val="40"/>
              <w:bidi w:val="0"/>
              <w:rPr>
                <w:rFonts w:hint="eastAsia"/>
              </w:rPr>
            </w:pPr>
            <w:r>
              <w:rPr>
                <w:rFonts w:hint="eastAsia"/>
              </w:rPr>
              <w:t>设备入网时间≥2年；</w:t>
            </w:r>
          </w:p>
        </w:tc>
      </w:tr>
      <w:tr w14:paraId="62D5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E74E17B">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D7B7379">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4E03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17DD5C">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3C1AADCF">
            <w:pPr>
              <w:pStyle w:val="40"/>
              <w:bidi w:val="0"/>
              <w:rPr>
                <w:rFonts w:hint="eastAsia"/>
              </w:rPr>
            </w:pPr>
            <w:r>
              <w:rPr>
                <w:rFonts w:hint="eastAsia"/>
              </w:rPr>
              <w:t>51</w:t>
            </w:r>
          </w:p>
        </w:tc>
      </w:tr>
      <w:tr w14:paraId="781E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nil"/>
              <w:bottom w:val="single" w:color="auto" w:sz="6" w:space="0"/>
              <w:right w:val="nil"/>
              <w:tl2br w:val="nil"/>
              <w:tr2bl w:val="nil"/>
            </w:tcBorders>
            <w:shd w:val="clear" w:color="auto" w:fill="auto"/>
            <w:noWrap/>
            <w:vAlign w:val="center"/>
          </w:tcPr>
          <w:p w14:paraId="124C984E">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7028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0997E32">
            <w:pPr>
              <w:pStyle w:val="41"/>
              <w:bidi w:val="0"/>
              <w:rPr>
                <w:rFonts w:hint="eastAsia"/>
              </w:rPr>
            </w:pPr>
            <w:r>
              <w:t xml:space="preserve">1.3 </w:t>
            </w:r>
            <w:r>
              <w:rPr>
                <w:rFonts w:hint="eastAsia"/>
              </w:rPr>
              <w:t>万兆接入交换机2</w:t>
            </w:r>
          </w:p>
        </w:tc>
      </w:tr>
      <w:tr w14:paraId="4833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94BC69">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FF162D5">
            <w:pPr>
              <w:pStyle w:val="41"/>
              <w:bidi w:val="0"/>
              <w:rPr>
                <w:rFonts w:hint="eastAsia"/>
              </w:rPr>
            </w:pPr>
            <w:r>
              <w:rPr>
                <w:rFonts w:hint="eastAsia"/>
              </w:rPr>
              <w:t>参数要求</w:t>
            </w:r>
          </w:p>
        </w:tc>
      </w:tr>
      <w:tr w14:paraId="51DF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B015B7">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C74B105">
            <w:pPr>
              <w:pStyle w:val="40"/>
              <w:bidi w:val="0"/>
              <w:rPr>
                <w:rFonts w:hint="eastAsia"/>
              </w:rPr>
            </w:pPr>
            <w:r>
              <w:rPr>
                <w:rFonts w:hint="eastAsia"/>
              </w:rPr>
              <w:t>非OEM设备，采用国产CPU、国产转发芯片；设备采用国产操作系统；</w:t>
            </w:r>
          </w:p>
        </w:tc>
      </w:tr>
      <w:tr w14:paraId="769E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48C095">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A37E320">
            <w:pPr>
              <w:pStyle w:val="40"/>
              <w:bidi w:val="0"/>
              <w:rPr>
                <w:rFonts w:hint="eastAsia"/>
              </w:rPr>
            </w:pPr>
            <w:r>
              <w:rPr>
                <w:rFonts w:hint="eastAsia"/>
              </w:rPr>
              <w:t>配置10GE SFP+端口≥48个（LC接口，非1分4形式）,40/100GE QSFP28端口≥8个（100G端口实际可用并支持拆分10G/25G）；可插拔交流电源模块≥2；可插拔风扇数量≥5；</w:t>
            </w:r>
          </w:p>
        </w:tc>
      </w:tr>
      <w:tr w14:paraId="3381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8A32B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F47F61">
            <w:pPr>
              <w:pStyle w:val="40"/>
              <w:bidi w:val="0"/>
              <w:rPr>
                <w:rFonts w:hint="eastAsia"/>
              </w:rPr>
            </w:pPr>
            <w:r>
              <w:rPr>
                <w:rFonts w:hint="eastAsia"/>
              </w:rPr>
              <w:t>交换容量≥4.8Tbps，包转发率≥2000Mpps，提供官网截图证明材料，官网存在A/B值的，以小值为准；</w:t>
            </w:r>
          </w:p>
        </w:tc>
      </w:tr>
      <w:tr w14:paraId="0FF2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44B4A3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9416F0B">
            <w:pPr>
              <w:pStyle w:val="40"/>
              <w:bidi w:val="0"/>
              <w:rPr>
                <w:rFonts w:hint="eastAsia"/>
              </w:rPr>
            </w:pPr>
            <w:r>
              <w:rPr>
                <w:rFonts w:hint="eastAsia"/>
              </w:rPr>
              <w:t>整机高度≤1U；设备为数据中心级交换机，提供官网截图证明材料；</w:t>
            </w:r>
          </w:p>
        </w:tc>
      </w:tr>
      <w:tr w14:paraId="20F3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76BCC4">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6FE496">
            <w:pPr>
              <w:pStyle w:val="40"/>
              <w:bidi w:val="0"/>
              <w:rPr>
                <w:rFonts w:hint="eastAsia"/>
              </w:rPr>
            </w:pPr>
            <w:r>
              <w:rPr>
                <w:rFonts w:hint="eastAsia"/>
              </w:rPr>
              <w:t>支持VLAN，支持STP/MSTP生成树协议，支持路由端口镜像；</w:t>
            </w:r>
          </w:p>
        </w:tc>
      </w:tr>
      <w:tr w14:paraId="0070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0828FC">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11E3BC4">
            <w:pPr>
              <w:pStyle w:val="40"/>
              <w:bidi w:val="0"/>
              <w:rPr>
                <w:rFonts w:hint="eastAsia"/>
              </w:rPr>
            </w:pPr>
            <w:r>
              <w:rPr>
                <w:rFonts w:hint="eastAsia"/>
              </w:rPr>
              <w:t>支持静态路由、RIP V1/V2、OSPF、BGP、ISIS、RIPng、OSPFv3、BGP4+、ISISv6等路由协议；</w:t>
            </w:r>
          </w:p>
        </w:tc>
      </w:tr>
      <w:tr w14:paraId="37D2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50513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B4EEE8">
            <w:pPr>
              <w:pStyle w:val="40"/>
              <w:bidi w:val="0"/>
              <w:rPr>
                <w:rFonts w:hint="eastAsia"/>
              </w:rPr>
            </w:pPr>
            <w:r>
              <w:rPr>
                <w:rFonts w:hint="eastAsia"/>
              </w:rPr>
              <w:t>支持IPv4/IPv6双协议栈，支持6to4、ISATAP、手动配置tunnel；</w:t>
            </w:r>
          </w:p>
        </w:tc>
      </w:tr>
      <w:tr w14:paraId="22A2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9D2E6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15D8ED">
            <w:pPr>
              <w:pStyle w:val="40"/>
              <w:bidi w:val="0"/>
              <w:rPr>
                <w:rFonts w:hint="eastAsia"/>
              </w:rPr>
            </w:pPr>
            <w:r>
              <w:rPr>
                <w:rFonts w:hint="eastAsia"/>
              </w:rPr>
              <w:t>支持三层以太接口链路聚合功能；</w:t>
            </w:r>
          </w:p>
        </w:tc>
      </w:tr>
      <w:tr w14:paraId="51CE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B11F2C7">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0D0FC5">
            <w:pPr>
              <w:pStyle w:val="40"/>
              <w:bidi w:val="0"/>
              <w:rPr>
                <w:rFonts w:hint="eastAsia"/>
              </w:rPr>
            </w:pPr>
            <w:r>
              <w:rPr>
                <w:rFonts w:hint="eastAsia"/>
              </w:rPr>
              <w:t>支持IGMP PIM等三层组播路由协议；</w:t>
            </w:r>
          </w:p>
        </w:tc>
      </w:tr>
      <w:tr w14:paraId="778F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D0CA7F"/>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5A4EDC">
            <w:pPr>
              <w:pStyle w:val="40"/>
              <w:bidi w:val="0"/>
              <w:rPr>
                <w:rFonts w:hint="eastAsia"/>
              </w:rPr>
            </w:pPr>
            <w:r>
              <w:rPr>
                <w:rFonts w:hint="eastAsia"/>
              </w:rPr>
              <w:t>支持PIM-SM/DM、PIM-SSM、MSDP组播路由协议；</w:t>
            </w:r>
          </w:p>
        </w:tc>
      </w:tr>
      <w:tr w14:paraId="0A93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4CC77A17">
            <w:pPr>
              <w:pStyle w:val="40"/>
              <w:bidi w:val="0"/>
              <w:rPr>
                <w:rFonts w:hint="eastAsia"/>
              </w:rPr>
            </w:pPr>
            <w:r>
              <w:rPr>
                <w:rFonts w:hint="eastAsia"/>
              </w:rPr>
              <w:t>ACL及QOS功能</w:t>
            </w:r>
          </w:p>
        </w:tc>
        <w:tc>
          <w:tcPr>
            <w:tcW w:w="7524" w:type="dxa"/>
            <w:tcBorders>
              <w:top w:val="nil"/>
              <w:left w:val="single" w:color="auto" w:sz="6" w:space="0"/>
              <w:bottom w:val="single" w:color="auto" w:sz="6" w:space="0"/>
              <w:right w:val="single" w:color="auto" w:sz="6" w:space="0"/>
              <w:tl2br w:val="nil"/>
              <w:tr2bl w:val="nil"/>
            </w:tcBorders>
            <w:shd w:val="clear" w:color="auto" w:fill="auto"/>
            <w:noWrap/>
          </w:tcPr>
          <w:p w14:paraId="27DCEEEF">
            <w:pPr>
              <w:pStyle w:val="40"/>
              <w:bidi w:val="0"/>
              <w:rPr>
                <w:rFonts w:hint="eastAsia"/>
              </w:rPr>
            </w:pPr>
            <w:r>
              <w:rPr>
                <w:rFonts w:hint="eastAsia"/>
              </w:rPr>
              <w:t>支持标准ACL、扩展ACL；</w:t>
            </w:r>
          </w:p>
        </w:tc>
      </w:tr>
      <w:tr w14:paraId="498B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single" w:color="auto" w:sz="6" w:space="0"/>
              <w:right w:val="single" w:color="auto" w:sz="6" w:space="0"/>
              <w:tl2br w:val="nil"/>
              <w:tr2bl w:val="nil"/>
            </w:tcBorders>
            <w:shd w:val="clear" w:color="auto" w:fill="auto"/>
            <w:noWrap/>
            <w:vAlign w:val="center"/>
          </w:tcPr>
          <w:p w14:paraId="35668DB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6C4B5DA">
            <w:pPr>
              <w:pStyle w:val="40"/>
              <w:bidi w:val="0"/>
              <w:rPr>
                <w:rFonts w:hint="eastAsia"/>
              </w:rPr>
            </w:pPr>
            <w:r>
              <w:rPr>
                <w:rFonts w:hint="eastAsia"/>
              </w:rPr>
              <w:t>支持FIFO、PQ、FQ、WFQ、流量整形等；</w:t>
            </w:r>
          </w:p>
        </w:tc>
      </w:tr>
      <w:tr w14:paraId="3280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0BFF7973">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BED16A">
            <w:pPr>
              <w:pStyle w:val="40"/>
              <w:bidi w:val="0"/>
              <w:rPr>
                <w:rFonts w:hint="eastAsia"/>
              </w:rPr>
            </w:pPr>
            <w:r>
              <w:rPr>
                <w:rFonts w:hint="eastAsia"/>
              </w:rPr>
              <w:t>支持BFD for VRRP/Static/RIP/OSPF等；</w:t>
            </w:r>
          </w:p>
        </w:tc>
      </w:tr>
      <w:tr w14:paraId="2337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single" w:color="auto" w:sz="6" w:space="0"/>
              <w:right w:val="single" w:color="auto" w:sz="6" w:space="0"/>
              <w:tl2br w:val="nil"/>
              <w:tr2bl w:val="nil"/>
            </w:tcBorders>
            <w:shd w:val="clear" w:color="auto" w:fill="auto"/>
            <w:noWrap/>
            <w:vAlign w:val="center"/>
          </w:tcPr>
          <w:p w14:paraId="318578E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8A2861">
            <w:pPr>
              <w:pStyle w:val="40"/>
              <w:bidi w:val="0"/>
              <w:rPr>
                <w:rFonts w:hint="eastAsia"/>
              </w:rPr>
            </w:pPr>
            <w:r>
              <w:rPr>
                <w:rFonts w:hint="eastAsia"/>
              </w:rPr>
              <w:t>支持M-LAG，M-LAG 支持 VXLAN，M-LAG 支持三层组播；实际搭建采用M-LAG；</w:t>
            </w:r>
          </w:p>
        </w:tc>
      </w:tr>
      <w:tr w14:paraId="0E98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single" w:color="auto" w:sz="6" w:space="0"/>
              <w:bottom w:val="nil"/>
              <w:right w:val="single" w:color="auto" w:sz="6" w:space="0"/>
              <w:tl2br w:val="nil"/>
              <w:tr2bl w:val="nil"/>
            </w:tcBorders>
            <w:shd w:val="clear" w:color="auto" w:fill="auto"/>
            <w:noWrap/>
            <w:vAlign w:val="center"/>
          </w:tcPr>
          <w:p w14:paraId="0182763F">
            <w:pPr>
              <w:pStyle w:val="40"/>
              <w:bidi w:val="0"/>
              <w:rPr>
                <w:rFonts w:hint="eastAsia"/>
              </w:rPr>
            </w:pPr>
            <w:r>
              <w:rPr>
                <w:rFonts w:hint="eastAsia"/>
              </w:rPr>
              <w:t>TAP</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A37A5C">
            <w:pPr>
              <w:pStyle w:val="40"/>
              <w:bidi w:val="0"/>
              <w:rPr>
                <w:rFonts w:hint="eastAsia"/>
              </w:rPr>
            </w:pPr>
            <w:r>
              <w:rPr>
                <w:rFonts w:hint="eastAsia"/>
              </w:rPr>
              <w:t>支持TAP基于普通IPv4及IPv6报文五元组流分类功能，支持TAP匹配VXLAN内层IPv4及IPv6报文五元组流分类功能，支持TAP基于hash的聚合口报文分担功能，支持TAP基于增加时间戳及以太网头功能，支持TAP基于自定义ACL匹配功能，支持TAP基于流量复制/汇聚功能；提供第三方权威机构检测报告证明材料；</w:t>
            </w:r>
          </w:p>
        </w:tc>
      </w:tr>
      <w:tr w14:paraId="4B5A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51A5F1D7">
            <w:pPr>
              <w:pStyle w:val="40"/>
              <w:bidi w:val="0"/>
              <w:rPr>
                <w:rFonts w:hint="eastAsia"/>
              </w:rPr>
            </w:pPr>
            <w:r>
              <w:rPr>
                <w:rFonts w:hint="eastAsia"/>
              </w:rPr>
              <w:t>维护管理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2E91F02">
            <w:pPr>
              <w:pStyle w:val="40"/>
              <w:bidi w:val="0"/>
              <w:rPr>
                <w:rFonts w:hint="eastAsia"/>
              </w:rPr>
            </w:pPr>
            <w:r>
              <w:rPr>
                <w:rFonts w:hint="eastAsia"/>
              </w:rPr>
              <w:t>支持Console（TTY）口登录、telnet（VTY）登录、Web登录、SSH登录、FTP登录；支持SYSLOG、SNMP V1/V2/V3、RMON 1/2/3/9；</w:t>
            </w:r>
          </w:p>
        </w:tc>
      </w:tr>
      <w:tr w14:paraId="4295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nil"/>
              <w:right w:val="single" w:color="auto" w:sz="6" w:space="0"/>
              <w:tl2br w:val="nil"/>
              <w:tr2bl w:val="nil"/>
            </w:tcBorders>
            <w:shd w:val="clear" w:color="auto" w:fill="auto"/>
            <w:noWrap/>
            <w:vAlign w:val="center"/>
          </w:tcPr>
          <w:p w14:paraId="7EF6785F"/>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26170E">
            <w:pPr>
              <w:pStyle w:val="40"/>
              <w:bidi w:val="0"/>
              <w:rPr>
                <w:rFonts w:hint="eastAsia"/>
              </w:rPr>
            </w:pPr>
            <w:r>
              <w:rPr>
                <w:rFonts w:hint="eastAsia"/>
              </w:rPr>
              <w:t>能被我行现有的SDN网管软件纳管，实现网络自动化功能要求。</w:t>
            </w:r>
          </w:p>
        </w:tc>
      </w:tr>
      <w:tr w14:paraId="61FF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87EC85">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D408E1B">
            <w:pPr>
              <w:pStyle w:val="40"/>
              <w:bidi w:val="0"/>
              <w:rPr>
                <w:rFonts w:hint="eastAsia"/>
              </w:rPr>
            </w:pPr>
            <w:r>
              <w:rPr>
                <w:rFonts w:hint="eastAsia"/>
              </w:rPr>
              <w:t>设备入网时间≥2年；</w:t>
            </w:r>
          </w:p>
        </w:tc>
      </w:tr>
      <w:tr w14:paraId="0396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567B2E">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6F3695">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7300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0084DE">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14307997">
            <w:pPr>
              <w:pStyle w:val="40"/>
              <w:bidi w:val="0"/>
              <w:rPr>
                <w:rFonts w:hint="eastAsia"/>
              </w:rPr>
            </w:pPr>
            <w:r>
              <w:rPr>
                <w:rFonts w:hint="eastAsia"/>
              </w:rPr>
              <w:t>8台</w:t>
            </w:r>
          </w:p>
        </w:tc>
      </w:tr>
      <w:tr w14:paraId="650B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nil"/>
              <w:bottom w:val="single" w:color="000000" w:sz="6" w:space="0"/>
              <w:right w:val="nil"/>
              <w:tl2br w:val="nil"/>
              <w:tr2bl w:val="nil"/>
            </w:tcBorders>
            <w:shd w:val="clear" w:color="auto" w:fill="auto"/>
            <w:noWrap/>
            <w:vAlign w:val="center"/>
          </w:tcPr>
          <w:p w14:paraId="4FF7F534">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0A41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single" w:color="000000" w:sz="6" w:space="0"/>
              <w:bottom w:val="single" w:color="000000" w:sz="6" w:space="0"/>
              <w:right w:val="single" w:color="000000" w:sz="6" w:space="0"/>
            </w:tcBorders>
            <w:shd w:val="clear" w:color="auto" w:fill="auto"/>
            <w:noWrap/>
            <w:vAlign w:val="center"/>
          </w:tcPr>
          <w:p w14:paraId="426644BB">
            <w:pPr>
              <w:pStyle w:val="41"/>
              <w:bidi w:val="0"/>
              <w:rPr>
                <w:rFonts w:hint="eastAsia"/>
              </w:rPr>
            </w:pPr>
            <w:r>
              <w:t xml:space="preserve">1.4 </w:t>
            </w:r>
            <w:r>
              <w:rPr>
                <w:rFonts w:hint="eastAsia"/>
              </w:rPr>
              <w:t>汇聚交换机1</w:t>
            </w:r>
          </w:p>
        </w:tc>
      </w:tr>
      <w:tr w14:paraId="092E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FEC8649">
            <w:pPr>
              <w:pStyle w:val="41"/>
              <w:bidi w:val="0"/>
              <w:rPr>
                <w:rFonts w:hint="eastAsia"/>
              </w:rPr>
            </w:pPr>
            <w:r>
              <w:rPr>
                <w:rFonts w:hint="eastAsia"/>
              </w:rPr>
              <w:t>指标项</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70ACA96">
            <w:pPr>
              <w:pStyle w:val="41"/>
              <w:bidi w:val="0"/>
              <w:rPr>
                <w:rFonts w:hint="eastAsia"/>
              </w:rPr>
            </w:pPr>
            <w:r>
              <w:rPr>
                <w:rFonts w:hint="eastAsia"/>
              </w:rPr>
              <w:t>参数要求</w:t>
            </w:r>
          </w:p>
        </w:tc>
      </w:tr>
      <w:tr w14:paraId="0127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929B15B">
            <w:pPr>
              <w:pStyle w:val="40"/>
              <w:bidi w:val="0"/>
              <w:rPr>
                <w:rFonts w:hint="eastAsia"/>
              </w:rPr>
            </w:pPr>
            <w:r>
              <w:rPr>
                <w:rFonts w:hint="eastAsia"/>
              </w:rPr>
              <w:t>总体要求</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1E742C7">
            <w:pPr>
              <w:pStyle w:val="40"/>
              <w:bidi w:val="0"/>
              <w:rPr>
                <w:rFonts w:hint="eastAsia"/>
              </w:rPr>
            </w:pPr>
            <w:r>
              <w:rPr>
                <w:rFonts w:hint="eastAsia"/>
              </w:rPr>
              <w:t>非OEM设备，采用国产CPU、国产转发芯片；设备采用国产操作系统；</w:t>
            </w:r>
          </w:p>
        </w:tc>
      </w:tr>
      <w:tr w14:paraId="635E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55DDF3F0">
            <w:pPr>
              <w:pStyle w:val="40"/>
              <w:bidi w:val="0"/>
              <w:rPr>
                <w:rFonts w:hint="eastAsia"/>
              </w:rPr>
            </w:pPr>
            <w:r>
              <w:rPr>
                <w:rFonts w:hint="eastAsia"/>
              </w:rPr>
              <w:t>单台配置</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98CE656">
            <w:pPr>
              <w:pStyle w:val="40"/>
              <w:bidi w:val="0"/>
              <w:rPr>
                <w:rFonts w:hint="eastAsia"/>
              </w:rPr>
            </w:pPr>
            <w:r>
              <w:rPr>
                <w:rFonts w:hint="eastAsia"/>
              </w:rPr>
              <w:t>配置双主控，配置交换网板≥6，电源≥4，40G光口≥36个，10G光口≥48个；</w:t>
            </w:r>
          </w:p>
        </w:tc>
      </w:tr>
      <w:tr w14:paraId="3912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51727427"/>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865B0D7">
            <w:pPr>
              <w:pStyle w:val="40"/>
              <w:bidi w:val="0"/>
              <w:rPr>
                <w:rFonts w:hint="eastAsia"/>
              </w:rPr>
            </w:pPr>
            <w:r>
              <w:rPr>
                <w:rFonts w:hint="eastAsia"/>
              </w:rPr>
              <w:t>交换容量≥800Tbps，包转发率≥230000Mpps，官网存在A/B值的，以小值为准；</w:t>
            </w:r>
          </w:p>
        </w:tc>
      </w:tr>
      <w:tr w14:paraId="7E8A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D81822F"/>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1902515">
            <w:pPr>
              <w:pStyle w:val="40"/>
              <w:bidi w:val="0"/>
              <w:rPr>
                <w:rFonts w:hint="eastAsia"/>
              </w:rPr>
            </w:pPr>
            <w:r>
              <w:rPr>
                <w:rFonts w:hint="eastAsia"/>
              </w:rPr>
              <w:t>业务槽位数≥4，独立交换网板插槽数≥9, 且支持网板N+M冗余；电源槽位数≥4，设备高度≤10U；</w:t>
            </w:r>
          </w:p>
        </w:tc>
      </w:tr>
      <w:tr w14:paraId="052F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76A6B463"/>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09C314B">
            <w:pPr>
              <w:pStyle w:val="40"/>
              <w:bidi w:val="0"/>
              <w:rPr>
                <w:rFonts w:hint="eastAsia"/>
              </w:rPr>
            </w:pPr>
            <w:r>
              <w:rPr>
                <w:rFonts w:hint="eastAsia"/>
              </w:rPr>
              <w:t>风扇框冗余设计，可插拔风扇框槽位数≥3；</w:t>
            </w:r>
          </w:p>
        </w:tc>
      </w:tr>
      <w:tr w14:paraId="166A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210DD0E">
            <w:pPr>
              <w:pStyle w:val="40"/>
              <w:bidi w:val="0"/>
              <w:rPr>
                <w:rFonts w:hint="eastAsia"/>
              </w:rPr>
            </w:pPr>
            <w:r>
              <w:rPr>
                <w:rFonts w:hint="eastAsia"/>
              </w:rPr>
              <w:t>二层协议</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F0F401F">
            <w:pPr>
              <w:pStyle w:val="40"/>
              <w:bidi w:val="0"/>
              <w:rPr>
                <w:rFonts w:hint="eastAsia"/>
              </w:rPr>
            </w:pPr>
            <w:r>
              <w:rPr>
                <w:rFonts w:hint="eastAsia"/>
              </w:rPr>
              <w:t>支持VLAN，支持STP/MSTP生成树协议，支持端口镜像；</w:t>
            </w:r>
          </w:p>
        </w:tc>
      </w:tr>
      <w:tr w14:paraId="36E7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63A750EA">
            <w:pPr>
              <w:pStyle w:val="40"/>
              <w:bidi w:val="0"/>
              <w:rPr>
                <w:rFonts w:hint="eastAsia"/>
              </w:rPr>
            </w:pPr>
            <w:r>
              <w:rPr>
                <w:rFonts w:hint="eastAsia"/>
              </w:rPr>
              <w:t>三层功能</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4CD798B">
            <w:pPr>
              <w:pStyle w:val="40"/>
              <w:bidi w:val="0"/>
              <w:rPr>
                <w:rFonts w:hint="eastAsia"/>
              </w:rPr>
            </w:pPr>
            <w:r>
              <w:rPr>
                <w:rFonts w:hint="eastAsia"/>
              </w:rPr>
              <w:t>支持静态路由、RIP 、OSPF、RIPng、OSPFv3、BGP4+、ISISv6等路由协议；</w:t>
            </w:r>
          </w:p>
        </w:tc>
      </w:tr>
      <w:tr w14:paraId="17A5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4F31E7E7"/>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C0A49FE">
            <w:pPr>
              <w:pStyle w:val="40"/>
              <w:bidi w:val="0"/>
              <w:rPr>
                <w:rFonts w:hint="eastAsia"/>
              </w:rPr>
            </w:pPr>
            <w:r>
              <w:rPr>
                <w:rFonts w:hint="eastAsia"/>
              </w:rPr>
              <w:t>支持IPv4/IPv6双协议栈；</w:t>
            </w:r>
          </w:p>
        </w:tc>
      </w:tr>
      <w:tr w14:paraId="4457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5F025D0"/>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FA3EDAD">
            <w:pPr>
              <w:pStyle w:val="40"/>
              <w:bidi w:val="0"/>
              <w:rPr>
                <w:rFonts w:hint="eastAsia"/>
              </w:rPr>
            </w:pPr>
            <w:r>
              <w:rPr>
                <w:rFonts w:hint="eastAsia"/>
              </w:rPr>
              <w:t>支持ERSPAN增强，支持TCP智能流量分析,支持UDP智能流量分析，支持全流分析功能；</w:t>
            </w:r>
          </w:p>
        </w:tc>
      </w:tr>
      <w:tr w14:paraId="6630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487C0CD3"/>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F43F474">
            <w:pPr>
              <w:pStyle w:val="40"/>
              <w:bidi w:val="0"/>
              <w:rPr>
                <w:rFonts w:hint="eastAsia"/>
              </w:rPr>
            </w:pPr>
            <w:r>
              <w:rPr>
                <w:rFonts w:hint="eastAsia"/>
              </w:rPr>
              <w:t>支持 IPv6 的 TCP、Ping 、Socket、UDP、RawIP；</w:t>
            </w:r>
          </w:p>
        </w:tc>
      </w:tr>
      <w:tr w14:paraId="102A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3034B33A">
            <w:pPr>
              <w:pStyle w:val="40"/>
              <w:bidi w:val="0"/>
              <w:rPr>
                <w:rFonts w:hint="eastAsia"/>
              </w:rPr>
            </w:pPr>
            <w:r>
              <w:rPr>
                <w:rFonts w:hint="eastAsia"/>
              </w:rPr>
              <w:t>组播协议</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08E2282">
            <w:pPr>
              <w:pStyle w:val="40"/>
              <w:bidi w:val="0"/>
              <w:rPr>
                <w:rFonts w:hint="eastAsia"/>
              </w:rPr>
            </w:pPr>
            <w:r>
              <w:rPr>
                <w:rFonts w:hint="eastAsia"/>
              </w:rPr>
              <w:t>支持 IGMP、PIM-SM、PIM-DM、MBGP 等组播路由协议；</w:t>
            </w:r>
          </w:p>
        </w:tc>
      </w:tr>
      <w:tr w14:paraId="7429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2E2EF791"/>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CA7002E">
            <w:pPr>
              <w:pStyle w:val="40"/>
              <w:bidi w:val="0"/>
              <w:rPr>
                <w:rFonts w:hint="eastAsia"/>
              </w:rPr>
            </w:pPr>
            <w:r>
              <w:rPr>
                <w:rFonts w:hint="eastAsia"/>
              </w:rPr>
              <w:t>支持 IGMP Snooping、支持 IGMP Proxy；</w:t>
            </w:r>
          </w:p>
        </w:tc>
      </w:tr>
      <w:tr w14:paraId="1B43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37A7B186">
            <w:pPr>
              <w:pStyle w:val="40"/>
              <w:bidi w:val="0"/>
              <w:rPr>
                <w:rFonts w:hint="eastAsia"/>
              </w:rPr>
            </w:pPr>
            <w:r>
              <w:rPr>
                <w:rFonts w:hint="eastAsia"/>
              </w:rPr>
              <w:t>ACL及QOS功能</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D9511FF">
            <w:pPr>
              <w:pStyle w:val="40"/>
              <w:bidi w:val="0"/>
              <w:rPr>
                <w:rFonts w:hint="eastAsia"/>
              </w:rPr>
            </w:pPr>
            <w:r>
              <w:rPr>
                <w:rFonts w:hint="eastAsia"/>
              </w:rPr>
              <w:t>支持 ACL、CAR、Remark 等动作；</w:t>
            </w:r>
          </w:p>
        </w:tc>
      </w:tr>
      <w:tr w14:paraId="357B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44671E9"/>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1F0D6BE">
            <w:pPr>
              <w:pStyle w:val="40"/>
              <w:bidi w:val="0"/>
              <w:rPr>
                <w:rFonts w:hint="eastAsia"/>
              </w:rPr>
            </w:pPr>
            <w:r>
              <w:rPr>
                <w:rFonts w:hint="eastAsia"/>
              </w:rPr>
              <w:t>支持 PQ、DRR、 PQ+DRR 等队列调度方式；</w:t>
            </w:r>
          </w:p>
        </w:tc>
      </w:tr>
      <w:tr w14:paraId="69A4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4287205F">
            <w:pPr>
              <w:pStyle w:val="40"/>
              <w:bidi w:val="0"/>
              <w:rPr>
                <w:rFonts w:hint="eastAsia"/>
              </w:rPr>
            </w:pPr>
            <w:r>
              <w:rPr>
                <w:rFonts w:hint="eastAsia"/>
              </w:rPr>
              <w:t>安全</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1698535">
            <w:pPr>
              <w:pStyle w:val="40"/>
              <w:bidi w:val="0"/>
              <w:rPr>
                <w:rFonts w:hint="eastAsia"/>
              </w:rPr>
            </w:pPr>
            <w:r>
              <w:rPr>
                <w:rFonts w:hint="eastAsia"/>
              </w:rPr>
              <w:t>登陆支持无缺省口令，首次登陆强制设置高安全账号口令；支持弱口令字典检查，支持SNMP团体字复杂度检查；支持命令注入编码绕过、支持命令注入路径绕过、支持命令注入变量拼接绕过， 提供以上功能第三方测试报告证明；</w:t>
            </w:r>
          </w:p>
        </w:tc>
      </w:tr>
      <w:tr w14:paraId="2B46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412CE77B"/>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6B5B3C4">
            <w:pPr>
              <w:pStyle w:val="40"/>
              <w:bidi w:val="0"/>
              <w:rPr>
                <w:rFonts w:hint="eastAsia"/>
              </w:rPr>
            </w:pPr>
            <w:r>
              <w:rPr>
                <w:rFonts w:hint="eastAsia"/>
              </w:rPr>
              <w:t>支持MacSec国密加密；支持防止全零监听；支持完备的国密算法SM2/SM3/SM4；支持安全配置核查，支持主机入侵检测； 提供以上功能第三方测试报告证明；</w:t>
            </w:r>
          </w:p>
        </w:tc>
      </w:tr>
      <w:tr w14:paraId="5BA2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2190526">
            <w:pPr>
              <w:pStyle w:val="40"/>
              <w:bidi w:val="0"/>
              <w:rPr>
                <w:rFonts w:hint="eastAsia"/>
              </w:rPr>
            </w:pPr>
            <w:r>
              <w:rPr>
                <w:rFonts w:hint="eastAsia"/>
              </w:rPr>
              <w:t>可靠性</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71F68A2">
            <w:pPr>
              <w:pStyle w:val="40"/>
              <w:bidi w:val="0"/>
              <w:rPr>
                <w:rFonts w:hint="eastAsia"/>
              </w:rPr>
            </w:pPr>
            <w:r>
              <w:rPr>
                <w:rFonts w:hint="eastAsia"/>
              </w:rPr>
              <w:t>支持 VRRP、VRRP 负载分担、BFD for VRRP；</w:t>
            </w:r>
          </w:p>
        </w:tc>
      </w:tr>
      <w:tr w14:paraId="5AC5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0BCF9F1C">
            <w:pPr>
              <w:pStyle w:val="40"/>
              <w:bidi w:val="0"/>
              <w:rPr>
                <w:rFonts w:hint="eastAsia"/>
              </w:rPr>
            </w:pPr>
            <w:r>
              <w:rPr>
                <w:rFonts w:hint="eastAsia"/>
              </w:rPr>
              <w:t>维护管理</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tcPr>
          <w:p w14:paraId="67F8C769">
            <w:pPr>
              <w:pStyle w:val="40"/>
              <w:bidi w:val="0"/>
              <w:rPr>
                <w:rFonts w:hint="eastAsia"/>
              </w:rPr>
            </w:pPr>
            <w:r>
              <w:rPr>
                <w:rFonts w:hint="eastAsia"/>
              </w:rPr>
              <w:t>支持跨设备链路聚合（M-LAG）；</w:t>
            </w:r>
          </w:p>
        </w:tc>
      </w:tr>
      <w:tr w14:paraId="5F42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B2C2F6D"/>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FDD7406">
            <w:pPr>
              <w:pStyle w:val="40"/>
              <w:bidi w:val="0"/>
              <w:rPr>
                <w:rFonts w:hint="eastAsia"/>
              </w:rPr>
            </w:pPr>
            <w:r>
              <w:rPr>
                <w:rFonts w:hint="eastAsia"/>
              </w:rPr>
              <w:t>支持 Console、Telnet、SSH 等终端服务，支持 BootROM 升级和远程在线升级；</w:t>
            </w:r>
          </w:p>
        </w:tc>
      </w:tr>
      <w:tr w14:paraId="58EF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CA102F3"/>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44DDD57">
            <w:pPr>
              <w:pStyle w:val="40"/>
              <w:bidi w:val="0"/>
              <w:rPr>
                <w:rFonts w:hint="eastAsia"/>
              </w:rPr>
            </w:pPr>
            <w:r>
              <w:rPr>
                <w:rFonts w:hint="eastAsia"/>
              </w:rPr>
              <w:t>支持配置回滚，支持热补丁、支持通过FTP、TFTP 方式上载、下载文件；</w:t>
            </w:r>
          </w:p>
        </w:tc>
      </w:tr>
      <w:tr w14:paraId="7A09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EAF5D25">
            <w:pPr>
              <w:pStyle w:val="40"/>
              <w:bidi w:val="0"/>
              <w:rPr>
                <w:rFonts w:hint="eastAsia"/>
              </w:rPr>
            </w:pPr>
            <w:r>
              <w:rPr>
                <w:rFonts w:hint="eastAsia"/>
              </w:rPr>
              <w:t>资质要求</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30F7061">
            <w:pPr>
              <w:pStyle w:val="40"/>
              <w:bidi w:val="0"/>
              <w:rPr>
                <w:rFonts w:hint="eastAsia"/>
              </w:rPr>
            </w:pPr>
            <w:r>
              <w:rPr>
                <w:rFonts w:hint="eastAsia"/>
              </w:rPr>
              <w:t>设备入网时间≥2年；</w:t>
            </w:r>
          </w:p>
        </w:tc>
      </w:tr>
      <w:tr w14:paraId="2810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69B8967">
            <w:pPr>
              <w:pStyle w:val="40"/>
              <w:bidi w:val="0"/>
              <w:rPr>
                <w:rFonts w:hint="eastAsia"/>
              </w:rPr>
            </w:pPr>
            <w:r>
              <w:rPr>
                <w:rFonts w:hint="eastAsia"/>
              </w:rPr>
              <w:t>服务</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CFE80A4">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04B4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5664D01">
            <w:pPr>
              <w:pStyle w:val="40"/>
              <w:bidi w:val="0"/>
              <w:rPr>
                <w:rFonts w:hint="eastAsia"/>
              </w:rPr>
            </w:pPr>
            <w:r>
              <w:rPr>
                <w:rFonts w:hint="eastAsia"/>
              </w:rPr>
              <w:t>数量（台）</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tcPr>
          <w:p w14:paraId="54EDAC1B">
            <w:pPr>
              <w:pStyle w:val="40"/>
              <w:bidi w:val="0"/>
              <w:rPr>
                <w:rFonts w:hint="eastAsia"/>
              </w:rPr>
            </w:pPr>
            <w:r>
              <w:rPr>
                <w:rFonts w:hint="eastAsia"/>
              </w:rPr>
              <w:t>6</w:t>
            </w:r>
          </w:p>
        </w:tc>
      </w:tr>
      <w:tr w14:paraId="7DDA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nil"/>
              <w:bottom w:val="single" w:color="auto" w:sz="6" w:space="0"/>
              <w:right w:val="nil"/>
              <w:tl2br w:val="nil"/>
              <w:tr2bl w:val="nil"/>
            </w:tcBorders>
            <w:shd w:val="clear" w:color="auto" w:fill="auto"/>
            <w:noWrap/>
            <w:vAlign w:val="bottom"/>
          </w:tcPr>
          <w:p w14:paraId="05E8BC48">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1A9B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1BA8688">
            <w:pPr>
              <w:pStyle w:val="41"/>
              <w:bidi w:val="0"/>
              <w:rPr>
                <w:rFonts w:hint="eastAsia"/>
              </w:rPr>
            </w:pPr>
            <w:r>
              <w:t xml:space="preserve">1.5 </w:t>
            </w:r>
            <w:r>
              <w:rPr>
                <w:rFonts w:hint="eastAsia"/>
              </w:rPr>
              <w:t>汇聚交换机2</w:t>
            </w:r>
          </w:p>
        </w:tc>
      </w:tr>
      <w:tr w14:paraId="5271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8E1310B">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3F12CA3">
            <w:pPr>
              <w:pStyle w:val="41"/>
              <w:bidi w:val="0"/>
              <w:rPr>
                <w:rFonts w:hint="eastAsia"/>
              </w:rPr>
            </w:pPr>
            <w:r>
              <w:rPr>
                <w:rFonts w:hint="eastAsia"/>
              </w:rPr>
              <w:t>参数要求</w:t>
            </w:r>
          </w:p>
        </w:tc>
      </w:tr>
      <w:tr w14:paraId="181F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1B88F9E">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56F2A4">
            <w:pPr>
              <w:pStyle w:val="40"/>
              <w:bidi w:val="0"/>
              <w:rPr>
                <w:rFonts w:hint="eastAsia"/>
              </w:rPr>
            </w:pPr>
            <w:r>
              <w:rPr>
                <w:rFonts w:hint="eastAsia"/>
              </w:rPr>
              <w:t>非OEM设备，采用国产CPU、国产转发芯片；设备采用国产操作系统；</w:t>
            </w:r>
          </w:p>
        </w:tc>
      </w:tr>
      <w:tr w14:paraId="3232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nil"/>
              <w:right w:val="single" w:color="auto" w:sz="6" w:space="0"/>
              <w:tl2br w:val="nil"/>
              <w:tr2bl w:val="nil"/>
            </w:tcBorders>
            <w:shd w:val="clear" w:color="auto" w:fill="auto"/>
            <w:noWrap/>
            <w:vAlign w:val="center"/>
          </w:tcPr>
          <w:p w14:paraId="152A78A2">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D2586A7">
            <w:pPr>
              <w:pStyle w:val="40"/>
              <w:bidi w:val="0"/>
              <w:rPr>
                <w:rFonts w:hint="eastAsia"/>
              </w:rPr>
            </w:pPr>
            <w:r>
              <w:rPr>
                <w:rFonts w:hint="eastAsia"/>
              </w:rPr>
              <w:t>交换容量≥16Tbps，包转发率≥4800Mpps，官网存在A/B值的，以小值为准；</w:t>
            </w:r>
          </w:p>
        </w:tc>
      </w:tr>
      <w:tr w14:paraId="0D4B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35E1E37A"/>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F032280">
            <w:pPr>
              <w:pStyle w:val="40"/>
              <w:bidi w:val="0"/>
              <w:rPr>
                <w:rFonts w:hint="eastAsia"/>
              </w:rPr>
            </w:pPr>
            <w:r>
              <w:rPr>
                <w:rFonts w:hint="eastAsia"/>
              </w:rPr>
              <w:t>配置电源≥2，100G光口≥32个，25G光口≥48个；</w:t>
            </w:r>
          </w:p>
        </w:tc>
      </w:tr>
      <w:tr w14:paraId="7D87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45CFEEBB"/>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824E9E">
            <w:pPr>
              <w:pStyle w:val="40"/>
              <w:bidi w:val="0"/>
              <w:rPr>
                <w:rFonts w:hint="eastAsia"/>
              </w:rPr>
            </w:pPr>
            <w:r>
              <w:rPr>
                <w:rFonts w:hint="eastAsia"/>
              </w:rPr>
              <w:t>业务槽位数≥4，单槽位最大可提供≥16个100G光接口；</w:t>
            </w:r>
          </w:p>
        </w:tc>
      </w:tr>
      <w:tr w14:paraId="3B6F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77404134"/>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68F347">
            <w:pPr>
              <w:pStyle w:val="40"/>
              <w:bidi w:val="0"/>
              <w:rPr>
                <w:rFonts w:hint="eastAsia"/>
              </w:rPr>
            </w:pPr>
            <w:r>
              <w:rPr>
                <w:rFonts w:hint="eastAsia"/>
              </w:rPr>
              <w:t>整机缓存≥64M；</w:t>
            </w:r>
          </w:p>
        </w:tc>
      </w:tr>
      <w:tr w14:paraId="7F8CC15B">
        <w:tblPrEx>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F4CC3A7">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D0FCC8D">
            <w:pPr>
              <w:pStyle w:val="40"/>
              <w:bidi w:val="0"/>
              <w:rPr>
                <w:rFonts w:hint="eastAsia"/>
              </w:rPr>
            </w:pPr>
            <w:r>
              <w:rPr>
                <w:rFonts w:hint="eastAsia"/>
              </w:rPr>
              <w:t>支持动态MAC、静态MAC和黑洞MAC表项；</w:t>
            </w:r>
          </w:p>
        </w:tc>
      </w:tr>
      <w:tr w14:paraId="4018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702957C">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1CE4E22">
            <w:pPr>
              <w:pStyle w:val="40"/>
              <w:bidi w:val="0"/>
              <w:rPr>
                <w:rFonts w:hint="eastAsia"/>
              </w:rPr>
            </w:pPr>
            <w:r>
              <w:rPr>
                <w:rFonts w:hint="eastAsia"/>
              </w:rPr>
              <w:t>支持 RIP、ISIS、OSPF、BGP 等 IPv4 动态路由协议；</w:t>
            </w:r>
          </w:p>
        </w:tc>
      </w:tr>
      <w:tr w14:paraId="3349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C3032D6"/>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4EEF1E">
            <w:pPr>
              <w:pStyle w:val="40"/>
              <w:bidi w:val="0"/>
              <w:rPr>
                <w:rFonts w:hint="eastAsia"/>
              </w:rPr>
            </w:pPr>
            <w:r>
              <w:rPr>
                <w:rFonts w:hint="eastAsia"/>
              </w:rPr>
              <w:t>支持 RIPng、ISISv6、OSPFv3、BGP4+等 IPv6 动态路由协议</w:t>
            </w:r>
          </w:p>
        </w:tc>
      </w:tr>
      <w:tr w14:paraId="2A94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7CEE3AB"/>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EBAE2D">
            <w:pPr>
              <w:pStyle w:val="40"/>
              <w:bidi w:val="0"/>
              <w:rPr>
                <w:rFonts w:hint="eastAsia"/>
              </w:rPr>
            </w:pPr>
            <w:r>
              <w:rPr>
                <w:rFonts w:hint="eastAsia"/>
              </w:rPr>
              <w:t>支持 IPv6 的 TCP 、Tracert、Socket、RawIP、UDP；</w:t>
            </w:r>
          </w:p>
        </w:tc>
      </w:tr>
      <w:tr w14:paraId="41E5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8CDA60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77CE11C">
            <w:pPr>
              <w:pStyle w:val="40"/>
              <w:bidi w:val="0"/>
              <w:rPr>
                <w:rFonts w:hint="eastAsia"/>
              </w:rPr>
            </w:pPr>
            <w:r>
              <w:rPr>
                <w:rFonts w:hint="eastAsia"/>
              </w:rPr>
              <w:t>支持IPv6 VXLAN over IPv4；</w:t>
            </w:r>
          </w:p>
        </w:tc>
      </w:tr>
      <w:tr w14:paraId="3A34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DC907DE">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BE73B6C">
            <w:pPr>
              <w:pStyle w:val="40"/>
              <w:bidi w:val="0"/>
              <w:rPr>
                <w:rFonts w:hint="eastAsia"/>
              </w:rPr>
            </w:pPr>
            <w:r>
              <w:rPr>
                <w:rFonts w:hint="eastAsia"/>
              </w:rPr>
              <w:t>支持 IGMP、PIM-SM 等组播路由协议；</w:t>
            </w:r>
          </w:p>
        </w:tc>
      </w:tr>
      <w:tr w14:paraId="6E40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BEB0A5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0D7F34">
            <w:pPr>
              <w:pStyle w:val="40"/>
              <w:bidi w:val="0"/>
              <w:rPr>
                <w:rFonts w:hint="eastAsia"/>
              </w:rPr>
            </w:pPr>
            <w:r>
              <w:rPr>
                <w:rFonts w:hint="eastAsia"/>
              </w:rPr>
              <w:t>支持 IGMP Snooping，支持 IGMP Proxy；</w:t>
            </w:r>
          </w:p>
        </w:tc>
      </w:tr>
      <w:tr w14:paraId="2824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75EEDB2">
            <w:pPr>
              <w:pStyle w:val="40"/>
              <w:bidi w:val="0"/>
              <w:rPr>
                <w:rFonts w:hint="eastAsia"/>
              </w:rPr>
            </w:pPr>
            <w:r>
              <w:rPr>
                <w:rFonts w:hint="eastAsia"/>
              </w:rPr>
              <w:t>ACL及QOS功能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815017">
            <w:pPr>
              <w:pStyle w:val="40"/>
              <w:bidi w:val="0"/>
              <w:rPr>
                <w:rFonts w:hint="eastAsia"/>
              </w:rPr>
            </w:pPr>
            <w:r>
              <w:rPr>
                <w:rFonts w:hint="eastAsia"/>
              </w:rPr>
              <w:t>支持 ACL、CAR、Remark 等动作；</w:t>
            </w:r>
          </w:p>
        </w:tc>
      </w:tr>
      <w:tr w14:paraId="7DE6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215EBD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E93771">
            <w:pPr>
              <w:pStyle w:val="40"/>
              <w:bidi w:val="0"/>
              <w:rPr>
                <w:rFonts w:hint="eastAsia"/>
              </w:rPr>
            </w:pPr>
            <w:r>
              <w:rPr>
                <w:rFonts w:hint="eastAsia"/>
              </w:rPr>
              <w:t>支持 PQ、DRR、 PQ+DRR 等队列调度方式；</w:t>
            </w:r>
          </w:p>
        </w:tc>
      </w:tr>
      <w:tr w14:paraId="1D75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1911D32">
            <w:pPr>
              <w:pStyle w:val="40"/>
              <w:bidi w:val="0"/>
              <w:rPr>
                <w:rFonts w:hint="eastAsia"/>
              </w:rPr>
            </w:pPr>
            <w:r>
              <w:rPr>
                <w:rFonts w:hint="eastAsia"/>
              </w:rPr>
              <w:t>安全</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0A502DB">
            <w:pPr>
              <w:pStyle w:val="40"/>
              <w:bidi w:val="0"/>
              <w:rPr>
                <w:rFonts w:hint="eastAsia"/>
              </w:rPr>
            </w:pPr>
            <w:r>
              <w:rPr>
                <w:rFonts w:hint="eastAsia"/>
              </w:rPr>
              <w:t>支持防止DOS、arp攻击和ICMP攻击；</w:t>
            </w:r>
          </w:p>
        </w:tc>
      </w:tr>
      <w:tr w14:paraId="12DF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AF05BF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707D39A">
            <w:pPr>
              <w:pStyle w:val="40"/>
              <w:bidi w:val="0"/>
              <w:rPr>
                <w:rFonts w:hint="eastAsia"/>
              </w:rPr>
            </w:pPr>
            <w:r>
              <w:rPr>
                <w:rFonts w:hint="eastAsia"/>
              </w:rPr>
              <w:t>支持IP、MAC、端口和VLAN的组合绑定；</w:t>
            </w:r>
          </w:p>
        </w:tc>
      </w:tr>
      <w:tr w14:paraId="44FD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D5DB1A6"/>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DD6E4D">
            <w:pPr>
              <w:pStyle w:val="40"/>
              <w:bidi w:val="0"/>
              <w:rPr>
                <w:rFonts w:hint="eastAsia"/>
              </w:rPr>
            </w:pPr>
            <w:r>
              <w:rPr>
                <w:rFonts w:hint="eastAsia"/>
              </w:rPr>
              <w:t>登陆支持无缺省口令，首次登陆强制设置高安全账号口令；支持弱口令字典检查；支持命令注入编码绕过、支持命令注入变量拼接绕过；</w:t>
            </w:r>
          </w:p>
        </w:tc>
      </w:tr>
      <w:tr w14:paraId="48C3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570709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56F0C8">
            <w:pPr>
              <w:pStyle w:val="40"/>
              <w:bidi w:val="0"/>
              <w:rPr>
                <w:rFonts w:hint="eastAsia"/>
              </w:rPr>
            </w:pPr>
            <w:r>
              <w:rPr>
                <w:rFonts w:hint="eastAsia"/>
              </w:rPr>
              <w:t>支持MacSec国密加密；</w:t>
            </w:r>
          </w:p>
        </w:tc>
      </w:tr>
      <w:tr w14:paraId="2DB3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AB79D3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78D1CE">
            <w:pPr>
              <w:pStyle w:val="40"/>
              <w:bidi w:val="0"/>
              <w:rPr>
                <w:rFonts w:hint="eastAsia"/>
              </w:rPr>
            </w:pPr>
            <w:r>
              <w:rPr>
                <w:rFonts w:hint="eastAsia"/>
              </w:rPr>
              <w:t>支持RMON；</w:t>
            </w:r>
          </w:p>
        </w:tc>
      </w:tr>
      <w:tr w14:paraId="2E26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nil"/>
              <w:right w:val="single" w:color="auto" w:sz="6" w:space="0"/>
              <w:tl2br w:val="nil"/>
              <w:tr2bl w:val="nil"/>
            </w:tcBorders>
            <w:shd w:val="clear" w:color="auto" w:fill="auto"/>
            <w:noWrap/>
            <w:vAlign w:val="center"/>
          </w:tcPr>
          <w:p w14:paraId="483DC1D8">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E0A737">
            <w:pPr>
              <w:pStyle w:val="40"/>
              <w:bidi w:val="0"/>
              <w:rPr>
                <w:rFonts w:hint="eastAsia"/>
              </w:rPr>
            </w:pPr>
            <w:r>
              <w:rPr>
                <w:rFonts w:hint="eastAsia"/>
              </w:rPr>
              <w:t>支持Packet Event丢包可视、超长时延可视；</w:t>
            </w:r>
          </w:p>
        </w:tc>
      </w:tr>
      <w:tr w14:paraId="3FB5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7B80B81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542570B1">
            <w:pPr>
              <w:pStyle w:val="40"/>
              <w:bidi w:val="0"/>
              <w:rPr>
                <w:rFonts w:hint="eastAsia"/>
              </w:rPr>
            </w:pPr>
            <w:r>
              <w:rPr>
                <w:rFonts w:hint="eastAsia"/>
              </w:rPr>
              <w:t>支持跨设备链路聚合（M-LAG）；</w:t>
            </w:r>
          </w:p>
        </w:tc>
      </w:tr>
      <w:tr w14:paraId="2658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15351629"/>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FF25C5">
            <w:pPr>
              <w:pStyle w:val="40"/>
              <w:bidi w:val="0"/>
              <w:rPr>
                <w:rFonts w:hint="eastAsia"/>
              </w:rPr>
            </w:pPr>
            <w:r>
              <w:rPr>
                <w:rFonts w:hint="eastAsia"/>
              </w:rPr>
              <w:t>支持 Console、Telnet、SSH 等终端服务，支持 BootROM 升级和远程在线升级；</w:t>
            </w:r>
          </w:p>
        </w:tc>
      </w:tr>
      <w:tr w14:paraId="7121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single" w:color="auto" w:sz="6" w:space="0"/>
              <w:right w:val="single" w:color="auto" w:sz="6" w:space="0"/>
              <w:tl2br w:val="nil"/>
              <w:tr2bl w:val="nil"/>
            </w:tcBorders>
            <w:shd w:val="clear" w:color="auto" w:fill="auto"/>
            <w:noWrap/>
            <w:vAlign w:val="center"/>
          </w:tcPr>
          <w:p w14:paraId="5862275E"/>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C389559">
            <w:pPr>
              <w:pStyle w:val="40"/>
              <w:bidi w:val="0"/>
              <w:rPr>
                <w:rFonts w:hint="eastAsia"/>
              </w:rPr>
            </w:pPr>
            <w:r>
              <w:rPr>
                <w:rFonts w:hint="eastAsia"/>
              </w:rPr>
              <w:t>支持配置回滚，支持热补丁、支持通过 FTP、TFTP 方式上载、下载文件；</w:t>
            </w:r>
          </w:p>
        </w:tc>
      </w:tr>
      <w:tr w14:paraId="4085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A46EFD0">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8E5D00E">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435AD80D">
        <w:tblPrEx>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000000" w:sz="6" w:space="0"/>
              <w:right w:val="single" w:color="auto" w:sz="6" w:space="0"/>
              <w:tl2br w:val="nil"/>
              <w:tr2bl w:val="nil"/>
            </w:tcBorders>
            <w:shd w:val="clear" w:color="auto" w:fill="auto"/>
            <w:noWrap/>
            <w:vAlign w:val="center"/>
          </w:tcPr>
          <w:p w14:paraId="39050547">
            <w:pPr>
              <w:pStyle w:val="40"/>
              <w:bidi w:val="0"/>
              <w:rPr>
                <w:rFonts w:hint="eastAsia"/>
              </w:rPr>
            </w:pPr>
            <w:r>
              <w:rPr>
                <w:rFonts w:hint="eastAsia"/>
              </w:rPr>
              <w:t>数量（台）</w:t>
            </w:r>
          </w:p>
        </w:tc>
        <w:tc>
          <w:tcPr>
            <w:tcW w:w="7524" w:type="dxa"/>
            <w:tcBorders>
              <w:top w:val="single" w:color="auto" w:sz="6" w:space="0"/>
              <w:left w:val="single" w:color="auto" w:sz="6" w:space="0"/>
              <w:bottom w:val="single" w:color="000000" w:sz="6" w:space="0"/>
              <w:right w:val="single" w:color="auto" w:sz="6" w:space="0"/>
              <w:tl2br w:val="nil"/>
              <w:tr2bl w:val="nil"/>
            </w:tcBorders>
            <w:shd w:val="clear" w:color="auto" w:fill="auto"/>
            <w:noWrap/>
          </w:tcPr>
          <w:p w14:paraId="7E2C2784">
            <w:pPr>
              <w:pStyle w:val="40"/>
              <w:bidi w:val="0"/>
              <w:rPr>
                <w:rFonts w:hint="eastAsia"/>
              </w:rPr>
            </w:pPr>
            <w:r>
              <w:rPr>
                <w:rFonts w:hint="eastAsia"/>
              </w:rPr>
              <w:t>2</w:t>
            </w:r>
          </w:p>
        </w:tc>
      </w:tr>
      <w:tr w14:paraId="7C38E43F">
        <w:tblPrEx>
          <w:tblCellMar>
            <w:top w:w="0" w:type="dxa"/>
            <w:left w:w="108" w:type="dxa"/>
            <w:bottom w:w="0" w:type="dxa"/>
            <w:right w:w="108" w:type="dxa"/>
          </w:tblCellMar>
        </w:tblPrEx>
        <w:trPr>
          <w:trHeight w:val="113" w:hRule="atLeast"/>
        </w:trPr>
        <w:tc>
          <w:tcPr>
            <w:tcW w:w="8562" w:type="dxa"/>
            <w:gridSpan w:val="2"/>
            <w:tcBorders>
              <w:top w:val="single" w:color="000000" w:sz="6" w:space="0"/>
              <w:left w:val="nil"/>
              <w:bottom w:val="single" w:color="auto" w:sz="6" w:space="0"/>
              <w:right w:val="nil"/>
              <w:tl2br w:val="nil"/>
              <w:tr2bl w:val="nil"/>
            </w:tcBorders>
            <w:shd w:val="clear" w:color="auto" w:fill="auto"/>
            <w:noWrap/>
            <w:vAlign w:val="center"/>
          </w:tcPr>
          <w:p w14:paraId="2FB24EE6">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5EAB9D87">
        <w:tblPrEx>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1F1911">
            <w:pPr>
              <w:pStyle w:val="41"/>
              <w:bidi w:val="0"/>
              <w:rPr>
                <w:rFonts w:hint="eastAsia"/>
              </w:rPr>
            </w:pPr>
            <w:r>
              <w:t xml:space="preserve">1.6 </w:t>
            </w:r>
            <w:r>
              <w:rPr>
                <w:rFonts w:hint="eastAsia"/>
              </w:rPr>
              <w:t>汇聚路由器</w:t>
            </w:r>
          </w:p>
        </w:tc>
      </w:tr>
      <w:tr w14:paraId="3BF3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BBE727">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5AEF8D">
            <w:pPr>
              <w:pStyle w:val="41"/>
              <w:bidi w:val="0"/>
              <w:rPr>
                <w:rFonts w:hint="eastAsia"/>
              </w:rPr>
            </w:pPr>
            <w:r>
              <w:rPr>
                <w:rFonts w:hint="eastAsia"/>
              </w:rPr>
              <w:t>参数要求</w:t>
            </w:r>
          </w:p>
        </w:tc>
      </w:tr>
      <w:tr w14:paraId="4CB0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5FD07C9">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DC57CB">
            <w:pPr>
              <w:pStyle w:val="40"/>
              <w:bidi w:val="0"/>
              <w:rPr>
                <w:rFonts w:hint="eastAsia"/>
              </w:rPr>
            </w:pPr>
            <w:r>
              <w:rPr>
                <w:rFonts w:hint="eastAsia"/>
              </w:rPr>
              <w:t>非OEM设备，采用国产CPU、国产转发芯片；设备采用国产操作系统；</w:t>
            </w:r>
          </w:p>
        </w:tc>
      </w:tr>
      <w:tr w14:paraId="641C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C04FD2">
            <w:pPr>
              <w:pStyle w:val="40"/>
              <w:bidi w:val="0"/>
              <w:rPr>
                <w:rFonts w:hint="eastAsia"/>
              </w:rPr>
            </w:pPr>
            <w:r>
              <w:rPr>
                <w:rFonts w:hint="eastAsia"/>
              </w:rPr>
              <w:t>性能参数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9BED7D">
            <w:pPr>
              <w:pStyle w:val="40"/>
              <w:bidi w:val="0"/>
              <w:rPr>
                <w:rFonts w:hint="eastAsia"/>
              </w:rPr>
            </w:pPr>
            <w:r>
              <w:rPr>
                <w:rFonts w:hint="eastAsia"/>
              </w:rPr>
              <w:t>交换容量≥220Tbps；</w:t>
            </w:r>
          </w:p>
        </w:tc>
      </w:tr>
      <w:tr w14:paraId="2B7C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8BAB92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7B1510">
            <w:pPr>
              <w:pStyle w:val="40"/>
              <w:bidi w:val="0"/>
              <w:rPr>
                <w:rFonts w:hint="eastAsia"/>
              </w:rPr>
            </w:pPr>
            <w:r>
              <w:rPr>
                <w:rFonts w:hint="eastAsia"/>
              </w:rPr>
              <w:t>包转发率≥54000 Mpps；</w:t>
            </w:r>
          </w:p>
        </w:tc>
      </w:tr>
      <w:tr w14:paraId="535B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E6741D4"/>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587F93">
            <w:pPr>
              <w:pStyle w:val="40"/>
              <w:bidi w:val="0"/>
              <w:rPr>
                <w:rFonts w:hint="eastAsia"/>
              </w:rPr>
            </w:pPr>
            <w:r>
              <w:rPr>
                <w:rFonts w:hint="eastAsia"/>
              </w:rPr>
              <w:t>设备支持100GE、50GE、40GE、25GE、10GE、GE、FE、E1、POS、CPOS等接口类型；</w:t>
            </w:r>
          </w:p>
        </w:tc>
      </w:tr>
      <w:tr w14:paraId="69060BD5">
        <w:tblPrEx>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1815B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26617E">
            <w:pPr>
              <w:pStyle w:val="40"/>
              <w:bidi w:val="0"/>
              <w:rPr>
                <w:rFonts w:hint="eastAsia"/>
              </w:rPr>
            </w:pPr>
            <w:r>
              <w:rPr>
                <w:rFonts w:hint="eastAsia"/>
              </w:rPr>
              <w:t>单槽位最大支持200Gbps线速转发不丢包；</w:t>
            </w:r>
          </w:p>
        </w:tc>
      </w:tr>
      <w:tr w14:paraId="002A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2D779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682A41">
            <w:pPr>
              <w:pStyle w:val="40"/>
              <w:bidi w:val="0"/>
              <w:rPr>
                <w:rFonts w:hint="eastAsia"/>
              </w:rPr>
            </w:pPr>
            <w:r>
              <w:rPr>
                <w:rFonts w:hint="eastAsia"/>
              </w:rPr>
              <w:t>IPv4路由表容量≥10M,IPv6路由表容量≥5M；</w:t>
            </w:r>
          </w:p>
        </w:tc>
      </w:tr>
      <w:tr w14:paraId="12BA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561126D">
            <w:pPr>
              <w:pStyle w:val="40"/>
              <w:bidi w:val="0"/>
              <w:rPr>
                <w:rFonts w:hint="eastAsia"/>
              </w:rPr>
            </w:pPr>
            <w:r>
              <w:rPr>
                <w:rFonts w:hint="eastAsia"/>
              </w:rPr>
              <w:t>硬件参数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341877">
            <w:pPr>
              <w:pStyle w:val="40"/>
              <w:bidi w:val="0"/>
              <w:rPr>
                <w:rFonts w:hint="eastAsia"/>
              </w:rPr>
            </w:pPr>
            <w:r>
              <w:rPr>
                <w:rFonts w:hint="eastAsia"/>
              </w:rPr>
              <w:t>主控引擎≥2，线卡槽位数≥6，配置双主控；</w:t>
            </w:r>
          </w:p>
        </w:tc>
      </w:tr>
      <w:tr w14:paraId="4BF6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949C3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74EB631">
            <w:pPr>
              <w:pStyle w:val="40"/>
              <w:bidi w:val="0"/>
              <w:rPr>
                <w:rFonts w:hint="eastAsia"/>
              </w:rPr>
            </w:pPr>
            <w:r>
              <w:rPr>
                <w:rFonts w:hint="eastAsia"/>
              </w:rPr>
              <w:t>千兆10端口光口板卡≥2块；</w:t>
            </w:r>
          </w:p>
        </w:tc>
      </w:tr>
      <w:tr w14:paraId="1790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101ABA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961E04">
            <w:pPr>
              <w:pStyle w:val="40"/>
              <w:bidi w:val="0"/>
              <w:rPr>
                <w:rFonts w:hint="eastAsia"/>
              </w:rPr>
            </w:pPr>
            <w:r>
              <w:rPr>
                <w:rFonts w:hint="eastAsia"/>
              </w:rPr>
              <w:t>万兆4端口光口板卡≥2块；</w:t>
            </w:r>
          </w:p>
        </w:tc>
      </w:tr>
      <w:tr w14:paraId="3EAD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4D529F"/>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4F1B593">
            <w:pPr>
              <w:pStyle w:val="40"/>
              <w:bidi w:val="0"/>
              <w:rPr>
                <w:rFonts w:hint="eastAsia"/>
              </w:rPr>
            </w:pPr>
            <w:r>
              <w:rPr>
                <w:rFonts w:hint="eastAsia"/>
              </w:rPr>
              <w:t>设备高度≤5U；</w:t>
            </w:r>
          </w:p>
        </w:tc>
      </w:tr>
      <w:tr w14:paraId="4CAD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5B7150">
            <w:pPr>
              <w:pStyle w:val="40"/>
              <w:bidi w:val="0"/>
              <w:rPr>
                <w:rFonts w:hint="eastAsia"/>
              </w:rPr>
            </w:pPr>
            <w:r>
              <w:rPr>
                <w:rFonts w:hint="eastAsia"/>
              </w:rPr>
              <w:t>功能参数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176A56">
            <w:pPr>
              <w:pStyle w:val="40"/>
              <w:bidi w:val="0"/>
              <w:rPr>
                <w:rFonts w:hint="eastAsia"/>
              </w:rPr>
            </w:pPr>
            <w:r>
              <w:rPr>
                <w:rFonts w:hint="eastAsia"/>
              </w:rPr>
              <w:t>支持VLAN、Bridge Domain、L2TPv3、QinQ；</w:t>
            </w:r>
          </w:p>
        </w:tc>
      </w:tr>
      <w:tr w14:paraId="2F87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FD512F4"/>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5E78ECB">
            <w:pPr>
              <w:pStyle w:val="40"/>
              <w:bidi w:val="0"/>
              <w:rPr>
                <w:rFonts w:hint="eastAsia"/>
              </w:rPr>
            </w:pPr>
            <w:r>
              <w:rPr>
                <w:rFonts w:hint="eastAsia"/>
              </w:rPr>
              <w:t>支持RIP、RIPng、OSPF、OSPFv3、IS-IS、IS-ISv6、BGP、BGPv6等；</w:t>
            </w:r>
          </w:p>
        </w:tc>
      </w:tr>
      <w:tr w14:paraId="4A47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5EE75C"/>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58BE63">
            <w:pPr>
              <w:pStyle w:val="40"/>
              <w:bidi w:val="0"/>
              <w:rPr>
                <w:rFonts w:hint="eastAsia"/>
              </w:rPr>
            </w:pPr>
            <w:r>
              <w:rPr>
                <w:rFonts w:hint="eastAsia"/>
              </w:rPr>
              <w:t>支持SRv6 BE、SRv6 TE Policy;</w:t>
            </w:r>
          </w:p>
        </w:tc>
      </w:tr>
      <w:tr w14:paraId="4F80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9E88B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44E3FD4">
            <w:pPr>
              <w:pStyle w:val="40"/>
              <w:bidi w:val="0"/>
              <w:rPr>
                <w:rFonts w:hint="eastAsia"/>
              </w:rPr>
            </w:pPr>
            <w:r>
              <w:rPr>
                <w:rFonts w:hint="eastAsia"/>
              </w:rPr>
              <w:t>支持LDP、MPLS TE、SR MPLS;</w:t>
            </w:r>
          </w:p>
        </w:tc>
      </w:tr>
      <w:tr w14:paraId="16A9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4A05E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CD965EC">
            <w:pPr>
              <w:pStyle w:val="40"/>
              <w:bidi w:val="0"/>
              <w:rPr>
                <w:rFonts w:hint="eastAsia"/>
              </w:rPr>
            </w:pPr>
            <w:r>
              <w:rPr>
                <w:rFonts w:hint="eastAsia"/>
              </w:rPr>
              <w:t>支持FlexE 网络切片；</w:t>
            </w:r>
          </w:p>
        </w:tc>
      </w:tr>
      <w:tr w14:paraId="10D1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D499C96">
            <w:pPr>
              <w:pStyle w:val="40"/>
              <w:bidi w:val="0"/>
              <w:rPr>
                <w:rFonts w:hint="eastAsia"/>
              </w:rPr>
            </w:pPr>
            <w:r>
              <w:rPr>
                <w:rFonts w:hint="eastAsia"/>
              </w:rPr>
              <w:t>运维管理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D23CA3">
            <w:pPr>
              <w:pStyle w:val="40"/>
              <w:bidi w:val="0"/>
              <w:rPr>
                <w:rFonts w:hint="eastAsia"/>
              </w:rPr>
            </w:pPr>
            <w:r>
              <w:rPr>
                <w:rFonts w:hint="eastAsia"/>
              </w:rPr>
              <w:t>支持SNMP V1/V2/V3、Telnet、SSHV2；</w:t>
            </w:r>
          </w:p>
        </w:tc>
      </w:tr>
      <w:tr w14:paraId="09B5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BA11B1C"/>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817B1B">
            <w:pPr>
              <w:pStyle w:val="40"/>
              <w:bidi w:val="0"/>
              <w:rPr>
                <w:rFonts w:hint="eastAsia"/>
              </w:rPr>
            </w:pPr>
            <w:r>
              <w:rPr>
                <w:rFonts w:hint="eastAsia"/>
              </w:rPr>
              <w:t>支持通过命令行、中文图形化配置软件等方式进行配置和管理；</w:t>
            </w:r>
          </w:p>
        </w:tc>
      </w:tr>
      <w:tr w14:paraId="0C57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9E2835"/>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7AA804E">
            <w:pPr>
              <w:pStyle w:val="40"/>
              <w:bidi w:val="0"/>
              <w:rPr>
                <w:rFonts w:hint="eastAsia"/>
              </w:rPr>
            </w:pPr>
            <w:r>
              <w:rPr>
                <w:rFonts w:hint="eastAsia"/>
              </w:rPr>
              <w:t>支持 Telemetry 技术；</w:t>
            </w:r>
          </w:p>
        </w:tc>
      </w:tr>
      <w:tr w14:paraId="0B27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5E9EDF">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2F15E0">
            <w:pPr>
              <w:pStyle w:val="40"/>
              <w:bidi w:val="0"/>
              <w:rPr>
                <w:rFonts w:hint="eastAsia"/>
              </w:rPr>
            </w:pPr>
            <w:r>
              <w:rPr>
                <w:rFonts w:hint="eastAsia"/>
              </w:rPr>
              <w:t>设备入网时间≥2年；</w:t>
            </w:r>
          </w:p>
        </w:tc>
      </w:tr>
      <w:tr w14:paraId="35C3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37FBDD">
            <w:pPr>
              <w:pStyle w:val="40"/>
              <w:bidi w:val="0"/>
              <w:rPr>
                <w:rFonts w:hint="eastAsia"/>
              </w:rPr>
            </w:pPr>
            <w:r>
              <w:rPr>
                <w:rFonts w:hint="eastAsia"/>
              </w:rPr>
              <w:t>SD-WAN</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102D0CA">
            <w:pPr>
              <w:pStyle w:val="40"/>
              <w:bidi w:val="0"/>
              <w:rPr>
                <w:rFonts w:hint="eastAsia"/>
              </w:rPr>
            </w:pPr>
            <w:r>
              <w:rPr>
                <w:rFonts w:hint="eastAsia"/>
              </w:rPr>
              <w:t>提供SD-WAN组网相应配套组件，支持作为HUB路由器与我行现有HUB路由器实现主备组网，支持实现零配置开局、基于丢包、时延、抖动进行应用智能选路、支持多路包复制、逐包负载分担转发等功能；提供功能满足承诺函加盖响应人公章；</w:t>
            </w:r>
          </w:p>
        </w:tc>
      </w:tr>
      <w:tr w14:paraId="0A45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6D4084A">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DAFA7E">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15F7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7A48213">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A9CF7C">
            <w:pPr>
              <w:pStyle w:val="40"/>
              <w:bidi w:val="0"/>
              <w:rPr>
                <w:rFonts w:hint="eastAsia"/>
              </w:rPr>
            </w:pPr>
            <w:r>
              <w:rPr>
                <w:rFonts w:hint="eastAsia"/>
              </w:rPr>
              <w:t>2</w:t>
            </w:r>
          </w:p>
        </w:tc>
      </w:tr>
      <w:tr w14:paraId="2413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nil"/>
              <w:bottom w:val="nil"/>
              <w:right w:val="nil"/>
              <w:tl2br w:val="nil"/>
              <w:tr2bl w:val="nil"/>
            </w:tcBorders>
            <w:shd w:val="clear" w:color="auto" w:fill="auto"/>
            <w:noWrap/>
            <w:vAlign w:val="center"/>
          </w:tcPr>
          <w:p w14:paraId="734B4239">
            <w:pPr>
              <w:spacing w:beforeAutospacing="0" w:afterAutospacing="0" w:line="240" w:lineRule="auto"/>
              <w:jc w:val="center"/>
              <w:rPr>
                <w:rFonts w:hint="eastAsia" w:ascii="方正黑体_GBK" w:hAnsi="方正黑体_GBK" w:eastAsia="方正黑体_GBK" w:cs="方正黑体_GBK"/>
                <w:sz w:val="15"/>
                <w:szCs w:val="15"/>
                <w:highlight w:val="none"/>
              </w:rPr>
            </w:pPr>
          </w:p>
        </w:tc>
        <w:tc>
          <w:tcPr>
            <w:tcW w:w="7524" w:type="dxa"/>
            <w:tcBorders>
              <w:top w:val="single" w:color="auto" w:sz="6" w:space="0"/>
              <w:left w:val="nil"/>
              <w:bottom w:val="nil"/>
              <w:right w:val="nil"/>
              <w:tl2br w:val="nil"/>
              <w:tr2bl w:val="nil"/>
            </w:tcBorders>
            <w:shd w:val="clear" w:color="auto" w:fill="auto"/>
            <w:noWrap/>
            <w:vAlign w:val="center"/>
          </w:tcPr>
          <w:p w14:paraId="43A409B4">
            <w:pPr>
              <w:spacing w:beforeAutospacing="0" w:afterAutospacing="0" w:line="240" w:lineRule="auto"/>
              <w:rPr>
                <w:rFonts w:hint="eastAsia" w:ascii="方正黑体_GBK" w:hAnsi="方正黑体_GBK" w:eastAsia="方正黑体_GBK" w:cs="方正黑体_GBK"/>
                <w:sz w:val="15"/>
                <w:szCs w:val="15"/>
                <w:highlight w:val="none"/>
              </w:rPr>
            </w:pPr>
          </w:p>
        </w:tc>
      </w:tr>
      <w:tr w14:paraId="117A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1B84A39A">
            <w:pPr>
              <w:spacing w:beforeAutospacing="0" w:afterAutospacing="0" w:line="240" w:lineRule="auto"/>
              <w:jc w:val="center"/>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6164428A">
            <w:pPr>
              <w:spacing w:beforeAutospacing="0" w:afterAutospacing="0" w:line="240" w:lineRule="auto"/>
              <w:rPr>
                <w:rFonts w:hint="eastAsia" w:ascii="方正黑体_GBK" w:hAnsi="方正黑体_GBK" w:eastAsia="方正黑体_GBK" w:cs="方正黑体_GBK"/>
                <w:sz w:val="15"/>
                <w:szCs w:val="15"/>
                <w:highlight w:val="none"/>
              </w:rPr>
            </w:pPr>
          </w:p>
        </w:tc>
      </w:tr>
      <w:tr w14:paraId="458E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5E61B05F">
            <w:pPr>
              <w:spacing w:beforeAutospacing="0" w:afterAutospacing="0" w:line="240" w:lineRule="auto"/>
              <w:ind w:left="0" w:firstLine="0" w:firstLineChars="0"/>
              <w:jc w:val="both"/>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3A9E6C1E">
            <w:pPr>
              <w:spacing w:beforeAutospacing="0" w:afterAutospacing="0" w:line="240" w:lineRule="auto"/>
              <w:rPr>
                <w:rFonts w:hint="eastAsia" w:ascii="方正黑体_GBK" w:hAnsi="方正黑体_GBK" w:eastAsia="方正黑体_GBK" w:cs="方正黑体_GBK"/>
                <w:sz w:val="15"/>
                <w:szCs w:val="15"/>
                <w:highlight w:val="none"/>
              </w:rPr>
            </w:pPr>
          </w:p>
        </w:tc>
      </w:tr>
      <w:tr w14:paraId="193E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4B6459DB">
            <w:pPr>
              <w:spacing w:beforeAutospacing="0" w:afterAutospacing="0" w:line="240" w:lineRule="auto"/>
              <w:jc w:val="center"/>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1BF66B4E">
            <w:pPr>
              <w:spacing w:beforeAutospacing="0" w:afterAutospacing="0" w:line="240" w:lineRule="auto"/>
              <w:rPr>
                <w:rFonts w:hint="eastAsia" w:ascii="方正黑体_GBK" w:hAnsi="方正黑体_GBK" w:eastAsia="方正黑体_GBK" w:cs="方正黑体_GBK"/>
                <w:sz w:val="15"/>
                <w:szCs w:val="15"/>
                <w:highlight w:val="none"/>
              </w:rPr>
            </w:pPr>
          </w:p>
        </w:tc>
      </w:tr>
      <w:tr w14:paraId="06E8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77F5D9C4">
            <w:pPr>
              <w:spacing w:beforeAutospacing="0" w:afterAutospacing="0" w:line="240" w:lineRule="auto"/>
              <w:ind w:left="0" w:firstLine="0" w:firstLineChars="0"/>
              <w:jc w:val="both"/>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53476572">
            <w:pPr>
              <w:spacing w:beforeAutospacing="0" w:afterAutospacing="0" w:line="240" w:lineRule="auto"/>
              <w:rPr>
                <w:rFonts w:hint="eastAsia" w:ascii="方正黑体_GBK" w:hAnsi="方正黑体_GBK" w:eastAsia="方正黑体_GBK" w:cs="方正黑体_GBK"/>
                <w:sz w:val="15"/>
                <w:szCs w:val="15"/>
                <w:highlight w:val="none"/>
              </w:rPr>
            </w:pPr>
          </w:p>
        </w:tc>
      </w:tr>
      <w:tr w14:paraId="34E7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E9B6EDB">
            <w:pPr>
              <w:pStyle w:val="41"/>
              <w:bidi w:val="0"/>
              <w:rPr>
                <w:rFonts w:hint="eastAsia"/>
              </w:rPr>
            </w:pPr>
            <w:r>
              <w:t xml:space="preserve">1.7 </w:t>
            </w:r>
            <w:r>
              <w:rPr>
                <w:rFonts w:hint="eastAsia"/>
              </w:rPr>
              <w:t>接入路由器</w:t>
            </w:r>
          </w:p>
        </w:tc>
      </w:tr>
      <w:tr w14:paraId="0CFF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B675D8">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A7475E">
            <w:pPr>
              <w:pStyle w:val="41"/>
              <w:bidi w:val="0"/>
              <w:rPr>
                <w:rFonts w:hint="eastAsia"/>
              </w:rPr>
            </w:pPr>
            <w:r>
              <w:rPr>
                <w:rFonts w:hint="eastAsia"/>
              </w:rPr>
              <w:t>参数要求</w:t>
            </w:r>
          </w:p>
        </w:tc>
      </w:tr>
      <w:tr w14:paraId="539F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08D54A">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ABF616">
            <w:pPr>
              <w:pStyle w:val="40"/>
              <w:bidi w:val="0"/>
              <w:rPr>
                <w:rFonts w:hint="eastAsia"/>
              </w:rPr>
            </w:pPr>
            <w:r>
              <w:rPr>
                <w:rFonts w:hint="eastAsia"/>
              </w:rPr>
              <w:t>非OEM设备，采用国产CPU、国产转发芯片；设备采用国产操作系统；</w:t>
            </w:r>
          </w:p>
        </w:tc>
      </w:tr>
      <w:tr w14:paraId="6BBB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BB0580">
            <w:pPr>
              <w:pStyle w:val="40"/>
              <w:bidi w:val="0"/>
              <w:rPr>
                <w:rFonts w:hint="eastAsia"/>
              </w:rPr>
            </w:pPr>
            <w:r>
              <w:rPr>
                <w:rFonts w:hint="eastAsia"/>
              </w:rPr>
              <w:t>性能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0EFB350">
            <w:pPr>
              <w:pStyle w:val="40"/>
              <w:bidi w:val="0"/>
              <w:rPr>
                <w:rFonts w:hint="eastAsia"/>
              </w:rPr>
            </w:pPr>
            <w:r>
              <w:rPr>
                <w:rFonts w:hint="eastAsia"/>
              </w:rPr>
              <w:t>交换容量≥20Gbps，包转发率≥9Mpps；</w:t>
            </w:r>
          </w:p>
        </w:tc>
      </w:tr>
      <w:tr w14:paraId="21E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D3EB4F">
            <w:pPr>
              <w:pStyle w:val="40"/>
              <w:bidi w:val="0"/>
              <w:rPr>
                <w:rFonts w:hint="eastAsia"/>
              </w:rPr>
            </w:pPr>
            <w:r>
              <w:rPr>
                <w:rFonts w:hint="eastAsia"/>
              </w:rPr>
              <w:t>硬件</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6F2911B">
            <w:pPr>
              <w:pStyle w:val="40"/>
              <w:bidi w:val="0"/>
              <w:rPr>
                <w:rFonts w:hint="eastAsia"/>
              </w:rPr>
            </w:pPr>
            <w:r>
              <w:rPr>
                <w:rFonts w:hint="eastAsia"/>
              </w:rPr>
              <w:t>配置千兆光口≥4个，千兆电口≥5个，同异步串口接口≥4， GE COMBO口≥4；</w:t>
            </w:r>
          </w:p>
        </w:tc>
      </w:tr>
      <w:tr w14:paraId="2B36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BCC47C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D24163">
            <w:pPr>
              <w:pStyle w:val="40"/>
              <w:bidi w:val="0"/>
              <w:rPr>
                <w:rFonts w:hint="eastAsia"/>
              </w:rPr>
            </w:pPr>
            <w:r>
              <w:rPr>
                <w:rFonts w:hint="eastAsia"/>
              </w:rPr>
              <w:t>电源≥2，内存≥4GB；</w:t>
            </w:r>
          </w:p>
        </w:tc>
      </w:tr>
      <w:tr w14:paraId="59F6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CAFAE3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7D8B58">
            <w:pPr>
              <w:pStyle w:val="40"/>
              <w:bidi w:val="0"/>
              <w:rPr>
                <w:rFonts w:hint="eastAsia"/>
              </w:rPr>
            </w:pPr>
            <w:r>
              <w:rPr>
                <w:rFonts w:hint="eastAsia"/>
              </w:rPr>
              <w:t>设备高度1U;</w:t>
            </w:r>
          </w:p>
        </w:tc>
      </w:tr>
      <w:tr w14:paraId="61D5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ED6D544">
            <w:pPr>
              <w:pStyle w:val="40"/>
              <w:bidi w:val="0"/>
              <w:rPr>
                <w:rFonts w:hint="eastAsia"/>
              </w:rPr>
            </w:pPr>
            <w:r>
              <w:rPr>
                <w:rFonts w:hint="eastAsia"/>
              </w:rPr>
              <w:t>基本功能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76A5B28">
            <w:pPr>
              <w:pStyle w:val="40"/>
              <w:bidi w:val="0"/>
              <w:rPr>
                <w:rFonts w:hint="eastAsia"/>
              </w:rPr>
            </w:pPr>
            <w:r>
              <w:rPr>
                <w:rFonts w:hint="eastAsia"/>
              </w:rPr>
              <w:t>静态路由，路由策略， RIPng，OSPFv3，BGP4+；</w:t>
            </w:r>
          </w:p>
        </w:tc>
      </w:tr>
      <w:tr w14:paraId="3ACC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DC63E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AEE145">
            <w:pPr>
              <w:pStyle w:val="40"/>
              <w:bidi w:val="0"/>
              <w:rPr>
                <w:rFonts w:hint="eastAsia"/>
              </w:rPr>
            </w:pPr>
            <w:r>
              <w:rPr>
                <w:rFonts w:hint="eastAsia"/>
              </w:rPr>
              <w:t>支持mpls vpn；</w:t>
            </w:r>
          </w:p>
        </w:tc>
      </w:tr>
      <w:tr w14:paraId="14C4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1083A3C"/>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6B7B58">
            <w:pPr>
              <w:pStyle w:val="40"/>
              <w:bidi w:val="0"/>
              <w:rPr>
                <w:rFonts w:hint="eastAsia"/>
              </w:rPr>
            </w:pPr>
            <w:r>
              <w:rPr>
                <w:rFonts w:hint="eastAsia"/>
              </w:rPr>
              <w:t>支持多发选收，逐包负载分担；</w:t>
            </w:r>
          </w:p>
        </w:tc>
      </w:tr>
      <w:tr w14:paraId="7C19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63AE17E"/>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EE9192">
            <w:pPr>
              <w:pStyle w:val="40"/>
              <w:bidi w:val="0"/>
              <w:rPr>
                <w:rFonts w:hint="eastAsia"/>
              </w:rPr>
            </w:pPr>
            <w:r>
              <w:rPr>
                <w:rFonts w:hint="eastAsia"/>
              </w:rPr>
              <w:t>支持IPsec，GRE，DSVPN，A2A VPN，L2TP VPN，L2TPv3 VPN；</w:t>
            </w:r>
          </w:p>
        </w:tc>
      </w:tr>
      <w:tr w14:paraId="33B8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6F86B9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6E7C99">
            <w:pPr>
              <w:pStyle w:val="40"/>
              <w:bidi w:val="0"/>
              <w:rPr>
                <w:rFonts w:hint="eastAsia"/>
              </w:rPr>
            </w:pPr>
            <w:r>
              <w:rPr>
                <w:rFonts w:hint="eastAsia"/>
              </w:rPr>
              <w:t>支持QOS、流量整形、拥塞避免；</w:t>
            </w:r>
          </w:p>
        </w:tc>
      </w:tr>
      <w:tr w14:paraId="6F1D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6DCD84F">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09BEB3">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4350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E430ABB">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AAD353">
            <w:pPr>
              <w:pStyle w:val="40"/>
              <w:bidi w:val="0"/>
              <w:rPr>
                <w:rFonts w:hint="eastAsia"/>
              </w:rPr>
            </w:pPr>
            <w:r>
              <w:rPr>
                <w:rFonts w:hint="eastAsia"/>
              </w:rPr>
              <w:t>1</w:t>
            </w:r>
          </w:p>
        </w:tc>
      </w:tr>
    </w:tbl>
    <w:p w14:paraId="04685324">
      <w:pPr>
        <w:ind w:left="0" w:firstLine="0" w:firstLineChars="0"/>
        <w:rPr>
          <w:rFonts w:ascii="宋体" w:eastAsia="宋体"/>
          <w:b/>
          <w:szCs w:val="24"/>
          <w:highlight w:val="none"/>
          <w:lang w:val="en-US" w:eastAsia="zh-CN"/>
        </w:rPr>
      </w:pPr>
    </w:p>
    <w:p w14:paraId="30C38A08">
      <w:pPr>
        <w:pStyle w:val="5"/>
        <w:bidi w:val="0"/>
        <w:rPr>
          <w:lang w:val="en-US" w:eastAsia="zh-CN"/>
        </w:rPr>
      </w:pPr>
      <w:r>
        <w:rPr>
          <w:lang w:val="en-US" w:eastAsia="zh-CN"/>
        </w:rPr>
        <w:t>2.（标段2：负载均衡设备）</w:t>
      </w:r>
    </w:p>
    <w:tbl>
      <w:tblPr>
        <w:tblStyle w:val="19"/>
        <w:tblpPr w:leftFromText="180" w:rightFromText="180" w:vertAnchor="text" w:horzAnchor="page" w:tblpX="1721" w:tblpY="60"/>
        <w:tblOverlap w:val="never"/>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6"/>
        <w:gridCol w:w="7479"/>
      </w:tblGrid>
      <w:tr w14:paraId="79F3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2"/>
            <w:tcBorders>
              <w:top w:val="single" w:color="auto" w:sz="4" w:space="0"/>
              <w:left w:val="single" w:color="auto" w:sz="4" w:space="0"/>
              <w:bottom w:val="single" w:color="auto" w:sz="4" w:space="0"/>
              <w:right w:val="single" w:color="auto" w:sz="4" w:space="0"/>
            </w:tcBorders>
            <w:shd w:val="clear" w:color="auto" w:fill="auto"/>
          </w:tcPr>
          <w:p w14:paraId="0AAA7AC2">
            <w:pPr>
              <w:pStyle w:val="41"/>
              <w:bidi w:val="0"/>
              <w:rPr>
                <w:rFonts w:hint="eastAsia"/>
              </w:rPr>
            </w:pPr>
            <w:r>
              <w:rPr>
                <w:rFonts w:hint="eastAsia"/>
              </w:rPr>
              <w:t xml:space="preserve">  </w:t>
            </w:r>
            <w:r>
              <w:t xml:space="preserve">2.1 </w:t>
            </w:r>
            <w:r>
              <w:rPr>
                <w:rFonts w:hint="eastAsia"/>
              </w:rPr>
              <w:t>负载均衡1</w:t>
            </w:r>
          </w:p>
        </w:tc>
      </w:tr>
      <w:tr w14:paraId="5466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shd w:val="clear" w:color="auto" w:fill="auto"/>
          </w:tcPr>
          <w:p w14:paraId="289BA4AA">
            <w:pPr>
              <w:pStyle w:val="41"/>
              <w:bidi w:val="0"/>
              <w:rPr>
                <w:rFonts w:hint="eastAsia"/>
              </w:rPr>
            </w:pPr>
            <w:r>
              <w:rPr>
                <w:rFonts w:hint="eastAsia"/>
              </w:rPr>
              <w:t>指标项</w:t>
            </w:r>
          </w:p>
        </w:tc>
        <w:tc>
          <w:tcPr>
            <w:tcW w:w="7479" w:type="dxa"/>
            <w:tcBorders>
              <w:left w:val="single" w:color="auto" w:sz="4" w:space="0"/>
            </w:tcBorders>
            <w:shd w:val="clear" w:color="auto" w:fill="auto"/>
          </w:tcPr>
          <w:p w14:paraId="5DBD3C5F">
            <w:pPr>
              <w:pStyle w:val="41"/>
              <w:bidi w:val="0"/>
              <w:rPr>
                <w:rFonts w:hint="eastAsia"/>
              </w:rPr>
            </w:pPr>
            <w:r>
              <w:rPr>
                <w:rFonts w:hint="eastAsia"/>
              </w:rPr>
              <w:t>参数要求</w:t>
            </w:r>
          </w:p>
        </w:tc>
      </w:tr>
      <w:tr w14:paraId="51DE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shd w:val="clear" w:color="auto" w:fill="auto"/>
            <w:vAlign w:val="center"/>
          </w:tcPr>
          <w:p w14:paraId="4E62D3A6">
            <w:pPr>
              <w:pStyle w:val="40"/>
              <w:bidi w:val="0"/>
              <w:rPr>
                <w:rFonts w:hint="eastAsia"/>
              </w:rPr>
            </w:pPr>
            <w:r>
              <w:rPr>
                <w:rFonts w:hint="eastAsia"/>
              </w:rPr>
              <w:t>总体要求</w:t>
            </w:r>
          </w:p>
        </w:tc>
        <w:tc>
          <w:tcPr>
            <w:tcW w:w="7479" w:type="dxa"/>
            <w:tcBorders>
              <w:left w:val="single" w:color="auto" w:sz="4" w:space="0"/>
            </w:tcBorders>
            <w:shd w:val="clear" w:color="auto" w:fill="auto"/>
          </w:tcPr>
          <w:p w14:paraId="7C456A4B">
            <w:pPr>
              <w:pStyle w:val="40"/>
              <w:bidi w:val="0"/>
              <w:rPr>
                <w:rFonts w:hint="eastAsia"/>
                <w:lang w:eastAsia="zh-CN"/>
              </w:rPr>
            </w:pPr>
            <w:r>
              <w:rPr>
                <w:rFonts w:hint="eastAsia"/>
              </w:rPr>
              <w:t>采用国产CPU芯片、国产操作系统；需详细说明芯片厂商、规格型号（提供国家</w:t>
            </w:r>
            <w:r>
              <w:rPr>
                <w:rFonts w:hint="eastAsia"/>
                <w:lang w:val="en-US" w:eastAsia="zh-CN"/>
              </w:rPr>
              <w:t>权威机构</w:t>
            </w:r>
            <w:r>
              <w:rPr>
                <w:rFonts w:hint="eastAsia"/>
              </w:rPr>
              <w:t>出具的检测报告，报告内容需包含产品型号、CPU、内存、操作系统等关键信息，要求检测报告上的产品型号与</w:t>
            </w:r>
            <w:r>
              <w:rPr>
                <w:rFonts w:hint="eastAsia"/>
                <w:lang w:eastAsia="zh-CN"/>
              </w:rPr>
              <w:t>响应</w:t>
            </w:r>
            <w:r>
              <w:rPr>
                <w:rFonts w:hint="eastAsia"/>
              </w:rPr>
              <w:t>型号完全一致）；</w:t>
            </w:r>
          </w:p>
        </w:tc>
      </w:tr>
      <w:tr w14:paraId="5813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E0D261A">
            <w:pPr>
              <w:pStyle w:val="40"/>
              <w:bidi w:val="0"/>
              <w:rPr>
                <w:rFonts w:hint="eastAsia"/>
                <w:lang w:val="en-US" w:eastAsia="zh-CN"/>
              </w:rPr>
            </w:pPr>
            <w:r>
              <w:rPr>
                <w:rFonts w:hint="eastAsia"/>
                <w:lang w:val="en-US" w:eastAsia="zh-CN"/>
              </w:rPr>
              <w:t>性能参数</w:t>
            </w:r>
          </w:p>
        </w:tc>
        <w:tc>
          <w:tcPr>
            <w:tcW w:w="7479" w:type="dxa"/>
            <w:tcBorders>
              <w:left w:val="single" w:color="auto" w:sz="4" w:space="0"/>
            </w:tcBorders>
            <w:shd w:val="clear" w:color="auto" w:fill="auto"/>
          </w:tcPr>
          <w:p w14:paraId="0C6F1F57">
            <w:pPr>
              <w:pStyle w:val="40"/>
              <w:bidi w:val="0"/>
              <w:rPr>
                <w:rFonts w:hint="eastAsia"/>
              </w:rPr>
            </w:pPr>
            <w:r>
              <w:rPr>
                <w:rFonts w:hint="eastAsia"/>
              </w:rPr>
              <w:t>四层吞吐量不低于</w:t>
            </w:r>
            <w:r>
              <w:rPr>
                <w:rFonts w:hint="eastAsia"/>
                <w:lang w:val="en-US" w:eastAsia="zh-CN"/>
              </w:rPr>
              <w:t>100</w:t>
            </w:r>
            <w:r>
              <w:rPr>
                <w:rFonts w:hint="eastAsia"/>
              </w:rPr>
              <w:t>G，四层最大并发连接数不低于5000万，四层新建连接数（CPS）不低于</w:t>
            </w:r>
            <w:r>
              <w:rPr>
                <w:rFonts w:hint="eastAsia"/>
                <w:lang w:val="en-US" w:eastAsia="zh-CN"/>
              </w:rPr>
              <w:t>120</w:t>
            </w:r>
            <w:r>
              <w:rPr>
                <w:rFonts w:hint="eastAsia"/>
              </w:rPr>
              <w:t>万，七层吞吐量不低于</w:t>
            </w:r>
            <w:r>
              <w:rPr>
                <w:rFonts w:hint="eastAsia"/>
                <w:lang w:val="en-US" w:eastAsia="zh-CN"/>
              </w:rPr>
              <w:t>70</w:t>
            </w:r>
            <w:r>
              <w:rPr>
                <w:rFonts w:hint="eastAsia"/>
              </w:rPr>
              <w:t>G，七层最大并发连接数不低于1500万，七层新建连接数（RPS）不低于300万（提供国家</w:t>
            </w:r>
            <w:r>
              <w:rPr>
                <w:rFonts w:hint="eastAsia"/>
                <w:lang w:val="en-US" w:eastAsia="zh-CN"/>
              </w:rPr>
              <w:t>权威机构</w:t>
            </w:r>
            <w:r>
              <w:rPr>
                <w:rFonts w:hint="eastAsia"/>
              </w:rPr>
              <w:t>出具的检测报告，要求检测报告上的产品型号与</w:t>
            </w:r>
            <w:r>
              <w:rPr>
                <w:rFonts w:hint="eastAsia"/>
                <w:lang w:eastAsia="zh-CN"/>
              </w:rPr>
              <w:t>响应</w:t>
            </w:r>
            <w:r>
              <w:rPr>
                <w:rFonts w:hint="eastAsia"/>
              </w:rPr>
              <w:t>型号完全一致，需提供检测报告关键页复印件，需包含：设备型号页，设备性能参数页，盖章页，并加盖厂商鲜章）</w:t>
            </w:r>
          </w:p>
        </w:tc>
      </w:tr>
      <w:tr w14:paraId="3336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0E512A29">
            <w:pPr>
              <w:pStyle w:val="40"/>
              <w:bidi w:val="0"/>
              <w:rPr>
                <w:rFonts w:hint="eastAsia"/>
                <w:lang w:val="en-US" w:eastAsia="zh-CN"/>
              </w:rPr>
            </w:pPr>
            <w:r>
              <w:rPr>
                <w:rFonts w:hint="eastAsia"/>
                <w:lang w:val="en-US" w:eastAsia="zh-CN"/>
              </w:rPr>
              <w:t>硬件参数</w:t>
            </w:r>
          </w:p>
        </w:tc>
        <w:tc>
          <w:tcPr>
            <w:tcW w:w="7479" w:type="dxa"/>
            <w:tcBorders>
              <w:left w:val="single" w:color="auto" w:sz="4" w:space="0"/>
            </w:tcBorders>
            <w:shd w:val="clear" w:color="auto" w:fill="auto"/>
          </w:tcPr>
          <w:p w14:paraId="12C9202A">
            <w:pPr>
              <w:pStyle w:val="40"/>
              <w:bidi w:val="0"/>
              <w:rPr>
                <w:rFonts w:hint="eastAsia"/>
              </w:rPr>
            </w:pPr>
            <w:r>
              <w:rPr>
                <w:rFonts w:hint="eastAsia"/>
              </w:rPr>
              <w:t>规格：2U，内存大小≥64G，电源：冗余电源，接口：</w:t>
            </w:r>
            <w:r>
              <w:rPr>
                <w:rFonts w:hint="eastAsia"/>
                <w:lang w:val="en-US" w:eastAsia="zh-CN"/>
              </w:rPr>
              <w:t>25GE光口（可降速兼容10G/1G）</w:t>
            </w:r>
            <w:r>
              <w:rPr>
                <w:rFonts w:hint="eastAsia"/>
              </w:rPr>
              <w:t>≥1</w:t>
            </w:r>
            <w:r>
              <w:rPr>
                <w:rFonts w:hint="eastAsia"/>
                <w:lang w:val="en-US" w:eastAsia="zh-CN"/>
              </w:rPr>
              <w:t>6个</w:t>
            </w:r>
            <w:r>
              <w:rPr>
                <w:rFonts w:hint="eastAsia"/>
              </w:rPr>
              <w:t>，100GE光口（可降速兼容40G）≥</w:t>
            </w:r>
            <w:r>
              <w:rPr>
                <w:rFonts w:hint="eastAsia"/>
                <w:lang w:val="en-US" w:eastAsia="zh-CN"/>
              </w:rPr>
              <w:t>8</w:t>
            </w:r>
            <w:r>
              <w:rPr>
                <w:rFonts w:hint="eastAsia"/>
              </w:rPr>
              <w:t>个，在满足以上接口要求基础上，需支持≥2个接口卡扩展槽；</w:t>
            </w:r>
          </w:p>
          <w:p w14:paraId="11F54DAF">
            <w:pPr>
              <w:pStyle w:val="40"/>
              <w:bidi w:val="0"/>
              <w:rPr>
                <w:rFonts w:hint="eastAsia"/>
                <w:lang w:eastAsia="zh-CN"/>
              </w:rPr>
            </w:pPr>
            <w:r>
              <w:rPr>
                <w:rFonts w:hint="eastAsia"/>
              </w:rPr>
              <w:t>配置存储介质EMMC卡≥4GB（需提供设备功能界面截图证明）</w:t>
            </w:r>
          </w:p>
        </w:tc>
      </w:tr>
      <w:tr w14:paraId="75EF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56" w:type="dxa"/>
            <w:vMerge w:val="restart"/>
            <w:shd w:val="clear" w:color="auto" w:fill="auto"/>
            <w:vAlign w:val="center"/>
          </w:tcPr>
          <w:p w14:paraId="253A92FD">
            <w:pPr>
              <w:pStyle w:val="40"/>
              <w:bidi w:val="0"/>
              <w:rPr>
                <w:rFonts w:hint="eastAsia"/>
                <w:lang w:val="en-US" w:eastAsia="zh-CN"/>
              </w:rPr>
            </w:pPr>
            <w:r>
              <w:rPr>
                <w:rFonts w:hint="eastAsia"/>
                <w:lang w:val="en-US" w:eastAsia="zh-CN"/>
              </w:rPr>
              <w:t>加密要求</w:t>
            </w:r>
          </w:p>
        </w:tc>
        <w:tc>
          <w:tcPr>
            <w:tcW w:w="7479" w:type="dxa"/>
            <w:tcBorders>
              <w:left w:val="single" w:color="auto" w:sz="4" w:space="0"/>
            </w:tcBorders>
            <w:shd w:val="clear" w:color="auto" w:fill="auto"/>
          </w:tcPr>
          <w:p w14:paraId="0695A572">
            <w:pPr>
              <w:pStyle w:val="40"/>
              <w:bidi w:val="0"/>
              <w:rPr>
                <w:rFonts w:hint="eastAsia"/>
              </w:rPr>
            </w:pPr>
            <w:r>
              <w:rPr>
                <w:rFonts w:hint="eastAsia"/>
              </w:rPr>
              <w:t>需独立配置国产算法SSL硬件加速卡，具备国密TLS_ECC_WITH_SM4_SM3、TLS_ECDHE_WITH_SM4_SM3加密套件；（</w:t>
            </w:r>
            <w:r>
              <w:rPr>
                <w:rFonts w:hint="eastAsia"/>
                <w:lang w:eastAsia="zh-CN"/>
              </w:rPr>
              <w:t>响应</w:t>
            </w:r>
            <w:r>
              <w:rPr>
                <w:rFonts w:hint="eastAsia"/>
              </w:rPr>
              <w:t>人需提供</w:t>
            </w:r>
            <w:r>
              <w:rPr>
                <w:rFonts w:hint="eastAsia"/>
                <w:lang w:eastAsia="zh-CN"/>
              </w:rPr>
              <w:t>响应</w:t>
            </w:r>
            <w:r>
              <w:rPr>
                <w:rFonts w:hint="eastAsia"/>
              </w:rPr>
              <w:t>产品的国密商用密码产品认证证书复印件，并加盖厂商鲜章）；</w:t>
            </w:r>
          </w:p>
          <w:p w14:paraId="0889CB9F">
            <w:pPr>
              <w:pStyle w:val="40"/>
              <w:bidi w:val="0"/>
              <w:rPr>
                <w:rFonts w:hint="eastAsia"/>
                <w:lang w:eastAsia="zh-CN"/>
              </w:rPr>
            </w:pPr>
            <w:r>
              <w:rPr>
                <w:rFonts w:hint="eastAsia"/>
              </w:rPr>
              <w:t>需独立配置国际算法SSL硬件加速卡，支持RSA、ECDH、ECDHE等加密算法（</w:t>
            </w:r>
            <w:r>
              <w:rPr>
                <w:rFonts w:hint="eastAsia"/>
                <w:lang w:eastAsia="zh-CN"/>
              </w:rPr>
              <w:t>响应</w:t>
            </w:r>
            <w:r>
              <w:rPr>
                <w:rFonts w:hint="eastAsia"/>
              </w:rPr>
              <w:t>人需提供设备功能界面截图证明，并加盖厂商鲜章）</w:t>
            </w:r>
          </w:p>
        </w:tc>
      </w:tr>
      <w:tr w14:paraId="5371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555EB4ED"/>
        </w:tc>
        <w:tc>
          <w:tcPr>
            <w:tcW w:w="7479" w:type="dxa"/>
            <w:tcBorders>
              <w:left w:val="single" w:color="auto" w:sz="4" w:space="0"/>
            </w:tcBorders>
            <w:shd w:val="clear" w:color="auto" w:fill="auto"/>
          </w:tcPr>
          <w:p w14:paraId="2A37892A">
            <w:pPr>
              <w:pStyle w:val="40"/>
              <w:bidi w:val="0"/>
              <w:rPr>
                <w:rFonts w:hint="eastAsia"/>
              </w:rPr>
            </w:pPr>
            <w:r>
              <w:rPr>
                <w:rFonts w:hint="eastAsia"/>
              </w:rPr>
              <w:t>支持对客户端SSL双向认证错误时，如在客户端未发送证书、证书尚未生效、证书已过期、证书签名无效、证书被吊销等场景下的定制页面推送</w:t>
            </w:r>
            <w:r>
              <w:rPr>
                <w:rFonts w:hint="eastAsia"/>
                <w:lang w:eastAsia="zh-CN"/>
              </w:rPr>
              <w:t>；</w:t>
            </w:r>
            <w:r>
              <w:rPr>
                <w:rFonts w:hint="eastAsia"/>
              </w:rPr>
              <w:t>（</w:t>
            </w:r>
            <w:r>
              <w:rPr>
                <w:rFonts w:hint="eastAsia"/>
                <w:lang w:eastAsia="zh-CN"/>
              </w:rPr>
              <w:t>响应</w:t>
            </w:r>
            <w:r>
              <w:rPr>
                <w:rFonts w:hint="eastAsia"/>
              </w:rPr>
              <w:t>人需提供设备功能界面截图证明，并加盖厂商鲜章）</w:t>
            </w:r>
          </w:p>
        </w:tc>
      </w:tr>
      <w:tr w14:paraId="0759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3E6D5171"/>
        </w:tc>
        <w:tc>
          <w:tcPr>
            <w:tcW w:w="7479" w:type="dxa"/>
            <w:tcBorders>
              <w:left w:val="single" w:color="auto" w:sz="4" w:space="0"/>
            </w:tcBorders>
            <w:shd w:val="clear" w:color="auto" w:fill="auto"/>
          </w:tcPr>
          <w:p w14:paraId="4D5158A1">
            <w:pPr>
              <w:pStyle w:val="40"/>
              <w:bidi w:val="0"/>
              <w:rPr>
                <w:rFonts w:hint="eastAsia"/>
              </w:rPr>
            </w:pPr>
            <w:r>
              <w:rPr>
                <w:rFonts w:hint="eastAsia"/>
              </w:rPr>
              <w:t>支持生成证书签名请求，可生成RSA密钥算法类型以及SM2密钥算法类型的证书签名请求；（</w:t>
            </w:r>
            <w:r>
              <w:rPr>
                <w:rFonts w:hint="eastAsia"/>
                <w:lang w:eastAsia="zh-CN"/>
              </w:rPr>
              <w:t>响应</w:t>
            </w:r>
            <w:r>
              <w:rPr>
                <w:rFonts w:hint="eastAsia"/>
              </w:rPr>
              <w:t>人需提供设备功能界面截图证明，并加盖厂商鲜章）</w:t>
            </w:r>
          </w:p>
        </w:tc>
      </w:tr>
      <w:tr w14:paraId="23EB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restart"/>
            <w:shd w:val="clear" w:color="auto" w:fill="auto"/>
            <w:vAlign w:val="center"/>
          </w:tcPr>
          <w:p w14:paraId="07ADB954">
            <w:pPr>
              <w:pStyle w:val="40"/>
              <w:bidi w:val="0"/>
              <w:rPr>
                <w:rFonts w:hint="eastAsia"/>
              </w:rPr>
            </w:pPr>
            <w:r>
              <w:rPr>
                <w:rFonts w:hint="eastAsia"/>
              </w:rPr>
              <w:t>设备部署</w:t>
            </w:r>
          </w:p>
        </w:tc>
        <w:tc>
          <w:tcPr>
            <w:tcW w:w="7479" w:type="dxa"/>
            <w:tcBorders>
              <w:left w:val="single" w:color="auto" w:sz="4" w:space="0"/>
            </w:tcBorders>
            <w:shd w:val="clear" w:color="auto" w:fill="auto"/>
          </w:tcPr>
          <w:p w14:paraId="7B183CFB">
            <w:pPr>
              <w:pStyle w:val="40"/>
              <w:bidi w:val="0"/>
              <w:rPr>
                <w:rFonts w:hint="eastAsia"/>
                <w:lang w:val="en-US" w:eastAsia="zh-CN"/>
              </w:rPr>
            </w:pPr>
            <w:r>
              <w:rPr>
                <w:rFonts w:hint="eastAsia"/>
              </w:rPr>
              <w:t>支持被现网信创应用负载均衡管理平台统一纳管，实现设备运行状态监控，包含CPU使用率、内存使用率等，以及设备配置下发，包含IP、VLAN、路由策略、服务器负载等策略，提高运维效率。如果不支持，需提供管理管理平台一套，实现上述功能。</w:t>
            </w:r>
          </w:p>
        </w:tc>
      </w:tr>
      <w:tr w14:paraId="3CAC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606E04C1"/>
        </w:tc>
        <w:tc>
          <w:tcPr>
            <w:tcW w:w="7479" w:type="dxa"/>
            <w:tcBorders>
              <w:left w:val="single" w:color="auto" w:sz="4" w:space="0"/>
            </w:tcBorders>
            <w:shd w:val="clear" w:color="auto" w:fill="auto"/>
          </w:tcPr>
          <w:p w14:paraId="3B3EDAC5">
            <w:pPr>
              <w:pStyle w:val="40"/>
              <w:bidi w:val="0"/>
              <w:rPr>
                <w:rFonts w:hint="eastAsia"/>
              </w:rPr>
            </w:pPr>
            <w:r>
              <w:rPr>
                <w:rFonts w:hint="eastAsia"/>
              </w:rPr>
              <w:t>单一设备可同时支持包括链路负载均衡、全局负载均衡和服务器负载均衡的功能。三种功能同时处于激活可使用状态;如通过license进行功能控制，需提供永久license。</w:t>
            </w:r>
          </w:p>
        </w:tc>
      </w:tr>
      <w:tr w14:paraId="09F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2CBCBCAB"/>
        </w:tc>
        <w:tc>
          <w:tcPr>
            <w:tcW w:w="7479" w:type="dxa"/>
            <w:tcBorders>
              <w:left w:val="single" w:color="auto" w:sz="4" w:space="0"/>
            </w:tcBorders>
            <w:shd w:val="clear" w:color="auto" w:fill="auto"/>
          </w:tcPr>
          <w:p w14:paraId="13473082">
            <w:pPr>
              <w:pStyle w:val="40"/>
              <w:bidi w:val="0"/>
              <w:rPr>
                <w:rFonts w:hint="eastAsia"/>
                <w:lang w:val="en-US" w:eastAsia="zh-CN"/>
              </w:rPr>
            </w:pPr>
            <w:r>
              <w:rPr>
                <w:rFonts w:hint="eastAsia"/>
              </w:rPr>
              <w:t>支持VRRP双机双主部署模式，通过创建多个VRRP可以实现双主的模式，提高设备利用率；（</w:t>
            </w:r>
            <w:r>
              <w:rPr>
                <w:rFonts w:hint="eastAsia"/>
                <w:lang w:eastAsia="zh-CN"/>
              </w:rPr>
              <w:t>响应</w:t>
            </w:r>
            <w:r>
              <w:rPr>
                <w:rFonts w:hint="eastAsia"/>
              </w:rPr>
              <w:t>人需提供设备功能界面截图证明，并加盖厂商鲜章）</w:t>
            </w:r>
            <w:r>
              <w:rPr>
                <w:rFonts w:hint="eastAsia"/>
                <w:lang w:val="en-US" w:eastAsia="zh-CN"/>
              </w:rPr>
              <w:t>;</w:t>
            </w:r>
          </w:p>
        </w:tc>
      </w:tr>
      <w:tr w14:paraId="4401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vMerge w:val="restart"/>
            <w:shd w:val="clear" w:color="auto" w:fill="auto"/>
            <w:vAlign w:val="center"/>
          </w:tcPr>
          <w:p w14:paraId="10D88F84">
            <w:pPr>
              <w:pStyle w:val="40"/>
              <w:bidi w:val="0"/>
              <w:rPr>
                <w:rFonts w:hint="eastAsia"/>
              </w:rPr>
            </w:pPr>
            <w:r>
              <w:rPr>
                <w:rFonts w:hint="eastAsia"/>
              </w:rPr>
              <w:t>产品资质要求</w:t>
            </w:r>
          </w:p>
        </w:tc>
        <w:tc>
          <w:tcPr>
            <w:tcW w:w="7479" w:type="dxa"/>
            <w:tcBorders>
              <w:left w:val="single" w:color="auto" w:sz="4" w:space="0"/>
            </w:tcBorders>
            <w:shd w:val="clear" w:color="auto" w:fill="auto"/>
          </w:tcPr>
          <w:p w14:paraId="2F0ABE08">
            <w:pPr>
              <w:pStyle w:val="40"/>
              <w:bidi w:val="0"/>
              <w:rPr>
                <w:rFonts w:hint="eastAsia"/>
                <w:lang w:eastAsia="zh-CN"/>
              </w:rPr>
            </w:pPr>
            <w:r>
              <w:rPr>
                <w:rFonts w:hint="eastAsia"/>
                <w:lang w:eastAsia="zh-CN"/>
              </w:rPr>
              <w:t>所投产品须具备中华人民共和国国家版权局颁发的《计算机软件著作权登记证书》、中华人民共和国公安部颁发的《计算机信息系统安全专用产品销售许可证》或公安部计算机信息系统安全产品质量监督检验中心颁发的《网络安全专用产品安全检测证书》或</w:t>
            </w:r>
            <w:r>
              <w:rPr>
                <w:rFonts w:hint="eastAsia"/>
                <w:szCs w:val="18"/>
              </w:rPr>
              <w:t>中国网络安全审查认证和市场监管大数据中心(原中国网络安全审查技术与认证中心)</w:t>
            </w:r>
            <w:r>
              <w:rPr>
                <w:rFonts w:hint="eastAsia"/>
                <w:lang w:eastAsia="zh-CN"/>
              </w:rPr>
              <w:t>颁发的《网络关键设备和网络安全专用产品安全认证证书》，以上证书须提供复印件并加盖原厂鲜章。</w:t>
            </w:r>
          </w:p>
        </w:tc>
      </w:tr>
      <w:tr w14:paraId="045B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56" w:type="dxa"/>
            <w:vMerge w:val="continue"/>
            <w:shd w:val="clear" w:color="auto" w:fill="auto"/>
            <w:vAlign w:val="center"/>
          </w:tcPr>
          <w:p w14:paraId="1A84198B"/>
        </w:tc>
        <w:tc>
          <w:tcPr>
            <w:tcW w:w="7479" w:type="dxa"/>
            <w:tcBorders>
              <w:left w:val="single" w:color="auto" w:sz="4" w:space="0"/>
            </w:tcBorders>
            <w:shd w:val="clear" w:color="auto" w:fill="auto"/>
          </w:tcPr>
          <w:p w14:paraId="5955F977">
            <w:pPr>
              <w:pStyle w:val="40"/>
              <w:bidi w:val="0"/>
              <w:rPr>
                <w:rFonts w:hint="eastAsia"/>
                <w:lang w:val="en-US" w:eastAsia="zh-CN"/>
              </w:rPr>
            </w:pPr>
            <w:r>
              <w:rPr>
                <w:rFonts w:hint="eastAsia"/>
              </w:rPr>
              <w:t>产品制造商具备中国信息安全测评中心颁发的《国家信息安全漏洞库（CNNVD）技术支撑单位》资质；（</w:t>
            </w:r>
            <w:r>
              <w:rPr>
                <w:rFonts w:hint="eastAsia"/>
                <w:lang w:eastAsia="zh-CN"/>
              </w:rPr>
              <w:t>响应</w:t>
            </w:r>
            <w:r>
              <w:rPr>
                <w:rFonts w:hint="eastAsia"/>
              </w:rPr>
              <w:t>人需提供证书复印件，并加盖厂商鲜章）</w:t>
            </w:r>
            <w:r>
              <w:rPr>
                <w:rFonts w:hint="eastAsia"/>
                <w:lang w:val="en-US" w:eastAsia="zh-CN"/>
              </w:rPr>
              <w:t>;</w:t>
            </w:r>
          </w:p>
        </w:tc>
      </w:tr>
      <w:tr w14:paraId="4FBD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restart"/>
            <w:shd w:val="clear" w:color="auto" w:fill="auto"/>
            <w:vAlign w:val="center"/>
          </w:tcPr>
          <w:p w14:paraId="2DE992A0">
            <w:pPr>
              <w:pStyle w:val="40"/>
              <w:bidi w:val="0"/>
              <w:rPr>
                <w:rFonts w:hint="eastAsia"/>
              </w:rPr>
            </w:pPr>
            <w:r>
              <w:rPr>
                <w:rFonts w:hint="eastAsia"/>
              </w:rPr>
              <w:t>负载均衡技术要求</w:t>
            </w:r>
          </w:p>
        </w:tc>
        <w:tc>
          <w:tcPr>
            <w:tcW w:w="7479" w:type="dxa"/>
            <w:tcBorders>
              <w:left w:val="single" w:color="auto" w:sz="4" w:space="0"/>
            </w:tcBorders>
            <w:shd w:val="clear" w:color="auto" w:fill="auto"/>
          </w:tcPr>
          <w:p w14:paraId="7898FFC0">
            <w:pPr>
              <w:pStyle w:val="40"/>
              <w:bidi w:val="0"/>
              <w:rPr>
                <w:rFonts w:hint="eastAsia"/>
                <w:lang w:val="en-US" w:eastAsia="zh-CN"/>
              </w:rPr>
            </w:pPr>
            <w:r>
              <w:rPr>
                <w:rFonts w:hint="eastAsia"/>
              </w:rPr>
              <w:t>支持主备真实服务组功能，在缺省实服务组内的成员均不可用时，启用备份实服务组对外提供服务，无需单独配置真实服务的优先级。（需提供设备功能界面截图证明）</w:t>
            </w:r>
          </w:p>
        </w:tc>
      </w:tr>
      <w:tr w14:paraId="41BC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43375B9A"/>
        </w:tc>
        <w:tc>
          <w:tcPr>
            <w:tcW w:w="7479" w:type="dxa"/>
            <w:tcBorders>
              <w:left w:val="single" w:color="auto" w:sz="4" w:space="0"/>
            </w:tcBorders>
            <w:shd w:val="clear" w:color="auto" w:fill="auto"/>
          </w:tcPr>
          <w:p w14:paraId="226EFC3D">
            <w:pPr>
              <w:pStyle w:val="40"/>
              <w:bidi w:val="0"/>
              <w:rPr>
                <w:rFonts w:hint="eastAsia"/>
                <w:lang w:val="en-US" w:eastAsia="zh-CN"/>
              </w:rPr>
            </w:pPr>
            <w:r>
              <w:rPr>
                <w:rFonts w:hint="eastAsia"/>
              </w:rPr>
              <w:t>支持常见的主动式健康检查功能，TCP、HTTP、HTTPS、ICMP、DNS、SNMP、UDP、SSL、Oracle、FTP、SIP、RADIUS、自定义健康监测脚本等健康监测方式；（</w:t>
            </w:r>
            <w:r>
              <w:rPr>
                <w:rFonts w:hint="eastAsia"/>
                <w:lang w:eastAsia="zh-CN"/>
              </w:rPr>
              <w:t>响应</w:t>
            </w:r>
            <w:r>
              <w:rPr>
                <w:rFonts w:hint="eastAsia"/>
              </w:rPr>
              <w:t>人需提供设备功能界面截图证明，并加盖厂商鲜章）;</w:t>
            </w:r>
          </w:p>
        </w:tc>
      </w:tr>
      <w:tr w14:paraId="6F1D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228561AC"/>
        </w:tc>
        <w:tc>
          <w:tcPr>
            <w:tcW w:w="7479" w:type="dxa"/>
            <w:tcBorders>
              <w:left w:val="single" w:color="auto" w:sz="4" w:space="0"/>
            </w:tcBorders>
            <w:shd w:val="clear" w:color="auto" w:fill="auto"/>
          </w:tcPr>
          <w:p w14:paraId="583F2ECA">
            <w:pPr>
              <w:pStyle w:val="40"/>
              <w:bidi w:val="0"/>
              <w:rPr>
                <w:rFonts w:hint="eastAsia"/>
                <w:lang w:val="en-US" w:eastAsia="zh-CN"/>
              </w:rPr>
            </w:pPr>
            <w:r>
              <w:rPr>
                <w:rFonts w:hint="eastAsia"/>
              </w:rPr>
              <w:t>支持源IP、Cookie（插入/被动）、HTTP-Passive、SSL Session ID等多种会话保持机制，支持跨虚拟服务的会话保持;</w:t>
            </w:r>
          </w:p>
        </w:tc>
      </w:tr>
      <w:tr w14:paraId="1074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52FDFE7F"/>
        </w:tc>
        <w:tc>
          <w:tcPr>
            <w:tcW w:w="7479" w:type="dxa"/>
            <w:tcBorders>
              <w:left w:val="single" w:color="auto" w:sz="4" w:space="0"/>
            </w:tcBorders>
            <w:shd w:val="clear" w:color="auto" w:fill="auto"/>
          </w:tcPr>
          <w:p w14:paraId="525A7543">
            <w:pPr>
              <w:pStyle w:val="40"/>
              <w:bidi w:val="0"/>
              <w:rPr>
                <w:rFonts w:hint="eastAsia"/>
                <w:lang w:val="en-US" w:eastAsia="zh-CN"/>
              </w:rPr>
            </w:pPr>
            <w:r>
              <w:rPr>
                <w:rFonts w:hint="eastAsia"/>
              </w:rPr>
              <w:t xml:space="preserve">支持WEB页面在线抓包功能，能基于IP、接口、协议、抓包个数、接口的单向/双向抓包，同时可以关联会话，即能够精确抓取客户端到虚服务的报文，以及地址转换后负载到服务器的报文。（需提供设备功能界面截图证明）； </w:t>
            </w:r>
          </w:p>
        </w:tc>
      </w:tr>
      <w:tr w14:paraId="0DA8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6C5446EE"/>
        </w:tc>
        <w:tc>
          <w:tcPr>
            <w:tcW w:w="7479" w:type="dxa"/>
            <w:tcBorders>
              <w:left w:val="single" w:color="auto" w:sz="4" w:space="0"/>
            </w:tcBorders>
            <w:shd w:val="clear" w:color="auto" w:fill="auto"/>
          </w:tcPr>
          <w:p w14:paraId="4C8C8E04">
            <w:pPr>
              <w:pStyle w:val="40"/>
              <w:bidi w:val="0"/>
              <w:rPr>
                <w:rFonts w:hint="eastAsia"/>
                <w:lang w:val="en-US" w:eastAsia="zh-CN"/>
              </w:rPr>
            </w:pPr>
            <w:r>
              <w:rPr>
                <w:rFonts w:hint="eastAsia"/>
              </w:rPr>
              <w:t>控制平面和转发平面分离：可对控制平面分配独立的CPU，即使超过设备的处理能力，也可对设备的正常管理，在设备界面可呈现控制核CPU、数据核CPU。（需提供设备功能界面截图证明）；</w:t>
            </w:r>
          </w:p>
        </w:tc>
      </w:tr>
      <w:tr w14:paraId="629E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tcBorders>
              <w:left w:val="single" w:color="auto" w:sz="4" w:space="0"/>
            </w:tcBorders>
            <w:shd w:val="clear" w:color="auto" w:fill="auto"/>
            <w:vAlign w:val="center"/>
          </w:tcPr>
          <w:p w14:paraId="69BD022B">
            <w:pPr>
              <w:pStyle w:val="40"/>
              <w:bidi w:val="0"/>
              <w:rPr>
                <w:rFonts w:hint="eastAsia"/>
                <w:lang w:val="en-US" w:eastAsia="zh-CN"/>
              </w:rPr>
            </w:pPr>
            <w:r>
              <w:rPr>
                <w:rFonts w:hint="eastAsia"/>
              </w:rPr>
              <w:t>维护管理</w:t>
            </w:r>
          </w:p>
        </w:tc>
        <w:tc>
          <w:tcPr>
            <w:tcW w:w="7479" w:type="dxa"/>
            <w:tcBorders>
              <w:left w:val="single" w:color="auto" w:sz="4" w:space="0"/>
            </w:tcBorders>
            <w:shd w:val="clear" w:color="auto" w:fill="auto"/>
          </w:tcPr>
          <w:p w14:paraId="02E3D9B0">
            <w:pPr>
              <w:pStyle w:val="40"/>
              <w:bidi w:val="0"/>
              <w:rPr>
                <w:rFonts w:hint="eastAsia"/>
                <w:lang w:val="en-US" w:eastAsia="zh-CN"/>
              </w:rPr>
            </w:pPr>
            <w:r>
              <w:rPr>
                <w:rFonts w:hint="eastAsia"/>
              </w:rPr>
              <w:t>支持一键跳转至命令行CLI功能，支持通过设备WEBUI页面，一键跳转至命令行CLI界面，无需通过远程管理工具登录命令行CLI界面。（需提供设备功能界面截图证明）</w:t>
            </w:r>
          </w:p>
        </w:tc>
      </w:tr>
      <w:tr w14:paraId="679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6ED92BDA"/>
        </w:tc>
        <w:tc>
          <w:tcPr>
            <w:tcW w:w="7479" w:type="dxa"/>
            <w:tcBorders>
              <w:left w:val="single" w:color="auto" w:sz="4" w:space="0"/>
            </w:tcBorders>
            <w:shd w:val="clear" w:color="auto" w:fill="auto"/>
          </w:tcPr>
          <w:p w14:paraId="5E8A106E">
            <w:pPr>
              <w:pStyle w:val="40"/>
              <w:bidi w:val="0"/>
              <w:rPr>
                <w:rFonts w:hint="eastAsia"/>
                <w:lang w:val="en-US" w:eastAsia="zh-CN"/>
              </w:rPr>
            </w:pPr>
            <w:r>
              <w:rPr>
                <w:rFonts w:hint="eastAsia"/>
              </w:rPr>
              <w:t>支持手动方式的双机配置一致性检查功能，在日常运维中，可以通过手动的方式检查双机之间的配置是否保持一致，并且显示上次检查时间以及检查结果是否为一致，在不一致的情况下，可以详细展示出双机在地址池、NAT、真实服务、真实服务组、虚拟服务、健康检查、会话保持、HTTP内容调度、SSL策略等模块的配置差异化对比。（需提供设备功能界面截图证明）；</w:t>
            </w:r>
          </w:p>
        </w:tc>
      </w:tr>
      <w:tr w14:paraId="6002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5702DD90"/>
        </w:tc>
        <w:tc>
          <w:tcPr>
            <w:tcW w:w="7479" w:type="dxa"/>
            <w:tcBorders>
              <w:left w:val="single" w:color="auto" w:sz="4" w:space="0"/>
            </w:tcBorders>
            <w:shd w:val="clear" w:color="auto" w:fill="auto"/>
          </w:tcPr>
          <w:p w14:paraId="4B080E08">
            <w:pPr>
              <w:pStyle w:val="40"/>
              <w:bidi w:val="0"/>
              <w:rPr>
                <w:rFonts w:hint="eastAsia"/>
              </w:rPr>
            </w:pPr>
            <w:r>
              <w:rPr>
                <w:rFonts w:hint="eastAsia"/>
              </w:rPr>
              <w:t>支持配置导入/导出功能，可以Excel表格的形式，导入/导出服务器负载均衡、链路负载均衡等业务的多种配置信息，提高运维效率。（需提供设备功能界面截图证明）</w:t>
            </w:r>
          </w:p>
        </w:tc>
      </w:tr>
      <w:tr w14:paraId="617F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6A59FE45"/>
        </w:tc>
        <w:tc>
          <w:tcPr>
            <w:tcW w:w="7479" w:type="dxa"/>
            <w:tcBorders>
              <w:left w:val="single" w:color="auto" w:sz="4" w:space="0"/>
            </w:tcBorders>
            <w:shd w:val="clear" w:color="auto" w:fill="auto"/>
          </w:tcPr>
          <w:p w14:paraId="4FE3A4CB">
            <w:pPr>
              <w:pStyle w:val="40"/>
              <w:bidi w:val="0"/>
              <w:rPr>
                <w:rFonts w:hint="eastAsia"/>
                <w:lang w:eastAsia="zh-CN"/>
              </w:rPr>
            </w:pPr>
            <w:r>
              <w:rPr>
                <w:rFonts w:hint="eastAsia"/>
              </w:rPr>
              <w:t>支持真实服务模糊搜索以及批量操作功能，可支持分别基于名称、IP、端口作为条件，并且支持同时基于IP、端口作为条件，即可全部搜索出满足要求的所有真实服务，同时支持批量操作的方式，便于批量修改真实服务策略，同时下发配置，提高运维效率。（需提供设备功能界面截图证明）</w:t>
            </w:r>
          </w:p>
        </w:tc>
      </w:tr>
      <w:tr w14:paraId="2AC8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56" w:type="dxa"/>
            <w:vMerge w:val="restart"/>
            <w:shd w:val="clear" w:color="auto" w:fill="auto"/>
            <w:vAlign w:val="center"/>
          </w:tcPr>
          <w:p w14:paraId="05048FE6">
            <w:pPr>
              <w:pStyle w:val="40"/>
              <w:bidi w:val="0"/>
              <w:rPr>
                <w:rFonts w:hint="eastAsia"/>
                <w:lang w:val="en-US" w:eastAsia="zh-CN"/>
              </w:rPr>
            </w:pPr>
            <w:r>
              <w:rPr>
                <w:rFonts w:hint="eastAsia"/>
                <w:lang w:val="en-US" w:eastAsia="zh-CN"/>
              </w:rPr>
              <w:t>链路负载均衡</w:t>
            </w:r>
          </w:p>
        </w:tc>
        <w:tc>
          <w:tcPr>
            <w:tcW w:w="7479" w:type="dxa"/>
            <w:tcBorders>
              <w:left w:val="single" w:color="auto" w:sz="4" w:space="0"/>
            </w:tcBorders>
            <w:shd w:val="clear" w:color="auto" w:fill="auto"/>
          </w:tcPr>
          <w:p w14:paraId="59D9BD87">
            <w:pPr>
              <w:pStyle w:val="40"/>
              <w:bidi w:val="0"/>
              <w:rPr>
                <w:rFonts w:hint="eastAsia"/>
                <w:lang w:val="en-US" w:eastAsia="zh-CN"/>
              </w:rPr>
            </w:pPr>
            <w:r>
              <w:rPr>
                <w:rFonts w:hint="eastAsia"/>
              </w:rPr>
              <w:t>内置ISP IPv4/IPv6地址数据库，并支持自定义ISP地址数据库；（</w:t>
            </w:r>
            <w:r>
              <w:rPr>
                <w:rFonts w:hint="eastAsia"/>
                <w:lang w:eastAsia="zh-CN"/>
              </w:rPr>
              <w:t>响应</w:t>
            </w:r>
            <w:r>
              <w:rPr>
                <w:rFonts w:hint="eastAsia"/>
              </w:rPr>
              <w:t>人需提供设备功能界面截图证明，并加盖厂商鲜章）;</w:t>
            </w:r>
          </w:p>
        </w:tc>
      </w:tr>
      <w:tr w14:paraId="5EA6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56" w:type="dxa"/>
            <w:vMerge w:val="continue"/>
            <w:shd w:val="clear" w:color="auto" w:fill="auto"/>
            <w:vAlign w:val="center"/>
          </w:tcPr>
          <w:p w14:paraId="6AEDA18E"/>
        </w:tc>
        <w:tc>
          <w:tcPr>
            <w:tcW w:w="7479" w:type="dxa"/>
            <w:tcBorders>
              <w:left w:val="single" w:color="auto" w:sz="4" w:space="0"/>
            </w:tcBorders>
            <w:shd w:val="clear" w:color="auto" w:fill="auto"/>
          </w:tcPr>
          <w:p w14:paraId="0721144C">
            <w:pPr>
              <w:pStyle w:val="40"/>
              <w:bidi w:val="0"/>
              <w:rPr>
                <w:rFonts w:hint="eastAsia"/>
              </w:rPr>
            </w:pPr>
            <w:r>
              <w:rPr>
                <w:rFonts w:hint="eastAsia"/>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w:t>
            </w:r>
            <w:r>
              <w:rPr>
                <w:rFonts w:hint="eastAsia"/>
                <w:lang w:eastAsia="zh-CN"/>
              </w:rPr>
              <w:t>响应</w:t>
            </w:r>
            <w:r>
              <w:rPr>
                <w:rFonts w:hint="eastAsia"/>
              </w:rPr>
              <w:t>人需提供设备功能界面截图证明，并加盖厂商鲜章）</w:t>
            </w:r>
            <w:r>
              <w:rPr>
                <w:rFonts w:hint="eastAsia"/>
                <w:lang w:eastAsia="zh-CN"/>
              </w:rPr>
              <w:t>；</w:t>
            </w:r>
          </w:p>
        </w:tc>
      </w:tr>
      <w:tr w14:paraId="5320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trPr>
        <w:tc>
          <w:tcPr>
            <w:tcW w:w="1056" w:type="dxa"/>
            <w:vMerge w:val="restart"/>
            <w:shd w:val="clear" w:color="auto" w:fill="auto"/>
            <w:vAlign w:val="center"/>
          </w:tcPr>
          <w:p w14:paraId="02697D3F">
            <w:pPr>
              <w:pStyle w:val="40"/>
              <w:bidi w:val="0"/>
              <w:rPr>
                <w:rFonts w:hint="eastAsia"/>
                <w:lang w:val="en-US" w:eastAsia="zh-CN"/>
              </w:rPr>
            </w:pPr>
            <w:r>
              <w:rPr>
                <w:rFonts w:hint="eastAsia"/>
                <w:lang w:val="en-US" w:eastAsia="zh-CN"/>
              </w:rPr>
              <w:t>IPV6功能</w:t>
            </w:r>
          </w:p>
        </w:tc>
        <w:tc>
          <w:tcPr>
            <w:tcW w:w="7479" w:type="dxa"/>
            <w:tcBorders>
              <w:left w:val="single" w:color="auto" w:sz="4" w:space="0"/>
            </w:tcBorders>
            <w:shd w:val="clear" w:color="auto" w:fill="auto"/>
          </w:tcPr>
          <w:p w14:paraId="15E3F104">
            <w:pPr>
              <w:pStyle w:val="40"/>
              <w:bidi w:val="0"/>
              <w:rPr>
                <w:rFonts w:hint="eastAsia"/>
                <w:lang w:val="en-US" w:eastAsia="zh-CN"/>
              </w:rPr>
            </w:pPr>
            <w:r>
              <w:rPr>
                <w:rFonts w:hint="eastAsia"/>
              </w:rPr>
              <w:t>IPv6支持双栈模式，支持源NAT、目的NAT、静态NAT ,NAT64、NAT66等，适合各种复杂的网络环境；</w:t>
            </w:r>
          </w:p>
        </w:tc>
      </w:tr>
      <w:tr w14:paraId="4CDA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 w:hRule="atLeast"/>
        </w:trPr>
        <w:tc>
          <w:tcPr>
            <w:tcW w:w="1056" w:type="dxa"/>
            <w:vMerge w:val="continue"/>
            <w:shd w:val="clear" w:color="auto" w:fill="auto"/>
            <w:vAlign w:val="center"/>
          </w:tcPr>
          <w:p w14:paraId="1A725C8A"/>
        </w:tc>
        <w:tc>
          <w:tcPr>
            <w:tcW w:w="7479" w:type="dxa"/>
            <w:tcBorders>
              <w:left w:val="single" w:color="auto" w:sz="4" w:space="0"/>
            </w:tcBorders>
            <w:shd w:val="clear" w:color="auto" w:fill="auto"/>
          </w:tcPr>
          <w:p w14:paraId="44F4351C">
            <w:pPr>
              <w:pStyle w:val="40"/>
              <w:bidi w:val="0"/>
              <w:rPr>
                <w:rFonts w:hint="eastAsia"/>
              </w:rPr>
            </w:pPr>
            <w:r>
              <w:rPr>
                <w:rFonts w:hint="eastAsia"/>
              </w:rPr>
              <w:t>支持一对一NAT功能。（需提供设备功能界面截图证明）。</w:t>
            </w:r>
          </w:p>
        </w:tc>
      </w:tr>
      <w:tr w14:paraId="6554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056" w:type="dxa"/>
            <w:shd w:val="clear" w:color="auto" w:fill="auto"/>
            <w:vAlign w:val="center"/>
          </w:tcPr>
          <w:p w14:paraId="06B15C5F">
            <w:pPr>
              <w:pStyle w:val="40"/>
              <w:bidi w:val="0"/>
              <w:rPr>
                <w:rFonts w:hint="eastAsia"/>
                <w:lang w:val="en-US" w:eastAsia="zh-CN"/>
              </w:rPr>
            </w:pPr>
            <w:r>
              <w:rPr>
                <w:rFonts w:hint="eastAsia"/>
                <w:lang w:val="en-US" w:eastAsia="zh-CN"/>
              </w:rPr>
              <w:t>服务</w:t>
            </w:r>
          </w:p>
        </w:tc>
        <w:tc>
          <w:tcPr>
            <w:tcW w:w="7479" w:type="dxa"/>
            <w:tcBorders>
              <w:left w:val="single" w:color="auto" w:sz="4" w:space="0"/>
            </w:tcBorders>
            <w:shd w:val="clear" w:color="auto" w:fill="auto"/>
          </w:tcPr>
          <w:p w14:paraId="0C2B10D6">
            <w:pPr>
              <w:pStyle w:val="40"/>
              <w:bidi w:val="0"/>
              <w:rPr>
                <w:rFonts w:hint="eastAsia"/>
                <w:lang w:eastAsia="zh-CN"/>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5DEE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056" w:type="dxa"/>
            <w:shd w:val="clear" w:color="auto" w:fill="auto"/>
            <w:vAlign w:val="center"/>
          </w:tcPr>
          <w:p w14:paraId="6C4FBF2F">
            <w:pPr>
              <w:pStyle w:val="40"/>
              <w:bidi w:val="0"/>
              <w:rPr>
                <w:rFonts w:hint="eastAsia"/>
                <w:lang w:val="en-US" w:eastAsia="zh-CN"/>
              </w:rPr>
            </w:pPr>
            <w:r>
              <w:rPr>
                <w:rFonts w:hint="eastAsia"/>
              </w:rPr>
              <w:t>数量（台）</w:t>
            </w:r>
          </w:p>
        </w:tc>
        <w:tc>
          <w:tcPr>
            <w:tcW w:w="7479" w:type="dxa"/>
            <w:tcBorders>
              <w:left w:val="single" w:color="auto" w:sz="4" w:space="0"/>
            </w:tcBorders>
            <w:shd w:val="clear" w:color="auto" w:fill="auto"/>
          </w:tcPr>
          <w:p w14:paraId="71612AD7">
            <w:pPr>
              <w:pStyle w:val="40"/>
              <w:bidi w:val="0"/>
              <w:rPr>
                <w:rFonts w:hint="eastAsia"/>
              </w:rPr>
            </w:pPr>
            <w:r>
              <w:rPr>
                <w:rFonts w:hint="eastAsia"/>
              </w:rPr>
              <w:t>8</w:t>
            </w:r>
          </w:p>
        </w:tc>
      </w:tr>
    </w:tbl>
    <w:p w14:paraId="56452D9D">
      <w:pPr>
        <w:spacing w:beforeAutospacing="0" w:afterAutospacing="0" w:line="240" w:lineRule="auto"/>
        <w:rPr>
          <w:sz w:val="13"/>
          <w:szCs w:val="13"/>
          <w:highlight w:val="none"/>
        </w:rPr>
      </w:pPr>
    </w:p>
    <w:tbl>
      <w:tblPr>
        <w:tblStyle w:val="19"/>
        <w:tblW w:w="860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0"/>
        <w:gridCol w:w="7479"/>
      </w:tblGrid>
      <w:tr w14:paraId="29D0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609" w:type="dxa"/>
            <w:gridSpan w:val="2"/>
            <w:tcBorders>
              <w:top w:val="single" w:color="auto" w:sz="4" w:space="0"/>
              <w:left w:val="single" w:color="auto" w:sz="4" w:space="0"/>
              <w:bottom w:val="single" w:color="auto" w:sz="4" w:space="0"/>
              <w:right w:val="single" w:color="auto" w:sz="4" w:space="0"/>
            </w:tcBorders>
            <w:shd w:val="clear" w:color="auto" w:fill="auto"/>
          </w:tcPr>
          <w:p w14:paraId="4290DD45">
            <w:pPr>
              <w:pStyle w:val="41"/>
              <w:bidi w:val="0"/>
              <w:rPr>
                <w:rFonts w:hint="eastAsia"/>
              </w:rPr>
            </w:pPr>
            <w:r>
              <w:rPr>
                <w:rFonts w:hint="eastAsia"/>
              </w:rPr>
              <w:t>2.2  负载均衡2</w:t>
            </w:r>
          </w:p>
        </w:tc>
      </w:tr>
      <w:tr w14:paraId="4E8A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shd w:val="clear" w:color="auto" w:fill="auto"/>
          </w:tcPr>
          <w:p w14:paraId="11CDEC41">
            <w:pPr>
              <w:pStyle w:val="41"/>
              <w:bidi w:val="0"/>
              <w:rPr>
                <w:rFonts w:hint="eastAsia"/>
              </w:rPr>
            </w:pPr>
            <w:r>
              <w:rPr>
                <w:rFonts w:hint="eastAsia"/>
              </w:rPr>
              <w:t>指标项</w:t>
            </w:r>
          </w:p>
        </w:tc>
        <w:tc>
          <w:tcPr>
            <w:tcW w:w="7479" w:type="dxa"/>
            <w:tcBorders>
              <w:left w:val="single" w:color="auto" w:sz="4" w:space="0"/>
            </w:tcBorders>
            <w:shd w:val="clear" w:color="auto" w:fill="auto"/>
          </w:tcPr>
          <w:p w14:paraId="6D6939AE">
            <w:pPr>
              <w:pStyle w:val="41"/>
              <w:bidi w:val="0"/>
              <w:rPr>
                <w:rFonts w:hint="eastAsia"/>
              </w:rPr>
            </w:pPr>
            <w:r>
              <w:rPr>
                <w:rFonts w:hint="eastAsia"/>
              </w:rPr>
              <w:t>参数要求</w:t>
            </w:r>
          </w:p>
        </w:tc>
      </w:tr>
      <w:tr w14:paraId="38F6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shd w:val="clear" w:color="auto" w:fill="auto"/>
            <w:vAlign w:val="center"/>
          </w:tcPr>
          <w:p w14:paraId="46AA4635">
            <w:pPr>
              <w:pStyle w:val="40"/>
              <w:bidi w:val="0"/>
              <w:rPr>
                <w:rFonts w:hint="eastAsia"/>
              </w:rPr>
            </w:pPr>
            <w:r>
              <w:rPr>
                <w:rFonts w:hint="eastAsia"/>
              </w:rPr>
              <w:t>总体要求</w:t>
            </w:r>
          </w:p>
        </w:tc>
        <w:tc>
          <w:tcPr>
            <w:tcW w:w="7479" w:type="dxa"/>
            <w:tcBorders>
              <w:left w:val="single" w:color="auto" w:sz="4" w:space="0"/>
            </w:tcBorders>
            <w:shd w:val="clear" w:color="auto" w:fill="auto"/>
          </w:tcPr>
          <w:p w14:paraId="61E476C7">
            <w:pPr>
              <w:pStyle w:val="40"/>
              <w:bidi w:val="0"/>
              <w:rPr>
                <w:rFonts w:hint="eastAsia"/>
                <w:lang w:eastAsia="zh-CN"/>
              </w:rPr>
            </w:pPr>
            <w:r>
              <w:rPr>
                <w:rFonts w:hint="eastAsia"/>
              </w:rPr>
              <w:t>采用国产CPU芯片、国产操作系统；需详细说明芯片厂商、规格型号（提供国家</w:t>
            </w:r>
            <w:r>
              <w:rPr>
                <w:rFonts w:hint="eastAsia"/>
                <w:lang w:val="en-US" w:eastAsia="zh-CN"/>
              </w:rPr>
              <w:t>权威机构</w:t>
            </w:r>
            <w:r>
              <w:rPr>
                <w:rFonts w:hint="eastAsia"/>
              </w:rPr>
              <w:t>出具的检测报告，报告内容需包含产品型号、CPU、内存、操作系统等关键信息，要求检测报告上的产品型号与</w:t>
            </w:r>
            <w:r>
              <w:rPr>
                <w:rFonts w:hint="eastAsia"/>
                <w:lang w:eastAsia="zh-CN"/>
              </w:rPr>
              <w:t>响应</w:t>
            </w:r>
            <w:r>
              <w:rPr>
                <w:rFonts w:hint="eastAsia"/>
              </w:rPr>
              <w:t>型号完全一致）；</w:t>
            </w:r>
          </w:p>
        </w:tc>
      </w:tr>
      <w:tr w14:paraId="6F02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shd w:val="clear" w:color="auto" w:fill="auto"/>
            <w:vAlign w:val="center"/>
          </w:tcPr>
          <w:p w14:paraId="743FF143">
            <w:pPr>
              <w:pStyle w:val="40"/>
              <w:bidi w:val="0"/>
              <w:rPr>
                <w:rFonts w:hint="eastAsia"/>
                <w:lang w:val="en-US" w:eastAsia="zh-CN"/>
              </w:rPr>
            </w:pPr>
            <w:r>
              <w:rPr>
                <w:rFonts w:hint="eastAsia"/>
                <w:lang w:val="en-US" w:eastAsia="zh-CN"/>
              </w:rPr>
              <w:t>性能参数</w:t>
            </w:r>
          </w:p>
        </w:tc>
        <w:tc>
          <w:tcPr>
            <w:tcW w:w="7479" w:type="dxa"/>
            <w:tcBorders>
              <w:left w:val="single" w:color="auto" w:sz="4" w:space="0"/>
            </w:tcBorders>
            <w:shd w:val="clear" w:color="auto" w:fill="auto"/>
          </w:tcPr>
          <w:p w14:paraId="108D31C1">
            <w:pPr>
              <w:pStyle w:val="40"/>
              <w:bidi w:val="0"/>
              <w:rPr>
                <w:rFonts w:hint="eastAsia"/>
              </w:rPr>
            </w:pPr>
            <w:r>
              <w:rPr>
                <w:rFonts w:hint="eastAsia"/>
              </w:rPr>
              <w:t>四层吞吐量不低于</w:t>
            </w:r>
            <w:r>
              <w:rPr>
                <w:rFonts w:hint="eastAsia"/>
                <w:lang w:val="en-US" w:eastAsia="zh-CN"/>
              </w:rPr>
              <w:t>60</w:t>
            </w:r>
            <w:r>
              <w:rPr>
                <w:rFonts w:hint="eastAsia"/>
              </w:rPr>
              <w:t>G，四层最大并发连接数不低于</w:t>
            </w:r>
            <w:r>
              <w:rPr>
                <w:rFonts w:hint="eastAsia"/>
                <w:lang w:val="en-US" w:eastAsia="zh-CN"/>
              </w:rPr>
              <w:t>8</w:t>
            </w:r>
            <w:r>
              <w:rPr>
                <w:rFonts w:hint="eastAsia"/>
              </w:rPr>
              <w:t>000万，四层新建连接数（CPS）不低于75万，SSL国际密码算法吞吐量不低于1</w:t>
            </w:r>
            <w:r>
              <w:rPr>
                <w:rFonts w:hint="eastAsia"/>
                <w:lang w:val="en-US" w:eastAsia="zh-CN"/>
              </w:rPr>
              <w:t>4</w:t>
            </w:r>
            <w:r>
              <w:rPr>
                <w:rFonts w:hint="eastAsia"/>
              </w:rPr>
              <w:t>G，SSL国际密码算法新建连接数不低于</w:t>
            </w:r>
            <w:r>
              <w:rPr>
                <w:rFonts w:hint="eastAsia"/>
                <w:lang w:val="en-US" w:eastAsia="zh-CN"/>
              </w:rPr>
              <w:t>3</w:t>
            </w:r>
            <w:r>
              <w:rPr>
                <w:rFonts w:hint="eastAsia"/>
              </w:rPr>
              <w:t>万，SSL国产密码算法吞吐量不低于</w:t>
            </w:r>
            <w:r>
              <w:rPr>
                <w:rFonts w:hint="eastAsia"/>
                <w:lang w:val="en-US" w:eastAsia="zh-CN"/>
              </w:rPr>
              <w:t>2.5</w:t>
            </w:r>
            <w:r>
              <w:rPr>
                <w:rFonts w:hint="eastAsia"/>
              </w:rPr>
              <w:t>G，SSL国产密码算法新建连接数不低于2万</w:t>
            </w:r>
            <w:r>
              <w:rPr>
                <w:rFonts w:hint="eastAsia"/>
                <w:lang w:eastAsia="zh-CN"/>
              </w:rPr>
              <w:t>。</w:t>
            </w:r>
          </w:p>
        </w:tc>
      </w:tr>
      <w:tr w14:paraId="559E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shd w:val="clear" w:color="auto" w:fill="auto"/>
            <w:vAlign w:val="center"/>
          </w:tcPr>
          <w:p w14:paraId="45D9C123">
            <w:pPr>
              <w:pStyle w:val="40"/>
              <w:bidi w:val="0"/>
              <w:rPr>
                <w:rFonts w:hint="eastAsia"/>
                <w:lang w:val="en-US" w:eastAsia="zh-CN"/>
              </w:rPr>
            </w:pPr>
            <w:r>
              <w:rPr>
                <w:rFonts w:hint="eastAsia"/>
                <w:lang w:val="en-US" w:eastAsia="zh-CN"/>
              </w:rPr>
              <w:t>硬件参数</w:t>
            </w:r>
          </w:p>
        </w:tc>
        <w:tc>
          <w:tcPr>
            <w:tcW w:w="7479" w:type="dxa"/>
            <w:tcBorders>
              <w:left w:val="single" w:color="auto" w:sz="4" w:space="0"/>
            </w:tcBorders>
            <w:shd w:val="clear" w:color="auto" w:fill="auto"/>
          </w:tcPr>
          <w:p w14:paraId="38EA2579">
            <w:pPr>
              <w:pStyle w:val="40"/>
              <w:bidi w:val="0"/>
              <w:rPr>
                <w:rFonts w:hint="eastAsia"/>
                <w:lang w:eastAsia="zh-CN"/>
              </w:rPr>
            </w:pPr>
            <w:r>
              <w:rPr>
                <w:rFonts w:hint="eastAsia"/>
              </w:rPr>
              <w:t>规格：2U，内存大小≥</w:t>
            </w:r>
            <w:r>
              <w:rPr>
                <w:rFonts w:hint="eastAsia"/>
                <w:lang w:val="en-US" w:eastAsia="zh-CN"/>
              </w:rPr>
              <w:t>64</w:t>
            </w:r>
            <w:r>
              <w:rPr>
                <w:rFonts w:hint="eastAsia"/>
              </w:rPr>
              <w:t>G，电源：冗余电源，接口：千兆电口≥</w:t>
            </w:r>
            <w:r>
              <w:rPr>
                <w:rFonts w:hint="eastAsia"/>
                <w:lang w:val="en-US" w:eastAsia="zh-CN"/>
              </w:rPr>
              <w:t>4</w:t>
            </w:r>
            <w:r>
              <w:rPr>
                <w:rFonts w:hint="eastAsia"/>
              </w:rPr>
              <w:t>，</w:t>
            </w:r>
            <w:r>
              <w:rPr>
                <w:rFonts w:hint="eastAsia"/>
                <w:lang w:val="en-US" w:eastAsia="zh-CN"/>
              </w:rPr>
              <w:t>千兆光口SFP≥4，</w:t>
            </w:r>
            <w:r>
              <w:rPr>
                <w:rFonts w:hint="eastAsia"/>
              </w:rPr>
              <w:t>万兆光口SFP+≥6，40G SFP+≥2；（需提供设备功能界面截图证明</w:t>
            </w:r>
            <w:r>
              <w:rPr>
                <w:rFonts w:hint="eastAsia"/>
                <w:lang w:val="en-US" w:eastAsia="zh-CN"/>
              </w:rPr>
              <w:t>或者</w:t>
            </w:r>
            <w:r>
              <w:rPr>
                <w:rFonts w:hint="eastAsia"/>
              </w:rPr>
              <w:t>产品彩页加盖</w:t>
            </w:r>
            <w:r>
              <w:rPr>
                <w:rFonts w:hint="eastAsia"/>
                <w:lang w:val="en-US" w:eastAsia="zh-CN"/>
              </w:rPr>
              <w:t>厂商</w:t>
            </w:r>
            <w:r>
              <w:rPr>
                <w:rFonts w:hint="eastAsia"/>
              </w:rPr>
              <w:t>鲜章）</w:t>
            </w:r>
          </w:p>
        </w:tc>
      </w:tr>
      <w:tr w14:paraId="194C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30" w:type="dxa"/>
            <w:vMerge w:val="restart"/>
            <w:shd w:val="clear" w:color="auto" w:fill="auto"/>
            <w:vAlign w:val="center"/>
          </w:tcPr>
          <w:p w14:paraId="73273DEA">
            <w:pPr>
              <w:pStyle w:val="40"/>
              <w:bidi w:val="0"/>
              <w:rPr>
                <w:rFonts w:hint="eastAsia"/>
                <w:lang w:val="en-US" w:eastAsia="zh-CN"/>
              </w:rPr>
            </w:pPr>
            <w:r>
              <w:rPr>
                <w:rFonts w:hint="eastAsia"/>
                <w:lang w:val="en-US" w:eastAsia="zh-CN"/>
              </w:rPr>
              <w:t>加密要求</w:t>
            </w:r>
          </w:p>
        </w:tc>
        <w:tc>
          <w:tcPr>
            <w:tcW w:w="7479" w:type="dxa"/>
            <w:tcBorders>
              <w:left w:val="single" w:color="auto" w:sz="4" w:space="0"/>
            </w:tcBorders>
            <w:shd w:val="clear" w:color="auto" w:fill="auto"/>
          </w:tcPr>
          <w:p w14:paraId="79A4E98D">
            <w:pPr>
              <w:pStyle w:val="40"/>
              <w:bidi w:val="0"/>
              <w:rPr>
                <w:rFonts w:hint="eastAsia"/>
              </w:rPr>
            </w:pPr>
            <w:r>
              <w:rPr>
                <w:rFonts w:hint="eastAsia"/>
              </w:rPr>
              <w:t>需独立配置国产算法SSL硬件加速卡，具备国密TLS_ECC_WITH_SM4_SM3、TLS_ECDHE_WITH_SM4_SM3加密套件；（</w:t>
            </w:r>
            <w:r>
              <w:rPr>
                <w:rFonts w:hint="eastAsia"/>
                <w:lang w:eastAsia="zh-CN"/>
              </w:rPr>
              <w:t>响应</w:t>
            </w:r>
            <w:r>
              <w:rPr>
                <w:rFonts w:hint="eastAsia"/>
              </w:rPr>
              <w:t>人需提供</w:t>
            </w:r>
            <w:r>
              <w:rPr>
                <w:rFonts w:hint="eastAsia"/>
                <w:lang w:eastAsia="zh-CN"/>
              </w:rPr>
              <w:t>响应</w:t>
            </w:r>
            <w:r>
              <w:rPr>
                <w:rFonts w:hint="eastAsia"/>
              </w:rPr>
              <w:t>产品的国密商用密码产品认证证书复印件，并加盖厂商鲜章）；</w:t>
            </w:r>
          </w:p>
          <w:p w14:paraId="23F7C1FD">
            <w:pPr>
              <w:pStyle w:val="40"/>
              <w:bidi w:val="0"/>
              <w:rPr>
                <w:rFonts w:hint="eastAsia"/>
                <w:lang w:eastAsia="zh-CN"/>
              </w:rPr>
            </w:pPr>
            <w:r>
              <w:rPr>
                <w:rFonts w:hint="eastAsia"/>
              </w:rPr>
              <w:t>需独立配置国际算法SSL硬件加速卡，支持RSA、ECDH、ECDHE等加密算法</w:t>
            </w:r>
            <w:r>
              <w:rPr>
                <w:rFonts w:hint="eastAsia"/>
                <w:lang w:eastAsia="zh-CN"/>
              </w:rPr>
              <w:t>。</w:t>
            </w:r>
          </w:p>
        </w:tc>
      </w:tr>
      <w:tr w14:paraId="2B35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7C5A7AFC"/>
        </w:tc>
        <w:tc>
          <w:tcPr>
            <w:tcW w:w="7479" w:type="dxa"/>
            <w:tcBorders>
              <w:left w:val="single" w:color="auto" w:sz="4" w:space="0"/>
            </w:tcBorders>
            <w:shd w:val="clear" w:color="auto" w:fill="auto"/>
          </w:tcPr>
          <w:p w14:paraId="40EC2ACF">
            <w:pPr>
              <w:pStyle w:val="40"/>
              <w:bidi w:val="0"/>
              <w:rPr>
                <w:rFonts w:hint="eastAsia"/>
              </w:rPr>
            </w:pPr>
            <w:r>
              <w:rPr>
                <w:rFonts w:hint="eastAsia"/>
              </w:rPr>
              <w:t>支持对客户端SSL双向认证错误时，如在客户端未发送证书、证书尚未生效、证书已过期、证书签名无效、证书被吊销等场景下的定制页面推送</w:t>
            </w:r>
            <w:r>
              <w:rPr>
                <w:rFonts w:hint="eastAsia"/>
                <w:lang w:eastAsia="zh-CN"/>
              </w:rPr>
              <w:t>；</w:t>
            </w:r>
          </w:p>
        </w:tc>
      </w:tr>
      <w:tr w14:paraId="324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3D4E05EC"/>
        </w:tc>
        <w:tc>
          <w:tcPr>
            <w:tcW w:w="7479" w:type="dxa"/>
            <w:tcBorders>
              <w:left w:val="single" w:color="auto" w:sz="4" w:space="0"/>
            </w:tcBorders>
            <w:shd w:val="clear" w:color="auto" w:fill="auto"/>
          </w:tcPr>
          <w:p w14:paraId="3BBD58BC">
            <w:pPr>
              <w:pStyle w:val="40"/>
              <w:bidi w:val="0"/>
              <w:rPr>
                <w:rFonts w:hint="eastAsia"/>
              </w:rPr>
            </w:pPr>
            <w:r>
              <w:rPr>
                <w:rFonts w:hint="eastAsia"/>
              </w:rPr>
              <w:t>支持生成证书签名请求，可生成RSA密钥算法类型以及SM2密钥算法类型的证书签名请求；</w:t>
            </w:r>
          </w:p>
        </w:tc>
      </w:tr>
      <w:tr w14:paraId="4975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vMerge w:val="restart"/>
            <w:shd w:val="clear" w:color="auto" w:fill="auto"/>
            <w:vAlign w:val="center"/>
          </w:tcPr>
          <w:p w14:paraId="01088328">
            <w:pPr>
              <w:pStyle w:val="40"/>
              <w:bidi w:val="0"/>
              <w:rPr>
                <w:rFonts w:hint="eastAsia"/>
              </w:rPr>
            </w:pPr>
            <w:r>
              <w:rPr>
                <w:rFonts w:hint="eastAsia"/>
              </w:rPr>
              <w:t>设备部署</w:t>
            </w:r>
          </w:p>
        </w:tc>
        <w:tc>
          <w:tcPr>
            <w:tcW w:w="7479" w:type="dxa"/>
            <w:tcBorders>
              <w:left w:val="single" w:color="auto" w:sz="4" w:space="0"/>
            </w:tcBorders>
            <w:shd w:val="clear" w:color="auto" w:fill="auto"/>
          </w:tcPr>
          <w:p w14:paraId="4AD8E169">
            <w:pPr>
              <w:pStyle w:val="40"/>
              <w:bidi w:val="0"/>
              <w:rPr>
                <w:rFonts w:hint="eastAsia"/>
                <w:lang w:val="en-US" w:eastAsia="zh-CN"/>
              </w:rPr>
            </w:pPr>
            <w:r>
              <w:rPr>
                <w:rFonts w:hint="eastAsia"/>
              </w:rPr>
              <w:t>支持被现网信创应用负载均衡管理平台统一纳管，实现设备运行状态监控，包含CPU使用率、内存使用率等，以及设备配置下发，包含IP、VLAN、路由策略、服务器负载等策略，提高运维效率。如果不支持，需提供管理管理平台一套，实现上述功能。</w:t>
            </w:r>
          </w:p>
        </w:tc>
      </w:tr>
      <w:tr w14:paraId="7BE0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1837D700"/>
        </w:tc>
        <w:tc>
          <w:tcPr>
            <w:tcW w:w="7479" w:type="dxa"/>
            <w:tcBorders>
              <w:left w:val="single" w:color="auto" w:sz="4" w:space="0"/>
            </w:tcBorders>
            <w:shd w:val="clear" w:color="auto" w:fill="auto"/>
          </w:tcPr>
          <w:p w14:paraId="0C6F1133">
            <w:pPr>
              <w:pStyle w:val="40"/>
              <w:bidi w:val="0"/>
              <w:rPr>
                <w:rFonts w:hint="eastAsia"/>
              </w:rPr>
            </w:pPr>
            <w:r>
              <w:rPr>
                <w:rFonts w:hint="eastAsia"/>
              </w:rPr>
              <w:t>单一设备可同时支持包括链路负载均衡、全局负载均衡和服务器负载均衡的功能。三种功能同时处于激活可使用状态;如通过license进行功能控制，需提供永久license。</w:t>
            </w:r>
          </w:p>
        </w:tc>
      </w:tr>
      <w:tr w14:paraId="5377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6ED41406"/>
        </w:tc>
        <w:tc>
          <w:tcPr>
            <w:tcW w:w="7479" w:type="dxa"/>
            <w:tcBorders>
              <w:left w:val="single" w:color="auto" w:sz="4" w:space="0"/>
            </w:tcBorders>
            <w:shd w:val="clear" w:color="auto" w:fill="auto"/>
          </w:tcPr>
          <w:p w14:paraId="31FA0C45">
            <w:pPr>
              <w:pStyle w:val="40"/>
              <w:bidi w:val="0"/>
              <w:rPr>
                <w:rFonts w:hint="eastAsia"/>
                <w:lang w:val="en-US" w:eastAsia="zh-CN"/>
              </w:rPr>
            </w:pPr>
            <w:r>
              <w:rPr>
                <w:rFonts w:hint="eastAsia"/>
              </w:rPr>
              <w:t>支持双机双主部署模式，可以实现主备和双主的部署模式，提高设备利用率；（</w:t>
            </w:r>
            <w:r>
              <w:rPr>
                <w:rFonts w:hint="eastAsia"/>
                <w:lang w:eastAsia="zh-CN"/>
              </w:rPr>
              <w:t>响应</w:t>
            </w:r>
            <w:r>
              <w:rPr>
                <w:rFonts w:hint="eastAsia"/>
              </w:rPr>
              <w:t>人需提供设备功能界面截图证明，并加盖厂商鲜章）</w:t>
            </w:r>
            <w:r>
              <w:rPr>
                <w:rFonts w:hint="eastAsia"/>
                <w:lang w:val="en-US" w:eastAsia="zh-CN"/>
              </w:rPr>
              <w:t>;</w:t>
            </w:r>
          </w:p>
        </w:tc>
      </w:tr>
      <w:tr w14:paraId="2960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0" w:hRule="atLeast"/>
        </w:trPr>
        <w:tc>
          <w:tcPr>
            <w:tcW w:w="1130" w:type="dxa"/>
            <w:vMerge w:val="restart"/>
            <w:shd w:val="clear" w:color="auto" w:fill="auto"/>
            <w:vAlign w:val="center"/>
          </w:tcPr>
          <w:p w14:paraId="4C8300CB">
            <w:pPr>
              <w:pStyle w:val="40"/>
              <w:bidi w:val="0"/>
              <w:rPr>
                <w:rFonts w:hint="eastAsia"/>
              </w:rPr>
            </w:pPr>
            <w:r>
              <w:rPr>
                <w:rFonts w:hint="eastAsia"/>
              </w:rPr>
              <w:t>产品资质要求</w:t>
            </w:r>
          </w:p>
        </w:tc>
        <w:tc>
          <w:tcPr>
            <w:tcW w:w="7479" w:type="dxa"/>
            <w:tcBorders>
              <w:left w:val="single" w:color="auto" w:sz="4" w:space="0"/>
            </w:tcBorders>
            <w:shd w:val="clear" w:color="auto" w:fill="auto"/>
          </w:tcPr>
          <w:p w14:paraId="679F220D">
            <w:pPr>
              <w:pStyle w:val="40"/>
              <w:bidi w:val="0"/>
              <w:rPr>
                <w:rFonts w:hint="eastAsia"/>
                <w:lang w:eastAsia="zh-CN"/>
              </w:rPr>
            </w:pPr>
            <w:r>
              <w:rPr>
                <w:rFonts w:hint="eastAsia"/>
                <w:lang w:eastAsia="zh-CN"/>
              </w:rPr>
              <w:t>所投产品须具备中华人民共和国国家版权局颁发的《计算机软件著作权登记证书》、中华人民共和国公安部颁发的《计算机信息系统安全专用产品销售许可证》或公安部计算机信息系统安全产品质量监督检验中心颁发的《网络安全专用产品安全检测证书》或</w:t>
            </w:r>
            <w:r>
              <w:rPr>
                <w:rFonts w:hint="eastAsia"/>
                <w:szCs w:val="18"/>
              </w:rPr>
              <w:t>中国网络安全审查认证和市场监管大数据中心(原中国网络安全审查技术与认证中心)</w:t>
            </w:r>
            <w:r>
              <w:rPr>
                <w:rFonts w:hint="eastAsia"/>
                <w:lang w:eastAsia="zh-CN"/>
              </w:rPr>
              <w:t>颁发的《网络关键设备和网络安全专用产品安全认证证书》，以上证书须提供复印件并加盖原厂鲜章。</w:t>
            </w:r>
          </w:p>
        </w:tc>
      </w:tr>
      <w:tr w14:paraId="3037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trPr>
        <w:tc>
          <w:tcPr>
            <w:tcW w:w="1056" w:type="dxa"/>
            <w:vMerge w:val="continue"/>
            <w:shd w:val="clear" w:color="auto" w:fill="auto"/>
            <w:vAlign w:val="center"/>
          </w:tcPr>
          <w:p w14:paraId="0C89DC48"/>
        </w:tc>
        <w:tc>
          <w:tcPr>
            <w:tcW w:w="7479" w:type="dxa"/>
            <w:tcBorders>
              <w:left w:val="single" w:color="auto" w:sz="4" w:space="0"/>
            </w:tcBorders>
            <w:shd w:val="clear" w:color="auto" w:fill="auto"/>
          </w:tcPr>
          <w:p w14:paraId="4044468A">
            <w:pPr>
              <w:pStyle w:val="40"/>
              <w:bidi w:val="0"/>
              <w:rPr>
                <w:rFonts w:hint="eastAsia"/>
                <w:lang w:val="en-US" w:eastAsia="zh-CN"/>
              </w:rPr>
            </w:pPr>
            <w:r>
              <w:rPr>
                <w:rFonts w:hint="eastAsia"/>
              </w:rPr>
              <w:t>所投产品生产厂家具备中国信息安全测评中心颁发的《国家信息安全漏洞库（CNNVD）技术支撑单位》资质；（</w:t>
            </w:r>
            <w:r>
              <w:rPr>
                <w:rFonts w:hint="eastAsia"/>
                <w:lang w:eastAsia="zh-CN"/>
              </w:rPr>
              <w:t>响应</w:t>
            </w:r>
            <w:r>
              <w:rPr>
                <w:rFonts w:hint="eastAsia"/>
              </w:rPr>
              <w:t>人需提供证书复印件，并加盖厂商鲜章）</w:t>
            </w:r>
            <w:r>
              <w:rPr>
                <w:rFonts w:hint="eastAsia"/>
                <w:lang w:val="en-US" w:eastAsia="zh-CN"/>
              </w:rPr>
              <w:t>;</w:t>
            </w:r>
          </w:p>
          <w:p w14:paraId="57497B7A">
            <w:pPr>
              <w:pStyle w:val="40"/>
              <w:bidi w:val="0"/>
              <w:rPr>
                <w:rFonts w:hint="eastAsia"/>
                <w:lang w:val="en-US" w:eastAsia="zh-CN"/>
              </w:rPr>
            </w:pPr>
            <w:r>
              <w:rPr>
                <w:rFonts w:hint="eastAsia"/>
              </w:rPr>
              <w:t>所投产品生产厂家</w:t>
            </w:r>
            <w:r>
              <w:rPr>
                <w:rFonts w:hint="eastAsia"/>
                <w:lang w:val="en-US" w:eastAsia="zh-CN"/>
              </w:rPr>
              <w:t>具备</w:t>
            </w:r>
            <w:r>
              <w:rPr>
                <w:rFonts w:hint="eastAsia"/>
                <w:lang w:eastAsia="zh-CN"/>
              </w:rPr>
              <w:t>中国网络安全审查认证和市场监管大数据中心（CCRC）安全运维一级资质。</w:t>
            </w:r>
          </w:p>
        </w:tc>
      </w:tr>
      <w:tr w14:paraId="16A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vMerge w:val="restart"/>
            <w:shd w:val="clear" w:color="auto" w:fill="auto"/>
            <w:vAlign w:val="center"/>
          </w:tcPr>
          <w:p w14:paraId="18105652">
            <w:pPr>
              <w:pStyle w:val="40"/>
              <w:bidi w:val="0"/>
              <w:rPr>
                <w:rFonts w:hint="eastAsia"/>
              </w:rPr>
            </w:pPr>
            <w:r>
              <w:rPr>
                <w:rFonts w:hint="eastAsia"/>
              </w:rPr>
              <w:t>负载均衡技术要求</w:t>
            </w:r>
          </w:p>
        </w:tc>
        <w:tc>
          <w:tcPr>
            <w:tcW w:w="7479" w:type="dxa"/>
            <w:tcBorders>
              <w:left w:val="single" w:color="auto" w:sz="4" w:space="0"/>
            </w:tcBorders>
            <w:shd w:val="clear" w:color="auto" w:fill="auto"/>
          </w:tcPr>
          <w:p w14:paraId="33831041">
            <w:pPr>
              <w:pStyle w:val="40"/>
              <w:bidi w:val="0"/>
              <w:rPr>
                <w:rFonts w:hint="eastAsia"/>
                <w:lang w:val="en-US" w:eastAsia="zh-CN"/>
              </w:rPr>
            </w:pPr>
            <w:r>
              <w:rPr>
                <w:rFonts w:hint="eastAsia"/>
              </w:rPr>
              <w:t>提供针对L4/L7内容交换的服务器负载均衡功能，可在单一设备上支持多个应用和服务器集群，可以根据多种算法和要求分配用户的请求；</w:t>
            </w:r>
          </w:p>
        </w:tc>
      </w:tr>
      <w:tr w14:paraId="371C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5CBDA5A8"/>
        </w:tc>
        <w:tc>
          <w:tcPr>
            <w:tcW w:w="7479" w:type="dxa"/>
            <w:tcBorders>
              <w:left w:val="single" w:color="auto" w:sz="4" w:space="0"/>
            </w:tcBorders>
            <w:shd w:val="clear" w:color="auto" w:fill="auto"/>
          </w:tcPr>
          <w:p w14:paraId="04BA7CD1">
            <w:pPr>
              <w:pStyle w:val="40"/>
              <w:bidi w:val="0"/>
              <w:rPr>
                <w:rFonts w:hint="eastAsia"/>
                <w:lang w:val="en-US" w:eastAsia="zh-CN"/>
              </w:rPr>
            </w:pPr>
            <w:r>
              <w:rPr>
                <w:rFonts w:hint="eastAsia"/>
              </w:rPr>
              <w:t>支持双机热备部署方式，可自动同步配置并提供连接会话的镜像功能，实现无缝故障切换。</w:t>
            </w:r>
          </w:p>
        </w:tc>
      </w:tr>
      <w:tr w14:paraId="2718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4CCE52F9"/>
        </w:tc>
        <w:tc>
          <w:tcPr>
            <w:tcW w:w="7479" w:type="dxa"/>
            <w:tcBorders>
              <w:left w:val="single" w:color="auto" w:sz="4" w:space="0"/>
            </w:tcBorders>
            <w:shd w:val="clear" w:color="auto" w:fill="auto"/>
          </w:tcPr>
          <w:p w14:paraId="4CC36CBF">
            <w:pPr>
              <w:pStyle w:val="40"/>
              <w:bidi w:val="0"/>
              <w:rPr>
                <w:rFonts w:hint="eastAsia"/>
              </w:rPr>
            </w:pPr>
            <w:r>
              <w:rPr>
                <w:rFonts w:hint="eastAsia"/>
              </w:rPr>
              <w:t>支持源IP、Cookie（插入/被动）、HTTP-Passive、SSL Session ID等多种会话保持机制，支持跨虚拟服务的会话保持。</w:t>
            </w:r>
          </w:p>
        </w:tc>
      </w:tr>
      <w:tr w14:paraId="7432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02A6B671"/>
        </w:tc>
        <w:tc>
          <w:tcPr>
            <w:tcW w:w="7479" w:type="dxa"/>
            <w:tcBorders>
              <w:left w:val="single" w:color="auto" w:sz="4" w:space="0"/>
            </w:tcBorders>
            <w:shd w:val="clear" w:color="auto" w:fill="auto"/>
          </w:tcPr>
          <w:p w14:paraId="65E61FFE">
            <w:pPr>
              <w:pStyle w:val="40"/>
              <w:bidi w:val="0"/>
              <w:rPr>
                <w:rFonts w:hint="eastAsia"/>
                <w:lang w:val="en-US" w:eastAsia="zh-CN"/>
              </w:rPr>
            </w:pPr>
            <w:r>
              <w:rPr>
                <w:rFonts w:hint="eastAsia"/>
              </w:rPr>
              <w:t>支持（主机）加权轮询、（主机）加权最小连接、（主机）加权最小流量、（主机）最小流量、（主机）最少连接算法；（提供设备操作界面截图证明材料</w:t>
            </w:r>
            <w:r>
              <w:rPr>
                <w:rFonts w:hint="eastAsia"/>
                <w:lang w:val="en-US" w:eastAsia="zh-CN"/>
              </w:rPr>
              <w:t>并加盖厂商公章</w:t>
            </w:r>
            <w:r>
              <w:rPr>
                <w:rFonts w:hint="eastAsia"/>
              </w:rPr>
              <w:t xml:space="preserve">） </w:t>
            </w:r>
          </w:p>
        </w:tc>
      </w:tr>
      <w:tr w14:paraId="77E4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37920169"/>
        </w:tc>
        <w:tc>
          <w:tcPr>
            <w:tcW w:w="7479" w:type="dxa"/>
            <w:tcBorders>
              <w:left w:val="single" w:color="auto" w:sz="4" w:space="0"/>
            </w:tcBorders>
            <w:shd w:val="clear" w:color="auto" w:fill="auto"/>
          </w:tcPr>
          <w:p w14:paraId="45896CFD">
            <w:pPr>
              <w:pStyle w:val="40"/>
              <w:bidi w:val="0"/>
              <w:rPr>
                <w:rFonts w:hint="eastAsia"/>
                <w:lang w:val="en-US" w:eastAsia="zh-CN"/>
              </w:rPr>
            </w:pPr>
            <w:r>
              <w:rPr>
                <w:rFonts w:hint="eastAsia"/>
              </w:rPr>
              <w:t>支持常见的主动式健康检查功能，TCP、HTTP、HTTPS、ICMP、DNS、SNMP、UD</w:t>
            </w:r>
            <w:r>
              <w:rPr>
                <w:rFonts w:hint="eastAsia"/>
                <w:lang w:val="en-US" w:eastAsia="zh-CN"/>
              </w:rPr>
              <w:t>P、</w:t>
            </w:r>
            <w:r>
              <w:rPr>
                <w:rFonts w:hint="eastAsia"/>
              </w:rPr>
              <w:t>S</w:t>
            </w:r>
            <w:r>
              <w:rPr>
                <w:rFonts w:hint="eastAsia"/>
                <w:lang w:val="en-US" w:eastAsia="zh-CN"/>
              </w:rPr>
              <w:t>S</w:t>
            </w:r>
            <w:r>
              <w:rPr>
                <w:rFonts w:hint="eastAsia"/>
              </w:rPr>
              <w:t>L、Oracle、FTP、SIP、RADIUS、MYSQL、LDAP以及dns等健康监测方式；（</w:t>
            </w:r>
            <w:r>
              <w:rPr>
                <w:rFonts w:hint="eastAsia"/>
                <w:lang w:eastAsia="zh-CN"/>
              </w:rPr>
              <w:t>响应</w:t>
            </w:r>
            <w:r>
              <w:rPr>
                <w:rFonts w:hint="eastAsia"/>
              </w:rPr>
              <w:t>人需提供设备功能界面截图证明，并加盖厂商</w:t>
            </w:r>
            <w:r>
              <w:rPr>
                <w:rFonts w:hint="eastAsia"/>
                <w:lang w:val="en-US" w:eastAsia="zh-CN"/>
              </w:rPr>
              <w:t>公章</w:t>
            </w:r>
            <w:r>
              <w:rPr>
                <w:rFonts w:hint="eastAsia"/>
              </w:rPr>
              <w:t>）；</w:t>
            </w:r>
          </w:p>
        </w:tc>
      </w:tr>
      <w:tr w14:paraId="0100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4D0424E9"/>
        </w:tc>
        <w:tc>
          <w:tcPr>
            <w:tcW w:w="7479" w:type="dxa"/>
            <w:tcBorders>
              <w:left w:val="single" w:color="auto" w:sz="4" w:space="0"/>
            </w:tcBorders>
            <w:shd w:val="clear" w:color="auto" w:fill="auto"/>
          </w:tcPr>
          <w:p w14:paraId="00FBDCB6">
            <w:pPr>
              <w:pStyle w:val="40"/>
              <w:bidi w:val="0"/>
              <w:rPr>
                <w:rFonts w:hint="eastAsia"/>
              </w:rPr>
            </w:pPr>
            <w:r>
              <w:rPr>
                <w:rFonts w:hint="eastAsia"/>
              </w:rPr>
              <w:t>支持业务主机设置并发连接限制、新建连接限制和每秒请求限制</w:t>
            </w:r>
            <w:r>
              <w:rPr>
                <w:rFonts w:hint="eastAsia"/>
                <w:lang w:eastAsia="zh-CN"/>
              </w:rPr>
              <w:t>，</w:t>
            </w:r>
            <w:r>
              <w:rPr>
                <w:rFonts w:hint="eastAsia"/>
              </w:rPr>
              <w:t>支持节点设置并发连接限制、新建连接限制、每秒请求限制和上下行流量限制；</w:t>
            </w:r>
          </w:p>
        </w:tc>
      </w:tr>
      <w:tr w14:paraId="38D9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70B45E76"/>
        </w:tc>
        <w:tc>
          <w:tcPr>
            <w:tcW w:w="7479" w:type="dxa"/>
            <w:tcBorders>
              <w:left w:val="single" w:color="auto" w:sz="4" w:space="0"/>
            </w:tcBorders>
            <w:shd w:val="clear" w:color="auto" w:fill="auto"/>
          </w:tcPr>
          <w:p w14:paraId="5250E6B8">
            <w:pPr>
              <w:pStyle w:val="40"/>
              <w:bidi w:val="0"/>
              <w:rPr>
                <w:rFonts w:hint="eastAsia"/>
              </w:rPr>
            </w:pPr>
            <w:r>
              <w:rPr>
                <w:rFonts w:hint="eastAsia"/>
              </w:rPr>
              <w:t>支持OceanBase、</w:t>
            </w:r>
            <w:r>
              <w:rPr>
                <w:rFonts w:hint="eastAsia"/>
                <w:lang w:val="en-US" w:eastAsia="zh-CN"/>
              </w:rPr>
              <w:t>TDSQL等国产分布式数据库</w:t>
            </w:r>
            <w:r>
              <w:rPr>
                <w:rFonts w:hint="eastAsia"/>
              </w:rPr>
              <w:t>的负载均衡；（提供</w:t>
            </w:r>
            <w:r>
              <w:rPr>
                <w:rFonts w:hint="eastAsia"/>
                <w:lang w:val="en-US" w:eastAsia="zh-CN"/>
              </w:rPr>
              <w:t>厂商兼容性认证</w:t>
            </w:r>
            <w:r>
              <w:rPr>
                <w:rFonts w:hint="eastAsia"/>
              </w:rPr>
              <w:t>证书）</w:t>
            </w:r>
          </w:p>
        </w:tc>
      </w:tr>
      <w:tr w14:paraId="60FA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vMerge w:val="restart"/>
            <w:tcBorders>
              <w:left w:val="single" w:color="auto" w:sz="4" w:space="0"/>
            </w:tcBorders>
            <w:shd w:val="clear" w:color="auto" w:fill="auto"/>
            <w:vAlign w:val="center"/>
          </w:tcPr>
          <w:p w14:paraId="6E602165">
            <w:pPr>
              <w:pStyle w:val="40"/>
              <w:bidi w:val="0"/>
              <w:rPr>
                <w:rFonts w:hint="eastAsia"/>
                <w:lang w:val="en-US" w:eastAsia="zh-CN"/>
              </w:rPr>
            </w:pPr>
            <w:r>
              <w:rPr>
                <w:rFonts w:hint="eastAsia"/>
              </w:rPr>
              <w:t>维护管理</w:t>
            </w:r>
          </w:p>
        </w:tc>
        <w:tc>
          <w:tcPr>
            <w:tcW w:w="7479" w:type="dxa"/>
            <w:tcBorders>
              <w:left w:val="single" w:color="auto" w:sz="4" w:space="0"/>
            </w:tcBorders>
            <w:shd w:val="clear" w:color="auto" w:fill="auto"/>
          </w:tcPr>
          <w:p w14:paraId="6A2C398B">
            <w:pPr>
              <w:pStyle w:val="40"/>
              <w:bidi w:val="0"/>
              <w:rPr>
                <w:rFonts w:hint="eastAsia"/>
                <w:lang w:val="en-US" w:eastAsia="zh-CN"/>
              </w:rPr>
            </w:pPr>
            <w:r>
              <w:rPr>
                <w:rFonts w:hint="eastAsia"/>
              </w:rPr>
              <w:t>通过某种编程语言（如lua）实现自定义的流量编排，对IP、TCP、UDP、SSL、HTTP和HTTPS等类型的流量进行分发、修改和统计等操作；（提供设备操作界面截图证明材料</w:t>
            </w:r>
            <w:r>
              <w:rPr>
                <w:rFonts w:hint="eastAsia"/>
                <w:lang w:val="en-US" w:eastAsia="zh-CN"/>
              </w:rPr>
              <w:t>并加盖厂商公章</w:t>
            </w:r>
            <w:r>
              <w:rPr>
                <w:rFonts w:hint="eastAsia"/>
              </w:rPr>
              <w:t>)</w:t>
            </w:r>
          </w:p>
        </w:tc>
      </w:tr>
      <w:tr w14:paraId="2C04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5206F4C0"/>
        </w:tc>
        <w:tc>
          <w:tcPr>
            <w:tcW w:w="7479" w:type="dxa"/>
            <w:tcBorders>
              <w:left w:val="single" w:color="auto" w:sz="4" w:space="0"/>
            </w:tcBorders>
            <w:shd w:val="clear" w:color="auto" w:fill="auto"/>
          </w:tcPr>
          <w:p w14:paraId="39CBE14E">
            <w:pPr>
              <w:pStyle w:val="40"/>
              <w:bidi w:val="0"/>
              <w:rPr>
                <w:rFonts w:hint="eastAsia"/>
                <w:lang w:val="en-US" w:eastAsia="zh-CN"/>
              </w:rPr>
            </w:pPr>
            <w:r>
              <w:rPr>
                <w:rFonts w:hint="eastAsia"/>
              </w:rPr>
              <w:t>高可用模式可独立配置会话保持同步和连接镜像；</w:t>
            </w:r>
          </w:p>
        </w:tc>
      </w:tr>
      <w:tr w14:paraId="646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6BF4B173"/>
        </w:tc>
        <w:tc>
          <w:tcPr>
            <w:tcW w:w="7479" w:type="dxa"/>
            <w:tcBorders>
              <w:left w:val="single" w:color="auto" w:sz="4" w:space="0"/>
            </w:tcBorders>
            <w:shd w:val="clear" w:color="auto" w:fill="auto"/>
          </w:tcPr>
          <w:p w14:paraId="58C79818">
            <w:pPr>
              <w:pStyle w:val="40"/>
              <w:bidi w:val="0"/>
              <w:rPr>
                <w:rFonts w:hint="eastAsia"/>
              </w:rPr>
            </w:pPr>
            <w:r>
              <w:rPr>
                <w:rFonts w:hint="eastAsia"/>
              </w:rPr>
              <w:t>支持不同型号硬件平台组建同一集群；</w:t>
            </w:r>
          </w:p>
        </w:tc>
      </w:tr>
      <w:tr w14:paraId="1F41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62A54E52"/>
        </w:tc>
        <w:tc>
          <w:tcPr>
            <w:tcW w:w="7479" w:type="dxa"/>
            <w:tcBorders>
              <w:left w:val="single" w:color="auto" w:sz="4" w:space="0"/>
            </w:tcBorders>
            <w:shd w:val="clear" w:color="auto" w:fill="auto"/>
          </w:tcPr>
          <w:p w14:paraId="33AE30BB">
            <w:pPr>
              <w:pStyle w:val="40"/>
              <w:bidi w:val="0"/>
              <w:rPr>
                <w:rFonts w:hint="eastAsia"/>
              </w:rPr>
            </w:pPr>
            <w:r>
              <w:rPr>
                <w:rFonts w:hint="eastAsia"/>
                <w:lang w:val="en-US" w:eastAsia="zh-CN"/>
              </w:rPr>
              <w:t>负载均衡支持对多个容器集群的同一个业务实现负载均衡，当一个容器集群故障时，该业务还可以通过其它容器集群提供服务。负载均衡可以对虚拟服务相关访问情况进行统计查看，包括但不限于新建连接数、并发连接数、请求速率、流量吞吐等。</w:t>
            </w:r>
          </w:p>
        </w:tc>
      </w:tr>
      <w:tr w14:paraId="34D5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13AADD49"/>
        </w:tc>
        <w:tc>
          <w:tcPr>
            <w:tcW w:w="7479" w:type="dxa"/>
            <w:tcBorders>
              <w:left w:val="single" w:color="auto" w:sz="4" w:space="0"/>
            </w:tcBorders>
            <w:shd w:val="clear" w:color="auto" w:fill="auto"/>
          </w:tcPr>
          <w:p w14:paraId="23E298CA">
            <w:pPr>
              <w:pStyle w:val="40"/>
              <w:bidi w:val="0"/>
              <w:rPr>
                <w:rFonts w:hint="eastAsia"/>
                <w:lang w:eastAsia="zh-CN"/>
              </w:rPr>
            </w:pPr>
            <w:r>
              <w:rPr>
                <w:rFonts w:hint="eastAsia"/>
                <w:lang w:val="en-US"/>
              </w:rPr>
              <w:t>支持提供负载均衡的容器插件部署在容器平台中，对容器平台的pod直通方式做负载均衡，支持容器平台Flannel或Calico的组网方式，支持与容器平台之间使用BGP或vxlan路由模式通信，自动更新学习POD 路由信息，同时在 K8S 平台上创建负载配置，负载设备会自动添加 POD 地址为负载节点，并且当K8S平台扩容缩容节点数量，负载业务访问不中断。</w:t>
            </w:r>
            <w:r>
              <w:rPr>
                <w:rFonts w:hint="eastAsia"/>
              </w:rPr>
              <w:t>（提供设备操作界面截图证明材料</w:t>
            </w:r>
            <w:r>
              <w:rPr>
                <w:rFonts w:hint="eastAsia"/>
                <w:lang w:val="en-US" w:eastAsia="zh-CN"/>
              </w:rPr>
              <w:t>并加盖厂商公章</w:t>
            </w:r>
            <w:r>
              <w:rPr>
                <w:rFonts w:hint="eastAsia"/>
              </w:rPr>
              <w:t>)</w:t>
            </w:r>
          </w:p>
        </w:tc>
      </w:tr>
      <w:tr w14:paraId="6930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1130" w:type="dxa"/>
            <w:vMerge w:val="restart"/>
            <w:shd w:val="clear" w:color="auto" w:fill="auto"/>
            <w:vAlign w:val="center"/>
          </w:tcPr>
          <w:p w14:paraId="60D0260A">
            <w:pPr>
              <w:pStyle w:val="40"/>
              <w:bidi w:val="0"/>
              <w:rPr>
                <w:rFonts w:hint="eastAsia"/>
                <w:lang w:val="en-US" w:eastAsia="zh-CN"/>
              </w:rPr>
            </w:pPr>
            <w:r>
              <w:rPr>
                <w:rFonts w:hint="eastAsia"/>
                <w:lang w:val="en-US" w:eastAsia="zh-CN"/>
              </w:rPr>
              <w:t>链路负载均衡</w:t>
            </w:r>
          </w:p>
        </w:tc>
        <w:tc>
          <w:tcPr>
            <w:tcW w:w="7479" w:type="dxa"/>
            <w:tcBorders>
              <w:left w:val="single" w:color="auto" w:sz="4" w:space="0"/>
            </w:tcBorders>
            <w:shd w:val="clear" w:color="auto" w:fill="auto"/>
          </w:tcPr>
          <w:p w14:paraId="3B9E7273">
            <w:pPr>
              <w:pStyle w:val="40"/>
              <w:bidi w:val="0"/>
              <w:rPr>
                <w:rFonts w:hint="eastAsia"/>
                <w:lang w:val="en-US" w:eastAsia="zh-CN"/>
              </w:rPr>
            </w:pPr>
            <w:r>
              <w:rPr>
                <w:rFonts w:hint="eastAsia"/>
              </w:rPr>
              <w:t>内置ISP IPv4/IPv6地址数据库，并支持自定义ISP地址数据库；（</w:t>
            </w:r>
            <w:r>
              <w:rPr>
                <w:rFonts w:hint="eastAsia"/>
                <w:lang w:eastAsia="zh-CN"/>
              </w:rPr>
              <w:t>响应</w:t>
            </w:r>
            <w:r>
              <w:rPr>
                <w:rFonts w:hint="eastAsia"/>
              </w:rPr>
              <w:t>人需提供设备功能界面截图证明，并加盖厂商鲜章）;</w:t>
            </w:r>
          </w:p>
        </w:tc>
      </w:tr>
      <w:tr w14:paraId="1C04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1056" w:type="dxa"/>
            <w:vMerge w:val="continue"/>
            <w:shd w:val="clear" w:color="auto" w:fill="auto"/>
            <w:vAlign w:val="center"/>
          </w:tcPr>
          <w:p w14:paraId="4C5234EE"/>
        </w:tc>
        <w:tc>
          <w:tcPr>
            <w:tcW w:w="7479" w:type="dxa"/>
            <w:tcBorders>
              <w:left w:val="single" w:color="auto" w:sz="4" w:space="0"/>
            </w:tcBorders>
            <w:shd w:val="clear" w:color="auto" w:fill="auto"/>
          </w:tcPr>
          <w:p w14:paraId="74714816">
            <w:pPr>
              <w:pStyle w:val="40"/>
              <w:bidi w:val="0"/>
              <w:rPr>
                <w:rFonts w:hint="eastAsia"/>
              </w:rPr>
            </w:pPr>
            <w:r>
              <w:rPr>
                <w:rFonts w:hint="eastAsia"/>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w:t>
            </w:r>
            <w:r>
              <w:rPr>
                <w:rFonts w:hint="eastAsia"/>
                <w:lang w:eastAsia="zh-CN"/>
              </w:rPr>
              <w:t>响应</w:t>
            </w:r>
            <w:r>
              <w:rPr>
                <w:rFonts w:hint="eastAsia"/>
              </w:rPr>
              <w:t>人需提供设备功能界面截图证明，并加盖厂商鲜章）</w:t>
            </w:r>
            <w:r>
              <w:rPr>
                <w:rFonts w:hint="eastAsia"/>
                <w:lang w:eastAsia="zh-CN"/>
              </w:rPr>
              <w:t>；</w:t>
            </w:r>
          </w:p>
        </w:tc>
      </w:tr>
      <w:tr w14:paraId="0BD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trPr>
        <w:tc>
          <w:tcPr>
            <w:tcW w:w="1130" w:type="dxa"/>
            <w:vMerge w:val="restart"/>
            <w:shd w:val="clear" w:color="auto" w:fill="auto"/>
            <w:vAlign w:val="center"/>
          </w:tcPr>
          <w:p w14:paraId="150576D6">
            <w:pPr>
              <w:pStyle w:val="40"/>
              <w:bidi w:val="0"/>
              <w:rPr>
                <w:rFonts w:hint="eastAsia"/>
                <w:lang w:val="en-US" w:eastAsia="zh-CN"/>
              </w:rPr>
            </w:pPr>
            <w:r>
              <w:rPr>
                <w:rFonts w:hint="eastAsia"/>
                <w:lang w:val="en-US" w:eastAsia="zh-CN"/>
              </w:rPr>
              <w:t>IPV6功能</w:t>
            </w:r>
          </w:p>
        </w:tc>
        <w:tc>
          <w:tcPr>
            <w:tcW w:w="7479" w:type="dxa"/>
            <w:tcBorders>
              <w:left w:val="single" w:color="auto" w:sz="4" w:space="0"/>
            </w:tcBorders>
            <w:shd w:val="clear" w:color="auto" w:fill="auto"/>
          </w:tcPr>
          <w:p w14:paraId="72659A7B">
            <w:pPr>
              <w:pStyle w:val="40"/>
              <w:bidi w:val="0"/>
              <w:rPr>
                <w:rFonts w:hint="eastAsia"/>
                <w:lang w:val="en-US" w:eastAsia="zh-CN"/>
              </w:rPr>
            </w:pPr>
            <w:r>
              <w:rPr>
                <w:rFonts w:hint="eastAsia"/>
              </w:rPr>
              <w:t>IPv6支持双栈模式，支持源NAT、目的NAT、静态NAT ,NAT64、NAT66等，适合各种复杂的网络环境；</w:t>
            </w:r>
          </w:p>
        </w:tc>
      </w:tr>
      <w:tr w14:paraId="6E52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 w:hRule="atLeast"/>
        </w:trPr>
        <w:tc>
          <w:tcPr>
            <w:tcW w:w="1056" w:type="dxa"/>
            <w:vMerge w:val="continue"/>
            <w:shd w:val="clear" w:color="auto" w:fill="auto"/>
            <w:vAlign w:val="center"/>
          </w:tcPr>
          <w:p w14:paraId="1B1ABA1C"/>
        </w:tc>
        <w:tc>
          <w:tcPr>
            <w:tcW w:w="7479" w:type="dxa"/>
            <w:tcBorders>
              <w:left w:val="single" w:color="auto" w:sz="4" w:space="0"/>
            </w:tcBorders>
            <w:shd w:val="clear" w:color="auto" w:fill="auto"/>
          </w:tcPr>
          <w:p w14:paraId="044FC75E">
            <w:pPr>
              <w:pStyle w:val="40"/>
              <w:bidi w:val="0"/>
              <w:rPr>
                <w:rFonts w:hint="eastAsia"/>
              </w:rPr>
            </w:pPr>
            <w:r>
              <w:rPr>
                <w:rFonts w:hint="eastAsia"/>
              </w:rPr>
              <w:t>支持一对一NAT功能。（需提供设备功能界面截图证明）。</w:t>
            </w:r>
          </w:p>
        </w:tc>
      </w:tr>
      <w:tr w14:paraId="6D45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 w:hRule="atLeast"/>
        </w:trPr>
        <w:tc>
          <w:tcPr>
            <w:tcW w:w="1130" w:type="dxa"/>
            <w:shd w:val="clear" w:color="auto" w:fill="auto"/>
            <w:vAlign w:val="center"/>
          </w:tcPr>
          <w:p w14:paraId="2B784917">
            <w:pPr>
              <w:pStyle w:val="40"/>
              <w:bidi w:val="0"/>
              <w:rPr>
                <w:rFonts w:hint="eastAsia"/>
                <w:lang w:val="en-US" w:eastAsia="zh-CN"/>
              </w:rPr>
            </w:pPr>
            <w:r>
              <w:rPr>
                <w:rFonts w:hint="eastAsia"/>
                <w:lang w:val="en-US" w:eastAsia="zh-CN"/>
              </w:rPr>
              <w:t>服务</w:t>
            </w:r>
          </w:p>
        </w:tc>
        <w:tc>
          <w:tcPr>
            <w:tcW w:w="7479" w:type="dxa"/>
            <w:tcBorders>
              <w:left w:val="single" w:color="auto" w:sz="4" w:space="0"/>
            </w:tcBorders>
            <w:shd w:val="clear" w:color="auto" w:fill="auto"/>
          </w:tcPr>
          <w:p w14:paraId="4FCBCDAF">
            <w:pPr>
              <w:pStyle w:val="40"/>
              <w:bidi w:val="0"/>
              <w:rPr>
                <w:rFonts w:hint="eastAsia"/>
                <w:lang w:eastAsia="zh-CN"/>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1C2A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 w:hRule="atLeast"/>
        </w:trPr>
        <w:tc>
          <w:tcPr>
            <w:tcW w:w="1130" w:type="dxa"/>
            <w:shd w:val="clear" w:color="auto" w:fill="auto"/>
            <w:vAlign w:val="center"/>
          </w:tcPr>
          <w:p w14:paraId="1E4504F4">
            <w:pPr>
              <w:pStyle w:val="40"/>
              <w:bidi w:val="0"/>
              <w:rPr>
                <w:rFonts w:hint="eastAsia"/>
                <w:lang w:val="en-US" w:eastAsia="zh-CN"/>
              </w:rPr>
            </w:pPr>
            <w:r>
              <w:rPr>
                <w:rFonts w:hint="eastAsia"/>
              </w:rPr>
              <w:t>数量（台）</w:t>
            </w:r>
          </w:p>
        </w:tc>
        <w:tc>
          <w:tcPr>
            <w:tcW w:w="7479" w:type="dxa"/>
            <w:tcBorders>
              <w:left w:val="single" w:color="auto" w:sz="4" w:space="0"/>
            </w:tcBorders>
            <w:shd w:val="clear" w:color="auto" w:fill="auto"/>
          </w:tcPr>
          <w:p w14:paraId="5863A58E">
            <w:pPr>
              <w:pStyle w:val="40"/>
              <w:bidi w:val="0"/>
              <w:rPr>
                <w:rFonts w:hint="eastAsia"/>
              </w:rPr>
            </w:pPr>
            <w:r>
              <w:rPr>
                <w:rFonts w:hint="eastAsia"/>
                <w:lang w:val="en-US" w:eastAsia="zh-CN"/>
              </w:rPr>
              <w:t>4</w:t>
            </w:r>
            <w:r>
              <w:rPr>
                <w:rFonts w:hint="eastAsia"/>
              </w:rPr>
              <w:t>台</w:t>
            </w:r>
          </w:p>
        </w:tc>
      </w:tr>
    </w:tbl>
    <w:p w14:paraId="4BCB5E56">
      <w:pPr>
        <w:pStyle w:val="5"/>
        <w:bidi w:val="0"/>
      </w:pPr>
      <w:r>
        <w:rPr>
          <w:rFonts w:hint="eastAsia"/>
        </w:rPr>
        <w:t>3.（标段3：安全设备）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6"/>
        <w:gridCol w:w="7336"/>
      </w:tblGrid>
      <w:tr w14:paraId="050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522" w:type="dxa"/>
            <w:gridSpan w:val="2"/>
            <w:tcBorders>
              <w:bottom w:val="single" w:color="auto" w:sz="4" w:space="0"/>
            </w:tcBorders>
            <w:shd w:val="clear" w:color="auto" w:fill="auto"/>
            <w:noWrap/>
            <w:vAlign w:val="center"/>
          </w:tcPr>
          <w:p w14:paraId="6B037A0D">
            <w:pPr>
              <w:pStyle w:val="41"/>
              <w:bidi w:val="0"/>
              <w:rPr>
                <w:rFonts w:hint="eastAsia"/>
              </w:rPr>
            </w:pPr>
            <w:r>
              <w:rPr>
                <w:rFonts w:hint="eastAsia"/>
              </w:rPr>
              <w:t>3.1  防火墙1</w:t>
            </w:r>
          </w:p>
        </w:tc>
      </w:tr>
      <w:tr w14:paraId="3400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115A5809">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6190AD70">
            <w:pPr>
              <w:pStyle w:val="41"/>
              <w:bidi w:val="0"/>
              <w:rPr>
                <w:rFonts w:hint="eastAsia"/>
              </w:rPr>
            </w:pPr>
            <w:r>
              <w:rPr>
                <w:rFonts w:hint="eastAsia"/>
              </w:rPr>
              <w:t>参数要求</w:t>
            </w:r>
          </w:p>
        </w:tc>
      </w:tr>
      <w:tr w14:paraId="125A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363FCE7">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2B9C4E60">
            <w:pPr>
              <w:pStyle w:val="40"/>
              <w:bidi w:val="0"/>
              <w:rPr>
                <w:rFonts w:hint="eastAsia"/>
              </w:rPr>
            </w:pPr>
            <w:r>
              <w:rPr>
                <w:rFonts w:hint="eastAsia"/>
              </w:rPr>
              <w:t>非OEM设备，采用国产CPU、国产转发芯片；设备采用国产操作系统；需详细说明芯片厂商、规格型号，提供国家权威机构出具的检测报告复印件及加盖制造商公章；设备采用国产操作系统；需详细说明操作系统版本号。</w:t>
            </w:r>
          </w:p>
        </w:tc>
      </w:tr>
      <w:tr w14:paraId="7FE8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5E634FC0">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389929B7">
            <w:pPr>
              <w:pStyle w:val="40"/>
              <w:bidi w:val="0"/>
            </w:pPr>
            <w:r>
              <w:rPr>
                <w:rFonts w:hint="eastAsia"/>
              </w:rPr>
              <w:t>设备高度≤2U，接口扩展插槽≥6个；提供官网链接及截图证明及加盖制造商公章</w:t>
            </w:r>
            <w:r>
              <w:t>；</w:t>
            </w:r>
            <w:r>
              <w:rPr>
                <w:rFonts w:hint="eastAsia"/>
              </w:rPr>
              <w:t>实配千兆电口≥4、万兆SFP+光口≥4、千兆SFP光口≥4、40G光端口≥2；实配冗余电源；</w:t>
            </w:r>
          </w:p>
          <w:p w14:paraId="4052F8D5">
            <w:pPr>
              <w:pStyle w:val="40"/>
              <w:bidi w:val="0"/>
              <w:rPr>
                <w:rFonts w:hint="eastAsia"/>
              </w:rPr>
            </w:pPr>
            <w:r>
              <w:rPr>
                <w:rFonts w:hint="eastAsia" w:ascii="微软雅黑" w:eastAsia="微软雅黑" w:cs="Segoe UI Symbol"/>
                <w:sz w:val="18"/>
                <w:szCs w:val="18"/>
              </w:rPr>
              <w:t>实配480</w:t>
            </w:r>
            <w:r>
              <w:rPr>
                <w:rFonts w:ascii="微软雅黑" w:eastAsia="微软雅黑" w:cs="Segoe UI Symbol"/>
                <w:sz w:val="18"/>
                <w:szCs w:val="18"/>
              </w:rPr>
              <w:t>G</w:t>
            </w:r>
            <w:r>
              <w:rPr>
                <w:rFonts w:hint="eastAsia" w:ascii="微软雅黑" w:eastAsia="微软雅黑" w:cs="Segoe UI Symbol"/>
                <w:sz w:val="18"/>
                <w:szCs w:val="18"/>
              </w:rPr>
              <w:t xml:space="preserve"> SSD硬盘≥2块，双硬盘支持Raid0和Raid1，实现硬盘数据存储的高可靠；</w:t>
            </w:r>
          </w:p>
        </w:tc>
      </w:tr>
      <w:tr w14:paraId="15FC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74FC9552">
            <w:pPr>
              <w:pStyle w:val="40"/>
              <w:bidi w:val="0"/>
              <w:rPr>
                <w:rFonts w:hint="eastAsia"/>
              </w:rPr>
            </w:pPr>
            <w:r>
              <w:rPr>
                <w:rFonts w:hint="eastAsia"/>
              </w:rPr>
              <w:t>性能要求</w:t>
            </w:r>
          </w:p>
        </w:tc>
        <w:tc>
          <w:tcPr>
            <w:tcW w:w="7336" w:type="dxa"/>
            <w:tcBorders>
              <w:left w:val="single" w:color="auto" w:sz="4" w:space="0"/>
            </w:tcBorders>
            <w:shd w:val="clear" w:color="auto" w:fill="auto"/>
            <w:vAlign w:val="center"/>
          </w:tcPr>
          <w:p w14:paraId="7E13ECA0">
            <w:pPr>
              <w:pStyle w:val="40"/>
              <w:bidi w:val="0"/>
              <w:rPr>
                <w:rFonts w:hint="eastAsia"/>
              </w:rPr>
            </w:pPr>
            <w:r>
              <w:rPr>
                <w:rFonts w:hint="eastAsia"/>
              </w:rPr>
              <w:t>吞吐率≥45Gbps。最大并发连接≥2000万，每秒新建连接≥50万。提供参数证明并加盖生产厂商公章；</w:t>
            </w:r>
          </w:p>
        </w:tc>
      </w:tr>
      <w:tr w14:paraId="69B1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6707D7FC">
            <w:pPr>
              <w:pStyle w:val="40"/>
              <w:bidi w:val="0"/>
              <w:rPr>
                <w:rFonts w:hint="eastAsia"/>
              </w:rPr>
            </w:pPr>
            <w:r>
              <w:rPr>
                <w:rFonts w:hint="eastAsia"/>
              </w:rPr>
              <w:t>防火墙工作模式</w:t>
            </w:r>
          </w:p>
        </w:tc>
        <w:tc>
          <w:tcPr>
            <w:tcW w:w="7336" w:type="dxa"/>
            <w:tcBorders>
              <w:left w:val="single" w:color="auto" w:sz="4" w:space="0"/>
            </w:tcBorders>
            <w:shd w:val="clear" w:color="auto" w:fill="auto"/>
            <w:vAlign w:val="center"/>
          </w:tcPr>
          <w:p w14:paraId="658022ED">
            <w:pPr>
              <w:pStyle w:val="40"/>
              <w:bidi w:val="0"/>
              <w:rPr>
                <w:rFonts w:hint="eastAsia"/>
              </w:rPr>
            </w:pPr>
            <w:r>
              <w:rPr>
                <w:rFonts w:hint="eastAsia"/>
              </w:rPr>
              <w:t>支持防火墙硬件一虚多的功能；</w:t>
            </w:r>
          </w:p>
        </w:tc>
      </w:tr>
      <w:tr w14:paraId="5212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0CBC192"/>
        </w:tc>
        <w:tc>
          <w:tcPr>
            <w:tcW w:w="7336" w:type="dxa"/>
            <w:tcBorders>
              <w:left w:val="single" w:color="auto" w:sz="4" w:space="0"/>
            </w:tcBorders>
            <w:shd w:val="clear" w:color="auto" w:fill="auto"/>
            <w:vAlign w:val="center"/>
          </w:tcPr>
          <w:p w14:paraId="154CAAB5">
            <w:pPr>
              <w:pStyle w:val="40"/>
              <w:bidi w:val="0"/>
              <w:rPr>
                <w:rFonts w:hint="eastAsia"/>
              </w:rPr>
            </w:pPr>
            <w:r>
              <w:rPr>
                <w:rFonts w:hint="eastAsia"/>
              </w:rPr>
              <w:t>支持“主-备”、“主-主”或“集群”中的一种或多种冗余部署模式；</w:t>
            </w:r>
          </w:p>
        </w:tc>
      </w:tr>
      <w:tr w14:paraId="6612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4C1B989">
            <w:pPr>
              <w:pStyle w:val="40"/>
              <w:bidi w:val="0"/>
              <w:rPr>
                <w:rFonts w:hint="eastAsia"/>
              </w:rPr>
            </w:pPr>
            <w:r>
              <w:rPr>
                <w:rFonts w:hint="eastAsia"/>
              </w:rPr>
              <w:t>策略路由</w:t>
            </w:r>
          </w:p>
        </w:tc>
        <w:tc>
          <w:tcPr>
            <w:tcW w:w="7336" w:type="dxa"/>
            <w:tcBorders>
              <w:left w:val="single" w:color="auto" w:sz="4" w:space="0"/>
            </w:tcBorders>
            <w:shd w:val="clear" w:color="auto" w:fill="auto"/>
            <w:vAlign w:val="center"/>
          </w:tcPr>
          <w:p w14:paraId="2B93A331">
            <w:pPr>
              <w:pStyle w:val="40"/>
              <w:bidi w:val="0"/>
              <w:rPr>
                <w:rFonts w:hint="eastAsia"/>
              </w:rPr>
            </w:pPr>
            <w:r>
              <w:rPr>
                <w:rFonts w:hint="eastAsia"/>
              </w:rPr>
              <w:t>支持基于源地址、目的地址、端口等五元组为元素的组合策略路由；</w:t>
            </w:r>
          </w:p>
        </w:tc>
      </w:tr>
      <w:tr w14:paraId="6C6A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38C6228"/>
        </w:tc>
        <w:tc>
          <w:tcPr>
            <w:tcW w:w="7336" w:type="dxa"/>
            <w:tcBorders>
              <w:left w:val="single" w:color="auto" w:sz="4" w:space="0"/>
            </w:tcBorders>
            <w:shd w:val="clear" w:color="auto" w:fill="auto"/>
            <w:vAlign w:val="center"/>
          </w:tcPr>
          <w:p w14:paraId="430D3436">
            <w:pPr>
              <w:pStyle w:val="40"/>
              <w:bidi w:val="0"/>
              <w:rPr>
                <w:rFonts w:hint="eastAsia"/>
              </w:rPr>
            </w:pPr>
            <w:r>
              <w:rPr>
                <w:rFonts w:hint="eastAsia"/>
              </w:rPr>
              <w:t>支持IPv4以及IPv6路由能力，需要支持OSFP、BGP、RIP、ISIS等路由协议；</w:t>
            </w:r>
          </w:p>
        </w:tc>
      </w:tr>
      <w:tr w14:paraId="26D8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91E9CAC"/>
        </w:tc>
        <w:tc>
          <w:tcPr>
            <w:tcW w:w="7336" w:type="dxa"/>
            <w:tcBorders>
              <w:left w:val="single" w:color="auto" w:sz="4" w:space="0"/>
            </w:tcBorders>
            <w:shd w:val="clear" w:color="auto" w:fill="auto"/>
            <w:vAlign w:val="center"/>
          </w:tcPr>
          <w:p w14:paraId="64CF65D9">
            <w:pPr>
              <w:pStyle w:val="40"/>
              <w:bidi w:val="0"/>
              <w:rPr>
                <w:rFonts w:hint="eastAsia"/>
              </w:rPr>
            </w:pPr>
            <w:r>
              <w:rPr>
                <w:rFonts w:hint="eastAsia"/>
              </w:rPr>
              <w:t>支持IPv6 over IPv4 GRE隧道；</w:t>
            </w:r>
          </w:p>
        </w:tc>
      </w:tr>
      <w:tr w14:paraId="136C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49463B2"/>
        </w:tc>
        <w:tc>
          <w:tcPr>
            <w:tcW w:w="7336" w:type="dxa"/>
            <w:tcBorders>
              <w:left w:val="single" w:color="auto" w:sz="4" w:space="0"/>
            </w:tcBorders>
            <w:shd w:val="clear" w:color="auto" w:fill="auto"/>
            <w:vAlign w:val="center"/>
          </w:tcPr>
          <w:p w14:paraId="7CC12788">
            <w:pPr>
              <w:pStyle w:val="40"/>
              <w:bidi w:val="0"/>
              <w:rPr>
                <w:rFonts w:hint="eastAsia"/>
              </w:rPr>
            </w:pPr>
            <w:r>
              <w:rPr>
                <w:rFonts w:hint="eastAsia"/>
              </w:rPr>
              <w:t>支持在线检索已配置的各种安全策略是否存在冗余和遮盖；</w:t>
            </w:r>
          </w:p>
        </w:tc>
      </w:tr>
      <w:tr w14:paraId="5505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EA910EE">
            <w:pPr>
              <w:pStyle w:val="40"/>
              <w:bidi w:val="0"/>
              <w:rPr>
                <w:rFonts w:hint="eastAsia"/>
              </w:rPr>
            </w:pPr>
            <w:r>
              <w:rPr>
                <w:rFonts w:hint="eastAsia"/>
              </w:rPr>
              <w:t>访问控制</w:t>
            </w:r>
          </w:p>
        </w:tc>
        <w:tc>
          <w:tcPr>
            <w:tcW w:w="7336" w:type="dxa"/>
            <w:tcBorders>
              <w:left w:val="single" w:color="auto" w:sz="4" w:space="0"/>
            </w:tcBorders>
            <w:shd w:val="clear" w:color="auto" w:fill="auto"/>
            <w:vAlign w:val="center"/>
          </w:tcPr>
          <w:p w14:paraId="1AB28CFD">
            <w:pPr>
              <w:pStyle w:val="40"/>
              <w:bidi w:val="0"/>
              <w:rPr>
                <w:rFonts w:hint="eastAsia"/>
              </w:rPr>
            </w:pPr>
            <w:r>
              <w:rPr>
                <w:rFonts w:hint="eastAsia"/>
              </w:rPr>
              <w:t>支持按照时间、IP地址、服务端口、应用、用户等方式对数据进行访问控制；</w:t>
            </w:r>
          </w:p>
        </w:tc>
      </w:tr>
      <w:tr w14:paraId="33C5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414B8B1"/>
        </w:tc>
        <w:tc>
          <w:tcPr>
            <w:tcW w:w="7336" w:type="dxa"/>
            <w:tcBorders>
              <w:left w:val="single" w:color="auto" w:sz="4" w:space="0"/>
            </w:tcBorders>
            <w:shd w:val="clear" w:color="auto" w:fill="auto"/>
            <w:vAlign w:val="center"/>
          </w:tcPr>
          <w:p w14:paraId="590AC5E9">
            <w:pPr>
              <w:pStyle w:val="40"/>
              <w:bidi w:val="0"/>
              <w:rPr>
                <w:rFonts w:hint="eastAsia"/>
              </w:rPr>
            </w:pPr>
            <w:r>
              <w:rPr>
                <w:rFonts w:hint="eastAsia"/>
              </w:rPr>
              <w:t>支持基于国家/地区维度的安全策略；</w:t>
            </w:r>
          </w:p>
        </w:tc>
      </w:tr>
      <w:tr w14:paraId="5807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783EB879">
            <w:pPr>
              <w:pStyle w:val="40"/>
              <w:bidi w:val="0"/>
              <w:rPr>
                <w:rFonts w:hint="eastAsia"/>
              </w:rPr>
            </w:pPr>
            <w:r>
              <w:rPr>
                <w:rFonts w:hint="eastAsia"/>
              </w:rPr>
              <w:t>攻击防护</w:t>
            </w:r>
          </w:p>
        </w:tc>
        <w:tc>
          <w:tcPr>
            <w:tcW w:w="7336" w:type="dxa"/>
            <w:tcBorders>
              <w:left w:val="single" w:color="auto" w:sz="4" w:space="0"/>
            </w:tcBorders>
            <w:shd w:val="clear" w:color="auto" w:fill="auto"/>
            <w:vAlign w:val="center"/>
          </w:tcPr>
          <w:p w14:paraId="7D0B61D4">
            <w:pPr>
              <w:pStyle w:val="40"/>
              <w:bidi w:val="0"/>
              <w:rPr>
                <w:rFonts w:hint="eastAsia"/>
              </w:rPr>
            </w:pPr>
            <w:r>
              <w:rPr>
                <w:rFonts w:hint="eastAsia"/>
              </w:rPr>
              <w:t>支持ARP攻击防护，支持SYN Flood、DNS Query Flood等多种DoS/DDoS攻击防护；</w:t>
            </w:r>
          </w:p>
        </w:tc>
      </w:tr>
      <w:tr w14:paraId="6EF2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26A27746"/>
        </w:tc>
        <w:tc>
          <w:tcPr>
            <w:tcW w:w="7336" w:type="dxa"/>
            <w:tcBorders>
              <w:left w:val="single" w:color="auto" w:sz="4" w:space="0"/>
            </w:tcBorders>
            <w:shd w:val="clear" w:color="auto" w:fill="auto"/>
            <w:vAlign w:val="center"/>
          </w:tcPr>
          <w:p w14:paraId="704C6C7A">
            <w:pPr>
              <w:pStyle w:val="40"/>
              <w:bidi w:val="0"/>
              <w:rPr>
                <w:rFonts w:hint="eastAsia"/>
              </w:rPr>
            </w:pPr>
            <w:r>
              <w:rPr>
                <w:rFonts w:hint="eastAsia"/>
              </w:rPr>
              <w:t>实配入侵防御、防病毒、URL功能，并配置5年特征库更新授权;</w:t>
            </w:r>
          </w:p>
        </w:tc>
      </w:tr>
      <w:tr w14:paraId="5117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0806FD81">
            <w:pPr>
              <w:pStyle w:val="40"/>
              <w:bidi w:val="0"/>
              <w:rPr>
                <w:rFonts w:hint="eastAsia"/>
              </w:rPr>
            </w:pPr>
            <w:r>
              <w:rPr>
                <w:rFonts w:hint="eastAsia"/>
              </w:rPr>
              <w:t>产品异构</w:t>
            </w:r>
          </w:p>
        </w:tc>
        <w:tc>
          <w:tcPr>
            <w:tcW w:w="7336" w:type="dxa"/>
            <w:tcBorders>
              <w:left w:val="single" w:color="auto" w:sz="4" w:space="0"/>
            </w:tcBorders>
            <w:shd w:val="clear" w:color="auto" w:fill="auto"/>
            <w:vAlign w:val="center"/>
          </w:tcPr>
          <w:p w14:paraId="2E17F806">
            <w:pPr>
              <w:pStyle w:val="40"/>
              <w:bidi w:val="0"/>
              <w:rPr>
                <w:rFonts w:hint="eastAsia"/>
              </w:rPr>
            </w:pPr>
            <w:r>
              <w:rPr>
                <w:rFonts w:hint="eastAsia"/>
              </w:rPr>
              <w:t>3.1和3.2需为不同生产厂商。</w:t>
            </w:r>
          </w:p>
        </w:tc>
      </w:tr>
      <w:tr w14:paraId="2111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5797628">
            <w:pPr>
              <w:pStyle w:val="40"/>
              <w:bidi w:val="0"/>
              <w:rPr>
                <w:rFonts w:hint="eastAsia"/>
              </w:rPr>
            </w:pPr>
            <w:r>
              <w:rPr>
                <w:rFonts w:hint="eastAsia"/>
              </w:rPr>
              <w:t>地址转换能力</w:t>
            </w:r>
          </w:p>
        </w:tc>
        <w:tc>
          <w:tcPr>
            <w:tcW w:w="7336" w:type="dxa"/>
            <w:tcBorders>
              <w:left w:val="single" w:color="auto" w:sz="4" w:space="0"/>
            </w:tcBorders>
            <w:shd w:val="clear" w:color="auto" w:fill="auto"/>
            <w:vAlign w:val="center"/>
          </w:tcPr>
          <w:p w14:paraId="03F70E70">
            <w:pPr>
              <w:pStyle w:val="40"/>
              <w:bidi w:val="0"/>
              <w:rPr>
                <w:rFonts w:hint="eastAsia"/>
              </w:rPr>
            </w:pPr>
            <w:r>
              <w:rPr>
                <w:rFonts w:hint="eastAsia"/>
              </w:rPr>
              <w:t>具有完善的地址转换能力，可支持正向、反向地址/端口转换、双向地址转换等；</w:t>
            </w:r>
          </w:p>
        </w:tc>
      </w:tr>
      <w:tr w14:paraId="251C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AE8A5E8"/>
        </w:tc>
        <w:tc>
          <w:tcPr>
            <w:tcW w:w="7336" w:type="dxa"/>
            <w:tcBorders>
              <w:left w:val="single" w:color="auto" w:sz="4" w:space="0"/>
            </w:tcBorders>
            <w:shd w:val="clear" w:color="auto" w:fill="auto"/>
            <w:vAlign w:val="center"/>
          </w:tcPr>
          <w:p w14:paraId="16A27F66">
            <w:pPr>
              <w:pStyle w:val="40"/>
              <w:bidi w:val="0"/>
              <w:rPr>
                <w:rFonts w:hint="eastAsia"/>
              </w:rPr>
            </w:pPr>
            <w:r>
              <w:rPr>
                <w:rFonts w:hint="eastAsia"/>
              </w:rPr>
              <w:t>支持多对一、一对多和一对一等多种方式的地址转换；支持NAT地址池支持动态探测和可用地址分配；</w:t>
            </w:r>
          </w:p>
        </w:tc>
      </w:tr>
      <w:tr w14:paraId="4C02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4B82A604">
            <w:pPr>
              <w:pStyle w:val="40"/>
              <w:bidi w:val="0"/>
              <w:rPr>
                <w:rFonts w:hint="eastAsia"/>
              </w:rPr>
            </w:pPr>
            <w:r>
              <w:rPr>
                <w:rFonts w:hint="eastAsia"/>
              </w:rPr>
              <w:t>抓包功能</w:t>
            </w:r>
          </w:p>
        </w:tc>
        <w:tc>
          <w:tcPr>
            <w:tcW w:w="7336" w:type="dxa"/>
            <w:tcBorders>
              <w:left w:val="single" w:color="auto" w:sz="4" w:space="0"/>
            </w:tcBorders>
            <w:shd w:val="clear" w:color="auto" w:fill="auto"/>
            <w:vAlign w:val="center"/>
          </w:tcPr>
          <w:p w14:paraId="35C8E2AB">
            <w:pPr>
              <w:pStyle w:val="40"/>
              <w:bidi w:val="0"/>
              <w:rPr>
                <w:rFonts w:hint="eastAsia"/>
              </w:rPr>
            </w:pPr>
            <w:r>
              <w:rPr>
                <w:rFonts w:hint="eastAsia"/>
              </w:rPr>
              <w:t>支持在线抓包功能；</w:t>
            </w:r>
          </w:p>
        </w:tc>
      </w:tr>
      <w:tr w14:paraId="4926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53D11854">
            <w:pPr>
              <w:pStyle w:val="40"/>
              <w:bidi w:val="0"/>
              <w:rPr>
                <w:rFonts w:hint="eastAsia"/>
              </w:rPr>
            </w:pPr>
            <w:r>
              <w:rPr>
                <w:rFonts w:hint="eastAsia"/>
              </w:rPr>
              <w:t>配置管理</w:t>
            </w:r>
          </w:p>
        </w:tc>
        <w:tc>
          <w:tcPr>
            <w:tcW w:w="7336" w:type="dxa"/>
            <w:tcBorders>
              <w:left w:val="single" w:color="auto" w:sz="4" w:space="0"/>
            </w:tcBorders>
            <w:shd w:val="clear" w:color="auto" w:fill="auto"/>
            <w:vAlign w:val="center"/>
          </w:tcPr>
          <w:p w14:paraId="4E856741">
            <w:pPr>
              <w:pStyle w:val="40"/>
              <w:bidi w:val="0"/>
              <w:rPr>
                <w:rFonts w:hint="eastAsia"/>
              </w:rPr>
            </w:pPr>
            <w:r>
              <w:rPr>
                <w:rFonts w:hint="eastAsia"/>
              </w:rPr>
              <w:t>可以提供多种方式的管理界面，包括WEBUI、CONSOLE、SSH、TELNET等；</w:t>
            </w:r>
          </w:p>
        </w:tc>
      </w:tr>
      <w:tr w14:paraId="59BE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A3660AC"/>
        </w:tc>
        <w:tc>
          <w:tcPr>
            <w:tcW w:w="7336" w:type="dxa"/>
            <w:tcBorders>
              <w:left w:val="single" w:color="auto" w:sz="4" w:space="0"/>
            </w:tcBorders>
            <w:shd w:val="clear" w:color="auto" w:fill="auto"/>
            <w:vAlign w:val="center"/>
          </w:tcPr>
          <w:p w14:paraId="162D0224">
            <w:pPr>
              <w:pStyle w:val="40"/>
              <w:bidi w:val="0"/>
              <w:rPr>
                <w:rFonts w:hint="eastAsia"/>
              </w:rPr>
            </w:pPr>
            <w:r>
              <w:rPr>
                <w:rFonts w:hint="eastAsia"/>
              </w:rPr>
              <w:t>支持SNMP v3 等不同版本，并与当前通用的网络管理平台兼容；</w:t>
            </w:r>
          </w:p>
        </w:tc>
      </w:tr>
      <w:tr w14:paraId="0ACA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51B5230"/>
        </w:tc>
        <w:tc>
          <w:tcPr>
            <w:tcW w:w="7336" w:type="dxa"/>
            <w:tcBorders>
              <w:left w:val="single" w:color="auto" w:sz="4" w:space="0"/>
            </w:tcBorders>
            <w:shd w:val="clear" w:color="auto" w:fill="auto"/>
            <w:vAlign w:val="center"/>
          </w:tcPr>
          <w:p w14:paraId="7EAE8A55">
            <w:pPr>
              <w:pStyle w:val="40"/>
              <w:bidi w:val="0"/>
              <w:rPr>
                <w:rFonts w:hint="eastAsia"/>
              </w:rPr>
            </w:pPr>
            <w:r>
              <w:rPr>
                <w:rFonts w:hint="eastAsia"/>
              </w:rPr>
              <w:t>策略的服务元素支持直接配置端口和协议，无需单独定义服务对象；</w:t>
            </w:r>
          </w:p>
        </w:tc>
      </w:tr>
      <w:tr w14:paraId="0422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D8EE91E"/>
        </w:tc>
        <w:tc>
          <w:tcPr>
            <w:tcW w:w="7336" w:type="dxa"/>
            <w:tcBorders>
              <w:left w:val="single" w:color="auto" w:sz="4" w:space="0"/>
            </w:tcBorders>
            <w:shd w:val="clear" w:color="auto" w:fill="auto"/>
            <w:vAlign w:val="center"/>
          </w:tcPr>
          <w:p w14:paraId="41A92AC3">
            <w:pPr>
              <w:pStyle w:val="40"/>
              <w:bidi w:val="0"/>
              <w:rPr>
                <w:rFonts w:hint="eastAsia"/>
              </w:rPr>
            </w:pPr>
            <w:r>
              <w:rPr>
                <w:rFonts w:hint="eastAsia"/>
              </w:rPr>
              <w:t>支持周期性自动备份配置的功能，上传配置至指定服务器；</w:t>
            </w:r>
          </w:p>
        </w:tc>
      </w:tr>
      <w:tr w14:paraId="1296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259F5ECF">
            <w:pPr>
              <w:pStyle w:val="40"/>
              <w:bidi w:val="0"/>
              <w:rPr>
                <w:rFonts w:hint="eastAsia"/>
              </w:rPr>
            </w:pPr>
            <w:r>
              <w:rPr>
                <w:rFonts w:hint="eastAsia"/>
              </w:rPr>
              <w:t>资质证书</w:t>
            </w:r>
          </w:p>
        </w:tc>
        <w:tc>
          <w:tcPr>
            <w:tcW w:w="7336" w:type="dxa"/>
            <w:tcBorders>
              <w:left w:val="single" w:color="auto" w:sz="4" w:space="0"/>
            </w:tcBorders>
            <w:shd w:val="clear" w:color="auto" w:fill="auto"/>
            <w:vAlign w:val="center"/>
          </w:tcPr>
          <w:p w14:paraId="431BE8D1">
            <w:pPr>
              <w:spacing w:beforeAutospacing="0" w:afterAutospacing="0" w:line="240" w:lineRule="auto"/>
              <w:ind w:left="0" w:firstLine="0" w:firstLineChars="0"/>
              <w:rPr>
                <w:rFonts w:hint="eastAsia"/>
                <w:szCs w:val="18"/>
              </w:rPr>
            </w:pPr>
            <w:r>
              <w:rPr>
                <w:rFonts w:hint="eastAsia"/>
                <w:szCs w:val="18"/>
              </w:rPr>
              <w:t>具有中国网络安全审查认证和市场监管大数据中心(原中国网络安全审查技术与认证中心)颁发的《网络关键设备和网络安全专用产品安全认证证书》</w:t>
            </w:r>
          </w:p>
          <w:p w14:paraId="67C80C75">
            <w:pPr>
              <w:pStyle w:val="40"/>
              <w:bidi w:val="0"/>
              <w:rPr>
                <w:rFonts w:hint="eastAsia"/>
              </w:rPr>
            </w:pPr>
            <w:r>
              <w:rPr>
                <w:rFonts w:hint="eastAsia"/>
              </w:rPr>
              <w:t>。（提供证书复印件并加盖设备制造商公章）。</w:t>
            </w:r>
          </w:p>
        </w:tc>
      </w:tr>
      <w:tr w14:paraId="1B88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CBBC619">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72792F5C">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09D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568A3C00">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3DF1D2F8">
            <w:pPr>
              <w:pStyle w:val="40"/>
              <w:bidi w:val="0"/>
              <w:rPr>
                <w:rFonts w:hint="eastAsia"/>
              </w:rPr>
            </w:pPr>
            <w:r>
              <w:rPr>
                <w:rFonts w:hint="eastAsia"/>
              </w:rPr>
              <w:t>8台</w:t>
            </w:r>
          </w:p>
        </w:tc>
      </w:tr>
      <w:tr w14:paraId="0BA2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2" w:type="dxa"/>
            <w:gridSpan w:val="2"/>
            <w:tcBorders>
              <w:bottom w:val="single" w:color="auto" w:sz="4" w:space="0"/>
            </w:tcBorders>
            <w:shd w:val="clear" w:color="auto" w:fill="auto"/>
            <w:noWrap/>
            <w:vAlign w:val="center"/>
          </w:tcPr>
          <w:p w14:paraId="47C4E251">
            <w:pPr>
              <w:pStyle w:val="41"/>
              <w:bidi w:val="0"/>
              <w:rPr>
                <w:rFonts w:hint="eastAsia"/>
              </w:rPr>
            </w:pPr>
            <w:r>
              <w:rPr>
                <w:rFonts w:hint="eastAsia"/>
              </w:rPr>
              <w:t>3.2  防火墙2</w:t>
            </w:r>
          </w:p>
        </w:tc>
      </w:tr>
      <w:tr w14:paraId="7BB6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4EBA65B8">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563E8350">
            <w:pPr>
              <w:pStyle w:val="41"/>
              <w:bidi w:val="0"/>
              <w:rPr>
                <w:rFonts w:hint="eastAsia"/>
              </w:rPr>
            </w:pPr>
            <w:r>
              <w:rPr>
                <w:rFonts w:hint="eastAsia"/>
              </w:rPr>
              <w:t>参数要求</w:t>
            </w:r>
          </w:p>
        </w:tc>
      </w:tr>
      <w:tr w14:paraId="46D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60AD3B40">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0E5EB1EE">
            <w:pPr>
              <w:pStyle w:val="40"/>
              <w:bidi w:val="0"/>
              <w:rPr>
                <w:rFonts w:hint="eastAsia"/>
              </w:rPr>
            </w:pPr>
            <w:r>
              <w:rPr>
                <w:rFonts w:hint="eastAsia"/>
              </w:rPr>
              <w:t>非OEM设备，采用国产CPU、国产转发芯片；设备采用国产操作系统；需详细说明芯片厂商、规格型号，提供国家权威机构出具的检测报告复印件及加盖制造商公章；设备采用国产操作系统；需详细说明操作系统版本号。</w:t>
            </w:r>
          </w:p>
        </w:tc>
      </w:tr>
      <w:tr w14:paraId="2406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BD91739">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4F8D6EF1">
            <w:pPr>
              <w:pStyle w:val="40"/>
              <w:bidi w:val="0"/>
              <w:rPr>
                <w:rFonts w:hint="eastAsia"/>
              </w:rPr>
            </w:pPr>
            <w:r>
              <w:rPr>
                <w:rFonts w:hint="eastAsia"/>
              </w:rPr>
              <w:t>设备高度≤2U，接口扩展插槽≥5个；实配千兆电口≥8、万兆SFP光口≥4、40G光端口≥2；</w:t>
            </w:r>
            <w:r>
              <w:rPr>
                <w:rFonts w:hint="eastAsia"/>
              </w:rPr>
              <w:br w:type="textWrapping"/>
            </w:r>
            <w:r>
              <w:rPr>
                <w:rFonts w:hint="eastAsia"/>
              </w:rPr>
              <w:t>实配冗余电源，在一路供电中断情况下不影响设备和业务的稳定运行；</w:t>
            </w:r>
          </w:p>
        </w:tc>
      </w:tr>
      <w:tr w14:paraId="0F8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5EB8E21A">
            <w:pPr>
              <w:pStyle w:val="40"/>
              <w:bidi w:val="0"/>
              <w:rPr>
                <w:rFonts w:hint="eastAsia"/>
              </w:rPr>
            </w:pPr>
            <w:r>
              <w:rPr>
                <w:rFonts w:hint="eastAsia"/>
              </w:rPr>
              <w:t>性能要求</w:t>
            </w:r>
          </w:p>
        </w:tc>
        <w:tc>
          <w:tcPr>
            <w:tcW w:w="7336" w:type="dxa"/>
            <w:tcBorders>
              <w:left w:val="single" w:color="auto" w:sz="4" w:space="0"/>
            </w:tcBorders>
            <w:shd w:val="clear" w:color="auto" w:fill="auto"/>
            <w:vAlign w:val="center"/>
          </w:tcPr>
          <w:p w14:paraId="49B1AE05">
            <w:pPr>
              <w:pStyle w:val="40"/>
              <w:bidi w:val="0"/>
              <w:rPr>
                <w:rFonts w:hint="eastAsia"/>
              </w:rPr>
            </w:pPr>
            <w:r>
              <w:rPr>
                <w:rFonts w:hint="eastAsia"/>
              </w:rPr>
              <w:t>吞吐率≥45Gbps；IPS吞吐标配≥14Gbps；AV吞吐标配≥6.5Gbps；每秒新建连接数≥26万；最大并发连接数≥2000万，硬盘≥4T。提供参数证明并加盖制造商公章；</w:t>
            </w:r>
          </w:p>
        </w:tc>
      </w:tr>
      <w:tr w14:paraId="09D6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10B22229">
            <w:pPr>
              <w:pStyle w:val="40"/>
              <w:bidi w:val="0"/>
              <w:rPr>
                <w:rFonts w:hint="eastAsia"/>
              </w:rPr>
            </w:pPr>
            <w:r>
              <w:rPr>
                <w:rFonts w:hint="eastAsia"/>
              </w:rPr>
              <w:t>防火墙工作模式</w:t>
            </w:r>
          </w:p>
        </w:tc>
        <w:tc>
          <w:tcPr>
            <w:tcW w:w="7336" w:type="dxa"/>
            <w:tcBorders>
              <w:left w:val="single" w:color="auto" w:sz="4" w:space="0"/>
            </w:tcBorders>
            <w:shd w:val="clear" w:color="auto" w:fill="auto"/>
            <w:vAlign w:val="center"/>
          </w:tcPr>
          <w:p w14:paraId="5E56F1F5">
            <w:pPr>
              <w:pStyle w:val="40"/>
              <w:bidi w:val="0"/>
              <w:rPr>
                <w:rFonts w:hint="eastAsia"/>
              </w:rPr>
            </w:pPr>
            <w:r>
              <w:rPr>
                <w:rFonts w:hint="eastAsia"/>
              </w:rPr>
              <w:t>支持防火墙硬件一虚多的功能；</w:t>
            </w:r>
          </w:p>
        </w:tc>
      </w:tr>
      <w:tr w14:paraId="512D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F65B759"/>
        </w:tc>
        <w:tc>
          <w:tcPr>
            <w:tcW w:w="7336" w:type="dxa"/>
            <w:tcBorders>
              <w:left w:val="single" w:color="auto" w:sz="4" w:space="0"/>
            </w:tcBorders>
            <w:shd w:val="clear" w:color="auto" w:fill="auto"/>
            <w:vAlign w:val="center"/>
          </w:tcPr>
          <w:p w14:paraId="1BDDB922">
            <w:pPr>
              <w:pStyle w:val="40"/>
              <w:bidi w:val="0"/>
              <w:rPr>
                <w:rFonts w:hint="eastAsia"/>
              </w:rPr>
            </w:pPr>
            <w:r>
              <w:rPr>
                <w:rFonts w:hint="eastAsia"/>
              </w:rPr>
              <w:t>支持“主-备”、“主-主”或“集群”中的一种或多种冗余部署模式；</w:t>
            </w:r>
          </w:p>
        </w:tc>
      </w:tr>
      <w:tr w14:paraId="2A81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08437ED1">
            <w:pPr>
              <w:pStyle w:val="40"/>
              <w:bidi w:val="0"/>
              <w:rPr>
                <w:rFonts w:hint="eastAsia"/>
              </w:rPr>
            </w:pPr>
            <w:r>
              <w:rPr>
                <w:rFonts w:hint="eastAsia"/>
              </w:rPr>
              <w:t>策略路由</w:t>
            </w:r>
          </w:p>
        </w:tc>
        <w:tc>
          <w:tcPr>
            <w:tcW w:w="7336" w:type="dxa"/>
            <w:tcBorders>
              <w:left w:val="single" w:color="auto" w:sz="4" w:space="0"/>
            </w:tcBorders>
            <w:shd w:val="clear" w:color="auto" w:fill="auto"/>
            <w:vAlign w:val="center"/>
          </w:tcPr>
          <w:p w14:paraId="31167020">
            <w:pPr>
              <w:pStyle w:val="40"/>
              <w:bidi w:val="0"/>
              <w:rPr>
                <w:rFonts w:hint="eastAsia"/>
              </w:rPr>
            </w:pPr>
            <w:r>
              <w:rPr>
                <w:rFonts w:hint="eastAsia"/>
              </w:rPr>
              <w:t>支持基于源地址、目的地址、端口等五元组为元素的组合策略路由；</w:t>
            </w:r>
          </w:p>
        </w:tc>
      </w:tr>
      <w:tr w14:paraId="33D3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2FD96320"/>
        </w:tc>
        <w:tc>
          <w:tcPr>
            <w:tcW w:w="7336" w:type="dxa"/>
            <w:tcBorders>
              <w:left w:val="single" w:color="auto" w:sz="4" w:space="0"/>
            </w:tcBorders>
            <w:shd w:val="clear" w:color="auto" w:fill="auto"/>
            <w:vAlign w:val="center"/>
          </w:tcPr>
          <w:p w14:paraId="0C1EA2A7">
            <w:pPr>
              <w:pStyle w:val="40"/>
              <w:bidi w:val="0"/>
              <w:rPr>
                <w:rFonts w:hint="eastAsia"/>
              </w:rPr>
            </w:pPr>
            <w:r>
              <w:rPr>
                <w:rFonts w:hint="eastAsia"/>
              </w:rPr>
              <w:t>支持IPv4以及IPv6路由能力，需要支持OSFP、BGP、RIP、ISIS等路由协议；</w:t>
            </w:r>
          </w:p>
        </w:tc>
      </w:tr>
      <w:tr w14:paraId="2F38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14D33BCE"/>
        </w:tc>
        <w:tc>
          <w:tcPr>
            <w:tcW w:w="7336" w:type="dxa"/>
            <w:tcBorders>
              <w:left w:val="single" w:color="auto" w:sz="4" w:space="0"/>
            </w:tcBorders>
            <w:shd w:val="clear" w:color="auto" w:fill="auto"/>
            <w:vAlign w:val="center"/>
          </w:tcPr>
          <w:p w14:paraId="534F0D07">
            <w:pPr>
              <w:pStyle w:val="40"/>
              <w:bidi w:val="0"/>
              <w:rPr>
                <w:rFonts w:hint="eastAsia"/>
              </w:rPr>
            </w:pPr>
            <w:r>
              <w:rPr>
                <w:rFonts w:hint="eastAsia"/>
              </w:rPr>
              <w:t>支持IPv6 over IPv4 GRE隧道；</w:t>
            </w:r>
          </w:p>
        </w:tc>
      </w:tr>
      <w:tr w14:paraId="66A7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7D990EF"/>
        </w:tc>
        <w:tc>
          <w:tcPr>
            <w:tcW w:w="7336" w:type="dxa"/>
            <w:tcBorders>
              <w:left w:val="single" w:color="auto" w:sz="4" w:space="0"/>
            </w:tcBorders>
            <w:shd w:val="clear" w:color="auto" w:fill="auto"/>
            <w:vAlign w:val="center"/>
          </w:tcPr>
          <w:p w14:paraId="2B1ADCDD">
            <w:pPr>
              <w:pStyle w:val="40"/>
              <w:bidi w:val="0"/>
              <w:rPr>
                <w:rFonts w:hint="eastAsia"/>
              </w:rPr>
            </w:pPr>
            <w:r>
              <w:rPr>
                <w:rFonts w:hint="eastAsia"/>
              </w:rPr>
              <w:t>支持在线检索已配置的各种安全策略是否存在冗余和遮盖；</w:t>
            </w:r>
          </w:p>
        </w:tc>
      </w:tr>
      <w:tr w14:paraId="67F5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70B9D1FE">
            <w:pPr>
              <w:pStyle w:val="40"/>
              <w:bidi w:val="0"/>
              <w:rPr>
                <w:rFonts w:hint="eastAsia"/>
              </w:rPr>
            </w:pPr>
            <w:r>
              <w:rPr>
                <w:rFonts w:hint="eastAsia"/>
              </w:rPr>
              <w:t>访问控制</w:t>
            </w:r>
          </w:p>
        </w:tc>
        <w:tc>
          <w:tcPr>
            <w:tcW w:w="7336" w:type="dxa"/>
            <w:tcBorders>
              <w:left w:val="single" w:color="auto" w:sz="4" w:space="0"/>
            </w:tcBorders>
            <w:shd w:val="clear" w:color="auto" w:fill="auto"/>
            <w:vAlign w:val="center"/>
          </w:tcPr>
          <w:p w14:paraId="74B6FA50">
            <w:pPr>
              <w:pStyle w:val="40"/>
              <w:bidi w:val="0"/>
              <w:rPr>
                <w:rFonts w:hint="eastAsia"/>
              </w:rPr>
            </w:pPr>
            <w:r>
              <w:rPr>
                <w:rFonts w:hint="eastAsia"/>
              </w:rPr>
              <w:t>支持按照时间、IP地址、服务端口、应用、用户等方式对数据进行访问控制；</w:t>
            </w:r>
          </w:p>
        </w:tc>
      </w:tr>
      <w:tr w14:paraId="048C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06463B9E"/>
        </w:tc>
        <w:tc>
          <w:tcPr>
            <w:tcW w:w="7336" w:type="dxa"/>
            <w:tcBorders>
              <w:left w:val="single" w:color="auto" w:sz="4" w:space="0"/>
            </w:tcBorders>
            <w:shd w:val="clear" w:color="auto" w:fill="auto"/>
            <w:vAlign w:val="center"/>
          </w:tcPr>
          <w:p w14:paraId="5E803CCC">
            <w:pPr>
              <w:pStyle w:val="40"/>
              <w:bidi w:val="0"/>
              <w:rPr>
                <w:rFonts w:hint="eastAsia"/>
              </w:rPr>
            </w:pPr>
            <w:r>
              <w:rPr>
                <w:rFonts w:hint="eastAsia"/>
              </w:rPr>
              <w:t>支持基于国家/地区维度的安全策略；</w:t>
            </w:r>
          </w:p>
        </w:tc>
      </w:tr>
      <w:tr w14:paraId="79CF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EEC88D0">
            <w:pPr>
              <w:pStyle w:val="40"/>
              <w:bidi w:val="0"/>
              <w:rPr>
                <w:rFonts w:hint="eastAsia"/>
              </w:rPr>
            </w:pPr>
            <w:r>
              <w:rPr>
                <w:rFonts w:hint="eastAsia"/>
              </w:rPr>
              <w:t>攻击防护</w:t>
            </w:r>
          </w:p>
        </w:tc>
        <w:tc>
          <w:tcPr>
            <w:tcW w:w="7336" w:type="dxa"/>
            <w:tcBorders>
              <w:left w:val="single" w:color="auto" w:sz="4" w:space="0"/>
            </w:tcBorders>
            <w:shd w:val="clear" w:color="auto" w:fill="auto"/>
            <w:vAlign w:val="center"/>
          </w:tcPr>
          <w:p w14:paraId="7FECD620">
            <w:pPr>
              <w:pStyle w:val="40"/>
              <w:bidi w:val="0"/>
              <w:rPr>
                <w:rFonts w:hint="eastAsia"/>
              </w:rPr>
            </w:pPr>
            <w:r>
              <w:rPr>
                <w:rFonts w:hint="eastAsia"/>
              </w:rPr>
              <w:t>支持ARP攻击防护，支持SYN Flood、DNS Query Flood等多种DoS/DDoS攻击防护；</w:t>
            </w:r>
          </w:p>
        </w:tc>
      </w:tr>
      <w:tr w14:paraId="595D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426FC66"/>
        </w:tc>
        <w:tc>
          <w:tcPr>
            <w:tcW w:w="7336" w:type="dxa"/>
            <w:tcBorders>
              <w:left w:val="single" w:color="auto" w:sz="4" w:space="0"/>
            </w:tcBorders>
            <w:shd w:val="clear" w:color="auto" w:fill="auto"/>
            <w:vAlign w:val="center"/>
          </w:tcPr>
          <w:p w14:paraId="39BA034D">
            <w:pPr>
              <w:pStyle w:val="40"/>
              <w:bidi w:val="0"/>
              <w:rPr>
                <w:rFonts w:hint="eastAsia"/>
              </w:rPr>
            </w:pPr>
            <w:r>
              <w:rPr>
                <w:rFonts w:hint="eastAsia"/>
              </w:rPr>
              <w:t>实配入侵防御、防病毒、URL过滤和应用识别授权以及5年特征库升级服务；</w:t>
            </w:r>
          </w:p>
        </w:tc>
      </w:tr>
      <w:tr w14:paraId="69EC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49C5C07C">
            <w:pPr>
              <w:pStyle w:val="40"/>
              <w:bidi w:val="0"/>
              <w:rPr>
                <w:rFonts w:hint="eastAsia"/>
              </w:rPr>
            </w:pPr>
            <w:r>
              <w:rPr>
                <w:rFonts w:hint="eastAsia"/>
              </w:rPr>
              <w:t>产品异构</w:t>
            </w:r>
          </w:p>
        </w:tc>
        <w:tc>
          <w:tcPr>
            <w:tcW w:w="7336" w:type="dxa"/>
            <w:tcBorders>
              <w:left w:val="single" w:color="auto" w:sz="4" w:space="0"/>
            </w:tcBorders>
            <w:shd w:val="clear" w:color="auto" w:fill="auto"/>
            <w:vAlign w:val="center"/>
          </w:tcPr>
          <w:p w14:paraId="161DF18D">
            <w:pPr>
              <w:pStyle w:val="40"/>
              <w:bidi w:val="0"/>
              <w:rPr>
                <w:rFonts w:hint="eastAsia"/>
              </w:rPr>
            </w:pPr>
            <w:r>
              <w:rPr>
                <w:rFonts w:hint="eastAsia"/>
              </w:rPr>
              <w:t>3.1和3.2需为不同生产厂商。</w:t>
            </w:r>
          </w:p>
        </w:tc>
      </w:tr>
      <w:tr w14:paraId="5E1B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5196AF1E">
            <w:pPr>
              <w:pStyle w:val="40"/>
              <w:bidi w:val="0"/>
              <w:rPr>
                <w:rFonts w:hint="eastAsia"/>
              </w:rPr>
            </w:pPr>
            <w:r>
              <w:rPr>
                <w:rFonts w:hint="eastAsia"/>
              </w:rPr>
              <w:t>地址转换能力</w:t>
            </w:r>
          </w:p>
        </w:tc>
        <w:tc>
          <w:tcPr>
            <w:tcW w:w="7336" w:type="dxa"/>
            <w:tcBorders>
              <w:left w:val="single" w:color="auto" w:sz="4" w:space="0"/>
            </w:tcBorders>
            <w:shd w:val="clear" w:color="auto" w:fill="auto"/>
            <w:vAlign w:val="center"/>
          </w:tcPr>
          <w:p w14:paraId="1FCD1C93">
            <w:pPr>
              <w:pStyle w:val="40"/>
              <w:bidi w:val="0"/>
              <w:rPr>
                <w:rFonts w:hint="eastAsia"/>
              </w:rPr>
            </w:pPr>
            <w:r>
              <w:rPr>
                <w:rFonts w:hint="eastAsia"/>
              </w:rPr>
              <w:t>具有完善的地址转换能力，可支持正向、反向地址/端口转换、双向地址转换等；</w:t>
            </w:r>
          </w:p>
        </w:tc>
      </w:tr>
      <w:tr w14:paraId="3F0A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0DF966A"/>
        </w:tc>
        <w:tc>
          <w:tcPr>
            <w:tcW w:w="7336" w:type="dxa"/>
            <w:tcBorders>
              <w:left w:val="single" w:color="auto" w:sz="4" w:space="0"/>
            </w:tcBorders>
            <w:shd w:val="clear" w:color="auto" w:fill="auto"/>
            <w:vAlign w:val="center"/>
          </w:tcPr>
          <w:p w14:paraId="15729AAF">
            <w:pPr>
              <w:pStyle w:val="40"/>
              <w:bidi w:val="0"/>
              <w:rPr>
                <w:rFonts w:hint="eastAsia"/>
              </w:rPr>
            </w:pPr>
            <w:r>
              <w:rPr>
                <w:rFonts w:hint="eastAsia"/>
              </w:rPr>
              <w:t>支持多对一、一对多和一对一等多种方式的地址转换；支持NAT地址池支持动态探测和可用地址分配；</w:t>
            </w:r>
          </w:p>
        </w:tc>
      </w:tr>
      <w:tr w14:paraId="2075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143E87F8">
            <w:pPr>
              <w:pStyle w:val="40"/>
              <w:bidi w:val="0"/>
              <w:rPr>
                <w:rFonts w:hint="eastAsia"/>
              </w:rPr>
            </w:pPr>
            <w:r>
              <w:rPr>
                <w:rFonts w:hint="eastAsia"/>
              </w:rPr>
              <w:t>抓包功能</w:t>
            </w:r>
          </w:p>
        </w:tc>
        <w:tc>
          <w:tcPr>
            <w:tcW w:w="7336" w:type="dxa"/>
            <w:tcBorders>
              <w:left w:val="single" w:color="auto" w:sz="4" w:space="0"/>
            </w:tcBorders>
            <w:shd w:val="clear" w:color="auto" w:fill="auto"/>
            <w:vAlign w:val="center"/>
          </w:tcPr>
          <w:p w14:paraId="4320BD6E">
            <w:pPr>
              <w:pStyle w:val="40"/>
              <w:bidi w:val="0"/>
              <w:rPr>
                <w:rFonts w:hint="eastAsia"/>
              </w:rPr>
            </w:pPr>
            <w:r>
              <w:rPr>
                <w:rFonts w:hint="eastAsia"/>
              </w:rPr>
              <w:t>支持在线抓包功能；</w:t>
            </w:r>
          </w:p>
        </w:tc>
      </w:tr>
      <w:tr w14:paraId="710E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A6C25E9">
            <w:pPr>
              <w:pStyle w:val="40"/>
              <w:bidi w:val="0"/>
              <w:rPr>
                <w:rFonts w:hint="eastAsia"/>
              </w:rPr>
            </w:pPr>
            <w:r>
              <w:rPr>
                <w:rFonts w:hint="eastAsia"/>
              </w:rPr>
              <w:t>配置管理</w:t>
            </w:r>
          </w:p>
        </w:tc>
        <w:tc>
          <w:tcPr>
            <w:tcW w:w="7336" w:type="dxa"/>
            <w:tcBorders>
              <w:left w:val="single" w:color="auto" w:sz="4" w:space="0"/>
            </w:tcBorders>
            <w:shd w:val="clear" w:color="auto" w:fill="auto"/>
            <w:vAlign w:val="center"/>
          </w:tcPr>
          <w:p w14:paraId="245A095D">
            <w:pPr>
              <w:pStyle w:val="40"/>
              <w:bidi w:val="0"/>
              <w:rPr>
                <w:rFonts w:hint="eastAsia"/>
              </w:rPr>
            </w:pPr>
            <w:r>
              <w:rPr>
                <w:rFonts w:hint="eastAsia"/>
              </w:rPr>
              <w:t>可以提供多种方式的管理界面，包括WEBUI、CONSOLE、SSH、TELNET等；</w:t>
            </w:r>
          </w:p>
        </w:tc>
      </w:tr>
      <w:tr w14:paraId="5911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AAB0156"/>
        </w:tc>
        <w:tc>
          <w:tcPr>
            <w:tcW w:w="7336" w:type="dxa"/>
            <w:tcBorders>
              <w:left w:val="single" w:color="auto" w:sz="4" w:space="0"/>
            </w:tcBorders>
            <w:shd w:val="clear" w:color="auto" w:fill="auto"/>
            <w:vAlign w:val="center"/>
          </w:tcPr>
          <w:p w14:paraId="200D3F1B">
            <w:pPr>
              <w:pStyle w:val="40"/>
              <w:bidi w:val="0"/>
              <w:rPr>
                <w:rFonts w:hint="eastAsia"/>
              </w:rPr>
            </w:pPr>
            <w:r>
              <w:rPr>
                <w:rFonts w:hint="eastAsia"/>
              </w:rPr>
              <w:t>支持SNMP v3 等不同版本，并与当前通用的网络管理平台兼容；</w:t>
            </w:r>
          </w:p>
        </w:tc>
      </w:tr>
      <w:tr w14:paraId="4847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5359A23"/>
        </w:tc>
        <w:tc>
          <w:tcPr>
            <w:tcW w:w="7336" w:type="dxa"/>
            <w:tcBorders>
              <w:left w:val="single" w:color="auto" w:sz="4" w:space="0"/>
            </w:tcBorders>
            <w:shd w:val="clear" w:color="auto" w:fill="auto"/>
            <w:vAlign w:val="center"/>
          </w:tcPr>
          <w:p w14:paraId="5FB53E9B">
            <w:pPr>
              <w:pStyle w:val="40"/>
              <w:bidi w:val="0"/>
              <w:rPr>
                <w:rFonts w:hint="eastAsia"/>
              </w:rPr>
            </w:pPr>
            <w:r>
              <w:rPr>
                <w:rFonts w:hint="eastAsia"/>
              </w:rPr>
              <w:t>策略的服务元素支持直接配置端口和协议，无需单独定义服务对象；</w:t>
            </w:r>
          </w:p>
        </w:tc>
      </w:tr>
      <w:tr w14:paraId="1C7B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5A225F7"/>
        </w:tc>
        <w:tc>
          <w:tcPr>
            <w:tcW w:w="7336" w:type="dxa"/>
            <w:tcBorders>
              <w:left w:val="single" w:color="auto" w:sz="4" w:space="0"/>
            </w:tcBorders>
            <w:shd w:val="clear" w:color="auto" w:fill="auto"/>
            <w:vAlign w:val="center"/>
          </w:tcPr>
          <w:p w14:paraId="4EEDFC1E">
            <w:pPr>
              <w:pStyle w:val="40"/>
              <w:bidi w:val="0"/>
              <w:rPr>
                <w:rFonts w:hint="eastAsia"/>
              </w:rPr>
            </w:pPr>
            <w:r>
              <w:rPr>
                <w:rFonts w:hint="eastAsia"/>
              </w:rPr>
              <w:t>支持周期性自动备份配置的功能，上传配置至指定服务器；</w:t>
            </w:r>
          </w:p>
        </w:tc>
      </w:tr>
      <w:tr w14:paraId="3B60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D1C7DE7"/>
        </w:tc>
        <w:tc>
          <w:tcPr>
            <w:tcW w:w="7336" w:type="dxa"/>
            <w:tcBorders>
              <w:left w:val="single" w:color="auto" w:sz="4" w:space="0"/>
            </w:tcBorders>
            <w:shd w:val="clear" w:color="auto" w:fill="auto"/>
            <w:vAlign w:val="center"/>
          </w:tcPr>
          <w:p w14:paraId="7EB50418">
            <w:pPr>
              <w:pStyle w:val="40"/>
              <w:bidi w:val="0"/>
              <w:rPr>
                <w:rFonts w:hint="eastAsia"/>
              </w:rPr>
            </w:pPr>
            <w:r>
              <w:rPr>
                <w:rFonts w:hint="eastAsia" w:ascii="宋体" w:hAnsi="方正黑体_GBK" w:eastAsia="宋体" w:cs="宋体"/>
                <w:sz w:val="21"/>
                <w:szCs w:val="18"/>
                <w:highlight w:val="none"/>
              </w:rPr>
              <w:t>在CLI模式下，支持配置回滚模式，可以对临时生效配置进行回退，且无需重启设备。</w:t>
            </w:r>
          </w:p>
        </w:tc>
      </w:tr>
      <w:tr w14:paraId="7504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453B8C6">
            <w:pPr>
              <w:pStyle w:val="40"/>
              <w:bidi w:val="0"/>
              <w:rPr>
                <w:rFonts w:hint="eastAsia"/>
              </w:rPr>
            </w:pPr>
            <w:r>
              <w:rPr>
                <w:rFonts w:hint="eastAsia"/>
              </w:rPr>
              <w:t>资质证书</w:t>
            </w:r>
          </w:p>
        </w:tc>
        <w:tc>
          <w:tcPr>
            <w:tcW w:w="7336" w:type="dxa"/>
            <w:tcBorders>
              <w:left w:val="single" w:color="auto" w:sz="4" w:space="0"/>
            </w:tcBorders>
            <w:shd w:val="clear" w:color="auto" w:fill="auto"/>
            <w:vAlign w:val="center"/>
          </w:tcPr>
          <w:p w14:paraId="5E96911D">
            <w:pPr>
              <w:spacing w:beforeAutospacing="0" w:afterAutospacing="0" w:line="240" w:lineRule="auto"/>
              <w:ind w:left="0" w:firstLine="0" w:firstLineChars="0"/>
              <w:rPr>
                <w:rFonts w:hint="eastAsia"/>
                <w:szCs w:val="18"/>
              </w:rPr>
            </w:pPr>
            <w:r>
              <w:rPr>
                <w:rFonts w:hint="eastAsia"/>
                <w:szCs w:val="18"/>
              </w:rPr>
              <w:t>具有中国网络安全审查认证和市场监管大数据中心(原中国网络安全审查技术与认证中心)颁发的《网络关键设备和网络安全专用产品安全认证证书》</w:t>
            </w:r>
          </w:p>
          <w:p w14:paraId="568D53B5">
            <w:pPr>
              <w:pStyle w:val="40"/>
              <w:bidi w:val="0"/>
              <w:rPr>
                <w:rFonts w:hint="eastAsia"/>
              </w:rPr>
            </w:pPr>
            <w:r>
              <w:rPr>
                <w:rFonts w:hint="eastAsia"/>
              </w:rPr>
              <w:t>。（提供证书复印件并加盖设备制造商公章）。</w:t>
            </w:r>
          </w:p>
        </w:tc>
      </w:tr>
      <w:tr w14:paraId="6FB2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48A70A20">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2D5AB46C">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09F9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86" w:type="dxa"/>
            <w:shd w:val="clear" w:color="auto" w:fill="auto"/>
            <w:vAlign w:val="center"/>
          </w:tcPr>
          <w:p w14:paraId="1ED44907">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70DE58EC">
            <w:pPr>
              <w:pStyle w:val="40"/>
              <w:bidi w:val="0"/>
              <w:rPr>
                <w:rFonts w:hint="eastAsia"/>
              </w:rPr>
            </w:pPr>
            <w:r>
              <w:rPr>
                <w:rFonts w:hint="eastAsia"/>
              </w:rPr>
              <w:t>8台</w:t>
            </w:r>
          </w:p>
        </w:tc>
      </w:tr>
      <w:tr w14:paraId="0FEF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522" w:type="dxa"/>
            <w:gridSpan w:val="2"/>
            <w:tcBorders>
              <w:bottom w:val="single" w:color="auto" w:sz="4" w:space="0"/>
            </w:tcBorders>
            <w:shd w:val="clear" w:color="auto" w:fill="auto"/>
            <w:noWrap/>
            <w:vAlign w:val="center"/>
          </w:tcPr>
          <w:p w14:paraId="3A2DBF26">
            <w:pPr>
              <w:pStyle w:val="41"/>
              <w:bidi w:val="0"/>
              <w:rPr>
                <w:rFonts w:hint="eastAsia"/>
              </w:rPr>
            </w:pPr>
            <w:r>
              <w:rPr>
                <w:rFonts w:hint="eastAsia"/>
              </w:rPr>
              <w:t>3.3 防火墙3</w:t>
            </w:r>
          </w:p>
        </w:tc>
      </w:tr>
      <w:tr w14:paraId="299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2E7B3F7E">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4F57EFB6">
            <w:pPr>
              <w:pStyle w:val="41"/>
              <w:bidi w:val="0"/>
              <w:rPr>
                <w:rFonts w:hint="eastAsia"/>
              </w:rPr>
            </w:pPr>
            <w:r>
              <w:rPr>
                <w:rFonts w:hint="eastAsia"/>
              </w:rPr>
              <w:t>参数要求</w:t>
            </w:r>
          </w:p>
        </w:tc>
      </w:tr>
      <w:tr w14:paraId="41C2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28B1048E">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482765C5">
            <w:pPr>
              <w:pStyle w:val="40"/>
              <w:bidi w:val="0"/>
              <w:rPr>
                <w:rFonts w:hint="eastAsia"/>
              </w:rPr>
            </w:pPr>
            <w:r>
              <w:rPr>
                <w:rFonts w:hint="eastAsia"/>
              </w:rPr>
              <w:t>非OEM设备，采用国产CPU、国产转发芯片；设备采用国产操作系统；需详细说明芯片厂商、规格型号，提供国家权威机构出具的检测报告复印件及加盖制造商公章；设备采用国产操作系统；需详细说明操作系统版本号。</w:t>
            </w:r>
          </w:p>
        </w:tc>
      </w:tr>
      <w:tr w14:paraId="0175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168A5232">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3AB2FF00">
            <w:pPr>
              <w:pStyle w:val="40"/>
              <w:bidi w:val="0"/>
              <w:rPr>
                <w:rFonts w:hint="eastAsia"/>
              </w:rPr>
            </w:pPr>
            <w:r>
              <w:rPr>
                <w:rFonts w:hint="eastAsia"/>
              </w:rPr>
              <w:t>设备高度≤1U。</w:t>
            </w:r>
          </w:p>
        </w:tc>
      </w:tr>
      <w:tr w14:paraId="721D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353804DC"/>
        </w:tc>
        <w:tc>
          <w:tcPr>
            <w:tcW w:w="7336" w:type="dxa"/>
            <w:tcBorders>
              <w:left w:val="single" w:color="auto" w:sz="4" w:space="0"/>
            </w:tcBorders>
            <w:shd w:val="clear" w:color="auto" w:fill="auto"/>
            <w:vAlign w:val="center"/>
          </w:tcPr>
          <w:p w14:paraId="30D6B1A3">
            <w:pPr>
              <w:pStyle w:val="40"/>
              <w:bidi w:val="0"/>
              <w:rPr>
                <w:rFonts w:hint="eastAsia"/>
              </w:rPr>
            </w:pPr>
            <w:r>
              <w:rPr>
                <w:rFonts w:hint="eastAsia"/>
              </w:rPr>
              <w:t>40G光口≥4，万兆光口≥10，COMBO口≥8；配置4个 LC万兆多模光模块，配置4个 40G LC多模光模块。</w:t>
            </w:r>
          </w:p>
        </w:tc>
      </w:tr>
      <w:tr w14:paraId="7EB3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3489444"/>
        </w:tc>
        <w:tc>
          <w:tcPr>
            <w:tcW w:w="7336" w:type="dxa"/>
            <w:tcBorders>
              <w:left w:val="single" w:color="auto" w:sz="4" w:space="0"/>
            </w:tcBorders>
            <w:shd w:val="clear" w:color="auto" w:fill="auto"/>
            <w:vAlign w:val="center"/>
          </w:tcPr>
          <w:p w14:paraId="794A5677">
            <w:pPr>
              <w:pStyle w:val="40"/>
              <w:bidi w:val="0"/>
              <w:rPr>
                <w:rFonts w:hint="eastAsia"/>
              </w:rPr>
            </w:pPr>
            <w:r>
              <w:rPr>
                <w:rFonts w:hint="eastAsia"/>
              </w:rPr>
              <w:t>实配冗余电源，在一路供电中断情况下不影响设备和业务的稳定运行，单台配置不少于240G硬盘。</w:t>
            </w:r>
          </w:p>
        </w:tc>
      </w:tr>
      <w:tr w14:paraId="697F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B094D5C"/>
        </w:tc>
        <w:tc>
          <w:tcPr>
            <w:tcW w:w="7336" w:type="dxa"/>
            <w:tcBorders>
              <w:left w:val="single" w:color="auto" w:sz="4" w:space="0"/>
            </w:tcBorders>
            <w:shd w:val="clear" w:color="auto" w:fill="auto"/>
            <w:vAlign w:val="center"/>
          </w:tcPr>
          <w:p w14:paraId="44FA3307">
            <w:pPr>
              <w:pStyle w:val="40"/>
              <w:bidi w:val="0"/>
              <w:rPr>
                <w:rFonts w:hint="eastAsia"/>
              </w:rPr>
            </w:pPr>
            <w:r>
              <w:rPr>
                <w:rFonts w:hint="eastAsia"/>
              </w:rPr>
              <w:t>支持严格前后风道,配置4个风扇，形成3+1冗余备份。</w:t>
            </w:r>
          </w:p>
        </w:tc>
      </w:tr>
      <w:tr w14:paraId="1F78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01728172">
            <w:pPr>
              <w:pStyle w:val="40"/>
              <w:bidi w:val="0"/>
              <w:rPr>
                <w:rFonts w:hint="eastAsia"/>
              </w:rPr>
            </w:pPr>
            <w:r>
              <w:rPr>
                <w:rFonts w:hint="eastAsia"/>
              </w:rPr>
              <w:t>性能要求</w:t>
            </w:r>
          </w:p>
        </w:tc>
        <w:tc>
          <w:tcPr>
            <w:tcW w:w="7336" w:type="dxa"/>
            <w:tcBorders>
              <w:left w:val="single" w:color="auto" w:sz="4" w:space="0"/>
            </w:tcBorders>
            <w:shd w:val="clear" w:color="auto" w:fill="auto"/>
            <w:vAlign w:val="center"/>
          </w:tcPr>
          <w:p w14:paraId="68CDDD02">
            <w:pPr>
              <w:pStyle w:val="40"/>
              <w:bidi w:val="0"/>
              <w:rPr>
                <w:rFonts w:hint="eastAsia"/>
              </w:rPr>
            </w:pPr>
            <w:r>
              <w:rPr>
                <w:rFonts w:hint="eastAsia"/>
              </w:rPr>
              <w:t>吞吐量≥50Gbps，最大并发连接数≥2000万，每秒新建连接数≥50万，IPS吞吐量≥25Gbps，IPSec VPN吞吐量≥30Gbps。</w:t>
            </w:r>
          </w:p>
        </w:tc>
      </w:tr>
      <w:tr w14:paraId="3E3E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29A49C97">
            <w:pPr>
              <w:pStyle w:val="40"/>
              <w:bidi w:val="0"/>
              <w:rPr>
                <w:rFonts w:hint="eastAsia"/>
              </w:rPr>
            </w:pPr>
            <w:r>
              <w:rPr>
                <w:rFonts w:hint="eastAsia"/>
              </w:rPr>
              <w:t>可靠性</w:t>
            </w:r>
          </w:p>
        </w:tc>
        <w:tc>
          <w:tcPr>
            <w:tcW w:w="7336" w:type="dxa"/>
            <w:tcBorders>
              <w:left w:val="single" w:color="auto" w:sz="4" w:space="0"/>
            </w:tcBorders>
            <w:shd w:val="clear" w:color="auto" w:fill="auto"/>
            <w:vAlign w:val="center"/>
          </w:tcPr>
          <w:p w14:paraId="0A0284E9">
            <w:pPr>
              <w:pStyle w:val="40"/>
              <w:bidi w:val="0"/>
              <w:rPr>
                <w:rFonts w:hint="eastAsia"/>
              </w:rPr>
            </w:pPr>
            <w:r>
              <w:rPr>
                <w:rFonts w:hint="eastAsia"/>
              </w:rPr>
              <w:t>双机主备模式故障切换时间&lt;1秒。</w:t>
            </w:r>
          </w:p>
        </w:tc>
      </w:tr>
      <w:tr w14:paraId="7C85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4D644AC8">
            <w:pPr>
              <w:pStyle w:val="40"/>
              <w:bidi w:val="0"/>
              <w:rPr>
                <w:rFonts w:hint="eastAsia"/>
              </w:rPr>
            </w:pPr>
            <w:r>
              <w:rPr>
                <w:rFonts w:hint="eastAsia"/>
              </w:rPr>
              <w:t>策略路由</w:t>
            </w:r>
          </w:p>
        </w:tc>
        <w:tc>
          <w:tcPr>
            <w:tcW w:w="7336" w:type="dxa"/>
            <w:tcBorders>
              <w:left w:val="single" w:color="auto" w:sz="4" w:space="0"/>
            </w:tcBorders>
            <w:shd w:val="clear" w:color="auto" w:fill="auto"/>
            <w:vAlign w:val="center"/>
          </w:tcPr>
          <w:p w14:paraId="2995FCB9">
            <w:pPr>
              <w:pStyle w:val="40"/>
              <w:bidi w:val="0"/>
              <w:rPr>
                <w:rFonts w:hint="eastAsia"/>
              </w:rPr>
            </w:pPr>
            <w:r>
              <w:rPr>
                <w:rFonts w:hint="eastAsia"/>
              </w:rPr>
              <w:t>支持IPv6协议栈、IPV6穿越技术、IPV6路由协议，支持IPv6 over IPv4 隧道，6RD隧道。</w:t>
            </w:r>
          </w:p>
        </w:tc>
      </w:tr>
      <w:tr w14:paraId="38EA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EB44597"/>
        </w:tc>
        <w:tc>
          <w:tcPr>
            <w:tcW w:w="7336" w:type="dxa"/>
            <w:tcBorders>
              <w:left w:val="single" w:color="auto" w:sz="4" w:space="0"/>
            </w:tcBorders>
            <w:shd w:val="clear" w:color="auto" w:fill="auto"/>
            <w:vAlign w:val="center"/>
          </w:tcPr>
          <w:p w14:paraId="0AC23157">
            <w:pPr>
              <w:pStyle w:val="40"/>
              <w:bidi w:val="0"/>
              <w:rPr>
                <w:rFonts w:hint="eastAsia"/>
              </w:rPr>
            </w:pPr>
            <w:r>
              <w:rPr>
                <w:rFonts w:hint="eastAsia"/>
              </w:rPr>
              <w:t>支持静态路由、策略路由、RIP、OSPF、BGP、ISIS等路由协议。</w:t>
            </w:r>
          </w:p>
        </w:tc>
      </w:tr>
      <w:tr w14:paraId="19C0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70128722">
            <w:pPr>
              <w:pStyle w:val="40"/>
              <w:bidi w:val="0"/>
              <w:rPr>
                <w:rFonts w:hint="eastAsia"/>
              </w:rPr>
            </w:pPr>
            <w:r>
              <w:rPr>
                <w:rFonts w:hint="eastAsia"/>
              </w:rPr>
              <w:t>防护功能</w:t>
            </w:r>
          </w:p>
        </w:tc>
        <w:tc>
          <w:tcPr>
            <w:tcW w:w="7336" w:type="dxa"/>
            <w:tcBorders>
              <w:left w:val="single" w:color="auto" w:sz="4" w:space="0"/>
            </w:tcBorders>
            <w:shd w:val="clear" w:color="auto" w:fill="auto"/>
            <w:vAlign w:val="center"/>
          </w:tcPr>
          <w:p w14:paraId="25ADC6AA">
            <w:pPr>
              <w:pStyle w:val="40"/>
              <w:bidi w:val="0"/>
              <w:rPr>
                <w:rFonts w:hint="eastAsia"/>
              </w:rPr>
            </w:pPr>
            <w:r>
              <w:rPr>
                <w:rFonts w:hint="eastAsia"/>
              </w:rPr>
              <w:t>支持最大90层的病毒压缩文件检测，提供以上功能的第三方测试报告证明。</w:t>
            </w:r>
          </w:p>
        </w:tc>
      </w:tr>
      <w:tr w14:paraId="0A61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1CF87A4B">
            <w:pPr>
              <w:pStyle w:val="40"/>
              <w:bidi w:val="0"/>
              <w:rPr>
                <w:rFonts w:hint="eastAsia"/>
              </w:rPr>
            </w:pPr>
            <w:r>
              <w:rPr>
                <w:rFonts w:hint="eastAsia"/>
              </w:rPr>
              <w:t>访问控制</w:t>
            </w:r>
          </w:p>
        </w:tc>
        <w:tc>
          <w:tcPr>
            <w:tcW w:w="7336" w:type="dxa"/>
            <w:tcBorders>
              <w:left w:val="single" w:color="auto" w:sz="4" w:space="0"/>
            </w:tcBorders>
            <w:shd w:val="clear" w:color="auto" w:fill="auto"/>
            <w:vAlign w:val="center"/>
          </w:tcPr>
          <w:p w14:paraId="55F27E40">
            <w:pPr>
              <w:pStyle w:val="40"/>
              <w:bidi w:val="0"/>
              <w:rPr>
                <w:rFonts w:hint="eastAsia"/>
              </w:rPr>
            </w:pPr>
            <w:r>
              <w:rPr>
                <w:rFonts w:hint="eastAsia"/>
              </w:rPr>
              <w:t>支持基于源IP/目的IP，服务类型，应用类型，安全域，时间段等字段进行安全策略规则的配置。</w:t>
            </w:r>
          </w:p>
        </w:tc>
      </w:tr>
      <w:tr w14:paraId="51B6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052F4630">
            <w:pPr>
              <w:pStyle w:val="40"/>
              <w:bidi w:val="0"/>
              <w:rPr>
                <w:rFonts w:hint="eastAsia"/>
              </w:rPr>
            </w:pPr>
            <w:r>
              <w:rPr>
                <w:rFonts w:hint="eastAsia"/>
              </w:rPr>
              <w:t>攻击防护</w:t>
            </w:r>
          </w:p>
        </w:tc>
        <w:tc>
          <w:tcPr>
            <w:tcW w:w="7336" w:type="dxa"/>
            <w:tcBorders>
              <w:left w:val="single" w:color="auto" w:sz="4" w:space="0"/>
            </w:tcBorders>
            <w:shd w:val="clear" w:color="auto" w:fill="auto"/>
            <w:vAlign w:val="center"/>
          </w:tcPr>
          <w:p w14:paraId="3964CCA1">
            <w:pPr>
              <w:pStyle w:val="40"/>
              <w:bidi w:val="0"/>
              <w:rPr>
                <w:rFonts w:hint="eastAsia"/>
              </w:rPr>
            </w:pPr>
            <w:r>
              <w:rPr>
                <w:rFonts w:hint="eastAsia"/>
              </w:rPr>
              <w:t>可以支持HTTP、FTP、SMTP、POP3、IMAP、NFS等协议的病毒防护。</w:t>
            </w:r>
          </w:p>
        </w:tc>
      </w:tr>
      <w:tr w14:paraId="7E14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017C2F4B"/>
        </w:tc>
        <w:tc>
          <w:tcPr>
            <w:tcW w:w="7336" w:type="dxa"/>
            <w:tcBorders>
              <w:left w:val="single" w:color="auto" w:sz="4" w:space="0"/>
            </w:tcBorders>
            <w:shd w:val="clear" w:color="auto" w:fill="auto"/>
            <w:vAlign w:val="center"/>
          </w:tcPr>
          <w:p w14:paraId="370E839E">
            <w:pPr>
              <w:pStyle w:val="40"/>
              <w:bidi w:val="0"/>
              <w:rPr>
                <w:rFonts w:hint="eastAsia"/>
              </w:rPr>
            </w:pPr>
            <w:r>
              <w:rPr>
                <w:rFonts w:hint="eastAsia"/>
              </w:rPr>
              <w:t>实配入侵防御、防病毒、URL授权以及5年特征库升级服务。</w:t>
            </w:r>
          </w:p>
        </w:tc>
      </w:tr>
      <w:tr w14:paraId="796E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CA0E65D">
            <w:pPr>
              <w:pStyle w:val="40"/>
              <w:bidi w:val="0"/>
              <w:rPr>
                <w:rFonts w:hint="eastAsia"/>
              </w:rPr>
            </w:pPr>
            <w:r>
              <w:rPr>
                <w:rFonts w:hint="eastAsia"/>
              </w:rPr>
              <w:t>地址转换能力</w:t>
            </w:r>
          </w:p>
        </w:tc>
        <w:tc>
          <w:tcPr>
            <w:tcW w:w="7336" w:type="dxa"/>
            <w:tcBorders>
              <w:left w:val="single" w:color="auto" w:sz="4" w:space="0"/>
            </w:tcBorders>
            <w:shd w:val="clear" w:color="auto" w:fill="auto"/>
            <w:vAlign w:val="center"/>
          </w:tcPr>
          <w:p w14:paraId="0BEDCB80">
            <w:pPr>
              <w:pStyle w:val="40"/>
              <w:bidi w:val="0"/>
              <w:rPr>
                <w:rFonts w:hint="eastAsia"/>
              </w:rPr>
            </w:pPr>
            <w:r>
              <w:rPr>
                <w:rFonts w:hint="eastAsia"/>
              </w:rPr>
              <w:t>支持全面NAT功能，对多种应用层协议支持ALG功能，包括DNS、FTP、H323、MSN、Netbios、PPTP、RSH、RTSP、SIP、SQLnet等。</w:t>
            </w:r>
          </w:p>
        </w:tc>
      </w:tr>
      <w:tr w14:paraId="5D03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DAFF213"/>
        </w:tc>
        <w:tc>
          <w:tcPr>
            <w:tcW w:w="7336" w:type="dxa"/>
            <w:tcBorders>
              <w:left w:val="single" w:color="auto" w:sz="4" w:space="0"/>
            </w:tcBorders>
            <w:shd w:val="clear" w:color="auto" w:fill="auto"/>
            <w:vAlign w:val="center"/>
          </w:tcPr>
          <w:p w14:paraId="31D994DA">
            <w:pPr>
              <w:pStyle w:val="40"/>
              <w:bidi w:val="0"/>
              <w:rPr>
                <w:rFonts w:hint="eastAsia"/>
              </w:rPr>
            </w:pPr>
            <w:r>
              <w:rPr>
                <w:rFonts w:hint="eastAsia"/>
              </w:rPr>
              <w:t>支持SCTP协议识别，支持 SCTP NAT功能。</w:t>
            </w:r>
          </w:p>
        </w:tc>
      </w:tr>
      <w:tr w14:paraId="77C4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2466D811">
            <w:pPr>
              <w:pStyle w:val="40"/>
              <w:bidi w:val="0"/>
              <w:rPr>
                <w:rFonts w:hint="eastAsia"/>
              </w:rPr>
            </w:pPr>
            <w:r>
              <w:rPr>
                <w:rFonts w:hint="eastAsia"/>
              </w:rPr>
              <w:t>集中管理及易用性</w:t>
            </w:r>
          </w:p>
        </w:tc>
        <w:tc>
          <w:tcPr>
            <w:tcW w:w="7336" w:type="dxa"/>
            <w:tcBorders>
              <w:left w:val="single" w:color="auto" w:sz="4" w:space="0"/>
            </w:tcBorders>
            <w:shd w:val="clear" w:color="auto" w:fill="auto"/>
            <w:vAlign w:val="center"/>
          </w:tcPr>
          <w:p w14:paraId="0E930BD0">
            <w:pPr>
              <w:pStyle w:val="40"/>
              <w:bidi w:val="0"/>
              <w:rPr>
                <w:rFonts w:hint="eastAsia"/>
              </w:rPr>
            </w:pPr>
            <w:r>
              <w:rPr>
                <w:rFonts w:hint="eastAsia"/>
              </w:rPr>
              <w:t>支持双机热备逃生功能，所有心跳口都不可用时，设备从可用的业务口向对端设备发送HELLO报文，通过业务接口建立双机状态，维持双机状态不切换。</w:t>
            </w:r>
          </w:p>
        </w:tc>
      </w:tr>
      <w:tr w14:paraId="6A02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88C3D1A">
            <w:pPr>
              <w:pStyle w:val="40"/>
              <w:bidi w:val="0"/>
              <w:rPr>
                <w:rFonts w:hint="eastAsia"/>
              </w:rPr>
            </w:pPr>
            <w:r>
              <w:rPr>
                <w:rFonts w:hint="eastAsia"/>
              </w:rPr>
              <w:t>配置管理</w:t>
            </w:r>
          </w:p>
        </w:tc>
        <w:tc>
          <w:tcPr>
            <w:tcW w:w="7336" w:type="dxa"/>
            <w:tcBorders>
              <w:left w:val="single" w:color="auto" w:sz="4" w:space="0"/>
            </w:tcBorders>
            <w:shd w:val="clear" w:color="auto" w:fill="auto"/>
            <w:vAlign w:val="center"/>
          </w:tcPr>
          <w:p w14:paraId="3BA70A17">
            <w:pPr>
              <w:pStyle w:val="40"/>
              <w:bidi w:val="0"/>
              <w:rPr>
                <w:rFonts w:hint="eastAsia"/>
              </w:rPr>
            </w:pPr>
            <w:r>
              <w:rPr>
                <w:rFonts w:hint="eastAsia"/>
              </w:rPr>
              <w:t>可以提供多种方式的管理界面，包括WEB、CONSOLE、TELNET等。</w:t>
            </w:r>
          </w:p>
        </w:tc>
      </w:tr>
      <w:tr w14:paraId="21F0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F104B3B"/>
        </w:tc>
        <w:tc>
          <w:tcPr>
            <w:tcW w:w="7336" w:type="dxa"/>
            <w:tcBorders>
              <w:left w:val="single" w:color="auto" w:sz="4" w:space="0"/>
            </w:tcBorders>
            <w:shd w:val="clear" w:color="auto" w:fill="auto"/>
            <w:vAlign w:val="center"/>
          </w:tcPr>
          <w:p w14:paraId="67E282CD">
            <w:pPr>
              <w:pStyle w:val="40"/>
              <w:bidi w:val="0"/>
              <w:rPr>
                <w:rFonts w:hint="eastAsia"/>
              </w:rPr>
            </w:pPr>
            <w:r>
              <w:rPr>
                <w:rFonts w:hint="eastAsia"/>
              </w:rPr>
              <w:t>支持周期性自动备份配置的功能，上传配置至指定服务器。</w:t>
            </w:r>
          </w:p>
        </w:tc>
      </w:tr>
      <w:tr w14:paraId="6B34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4B67F3F7">
            <w:pPr>
              <w:pStyle w:val="40"/>
              <w:bidi w:val="0"/>
              <w:rPr>
                <w:rFonts w:hint="eastAsia"/>
              </w:rPr>
            </w:pPr>
            <w:r>
              <w:rPr>
                <w:rFonts w:hint="eastAsia"/>
              </w:rPr>
              <w:t>资质证书</w:t>
            </w:r>
          </w:p>
        </w:tc>
        <w:tc>
          <w:tcPr>
            <w:tcW w:w="7336" w:type="dxa"/>
            <w:tcBorders>
              <w:left w:val="single" w:color="auto" w:sz="4" w:space="0"/>
            </w:tcBorders>
            <w:shd w:val="clear" w:color="auto" w:fill="auto"/>
            <w:vAlign w:val="center"/>
          </w:tcPr>
          <w:p w14:paraId="7C555DD0">
            <w:pPr>
              <w:spacing w:beforeAutospacing="0" w:afterAutospacing="0" w:line="240" w:lineRule="auto"/>
              <w:ind w:left="0" w:firstLine="0" w:firstLineChars="0"/>
              <w:rPr>
                <w:rFonts w:hint="eastAsia"/>
                <w:szCs w:val="18"/>
              </w:rPr>
            </w:pPr>
            <w:r>
              <w:rPr>
                <w:rFonts w:hint="eastAsia"/>
                <w:szCs w:val="18"/>
              </w:rPr>
              <w:t>具有中国网络安全审查认证和市场监管大数据中心(原中国网络安全审查技术与认证中心)颁发的《网络关键设备和网络安全专用产品安全认证证书》</w:t>
            </w:r>
          </w:p>
          <w:p w14:paraId="2B87776B">
            <w:pPr>
              <w:pStyle w:val="40"/>
              <w:bidi w:val="0"/>
              <w:rPr>
                <w:rFonts w:hint="eastAsia"/>
              </w:rPr>
            </w:pPr>
            <w:r>
              <w:rPr>
                <w:rFonts w:hint="eastAsia"/>
              </w:rPr>
              <w:t>。（提供证书复印件并加盖设备制造商公章）。</w:t>
            </w:r>
          </w:p>
        </w:tc>
      </w:tr>
      <w:tr w14:paraId="563E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4E05D26B">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4BB68FAC">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4C06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2180E438">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2409CA03">
            <w:pPr>
              <w:pStyle w:val="40"/>
              <w:bidi w:val="0"/>
              <w:rPr>
                <w:rFonts w:hint="eastAsia"/>
              </w:rPr>
            </w:pPr>
            <w:r>
              <w:rPr>
                <w:rFonts w:hint="eastAsia"/>
              </w:rPr>
              <w:t>4</w:t>
            </w:r>
          </w:p>
        </w:tc>
      </w:tr>
      <w:tr w14:paraId="5933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522" w:type="dxa"/>
            <w:gridSpan w:val="2"/>
            <w:tcBorders>
              <w:bottom w:val="single" w:color="auto" w:sz="4" w:space="0"/>
            </w:tcBorders>
            <w:shd w:val="clear" w:color="auto" w:fill="auto"/>
            <w:noWrap/>
            <w:vAlign w:val="center"/>
          </w:tcPr>
          <w:p w14:paraId="153F5E60">
            <w:pPr>
              <w:pStyle w:val="41"/>
              <w:bidi w:val="0"/>
              <w:rPr>
                <w:rFonts w:hint="eastAsia"/>
              </w:rPr>
            </w:pPr>
            <w:r>
              <w:rPr>
                <w:rFonts w:hint="eastAsia"/>
              </w:rPr>
              <w:t>3.4 防火墙4</w:t>
            </w:r>
          </w:p>
        </w:tc>
      </w:tr>
      <w:tr w14:paraId="6E9B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729614F1">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7A1FFA92">
            <w:pPr>
              <w:pStyle w:val="41"/>
              <w:bidi w:val="0"/>
              <w:rPr>
                <w:rFonts w:hint="eastAsia"/>
              </w:rPr>
            </w:pPr>
            <w:r>
              <w:rPr>
                <w:rFonts w:hint="eastAsia"/>
              </w:rPr>
              <w:t>参数要求</w:t>
            </w:r>
          </w:p>
        </w:tc>
      </w:tr>
      <w:tr w14:paraId="3B19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64950595">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59530E57">
            <w:pPr>
              <w:pStyle w:val="40"/>
              <w:bidi w:val="0"/>
              <w:rPr>
                <w:rFonts w:hint="eastAsia"/>
              </w:rPr>
            </w:pPr>
            <w:r>
              <w:rPr>
                <w:rFonts w:hint="eastAsia"/>
              </w:rPr>
              <w:t>非OEM设备，采用国产CPU、国产转发芯片；设备采用国产操作系统；需详细说明芯片厂商、规格型号，提供国家权威机构出具的检测报告复印件及加盖制造商公章；设备采用国产操作系统；需详细说明操作系统版本号。</w:t>
            </w:r>
          </w:p>
        </w:tc>
      </w:tr>
      <w:tr w14:paraId="3668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8955EC7">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58513AC1">
            <w:pPr>
              <w:pStyle w:val="40"/>
              <w:bidi w:val="0"/>
              <w:rPr>
                <w:rFonts w:hint="eastAsia"/>
              </w:rPr>
            </w:pPr>
            <w:r>
              <w:rPr>
                <w:rFonts w:hint="eastAsia"/>
              </w:rPr>
              <w:t>设备高度≤1U；</w:t>
            </w:r>
          </w:p>
        </w:tc>
      </w:tr>
      <w:tr w14:paraId="3650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A4AC1B3"/>
        </w:tc>
        <w:tc>
          <w:tcPr>
            <w:tcW w:w="7336" w:type="dxa"/>
            <w:tcBorders>
              <w:left w:val="single" w:color="auto" w:sz="4" w:space="0"/>
            </w:tcBorders>
            <w:shd w:val="clear" w:color="auto" w:fill="auto"/>
            <w:vAlign w:val="center"/>
          </w:tcPr>
          <w:p w14:paraId="54A366EF">
            <w:pPr>
              <w:pStyle w:val="40"/>
              <w:bidi w:val="0"/>
              <w:rPr>
                <w:rFonts w:hint="eastAsia"/>
              </w:rPr>
            </w:pPr>
            <w:r>
              <w:rPr>
                <w:rFonts w:hint="eastAsia"/>
              </w:rPr>
              <w:t>千兆Combo接口≥8，千兆电口≥4，千兆光口≥4，万兆光口≥6；配置6个 LC万兆多模光模块。</w:t>
            </w:r>
          </w:p>
        </w:tc>
      </w:tr>
      <w:tr w14:paraId="0CD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3E113E17"/>
        </w:tc>
        <w:tc>
          <w:tcPr>
            <w:tcW w:w="7336" w:type="dxa"/>
            <w:tcBorders>
              <w:left w:val="single" w:color="auto" w:sz="4" w:space="0"/>
            </w:tcBorders>
            <w:shd w:val="clear" w:color="auto" w:fill="auto"/>
            <w:vAlign w:val="center"/>
          </w:tcPr>
          <w:p w14:paraId="1A4CA643">
            <w:pPr>
              <w:pStyle w:val="40"/>
              <w:bidi w:val="0"/>
              <w:rPr>
                <w:rFonts w:hint="eastAsia"/>
              </w:rPr>
            </w:pPr>
            <w:r>
              <w:rPr>
                <w:rFonts w:hint="eastAsia"/>
              </w:rPr>
              <w:t>实配冗余电源，在一路供电中断情况下不影响设备和业务的稳定运行，单台配置不少于240G硬盘。</w:t>
            </w:r>
          </w:p>
        </w:tc>
      </w:tr>
      <w:tr w14:paraId="6DA5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15166C72"/>
        </w:tc>
        <w:tc>
          <w:tcPr>
            <w:tcW w:w="7336" w:type="dxa"/>
            <w:tcBorders>
              <w:left w:val="single" w:color="auto" w:sz="4" w:space="0"/>
            </w:tcBorders>
            <w:shd w:val="clear" w:color="auto" w:fill="auto"/>
            <w:vAlign w:val="center"/>
          </w:tcPr>
          <w:p w14:paraId="7E2D31D0">
            <w:pPr>
              <w:pStyle w:val="40"/>
              <w:bidi w:val="0"/>
              <w:rPr>
                <w:rFonts w:hint="eastAsia"/>
              </w:rPr>
            </w:pPr>
            <w:r>
              <w:rPr>
                <w:rFonts w:hint="eastAsia"/>
              </w:rPr>
              <w:t>支持严格前后风道,配置4个风扇，形成3+1冗余备份。</w:t>
            </w:r>
          </w:p>
        </w:tc>
      </w:tr>
      <w:tr w14:paraId="1F68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6990936E">
            <w:pPr>
              <w:pStyle w:val="40"/>
              <w:bidi w:val="0"/>
              <w:rPr>
                <w:rFonts w:hint="eastAsia"/>
              </w:rPr>
            </w:pPr>
            <w:r>
              <w:rPr>
                <w:rFonts w:hint="eastAsia"/>
              </w:rPr>
              <w:t>性能要求</w:t>
            </w:r>
          </w:p>
        </w:tc>
        <w:tc>
          <w:tcPr>
            <w:tcW w:w="7336" w:type="dxa"/>
            <w:tcBorders>
              <w:left w:val="single" w:color="auto" w:sz="4" w:space="0"/>
            </w:tcBorders>
            <w:shd w:val="clear" w:color="auto" w:fill="auto"/>
            <w:vAlign w:val="center"/>
          </w:tcPr>
          <w:p w14:paraId="17A8FCC6">
            <w:pPr>
              <w:pStyle w:val="40"/>
              <w:bidi w:val="0"/>
              <w:rPr>
                <w:rFonts w:hint="eastAsia"/>
              </w:rPr>
            </w:pPr>
            <w:r>
              <w:rPr>
                <w:rFonts w:hint="eastAsia"/>
              </w:rPr>
              <w:t>吞吐量≥25Gbps，最大并发连接数≥1000万，每秒新建连接数≥25万，IPS吞吐量≥10Gbps，IPSec VPN吞吐量≥25Gbps。</w:t>
            </w:r>
          </w:p>
        </w:tc>
      </w:tr>
      <w:tr w14:paraId="2CF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04ABA05E">
            <w:pPr>
              <w:pStyle w:val="40"/>
              <w:bidi w:val="0"/>
              <w:rPr>
                <w:rFonts w:hint="eastAsia"/>
              </w:rPr>
            </w:pPr>
            <w:r>
              <w:rPr>
                <w:rFonts w:hint="eastAsia"/>
              </w:rPr>
              <w:t>可靠性</w:t>
            </w:r>
          </w:p>
        </w:tc>
        <w:tc>
          <w:tcPr>
            <w:tcW w:w="7336" w:type="dxa"/>
            <w:tcBorders>
              <w:left w:val="single" w:color="auto" w:sz="4" w:space="0"/>
            </w:tcBorders>
            <w:shd w:val="clear" w:color="auto" w:fill="auto"/>
            <w:vAlign w:val="center"/>
          </w:tcPr>
          <w:p w14:paraId="0F54C31E">
            <w:pPr>
              <w:pStyle w:val="40"/>
              <w:bidi w:val="0"/>
              <w:rPr>
                <w:rFonts w:hint="eastAsia"/>
              </w:rPr>
            </w:pPr>
            <w:r>
              <w:rPr>
                <w:rFonts w:hint="eastAsia"/>
              </w:rPr>
              <w:t>双机主备模式故障切换时间&lt;1秒。</w:t>
            </w:r>
          </w:p>
        </w:tc>
      </w:tr>
      <w:tr w14:paraId="2A6B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570CF88">
            <w:pPr>
              <w:pStyle w:val="40"/>
              <w:bidi w:val="0"/>
              <w:rPr>
                <w:rFonts w:hint="eastAsia"/>
              </w:rPr>
            </w:pPr>
            <w:r>
              <w:rPr>
                <w:rFonts w:hint="eastAsia"/>
              </w:rPr>
              <w:t>策略路由</w:t>
            </w:r>
          </w:p>
        </w:tc>
        <w:tc>
          <w:tcPr>
            <w:tcW w:w="7336" w:type="dxa"/>
            <w:tcBorders>
              <w:left w:val="single" w:color="auto" w:sz="4" w:space="0"/>
            </w:tcBorders>
            <w:shd w:val="clear" w:color="auto" w:fill="auto"/>
            <w:vAlign w:val="center"/>
          </w:tcPr>
          <w:p w14:paraId="33BD03B8">
            <w:pPr>
              <w:pStyle w:val="40"/>
              <w:bidi w:val="0"/>
              <w:rPr>
                <w:rFonts w:hint="eastAsia"/>
              </w:rPr>
            </w:pPr>
            <w:r>
              <w:rPr>
                <w:rFonts w:hint="eastAsia"/>
              </w:rPr>
              <w:t>支持IPv6协议栈、IPV6穿越技术、IPV6路由协议，支持IPv6 over IPv4隧道，6RD隧道。</w:t>
            </w:r>
          </w:p>
        </w:tc>
      </w:tr>
      <w:tr w14:paraId="07F8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21688C5"/>
        </w:tc>
        <w:tc>
          <w:tcPr>
            <w:tcW w:w="7336" w:type="dxa"/>
            <w:tcBorders>
              <w:left w:val="single" w:color="auto" w:sz="4" w:space="0"/>
            </w:tcBorders>
            <w:shd w:val="clear" w:color="auto" w:fill="auto"/>
            <w:vAlign w:val="center"/>
          </w:tcPr>
          <w:p w14:paraId="2E0CC485">
            <w:pPr>
              <w:pStyle w:val="40"/>
              <w:bidi w:val="0"/>
              <w:rPr>
                <w:rFonts w:hint="eastAsia"/>
              </w:rPr>
            </w:pPr>
            <w:r>
              <w:rPr>
                <w:rFonts w:hint="eastAsia"/>
              </w:rPr>
              <w:t>支持静态路由、策略路由、RIP、OSPF、BGP、ISIS等路由协议。</w:t>
            </w:r>
          </w:p>
        </w:tc>
      </w:tr>
      <w:tr w14:paraId="5FD8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4936B15B">
            <w:pPr>
              <w:pStyle w:val="40"/>
              <w:bidi w:val="0"/>
              <w:rPr>
                <w:rFonts w:hint="eastAsia"/>
              </w:rPr>
            </w:pPr>
            <w:r>
              <w:rPr>
                <w:rFonts w:hint="eastAsia"/>
              </w:rPr>
              <w:t>防护功能</w:t>
            </w:r>
          </w:p>
        </w:tc>
        <w:tc>
          <w:tcPr>
            <w:tcW w:w="7336" w:type="dxa"/>
            <w:tcBorders>
              <w:left w:val="single" w:color="auto" w:sz="4" w:space="0"/>
            </w:tcBorders>
            <w:shd w:val="clear" w:color="auto" w:fill="auto"/>
            <w:vAlign w:val="center"/>
          </w:tcPr>
          <w:p w14:paraId="382C45EF">
            <w:pPr>
              <w:pStyle w:val="40"/>
              <w:bidi w:val="0"/>
              <w:rPr>
                <w:rFonts w:hint="eastAsia"/>
              </w:rPr>
            </w:pPr>
            <w:r>
              <w:rPr>
                <w:rFonts w:hint="eastAsia"/>
              </w:rPr>
              <w:t>支持亿级病毒库。</w:t>
            </w:r>
          </w:p>
        </w:tc>
      </w:tr>
      <w:tr w14:paraId="75EC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1851711E">
            <w:pPr>
              <w:pStyle w:val="40"/>
              <w:bidi w:val="0"/>
              <w:rPr>
                <w:rFonts w:hint="eastAsia"/>
              </w:rPr>
            </w:pPr>
            <w:r>
              <w:rPr>
                <w:rFonts w:hint="eastAsia"/>
              </w:rPr>
              <w:t>访问控制</w:t>
            </w:r>
          </w:p>
        </w:tc>
        <w:tc>
          <w:tcPr>
            <w:tcW w:w="7336" w:type="dxa"/>
            <w:tcBorders>
              <w:left w:val="single" w:color="auto" w:sz="4" w:space="0"/>
            </w:tcBorders>
            <w:shd w:val="clear" w:color="auto" w:fill="auto"/>
            <w:vAlign w:val="center"/>
          </w:tcPr>
          <w:p w14:paraId="5E30D0EE">
            <w:pPr>
              <w:pStyle w:val="40"/>
              <w:bidi w:val="0"/>
              <w:rPr>
                <w:rFonts w:hint="eastAsia"/>
              </w:rPr>
            </w:pPr>
            <w:r>
              <w:rPr>
                <w:rFonts w:hint="eastAsia"/>
              </w:rPr>
              <w:t>支持基于源IP/目的IP，服务类型，应用类型，安全域，时间段等字段进行安全策略规则的配置。</w:t>
            </w:r>
          </w:p>
        </w:tc>
      </w:tr>
      <w:tr w14:paraId="7F75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22F19BB">
            <w:pPr>
              <w:pStyle w:val="40"/>
              <w:bidi w:val="0"/>
              <w:rPr>
                <w:rFonts w:hint="eastAsia"/>
              </w:rPr>
            </w:pPr>
            <w:r>
              <w:rPr>
                <w:rFonts w:hint="eastAsia"/>
              </w:rPr>
              <w:t>攻击防护</w:t>
            </w:r>
          </w:p>
        </w:tc>
        <w:tc>
          <w:tcPr>
            <w:tcW w:w="7336" w:type="dxa"/>
            <w:tcBorders>
              <w:left w:val="single" w:color="auto" w:sz="4" w:space="0"/>
            </w:tcBorders>
            <w:shd w:val="clear" w:color="auto" w:fill="auto"/>
            <w:vAlign w:val="center"/>
          </w:tcPr>
          <w:p w14:paraId="33FE4FC4">
            <w:pPr>
              <w:pStyle w:val="40"/>
              <w:bidi w:val="0"/>
              <w:rPr>
                <w:rFonts w:hint="eastAsia"/>
              </w:rPr>
            </w:pPr>
            <w:r>
              <w:rPr>
                <w:rFonts w:hint="eastAsia"/>
              </w:rPr>
              <w:t>可以支持HTTP、FTP、SMTP、POP3、IMAP、NFS等协议的病毒防护。</w:t>
            </w:r>
          </w:p>
        </w:tc>
      </w:tr>
      <w:tr w14:paraId="3735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2755C156"/>
        </w:tc>
        <w:tc>
          <w:tcPr>
            <w:tcW w:w="7336" w:type="dxa"/>
            <w:tcBorders>
              <w:left w:val="single" w:color="auto" w:sz="4" w:space="0"/>
            </w:tcBorders>
            <w:shd w:val="clear" w:color="auto" w:fill="auto"/>
            <w:vAlign w:val="center"/>
          </w:tcPr>
          <w:p w14:paraId="464982B2">
            <w:pPr>
              <w:pStyle w:val="40"/>
              <w:bidi w:val="0"/>
              <w:rPr>
                <w:rFonts w:hint="eastAsia"/>
              </w:rPr>
            </w:pPr>
            <w:r>
              <w:rPr>
                <w:rFonts w:hint="eastAsia"/>
              </w:rPr>
              <w:t>实配入侵防御、防病毒、URL授权以及5年特征库升级服务。</w:t>
            </w:r>
          </w:p>
        </w:tc>
      </w:tr>
      <w:tr w14:paraId="5F5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41BE97ED">
            <w:pPr>
              <w:pStyle w:val="40"/>
              <w:bidi w:val="0"/>
              <w:rPr>
                <w:rFonts w:hint="eastAsia"/>
              </w:rPr>
            </w:pPr>
            <w:r>
              <w:rPr>
                <w:rFonts w:hint="eastAsia"/>
              </w:rPr>
              <w:t>地址转换能力</w:t>
            </w:r>
          </w:p>
        </w:tc>
        <w:tc>
          <w:tcPr>
            <w:tcW w:w="7336" w:type="dxa"/>
            <w:tcBorders>
              <w:left w:val="single" w:color="auto" w:sz="4" w:space="0"/>
            </w:tcBorders>
            <w:shd w:val="clear" w:color="auto" w:fill="auto"/>
            <w:vAlign w:val="center"/>
          </w:tcPr>
          <w:p w14:paraId="3060681A">
            <w:pPr>
              <w:pStyle w:val="40"/>
              <w:bidi w:val="0"/>
              <w:rPr>
                <w:rFonts w:hint="eastAsia"/>
              </w:rPr>
            </w:pPr>
            <w:r>
              <w:rPr>
                <w:rFonts w:hint="eastAsia"/>
              </w:rPr>
              <w:t>支持全面NAT功能，对多种应用层协议支持ALG功能，包括DNS、FTP、H323、MSN、Netbios、PPTP、RSH、RTSP、SIP、SQLnet等。</w:t>
            </w:r>
          </w:p>
        </w:tc>
      </w:tr>
      <w:tr w14:paraId="67D3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DCE2A80"/>
        </w:tc>
        <w:tc>
          <w:tcPr>
            <w:tcW w:w="7336" w:type="dxa"/>
            <w:tcBorders>
              <w:left w:val="single" w:color="auto" w:sz="4" w:space="0"/>
            </w:tcBorders>
            <w:shd w:val="clear" w:color="auto" w:fill="auto"/>
            <w:vAlign w:val="center"/>
          </w:tcPr>
          <w:p w14:paraId="05785D4A">
            <w:pPr>
              <w:pStyle w:val="40"/>
              <w:bidi w:val="0"/>
              <w:rPr>
                <w:rFonts w:hint="eastAsia"/>
              </w:rPr>
            </w:pPr>
            <w:r>
              <w:rPr>
                <w:rFonts w:hint="eastAsia"/>
              </w:rPr>
              <w:t>支持SCTP协议识别，支持SCTP NAT功能。</w:t>
            </w:r>
          </w:p>
        </w:tc>
      </w:tr>
      <w:tr w14:paraId="6D46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7BBF5C5E">
            <w:pPr>
              <w:pStyle w:val="40"/>
              <w:bidi w:val="0"/>
              <w:rPr>
                <w:rFonts w:hint="eastAsia"/>
              </w:rPr>
            </w:pPr>
            <w:r>
              <w:rPr>
                <w:rFonts w:hint="eastAsia"/>
              </w:rPr>
              <w:t>集中管理及易用性</w:t>
            </w:r>
          </w:p>
        </w:tc>
        <w:tc>
          <w:tcPr>
            <w:tcW w:w="7336" w:type="dxa"/>
            <w:tcBorders>
              <w:left w:val="single" w:color="auto" w:sz="4" w:space="0"/>
            </w:tcBorders>
            <w:shd w:val="clear" w:color="auto" w:fill="auto"/>
            <w:vAlign w:val="center"/>
          </w:tcPr>
          <w:p w14:paraId="0121CA3D">
            <w:pPr>
              <w:pStyle w:val="40"/>
              <w:bidi w:val="0"/>
              <w:rPr>
                <w:rFonts w:hint="eastAsia"/>
              </w:rPr>
            </w:pPr>
            <w:r>
              <w:rPr>
                <w:rFonts w:hint="eastAsia"/>
              </w:rPr>
              <w:t>支持双机热备逃生功能，所有心跳口都不可用时，设备从可用的业务口向对端设备发送HELLO报文，通过业务接口建立双机状态，维持双机状态不切换。</w:t>
            </w:r>
          </w:p>
        </w:tc>
      </w:tr>
      <w:tr w14:paraId="3F1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9C5A54C">
            <w:pPr>
              <w:pStyle w:val="40"/>
              <w:bidi w:val="0"/>
              <w:rPr>
                <w:rFonts w:hint="eastAsia"/>
              </w:rPr>
            </w:pPr>
            <w:r>
              <w:rPr>
                <w:rFonts w:hint="eastAsia"/>
              </w:rPr>
              <w:t>配置管理</w:t>
            </w:r>
          </w:p>
        </w:tc>
        <w:tc>
          <w:tcPr>
            <w:tcW w:w="7336" w:type="dxa"/>
            <w:tcBorders>
              <w:left w:val="single" w:color="auto" w:sz="4" w:space="0"/>
            </w:tcBorders>
            <w:shd w:val="clear" w:color="auto" w:fill="auto"/>
            <w:vAlign w:val="center"/>
          </w:tcPr>
          <w:p w14:paraId="22E7F036">
            <w:pPr>
              <w:pStyle w:val="40"/>
              <w:bidi w:val="0"/>
              <w:rPr>
                <w:rFonts w:hint="eastAsia"/>
              </w:rPr>
            </w:pPr>
            <w:r>
              <w:rPr>
                <w:rFonts w:hint="eastAsia"/>
              </w:rPr>
              <w:t>可以提供多种方式的管理界面，包括WEB、CONSOLE、TELNET等。</w:t>
            </w:r>
          </w:p>
        </w:tc>
      </w:tr>
      <w:tr w14:paraId="1FC1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7F7A8286"/>
        </w:tc>
        <w:tc>
          <w:tcPr>
            <w:tcW w:w="7336" w:type="dxa"/>
            <w:tcBorders>
              <w:left w:val="single" w:color="auto" w:sz="4" w:space="0"/>
            </w:tcBorders>
            <w:shd w:val="clear" w:color="auto" w:fill="auto"/>
            <w:vAlign w:val="center"/>
          </w:tcPr>
          <w:p w14:paraId="115ED76F">
            <w:pPr>
              <w:pStyle w:val="40"/>
              <w:bidi w:val="0"/>
              <w:rPr>
                <w:rFonts w:hint="eastAsia"/>
              </w:rPr>
            </w:pPr>
            <w:r>
              <w:rPr>
                <w:rFonts w:hint="eastAsia"/>
              </w:rPr>
              <w:t>支持周期性自动备份配置的功能，上传配置至指定服务器。</w:t>
            </w:r>
          </w:p>
        </w:tc>
      </w:tr>
      <w:tr w14:paraId="40F0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4BA8A0A">
            <w:pPr>
              <w:pStyle w:val="40"/>
              <w:bidi w:val="0"/>
              <w:rPr>
                <w:rFonts w:hint="eastAsia"/>
              </w:rPr>
            </w:pPr>
            <w:r>
              <w:rPr>
                <w:rFonts w:hint="eastAsia"/>
              </w:rPr>
              <w:t>资质证书</w:t>
            </w:r>
          </w:p>
        </w:tc>
        <w:tc>
          <w:tcPr>
            <w:tcW w:w="7336" w:type="dxa"/>
            <w:tcBorders>
              <w:left w:val="single" w:color="auto" w:sz="4" w:space="0"/>
            </w:tcBorders>
            <w:shd w:val="clear" w:color="auto" w:fill="auto"/>
            <w:vAlign w:val="center"/>
          </w:tcPr>
          <w:p w14:paraId="02113125">
            <w:pPr>
              <w:spacing w:beforeAutospacing="0" w:afterAutospacing="0" w:line="240" w:lineRule="auto"/>
              <w:ind w:left="0" w:firstLine="0" w:firstLineChars="0"/>
              <w:rPr>
                <w:rFonts w:hint="eastAsia"/>
                <w:szCs w:val="18"/>
              </w:rPr>
            </w:pPr>
            <w:r>
              <w:rPr>
                <w:rFonts w:hint="eastAsia"/>
                <w:szCs w:val="18"/>
              </w:rPr>
              <w:t>具有中国网络安全审查认证和市场监管大数据中心(原中国网络安全审查技术与认证中心)颁发的《网络关键设备和网络安全专用产品安全认证证书》</w:t>
            </w:r>
          </w:p>
          <w:p w14:paraId="538983D5">
            <w:pPr>
              <w:pStyle w:val="40"/>
              <w:bidi w:val="0"/>
              <w:rPr>
                <w:rFonts w:hint="eastAsia"/>
              </w:rPr>
            </w:pPr>
            <w:r>
              <w:rPr>
                <w:rFonts w:hint="eastAsia"/>
              </w:rPr>
              <w:t>。（提供证书复印件并加盖设备制造商公章）。</w:t>
            </w:r>
          </w:p>
        </w:tc>
      </w:tr>
      <w:tr w14:paraId="4DFB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597EA016">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09A580AC">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0AA9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7EB9A2E9">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496547CA">
            <w:pPr>
              <w:pStyle w:val="40"/>
              <w:bidi w:val="0"/>
              <w:rPr>
                <w:rFonts w:hint="eastAsia"/>
              </w:rPr>
            </w:pPr>
            <w:r>
              <w:rPr>
                <w:rFonts w:hint="eastAsia"/>
              </w:rPr>
              <w:t>2</w:t>
            </w:r>
          </w:p>
        </w:tc>
      </w:tr>
      <w:tr w14:paraId="176C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2" w:type="dxa"/>
            <w:gridSpan w:val="2"/>
            <w:tcBorders>
              <w:bottom w:val="single" w:color="auto" w:sz="4" w:space="0"/>
            </w:tcBorders>
            <w:shd w:val="clear" w:color="auto" w:fill="auto"/>
            <w:noWrap/>
            <w:vAlign w:val="center"/>
          </w:tcPr>
          <w:p w14:paraId="13848B68">
            <w:pPr>
              <w:pStyle w:val="41"/>
              <w:bidi w:val="0"/>
              <w:rPr>
                <w:rFonts w:hint="eastAsia"/>
              </w:rPr>
            </w:pPr>
            <w:r>
              <w:rPr>
                <w:rFonts w:hint="eastAsia"/>
              </w:rPr>
              <w:t>3.5   IDS</w:t>
            </w:r>
          </w:p>
        </w:tc>
      </w:tr>
      <w:tr w14:paraId="03CF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5883C0C6">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47BD81E3">
            <w:pPr>
              <w:pStyle w:val="41"/>
              <w:bidi w:val="0"/>
              <w:rPr>
                <w:rFonts w:hint="eastAsia"/>
              </w:rPr>
            </w:pPr>
            <w:r>
              <w:rPr>
                <w:rFonts w:hint="eastAsia"/>
              </w:rPr>
              <w:t>参数要求</w:t>
            </w:r>
          </w:p>
        </w:tc>
      </w:tr>
      <w:tr w14:paraId="66B7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5877DD11">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7749EF3E">
            <w:pPr>
              <w:pStyle w:val="40"/>
              <w:bidi w:val="0"/>
              <w:rPr>
                <w:rFonts w:hint="eastAsia"/>
              </w:rPr>
            </w:pPr>
            <w:r>
              <w:rPr>
                <w:rFonts w:hint="eastAsia"/>
              </w:rPr>
              <w:t>非OEM设备，采用国产CPU芯片；需详细说明芯片厂商、规格型号，提供国家权威机构出具的检测报告复印件及加盖制造商公章；设备采用国产操作系统；需详细说明操作系统版本号。</w:t>
            </w:r>
          </w:p>
        </w:tc>
      </w:tr>
      <w:tr w14:paraId="0BC9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6228260">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3E2520ED">
            <w:pPr>
              <w:pStyle w:val="40"/>
              <w:bidi w:val="0"/>
              <w:rPr>
                <w:rFonts w:hint="eastAsia"/>
              </w:rPr>
            </w:pPr>
            <w:r>
              <w:rPr>
                <w:rFonts w:hint="eastAsia"/>
              </w:rPr>
              <w:t>2U机架式设备，采用国产化CPU、国产化操作系统,配置≥6个千兆电口，≥4个千兆光口（满配光模块），≥4个万兆光口（满配光模块），≥1个扩展插槽，冗余电源，内存≥32G，硬盘≥4T，整机吞吐≥40Gbps，最大并发连接≥500万，IDS检测吞吐≥10Gbps，配置5年硬件维保及5年攻击检测规则库升级许可。</w:t>
            </w:r>
          </w:p>
        </w:tc>
      </w:tr>
      <w:tr w14:paraId="6F6B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275A36BC">
            <w:pPr>
              <w:pStyle w:val="40"/>
              <w:bidi w:val="0"/>
              <w:rPr>
                <w:rFonts w:hint="eastAsia"/>
              </w:rPr>
            </w:pPr>
            <w:r>
              <w:rPr>
                <w:rFonts w:hint="eastAsia"/>
              </w:rPr>
              <w:t>综合分析</w:t>
            </w:r>
          </w:p>
        </w:tc>
        <w:tc>
          <w:tcPr>
            <w:tcW w:w="7336" w:type="dxa"/>
            <w:tcBorders>
              <w:left w:val="single" w:color="auto" w:sz="4" w:space="0"/>
            </w:tcBorders>
            <w:shd w:val="clear" w:color="auto" w:fill="auto"/>
            <w:vAlign w:val="center"/>
          </w:tcPr>
          <w:p w14:paraId="02D42CA9">
            <w:pPr>
              <w:pStyle w:val="40"/>
              <w:bidi w:val="0"/>
              <w:rPr>
                <w:rFonts w:hint="eastAsia"/>
              </w:rPr>
            </w:pPr>
            <w:r>
              <w:rPr>
                <w:rFonts w:hint="eastAsia"/>
              </w:rPr>
              <w:t>支持威胁视角和运维视角分析，威胁视角按照受害者、攻击者、威胁事件、攻击类型、攻击主机、受害主机、应用类型等维度进行综合分析，支持数据下钻查看威胁详情。运维视角分析能够帮助运维人员了解设备运行状态。</w:t>
            </w:r>
          </w:p>
        </w:tc>
      </w:tr>
      <w:tr w14:paraId="1190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13533C50">
            <w:pPr>
              <w:pStyle w:val="40"/>
              <w:bidi w:val="0"/>
              <w:rPr>
                <w:rFonts w:hint="eastAsia"/>
              </w:rPr>
            </w:pPr>
            <w:r>
              <w:rPr>
                <w:rFonts w:hint="eastAsia"/>
              </w:rPr>
              <w:t>视角分析</w:t>
            </w:r>
          </w:p>
        </w:tc>
        <w:tc>
          <w:tcPr>
            <w:tcW w:w="7336" w:type="dxa"/>
            <w:tcBorders>
              <w:left w:val="single" w:color="auto" w:sz="4" w:space="0"/>
            </w:tcBorders>
            <w:shd w:val="clear" w:color="auto" w:fill="auto"/>
            <w:vAlign w:val="center"/>
          </w:tcPr>
          <w:p w14:paraId="4A6C3E70">
            <w:pPr>
              <w:pStyle w:val="40"/>
              <w:bidi w:val="0"/>
              <w:rPr>
                <w:rFonts w:hint="eastAsia"/>
              </w:rPr>
            </w:pPr>
            <w:r>
              <w:rPr>
                <w:rFonts w:hint="eastAsia"/>
              </w:rPr>
              <w:t>支持受害者视角分析，按照时间范围、受害主机、事件类型、处置状态、攻击结果、应用协议等条件综合分析受害者信息。（提供产品功能性截图并加盖制造商公章）</w:t>
            </w:r>
          </w:p>
        </w:tc>
      </w:tr>
      <w:tr w14:paraId="5FB1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2AF72B6">
            <w:pPr>
              <w:pStyle w:val="40"/>
              <w:bidi w:val="0"/>
              <w:rPr>
                <w:rFonts w:hint="eastAsia"/>
              </w:rPr>
            </w:pPr>
            <w:r>
              <w:rPr>
                <w:rFonts w:hint="eastAsia"/>
              </w:rPr>
              <w:t>攻击检测</w:t>
            </w:r>
          </w:p>
        </w:tc>
        <w:tc>
          <w:tcPr>
            <w:tcW w:w="7336" w:type="dxa"/>
            <w:tcBorders>
              <w:left w:val="single" w:color="auto" w:sz="4" w:space="0"/>
            </w:tcBorders>
            <w:shd w:val="clear" w:color="auto" w:fill="auto"/>
            <w:vAlign w:val="center"/>
          </w:tcPr>
          <w:p w14:paraId="380BD798">
            <w:pPr>
              <w:pStyle w:val="40"/>
              <w:bidi w:val="0"/>
              <w:rPr>
                <w:rFonts w:hint="eastAsia"/>
              </w:rPr>
            </w:pPr>
            <w:r>
              <w:rPr>
                <w:rFonts w:hint="eastAsia"/>
              </w:rPr>
              <w:t>支持能够检测包括：扫描探测、暴力猜解、拒绝服务攻击、后门控制、溢出攻击、代码执行、非授权访问、注入攻击、URL跳转、跨站攻击、WebShell、浏览器劫持、文件漏洞攻击、工控漏洞攻击、车联网漏洞攻击、物联网漏洞攻击、其他类攻击等在内的17大类超过10000种以上网络攻击事件。</w:t>
            </w:r>
          </w:p>
        </w:tc>
      </w:tr>
      <w:tr w14:paraId="55E1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2AF0A59"/>
        </w:tc>
        <w:tc>
          <w:tcPr>
            <w:tcW w:w="7336" w:type="dxa"/>
            <w:tcBorders>
              <w:left w:val="single" w:color="auto" w:sz="4" w:space="0"/>
            </w:tcBorders>
            <w:shd w:val="clear" w:color="auto" w:fill="auto"/>
            <w:vAlign w:val="center"/>
          </w:tcPr>
          <w:p w14:paraId="6EE0169C">
            <w:pPr>
              <w:pStyle w:val="40"/>
              <w:bidi w:val="0"/>
              <w:rPr>
                <w:rFonts w:hint="eastAsia"/>
              </w:rPr>
            </w:pPr>
            <w:r>
              <w:rPr>
                <w:rFonts w:hint="eastAsia"/>
              </w:rPr>
              <w:t>支持对攻击逃逸报文进行深度智能检测，包括：IP分片、TCP分段、RPC分片分段、SMB分片分段、HTTP-Header折叠、HTTP-Body UTF-7编码、HTTP-Body UTF-16（LE/BE）编码、HTTP-Body UTF-32（LE/BE）编码、HTTP-Body压缩、HTTP-Post数据编码、邮件体编码、URL多重编码、URL斜线分隔符、URI相对目录欺骗、HTTP-Javascript编码、邮件头折叠等类型</w:t>
            </w:r>
          </w:p>
        </w:tc>
      </w:tr>
      <w:tr w14:paraId="698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59696852">
            <w:pPr>
              <w:pStyle w:val="40"/>
              <w:bidi w:val="0"/>
              <w:rPr>
                <w:rFonts w:hint="eastAsia"/>
              </w:rPr>
            </w:pPr>
            <w:r>
              <w:rPr>
                <w:rFonts w:hint="eastAsia"/>
              </w:rPr>
              <w:t>账号安全检测</w:t>
            </w:r>
          </w:p>
        </w:tc>
        <w:tc>
          <w:tcPr>
            <w:tcW w:w="7336" w:type="dxa"/>
            <w:tcBorders>
              <w:left w:val="single" w:color="auto" w:sz="4" w:space="0"/>
            </w:tcBorders>
            <w:shd w:val="clear" w:color="auto" w:fill="auto"/>
            <w:vAlign w:val="center"/>
          </w:tcPr>
          <w:p w14:paraId="77CF6916">
            <w:pPr>
              <w:pStyle w:val="40"/>
              <w:bidi w:val="0"/>
              <w:rPr>
                <w:rFonts w:hint="eastAsia"/>
              </w:rPr>
            </w:pPr>
            <w:r>
              <w:rPr>
                <w:rFonts w:hint="eastAsia"/>
              </w:rPr>
              <w:t>支持暴力破解检测，包括：邮件（SMTP、IMAP、POP3）、文件（FTP、SMB）、远程访问（TELNET、RDP、SSH）、数据库（LDAP、SQLServer、DB2、REDIS、POSTGRESQL、ORACLE、MYSQL、MONGODB）、WEB应用（HTTP）等17种协议类型进行暴力破解检测。</w:t>
            </w:r>
          </w:p>
        </w:tc>
      </w:tr>
      <w:tr w14:paraId="30C3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7F058A5C">
            <w:pPr>
              <w:pStyle w:val="40"/>
              <w:bidi w:val="0"/>
              <w:rPr>
                <w:rFonts w:hint="eastAsia"/>
              </w:rPr>
            </w:pPr>
            <w:r>
              <w:rPr>
                <w:rFonts w:hint="eastAsia"/>
              </w:rPr>
              <w:t>异常流量检测</w:t>
            </w:r>
          </w:p>
        </w:tc>
        <w:tc>
          <w:tcPr>
            <w:tcW w:w="7336" w:type="dxa"/>
            <w:tcBorders>
              <w:left w:val="single" w:color="auto" w:sz="4" w:space="0"/>
            </w:tcBorders>
            <w:shd w:val="clear" w:color="auto" w:fill="auto"/>
            <w:vAlign w:val="center"/>
          </w:tcPr>
          <w:p w14:paraId="486C4F8F">
            <w:pPr>
              <w:pStyle w:val="40"/>
              <w:bidi w:val="0"/>
              <w:rPr>
                <w:rFonts w:hint="eastAsia"/>
              </w:rPr>
            </w:pPr>
            <w:r>
              <w:rPr>
                <w:rFonts w:hint="eastAsia"/>
              </w:rPr>
              <w:t>支持DGA恶意域名检测，采用DGA恶意域名检测智慧引擎检测。（提供产品功能性截图并加盖制造商公章）</w:t>
            </w:r>
          </w:p>
        </w:tc>
      </w:tr>
      <w:tr w14:paraId="6EBE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40F1AE2D">
            <w:pPr>
              <w:pStyle w:val="40"/>
              <w:bidi w:val="0"/>
              <w:rPr>
                <w:rFonts w:hint="eastAsia"/>
              </w:rPr>
            </w:pPr>
            <w:r>
              <w:rPr>
                <w:rFonts w:hint="eastAsia"/>
              </w:rPr>
              <w:t>DDoS检测</w:t>
            </w:r>
          </w:p>
        </w:tc>
        <w:tc>
          <w:tcPr>
            <w:tcW w:w="7336" w:type="dxa"/>
            <w:tcBorders>
              <w:left w:val="single" w:color="auto" w:sz="4" w:space="0"/>
            </w:tcBorders>
            <w:shd w:val="clear" w:color="auto" w:fill="auto"/>
            <w:vAlign w:val="center"/>
          </w:tcPr>
          <w:p w14:paraId="6A0CEE7E">
            <w:pPr>
              <w:pStyle w:val="40"/>
              <w:bidi w:val="0"/>
              <w:rPr>
                <w:rFonts w:hint="eastAsia"/>
              </w:rPr>
            </w:pPr>
            <w:r>
              <w:rPr>
                <w:rFonts w:hint="eastAsia"/>
              </w:rPr>
              <w:t>支持独立的DDoS检测引擎，支持对IP扫描攻击、端口扫描攻击等多种扫描攻击行为检测；支持IP FLOOD 攻击检测、IP FRAG FLOOD 攻击检测、DOS 攻击检测、ICMP FLOOD 攻击检测、TCP FLOOD 攻击检测、SYN FLOOD 攻击检测、ACK FLOOD 攻击检测、SYNACK FLOOD 攻击检测、FIN FLOOD 攻击检测、RST FLOOD 攻击检测、TCP FRAG FLOOD 攻击检测、UDP FLOOD 攻击检测、UDP FRAG FLOOD 攻击检测、DNS REQUEST FLOOD 攻击检测、DNS REPLY FLOOD 攻击检测、DNS 格式检查、HTTP FLOOD 攻击检测、HTTP新建连接 FLOOD攻击检测、HTTP并发连接 FLOOD攻击检测、HTTP URI CC攻击检测、HTTP 自定义端口、HTTPS FLOOD 攻击检测、HTTPS新建连接 FLOOD攻击检测、HTTPS并发连接 FLOOD攻击检测、HTTPS 自定义端口等多种FLOOD攻击检测。</w:t>
            </w:r>
          </w:p>
        </w:tc>
      </w:tr>
      <w:tr w14:paraId="11E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78085504">
            <w:pPr>
              <w:pStyle w:val="40"/>
              <w:bidi w:val="0"/>
              <w:rPr>
                <w:rFonts w:hint="eastAsia"/>
              </w:rPr>
            </w:pPr>
            <w:r>
              <w:rPr>
                <w:rFonts w:hint="eastAsia"/>
              </w:rPr>
              <w:t>WEB防护</w:t>
            </w:r>
          </w:p>
        </w:tc>
        <w:tc>
          <w:tcPr>
            <w:tcW w:w="7336" w:type="dxa"/>
            <w:tcBorders>
              <w:left w:val="single" w:color="auto" w:sz="4" w:space="0"/>
            </w:tcBorders>
            <w:shd w:val="clear" w:color="auto" w:fill="auto"/>
            <w:vAlign w:val="center"/>
          </w:tcPr>
          <w:p w14:paraId="401C072A">
            <w:pPr>
              <w:pStyle w:val="40"/>
              <w:bidi w:val="0"/>
              <w:rPr>
                <w:rFonts w:hint="eastAsia"/>
              </w:rPr>
            </w:pPr>
            <w:r>
              <w:rPr>
                <w:rFonts w:hint="eastAsia"/>
              </w:rPr>
              <w:t>支持注入和WEBSHELL攻击检测，包括：SQL语法分析引擎检测、SQL注入智慧引擎检测、XSS攻击智慧引擎检测、命令注入智慧引擎检测、WEBSHELL上传智慧引擎检测、WEBSHELL行为检测。</w:t>
            </w:r>
          </w:p>
        </w:tc>
      </w:tr>
      <w:tr w14:paraId="516A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03E6C269">
            <w:pPr>
              <w:pStyle w:val="40"/>
              <w:bidi w:val="0"/>
              <w:rPr>
                <w:rFonts w:hint="eastAsia"/>
              </w:rPr>
            </w:pPr>
            <w:r>
              <w:rPr>
                <w:rFonts w:hint="eastAsia"/>
              </w:rPr>
              <w:t>加密流量检测</w:t>
            </w:r>
          </w:p>
        </w:tc>
        <w:tc>
          <w:tcPr>
            <w:tcW w:w="7336" w:type="dxa"/>
            <w:tcBorders>
              <w:left w:val="single" w:color="auto" w:sz="4" w:space="0"/>
            </w:tcBorders>
            <w:shd w:val="clear" w:color="auto" w:fill="auto"/>
            <w:vAlign w:val="center"/>
          </w:tcPr>
          <w:p w14:paraId="1B608526">
            <w:pPr>
              <w:pStyle w:val="40"/>
              <w:bidi w:val="0"/>
              <w:rPr>
                <w:rFonts w:hint="eastAsia"/>
              </w:rPr>
            </w:pPr>
            <w:r>
              <w:rPr>
                <w:rFonts w:hint="eastAsia"/>
              </w:rPr>
              <w:t>支持恶意加密流量检测，采用恶意TLS流量智慧引擎、异常握手、非法证书和内网流量检测恶意加密流量。</w:t>
            </w:r>
          </w:p>
        </w:tc>
      </w:tr>
      <w:tr w14:paraId="1A5B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5706713C">
            <w:pPr>
              <w:pStyle w:val="40"/>
              <w:bidi w:val="0"/>
              <w:rPr>
                <w:rFonts w:hint="eastAsia"/>
              </w:rPr>
            </w:pPr>
            <w:r>
              <w:rPr>
                <w:rFonts w:hint="eastAsia"/>
              </w:rPr>
              <w:t>黑白名单</w:t>
            </w:r>
          </w:p>
        </w:tc>
        <w:tc>
          <w:tcPr>
            <w:tcW w:w="7336" w:type="dxa"/>
            <w:tcBorders>
              <w:left w:val="single" w:color="auto" w:sz="4" w:space="0"/>
            </w:tcBorders>
            <w:shd w:val="clear" w:color="auto" w:fill="auto"/>
            <w:vAlign w:val="center"/>
          </w:tcPr>
          <w:p w14:paraId="121C31A2">
            <w:pPr>
              <w:pStyle w:val="40"/>
              <w:bidi w:val="0"/>
              <w:rPr>
                <w:rFonts w:hint="eastAsia"/>
              </w:rPr>
            </w:pPr>
            <w:r>
              <w:rPr>
                <w:rFonts w:hint="eastAsia"/>
              </w:rPr>
              <w:t>支持黑白名单处置，包括：会话黑名单、会话动态黑名单、会话白名单、事件白名单，并支持自定义检测。</w:t>
            </w:r>
          </w:p>
        </w:tc>
      </w:tr>
      <w:tr w14:paraId="4D8B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6D390416">
            <w:pPr>
              <w:pStyle w:val="40"/>
              <w:bidi w:val="0"/>
              <w:rPr>
                <w:rFonts w:hint="eastAsia"/>
              </w:rPr>
            </w:pPr>
            <w:r>
              <w:rPr>
                <w:rFonts w:hint="eastAsia"/>
              </w:rPr>
              <w:t>自定义检测</w:t>
            </w:r>
          </w:p>
        </w:tc>
        <w:tc>
          <w:tcPr>
            <w:tcW w:w="7336" w:type="dxa"/>
            <w:tcBorders>
              <w:left w:val="single" w:color="auto" w:sz="4" w:space="0"/>
            </w:tcBorders>
            <w:shd w:val="clear" w:color="auto" w:fill="auto"/>
            <w:vAlign w:val="center"/>
          </w:tcPr>
          <w:p w14:paraId="65682919">
            <w:pPr>
              <w:pStyle w:val="40"/>
              <w:bidi w:val="0"/>
              <w:rPr>
                <w:rFonts w:hint="eastAsia"/>
              </w:rPr>
            </w:pPr>
            <w:r>
              <w:rPr>
                <w:rFonts w:hint="eastAsia"/>
              </w:rPr>
              <w:t>支持自定义规则，能够按照协议/应用（IP、ICMP、TCP、UDP、HTTP、SMTP、POP3、TELNET、FTP、DNS、SNMP、SIP、TLS）、源地址、源端口、目的地址、目的端口、版本、首部、负载长度进行规则配置，并支持配置时间范围、频次、追踪源（源地址、目的地址）等信息。</w:t>
            </w:r>
          </w:p>
        </w:tc>
      </w:tr>
      <w:tr w14:paraId="00D1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1A885186">
            <w:pPr>
              <w:pStyle w:val="40"/>
              <w:bidi w:val="0"/>
              <w:rPr>
                <w:rFonts w:hint="eastAsia"/>
              </w:rPr>
            </w:pPr>
            <w:r>
              <w:rPr>
                <w:rFonts w:hint="eastAsia"/>
              </w:rPr>
              <w:t>日志管理</w:t>
            </w:r>
          </w:p>
        </w:tc>
        <w:tc>
          <w:tcPr>
            <w:tcW w:w="7336" w:type="dxa"/>
            <w:tcBorders>
              <w:left w:val="single" w:color="auto" w:sz="4" w:space="0"/>
            </w:tcBorders>
            <w:shd w:val="clear" w:color="auto" w:fill="auto"/>
            <w:vAlign w:val="center"/>
          </w:tcPr>
          <w:p w14:paraId="4EE1A459">
            <w:pPr>
              <w:pStyle w:val="40"/>
              <w:bidi w:val="0"/>
              <w:rPr>
                <w:rFonts w:hint="eastAsia"/>
              </w:rPr>
            </w:pPr>
            <w:r>
              <w:rPr>
                <w:rFonts w:hint="eastAsia"/>
              </w:rPr>
              <w:t>支持对全部或按条件搜索的安全事件进行二次聚合，包括事件描述、攻击主机、受害主机一种或多种聚合方式。</w:t>
            </w:r>
          </w:p>
        </w:tc>
      </w:tr>
      <w:tr w14:paraId="4E3E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64604A1A">
            <w:pPr>
              <w:pStyle w:val="40"/>
              <w:bidi w:val="0"/>
              <w:rPr>
                <w:rFonts w:hint="eastAsia"/>
              </w:rPr>
            </w:pPr>
            <w:r>
              <w:rPr>
                <w:rFonts w:hint="eastAsia"/>
              </w:rPr>
              <w:t>资质要求</w:t>
            </w:r>
          </w:p>
        </w:tc>
        <w:tc>
          <w:tcPr>
            <w:tcW w:w="7336" w:type="dxa"/>
            <w:tcBorders>
              <w:left w:val="single" w:color="auto" w:sz="4" w:space="0"/>
            </w:tcBorders>
            <w:shd w:val="clear" w:color="auto" w:fill="auto"/>
            <w:vAlign w:val="center"/>
          </w:tcPr>
          <w:p w14:paraId="5EE33685">
            <w:pPr>
              <w:pStyle w:val="40"/>
              <w:bidi w:val="0"/>
            </w:pPr>
            <w:r>
              <w:rPr>
                <w:rFonts w:hint="eastAsia"/>
              </w:rPr>
              <w:t>产品制造商具有中国信息安全测评中心颁发的安全工程三级</w:t>
            </w:r>
            <w:r>
              <w:t>，</w:t>
            </w:r>
            <w:r>
              <w:rPr>
                <w:rFonts w:hint="eastAsia"/>
              </w:rPr>
              <w:t>（提供证书复印件并加盖产品制造商公章）</w:t>
            </w:r>
            <w:r>
              <w:t>；</w:t>
            </w:r>
          </w:p>
          <w:p w14:paraId="09A1E2E8">
            <w:pPr>
              <w:pStyle w:val="40"/>
              <w:bidi w:val="0"/>
              <w:rPr>
                <w:rFonts w:hint="eastAsia"/>
              </w:rPr>
            </w:pPr>
            <w:r>
              <w:t>产品制造商具有商品售后服务认证证书GB/T27922-2011，</w:t>
            </w:r>
            <w:r>
              <w:rPr>
                <w:rFonts w:hint="eastAsia"/>
              </w:rPr>
              <w:t>（提供证书复印件并加盖产品制造商公章）</w:t>
            </w:r>
            <w:r>
              <w:t>。</w:t>
            </w:r>
          </w:p>
        </w:tc>
      </w:tr>
      <w:tr w14:paraId="4CA9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BA2474F"/>
        </w:tc>
        <w:tc>
          <w:tcPr>
            <w:tcW w:w="7336" w:type="dxa"/>
            <w:tcBorders>
              <w:left w:val="single" w:color="auto" w:sz="4" w:space="0"/>
            </w:tcBorders>
            <w:shd w:val="clear" w:color="auto" w:fill="auto"/>
            <w:vAlign w:val="center"/>
          </w:tcPr>
          <w:p w14:paraId="6E96DC24">
            <w:pPr>
              <w:pStyle w:val="40"/>
              <w:bidi w:val="0"/>
              <w:rPr>
                <w:rFonts w:hint="eastAsia"/>
              </w:rPr>
            </w:pPr>
            <w:r>
              <w:rPr>
                <w:rFonts w:hint="eastAsia"/>
              </w:rPr>
              <w:t>产品制造商须具有中国电子信息行业联合会颁发的信息系统建设及服务能力评估资质CS4级。（提供证书复印件，并加盖制造商鲜章）</w:t>
            </w:r>
          </w:p>
        </w:tc>
      </w:tr>
      <w:tr w14:paraId="35E1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4245155F">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12640782">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27B4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188DCC6B">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267F3DCA">
            <w:pPr>
              <w:pStyle w:val="40"/>
              <w:bidi w:val="0"/>
              <w:rPr>
                <w:rFonts w:hint="eastAsia"/>
              </w:rPr>
            </w:pPr>
            <w:r>
              <w:rPr>
                <w:rFonts w:hint="eastAsia"/>
              </w:rPr>
              <w:t>4台</w:t>
            </w:r>
          </w:p>
        </w:tc>
      </w:tr>
      <w:tr w14:paraId="4B8B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2" w:type="dxa"/>
            <w:gridSpan w:val="2"/>
            <w:tcBorders>
              <w:bottom w:val="single" w:color="auto" w:sz="4" w:space="0"/>
            </w:tcBorders>
            <w:shd w:val="clear" w:color="auto" w:fill="auto"/>
            <w:noWrap/>
            <w:vAlign w:val="center"/>
          </w:tcPr>
          <w:p w14:paraId="5C23F257">
            <w:pPr>
              <w:pStyle w:val="41"/>
              <w:bidi w:val="0"/>
              <w:rPr>
                <w:rFonts w:hint="eastAsia"/>
              </w:rPr>
            </w:pPr>
            <w:r>
              <w:rPr>
                <w:rFonts w:hint="eastAsia"/>
              </w:rPr>
              <w:t xml:space="preserve">3.6 </w:t>
            </w:r>
            <w:r>
              <w:t>应用</w:t>
            </w:r>
            <w:r>
              <w:rPr>
                <w:rFonts w:hint="eastAsia"/>
              </w:rPr>
              <w:t>防火墙</w:t>
            </w:r>
          </w:p>
        </w:tc>
      </w:tr>
      <w:tr w14:paraId="4B98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5698B897">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2E30B185">
            <w:pPr>
              <w:pStyle w:val="41"/>
              <w:bidi w:val="0"/>
              <w:rPr>
                <w:rFonts w:hint="eastAsia"/>
              </w:rPr>
            </w:pPr>
            <w:r>
              <w:rPr>
                <w:rFonts w:hint="eastAsia"/>
              </w:rPr>
              <w:t>参数要求</w:t>
            </w:r>
          </w:p>
        </w:tc>
      </w:tr>
      <w:tr w14:paraId="11EF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730B4956">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7DF402A4">
            <w:pPr>
              <w:pStyle w:val="40"/>
              <w:bidi w:val="0"/>
              <w:rPr>
                <w:rFonts w:hint="eastAsia"/>
              </w:rPr>
            </w:pPr>
            <w:r>
              <w:rPr>
                <w:rFonts w:hint="eastAsia"/>
              </w:rPr>
              <w:t>采用国产CPU芯片；需详细说明芯片厂商、规格型号、图片，提供国家权威机构出具的检测报告复印件及加盖制造商公章；设备采用国产操作系统；需详细说明操作系统版本号。</w:t>
            </w:r>
          </w:p>
        </w:tc>
      </w:tr>
      <w:tr w14:paraId="3471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744C4CCF">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472125F5">
            <w:pPr>
              <w:pStyle w:val="40"/>
              <w:bidi w:val="0"/>
              <w:rPr>
                <w:rFonts w:hint="eastAsia"/>
              </w:rPr>
            </w:pPr>
            <w:r>
              <w:rPr>
                <w:rFonts w:hint="eastAsia"/>
              </w:rPr>
              <w:t>标准2U机架式硬件设备；双交流电源；1个10/100M/1000M管理接口、1个10/100/1000M HA口，2个万兆光口（支持bypass），8个千兆电口（支持bypass）；应用吞吐量≥20G，最大并发连接数≥1000万，新建连接数≥9万。</w:t>
            </w:r>
          </w:p>
        </w:tc>
      </w:tr>
      <w:tr w14:paraId="10C6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419E7D01">
            <w:pPr>
              <w:pStyle w:val="40"/>
              <w:bidi w:val="0"/>
              <w:rPr>
                <w:rFonts w:hint="eastAsia"/>
              </w:rPr>
            </w:pPr>
            <w:r>
              <w:rPr>
                <w:rFonts w:hint="eastAsia"/>
              </w:rPr>
              <w:t>功能要求</w:t>
            </w:r>
          </w:p>
        </w:tc>
        <w:tc>
          <w:tcPr>
            <w:tcW w:w="7336" w:type="dxa"/>
            <w:tcBorders>
              <w:left w:val="single" w:color="auto" w:sz="4" w:space="0"/>
            </w:tcBorders>
            <w:shd w:val="clear" w:color="auto" w:fill="auto"/>
            <w:vAlign w:val="center"/>
          </w:tcPr>
          <w:p w14:paraId="026934D4">
            <w:pPr>
              <w:pStyle w:val="40"/>
              <w:bidi w:val="0"/>
              <w:rPr>
                <w:rFonts w:hint="eastAsia"/>
              </w:rPr>
            </w:pPr>
            <w:r>
              <w:rPr>
                <w:rFonts w:hint="eastAsia"/>
              </w:rPr>
              <w:t>支持web应用识别功能，能够识别中间件、IP、端口等业务信息。</w:t>
            </w:r>
          </w:p>
        </w:tc>
      </w:tr>
      <w:tr w14:paraId="4FF4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B3F0DD2"/>
        </w:tc>
        <w:tc>
          <w:tcPr>
            <w:tcW w:w="7336" w:type="dxa"/>
            <w:tcBorders>
              <w:left w:val="single" w:color="auto" w:sz="4" w:space="0"/>
            </w:tcBorders>
            <w:shd w:val="clear" w:color="auto" w:fill="auto"/>
            <w:vAlign w:val="center"/>
          </w:tcPr>
          <w:p w14:paraId="1A6A563F">
            <w:pPr>
              <w:pStyle w:val="40"/>
              <w:bidi w:val="0"/>
              <w:rPr>
                <w:rFonts w:hint="eastAsia"/>
              </w:rPr>
            </w:pPr>
            <w:r>
              <w:rPr>
                <w:rFonts w:hint="eastAsia"/>
              </w:rPr>
              <w:t>支持透明、代理、单臂、路由、透明代理等部署模式。</w:t>
            </w:r>
          </w:p>
        </w:tc>
      </w:tr>
      <w:tr w14:paraId="7502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A8257D1"/>
        </w:tc>
        <w:tc>
          <w:tcPr>
            <w:tcW w:w="7336" w:type="dxa"/>
            <w:tcBorders>
              <w:left w:val="single" w:color="auto" w:sz="4" w:space="0"/>
            </w:tcBorders>
            <w:shd w:val="clear" w:color="auto" w:fill="auto"/>
            <w:vAlign w:val="center"/>
          </w:tcPr>
          <w:p w14:paraId="6B371F2D">
            <w:pPr>
              <w:pStyle w:val="40"/>
              <w:bidi w:val="0"/>
              <w:rPr>
                <w:rFonts w:hint="eastAsia"/>
              </w:rPr>
            </w:pPr>
            <w:r>
              <w:rPr>
                <w:rFonts w:hint="eastAsia"/>
              </w:rPr>
              <w:t>支持对字段、x-forwarded-for、x-real-ip、proxy-client-ip、cdn-src-ip识别，实现提取真实攻击源IP。</w:t>
            </w:r>
          </w:p>
        </w:tc>
      </w:tr>
      <w:tr w14:paraId="7415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0E7BC6C"/>
        </w:tc>
        <w:tc>
          <w:tcPr>
            <w:tcW w:w="7336" w:type="dxa"/>
            <w:tcBorders>
              <w:left w:val="single" w:color="auto" w:sz="4" w:space="0"/>
            </w:tcBorders>
            <w:shd w:val="clear" w:color="auto" w:fill="auto"/>
            <w:vAlign w:val="center"/>
          </w:tcPr>
          <w:p w14:paraId="5CEE1449">
            <w:pPr>
              <w:pStyle w:val="40"/>
              <w:bidi w:val="0"/>
              <w:rPr>
                <w:rFonts w:hint="eastAsia"/>
              </w:rPr>
            </w:pPr>
            <w:r>
              <w:rPr>
                <w:rFonts w:hint="eastAsia"/>
              </w:rPr>
              <w:t>支持防范Web应用安全XSS攻击、Webshell、敏感信息泄露、弱口令。具备Web恶意扫描防护的检测与防御能力。</w:t>
            </w:r>
          </w:p>
        </w:tc>
      </w:tr>
      <w:tr w14:paraId="301B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263A16D0"/>
        </w:tc>
        <w:tc>
          <w:tcPr>
            <w:tcW w:w="7336" w:type="dxa"/>
            <w:tcBorders>
              <w:left w:val="single" w:color="auto" w:sz="4" w:space="0"/>
            </w:tcBorders>
            <w:shd w:val="clear" w:color="auto" w:fill="auto"/>
            <w:vAlign w:val="center"/>
          </w:tcPr>
          <w:p w14:paraId="758A0540">
            <w:pPr>
              <w:pStyle w:val="40"/>
              <w:bidi w:val="0"/>
              <w:rPr>
                <w:rFonts w:hint="eastAsia"/>
              </w:rPr>
            </w:pPr>
            <w:r>
              <w:rPr>
                <w:rFonts w:hint="eastAsia"/>
              </w:rPr>
              <w:t>具备网站一键关停功能（非关闭接口，不影响其他网络使用），满足特殊时期网站紧急关停的需求，网站一键切换到维护模式。</w:t>
            </w:r>
          </w:p>
        </w:tc>
      </w:tr>
      <w:tr w14:paraId="3D50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3E3D145"/>
        </w:tc>
        <w:tc>
          <w:tcPr>
            <w:tcW w:w="7336" w:type="dxa"/>
            <w:tcBorders>
              <w:left w:val="single" w:color="auto" w:sz="4" w:space="0"/>
            </w:tcBorders>
            <w:shd w:val="clear" w:color="auto" w:fill="auto"/>
            <w:vAlign w:val="center"/>
          </w:tcPr>
          <w:p w14:paraId="21915553">
            <w:pPr>
              <w:pStyle w:val="40"/>
              <w:bidi w:val="0"/>
              <w:rPr>
                <w:rFonts w:hint="eastAsia"/>
              </w:rPr>
            </w:pPr>
            <w:r>
              <w:rPr>
                <w:rFonts w:hint="eastAsia"/>
              </w:rPr>
              <w:t>支持人机识别功能，通过发起JS挑战，来识别是机器对网站的操作还是人为操作，可以防护自动化恶意软件工具对网站的资源消耗。</w:t>
            </w:r>
          </w:p>
        </w:tc>
      </w:tr>
      <w:tr w14:paraId="35F9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02887C1"/>
        </w:tc>
        <w:tc>
          <w:tcPr>
            <w:tcW w:w="7336" w:type="dxa"/>
            <w:tcBorders>
              <w:left w:val="single" w:color="auto" w:sz="4" w:space="0"/>
            </w:tcBorders>
            <w:shd w:val="clear" w:color="auto" w:fill="auto"/>
            <w:vAlign w:val="center"/>
          </w:tcPr>
          <w:p w14:paraId="3C8AAD2F">
            <w:pPr>
              <w:pStyle w:val="40"/>
              <w:bidi w:val="0"/>
              <w:rPr>
                <w:rFonts w:hint="eastAsia"/>
              </w:rPr>
            </w:pPr>
            <w:r>
              <w:rPr>
                <w:rFonts w:hint="eastAsia"/>
              </w:rPr>
              <w:t>支持特征库离线升级和自动升级，升级时能够设置前提条件如事件等级及事件动作。</w:t>
            </w:r>
          </w:p>
        </w:tc>
      </w:tr>
      <w:tr w14:paraId="450B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35EBCD5"/>
        </w:tc>
        <w:tc>
          <w:tcPr>
            <w:tcW w:w="7336" w:type="dxa"/>
            <w:tcBorders>
              <w:left w:val="single" w:color="auto" w:sz="4" w:space="0"/>
            </w:tcBorders>
            <w:shd w:val="clear" w:color="auto" w:fill="auto"/>
            <w:vAlign w:val="center"/>
          </w:tcPr>
          <w:p w14:paraId="675DC1C3">
            <w:pPr>
              <w:pStyle w:val="40"/>
              <w:bidi w:val="0"/>
              <w:rPr>
                <w:rFonts w:hint="eastAsia"/>
              </w:rPr>
            </w:pPr>
            <w:r>
              <w:rPr>
                <w:rFonts w:hint="eastAsia"/>
              </w:rPr>
              <w:t>支持二层回退及三层回退功能，通过设置CPU、内存等阀值条件使设备自动从防御状态切换至转发状态，保障业务连续性。</w:t>
            </w:r>
          </w:p>
        </w:tc>
      </w:tr>
      <w:tr w14:paraId="686A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7369BC2"/>
        </w:tc>
        <w:tc>
          <w:tcPr>
            <w:tcW w:w="7336" w:type="dxa"/>
            <w:tcBorders>
              <w:left w:val="single" w:color="auto" w:sz="4" w:space="0"/>
            </w:tcBorders>
            <w:shd w:val="clear" w:color="auto" w:fill="auto"/>
            <w:vAlign w:val="center"/>
          </w:tcPr>
          <w:p w14:paraId="0D3075CC">
            <w:pPr>
              <w:pStyle w:val="40"/>
              <w:bidi w:val="0"/>
              <w:rPr>
                <w:rFonts w:hint="eastAsia"/>
              </w:rPr>
            </w:pPr>
            <w:r>
              <w:rPr>
                <w:rFonts w:hint="eastAsia"/>
              </w:rPr>
              <w:t>支持配置手动及自动备份，能够设置备份时间天、周、月等。提供不少于10份配置文件保存。</w:t>
            </w:r>
          </w:p>
        </w:tc>
      </w:tr>
      <w:tr w14:paraId="0CE2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30286DB"/>
        </w:tc>
        <w:tc>
          <w:tcPr>
            <w:tcW w:w="7336" w:type="dxa"/>
            <w:tcBorders>
              <w:left w:val="single" w:color="auto" w:sz="4" w:space="0"/>
            </w:tcBorders>
            <w:shd w:val="clear" w:color="auto" w:fill="auto"/>
            <w:vAlign w:val="center"/>
          </w:tcPr>
          <w:p w14:paraId="49B295C3">
            <w:pPr>
              <w:pStyle w:val="40"/>
              <w:bidi w:val="0"/>
              <w:rPr>
                <w:rFonts w:hint="eastAsia"/>
              </w:rPr>
            </w:pPr>
            <w:r>
              <w:rPr>
                <w:rFonts w:hint="eastAsia"/>
              </w:rPr>
              <w:t>支持透传模式，通过设置协议、IP、端口等条件实现快速定位是否由防御引起的业务问题。</w:t>
            </w:r>
          </w:p>
        </w:tc>
      </w:tr>
      <w:tr w14:paraId="5088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6F4CC9B"/>
        </w:tc>
        <w:tc>
          <w:tcPr>
            <w:tcW w:w="7336" w:type="dxa"/>
            <w:tcBorders>
              <w:left w:val="single" w:color="auto" w:sz="4" w:space="0"/>
            </w:tcBorders>
            <w:shd w:val="clear" w:color="auto" w:fill="auto"/>
            <w:vAlign w:val="center"/>
          </w:tcPr>
          <w:p w14:paraId="56EA1F6E">
            <w:pPr>
              <w:pStyle w:val="40"/>
              <w:bidi w:val="0"/>
              <w:rPr>
                <w:rFonts w:hint="eastAsia"/>
              </w:rPr>
            </w:pPr>
            <w:r>
              <w:rPr>
                <w:rFonts w:hint="eastAsia"/>
              </w:rPr>
              <w:t>支持https卸载匹配域名模式，通过设备SN字段实现对单个IP提供多个域名服务场景下的独立防护。支持HTTPS卸载配置，提供导入证书实现加密数据检测。</w:t>
            </w:r>
          </w:p>
        </w:tc>
      </w:tr>
      <w:tr w14:paraId="0B6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3EA268A"/>
        </w:tc>
        <w:tc>
          <w:tcPr>
            <w:tcW w:w="7336" w:type="dxa"/>
            <w:tcBorders>
              <w:left w:val="single" w:color="auto" w:sz="4" w:space="0"/>
            </w:tcBorders>
            <w:shd w:val="clear" w:color="auto" w:fill="auto"/>
            <w:vAlign w:val="center"/>
          </w:tcPr>
          <w:p w14:paraId="7809F47B">
            <w:pPr>
              <w:pStyle w:val="40"/>
              <w:bidi w:val="0"/>
              <w:rPr>
                <w:rFonts w:hint="eastAsia"/>
              </w:rPr>
            </w:pPr>
            <w:r>
              <w:rPr>
                <w:rFonts w:hint="eastAsia"/>
              </w:rPr>
              <w:t>提供REST API的功能接口，供我行进行系统信息采集及策略下发。</w:t>
            </w:r>
          </w:p>
        </w:tc>
      </w:tr>
      <w:tr w14:paraId="3D31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6E3B8E7A">
            <w:pPr>
              <w:pStyle w:val="40"/>
              <w:bidi w:val="0"/>
              <w:rPr>
                <w:rFonts w:hint="eastAsia"/>
              </w:rPr>
            </w:pPr>
            <w:r>
              <w:rPr>
                <w:rFonts w:hint="eastAsia"/>
              </w:rPr>
              <w:t>产品资质</w:t>
            </w:r>
          </w:p>
        </w:tc>
        <w:tc>
          <w:tcPr>
            <w:tcW w:w="7336" w:type="dxa"/>
            <w:tcBorders>
              <w:left w:val="single" w:color="auto" w:sz="4" w:space="0"/>
            </w:tcBorders>
            <w:shd w:val="clear" w:color="auto" w:fill="auto"/>
            <w:vAlign w:val="center"/>
          </w:tcPr>
          <w:p w14:paraId="35298A30">
            <w:pPr>
              <w:spacing w:beforeAutospacing="0" w:afterAutospacing="0" w:line="240" w:lineRule="auto"/>
              <w:ind w:left="0" w:firstLine="0" w:firstLineChars="0"/>
              <w:rPr>
                <w:rFonts w:hint="eastAsia"/>
                <w:szCs w:val="18"/>
              </w:rPr>
            </w:pPr>
            <w:r>
              <w:rPr>
                <w:rFonts w:hint="eastAsia"/>
                <w:szCs w:val="18"/>
              </w:rPr>
              <w:t>具有中国网络安全审查认证和市场监管大数据中心(原中国网络安全审查技术与认证中心)颁发的《网络关键设备和网络安全专用产品安全认证证书》</w:t>
            </w:r>
          </w:p>
          <w:p w14:paraId="0A2108C6">
            <w:pPr>
              <w:pStyle w:val="40"/>
              <w:bidi w:val="0"/>
              <w:spacing w:beforeAutospacing="0" w:afterAutospacing="0"/>
              <w:rPr>
                <w:rFonts w:hint="eastAsia"/>
              </w:rPr>
            </w:pPr>
            <w:r>
              <w:rPr>
                <w:rFonts w:hint="eastAsia"/>
              </w:rPr>
              <w:t>。（提供证书复印件并加盖设备制造商公章）。</w:t>
            </w:r>
          </w:p>
        </w:tc>
      </w:tr>
      <w:tr w14:paraId="45D0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0AEA6320">
            <w:pPr>
              <w:pStyle w:val="40"/>
              <w:bidi w:val="0"/>
              <w:rPr>
                <w:rFonts w:hint="eastAsia"/>
              </w:rPr>
            </w:pPr>
            <w:r>
              <w:rPr>
                <w:rFonts w:hint="eastAsia"/>
              </w:rPr>
              <w:t>制造商要求</w:t>
            </w:r>
          </w:p>
        </w:tc>
        <w:tc>
          <w:tcPr>
            <w:tcW w:w="7336" w:type="dxa"/>
            <w:tcBorders>
              <w:left w:val="single" w:color="auto" w:sz="4" w:space="0"/>
            </w:tcBorders>
            <w:shd w:val="clear" w:color="auto" w:fill="auto"/>
            <w:vAlign w:val="center"/>
          </w:tcPr>
          <w:p w14:paraId="72B8BE72">
            <w:pPr>
              <w:pStyle w:val="40"/>
              <w:bidi w:val="0"/>
              <w:rPr>
                <w:rFonts w:hint="eastAsia"/>
              </w:rPr>
            </w:pPr>
            <w:r>
              <w:rPr>
                <w:rFonts w:hint="eastAsia"/>
              </w:rPr>
              <w:t>必须同时支持IP v4与IPv6协议，设备制造商必须通过IPv6 Ready Phase 2认证。</w:t>
            </w:r>
          </w:p>
        </w:tc>
      </w:tr>
      <w:tr w14:paraId="75E3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2AEB3D00"/>
        </w:tc>
        <w:tc>
          <w:tcPr>
            <w:tcW w:w="7336" w:type="dxa"/>
            <w:tcBorders>
              <w:left w:val="single" w:color="auto" w:sz="4" w:space="0"/>
            </w:tcBorders>
            <w:shd w:val="clear" w:color="auto" w:fill="auto"/>
            <w:vAlign w:val="center"/>
          </w:tcPr>
          <w:p w14:paraId="49319D01">
            <w:pPr>
              <w:pStyle w:val="40"/>
              <w:bidi w:val="0"/>
              <w:rPr>
                <w:rFonts w:hint="eastAsia"/>
              </w:rPr>
            </w:pPr>
            <w:r>
              <w:rPr>
                <w:rFonts w:hint="eastAsia"/>
              </w:rPr>
              <w:t>国家信息安全测评信息安全服务资质证书（安全工程类三级）。（提供证书复印件并加盖设备制造商公章）</w:t>
            </w:r>
          </w:p>
        </w:tc>
      </w:tr>
      <w:tr w14:paraId="40BD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04F903F1">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15D51793">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2B34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35CA0850">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43477BBA">
            <w:pPr>
              <w:pStyle w:val="40"/>
              <w:bidi w:val="0"/>
              <w:rPr>
                <w:rFonts w:hint="eastAsia"/>
              </w:rPr>
            </w:pPr>
            <w:r>
              <w:t>4</w:t>
            </w:r>
          </w:p>
        </w:tc>
      </w:tr>
      <w:tr w14:paraId="5023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2" w:type="dxa"/>
            <w:gridSpan w:val="2"/>
            <w:tcBorders>
              <w:bottom w:val="single" w:color="auto" w:sz="4" w:space="0"/>
            </w:tcBorders>
            <w:shd w:val="clear" w:color="auto" w:fill="auto"/>
            <w:noWrap/>
            <w:vAlign w:val="center"/>
          </w:tcPr>
          <w:p w14:paraId="5F517607">
            <w:pPr>
              <w:pStyle w:val="41"/>
              <w:bidi w:val="0"/>
              <w:rPr>
                <w:rFonts w:hint="eastAsia"/>
              </w:rPr>
            </w:pPr>
            <w:r>
              <w:rPr>
                <w:rFonts w:hint="eastAsia"/>
              </w:rPr>
              <w:t>3.7 网闸</w:t>
            </w:r>
          </w:p>
        </w:tc>
      </w:tr>
      <w:tr w14:paraId="372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tcBorders>
              <w:top w:val="single" w:color="auto" w:sz="4" w:space="0"/>
              <w:right w:val="single" w:color="auto" w:sz="4" w:space="0"/>
            </w:tcBorders>
            <w:shd w:val="clear" w:color="auto" w:fill="auto"/>
            <w:vAlign w:val="center"/>
          </w:tcPr>
          <w:p w14:paraId="7AFC8D87">
            <w:pPr>
              <w:pStyle w:val="41"/>
              <w:bidi w:val="0"/>
              <w:rPr>
                <w:rFonts w:hint="eastAsia"/>
              </w:rPr>
            </w:pPr>
            <w:r>
              <w:rPr>
                <w:rFonts w:hint="eastAsia"/>
              </w:rPr>
              <w:t>指标项</w:t>
            </w:r>
          </w:p>
        </w:tc>
        <w:tc>
          <w:tcPr>
            <w:tcW w:w="7336" w:type="dxa"/>
            <w:tcBorders>
              <w:top w:val="single" w:color="auto" w:sz="4" w:space="0"/>
              <w:left w:val="single" w:color="auto" w:sz="4" w:space="0"/>
            </w:tcBorders>
            <w:shd w:val="clear" w:color="auto" w:fill="auto"/>
            <w:vAlign w:val="center"/>
          </w:tcPr>
          <w:p w14:paraId="0A24DFDB">
            <w:pPr>
              <w:pStyle w:val="41"/>
              <w:bidi w:val="0"/>
              <w:rPr>
                <w:rFonts w:hint="eastAsia"/>
              </w:rPr>
            </w:pPr>
            <w:r>
              <w:rPr>
                <w:rFonts w:hint="eastAsia"/>
              </w:rPr>
              <w:t>技术参数</w:t>
            </w:r>
          </w:p>
        </w:tc>
      </w:tr>
      <w:tr w14:paraId="4649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7C72465C">
            <w:pPr>
              <w:pStyle w:val="40"/>
              <w:bidi w:val="0"/>
              <w:rPr>
                <w:rFonts w:hint="eastAsia"/>
              </w:rPr>
            </w:pPr>
            <w:r>
              <w:rPr>
                <w:rFonts w:hint="eastAsia"/>
              </w:rPr>
              <w:t>总体要求</w:t>
            </w:r>
          </w:p>
        </w:tc>
        <w:tc>
          <w:tcPr>
            <w:tcW w:w="7336" w:type="dxa"/>
            <w:tcBorders>
              <w:left w:val="single" w:color="auto" w:sz="4" w:space="0"/>
            </w:tcBorders>
            <w:shd w:val="clear" w:color="auto" w:fill="auto"/>
            <w:vAlign w:val="center"/>
          </w:tcPr>
          <w:p w14:paraId="265B4056">
            <w:pPr>
              <w:pStyle w:val="40"/>
              <w:bidi w:val="0"/>
              <w:rPr>
                <w:rFonts w:hint="eastAsia"/>
              </w:rPr>
            </w:pPr>
            <w:r>
              <w:rPr>
                <w:rFonts w:hint="eastAsia"/>
              </w:rPr>
              <w:t>非OEM设备，采用国产CPU芯片、国产操作系统；</w:t>
            </w:r>
          </w:p>
        </w:tc>
      </w:tr>
      <w:tr w14:paraId="3B2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86" w:type="dxa"/>
            <w:vMerge w:val="restart"/>
            <w:shd w:val="clear" w:color="auto" w:fill="auto"/>
            <w:noWrap/>
            <w:vAlign w:val="center"/>
          </w:tcPr>
          <w:p w14:paraId="6648FFCC">
            <w:pPr>
              <w:pStyle w:val="40"/>
              <w:bidi w:val="0"/>
              <w:rPr>
                <w:rFonts w:hint="eastAsia"/>
              </w:rPr>
            </w:pPr>
            <w:r>
              <w:rPr>
                <w:rFonts w:hint="eastAsia"/>
              </w:rPr>
              <w:t>硬件参数</w:t>
            </w:r>
          </w:p>
        </w:tc>
        <w:tc>
          <w:tcPr>
            <w:tcW w:w="7336" w:type="dxa"/>
            <w:tcBorders>
              <w:left w:val="single" w:color="auto" w:sz="4" w:space="0"/>
            </w:tcBorders>
            <w:shd w:val="clear" w:color="auto" w:fill="auto"/>
            <w:vAlign w:val="center"/>
          </w:tcPr>
          <w:p w14:paraId="1026CF0D">
            <w:pPr>
              <w:pStyle w:val="40"/>
              <w:bidi w:val="0"/>
              <w:rPr>
                <w:rFonts w:hint="eastAsia"/>
              </w:rPr>
            </w:pPr>
            <w:r>
              <w:rPr>
                <w:rFonts w:hint="eastAsia"/>
              </w:rPr>
              <w:t>系统采用“2+1”模块结构设计，即包括外网主机模块、内网主机模块和隔离交换模块，内外端机为网络协议终点，彻底阻断各种网络协议</w:t>
            </w:r>
          </w:p>
        </w:tc>
      </w:tr>
      <w:tr w14:paraId="705B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2421F468"/>
        </w:tc>
        <w:tc>
          <w:tcPr>
            <w:tcW w:w="7336" w:type="dxa"/>
            <w:tcBorders>
              <w:left w:val="single" w:color="auto" w:sz="4" w:space="0"/>
            </w:tcBorders>
            <w:shd w:val="clear" w:color="auto" w:fill="auto"/>
            <w:vAlign w:val="center"/>
          </w:tcPr>
          <w:p w14:paraId="19997166">
            <w:pPr>
              <w:pStyle w:val="40"/>
              <w:bidi w:val="0"/>
              <w:rPr>
                <w:rFonts w:hint="eastAsia"/>
              </w:rPr>
            </w:pPr>
            <w:r>
              <w:rPr>
                <w:rFonts w:hint="eastAsia"/>
              </w:rPr>
              <w:t>内外网主机分别具有接口：</w:t>
            </w:r>
            <w:r>
              <w:t>千兆电口</w:t>
            </w:r>
            <w:r>
              <w:rPr>
                <w:rFonts w:hint="eastAsia"/>
              </w:rPr>
              <w:t>≥6个、</w:t>
            </w:r>
            <w:r>
              <w:t>千兆光口</w:t>
            </w:r>
            <w:r>
              <w:rPr>
                <w:rFonts w:hint="eastAsia"/>
              </w:rPr>
              <w:t>≥</w:t>
            </w:r>
            <w:r>
              <w:t>4</w:t>
            </w:r>
            <w:r>
              <w:rPr>
                <w:rFonts w:hint="eastAsia"/>
              </w:rPr>
              <w:t>个、万兆光口≥</w:t>
            </w:r>
            <w:r>
              <w:t>4</w:t>
            </w:r>
            <w:r>
              <w:rPr>
                <w:rFonts w:hint="eastAsia"/>
              </w:rPr>
              <w:t>个、USB接口≥2、RJ45 Console口≥1；内外网主机分别配置存储硬盘≥4TB，冗余电源；</w:t>
            </w:r>
          </w:p>
        </w:tc>
      </w:tr>
      <w:tr w14:paraId="6661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1CE53499"/>
        </w:tc>
        <w:tc>
          <w:tcPr>
            <w:tcW w:w="7336" w:type="dxa"/>
            <w:tcBorders>
              <w:left w:val="single" w:color="auto" w:sz="4" w:space="0"/>
            </w:tcBorders>
            <w:shd w:val="clear" w:color="auto" w:fill="auto"/>
            <w:vAlign w:val="center"/>
          </w:tcPr>
          <w:p w14:paraId="507FF17B">
            <w:pPr>
              <w:pStyle w:val="40"/>
              <w:bidi w:val="0"/>
              <w:rPr>
                <w:rFonts w:hint="eastAsia"/>
              </w:rPr>
            </w:pPr>
            <w:r>
              <w:rPr>
                <w:rFonts w:hint="eastAsia"/>
              </w:rPr>
              <w:t>内、外网主机分别具有独立液晶屏，支持显示产品品牌、型号、CPU/内存占用率、网络接口状态等信息。（</w:t>
            </w:r>
            <w:r>
              <w:rPr>
                <w:rFonts w:hint="eastAsia" w:ascii="宋体" w:hAnsi="方正黑体_GBK" w:eastAsia="宋体" w:cs="宋体"/>
                <w:color w:val="auto"/>
                <w:sz w:val="21"/>
                <w:szCs w:val="18"/>
              </w:rPr>
              <w:t>提供对应产品外观照片证明</w:t>
            </w:r>
            <w:r>
              <w:rPr>
                <w:rFonts w:hint="eastAsia" w:ascii="宋体" w:hAnsi="方正黑体_GBK" w:eastAsia="宋体" w:cs="宋体"/>
                <w:color w:val="auto"/>
                <w:sz w:val="21"/>
                <w:szCs w:val="18"/>
                <w:lang w:eastAsia="zh-CN"/>
              </w:rPr>
              <w:t>，</w:t>
            </w:r>
            <w:r>
              <w:rPr>
                <w:rFonts w:hint="eastAsia" w:ascii="宋体" w:hAnsi="方正黑体_GBK" w:eastAsia="宋体" w:cs="宋体"/>
                <w:color w:val="auto"/>
                <w:sz w:val="21"/>
                <w:szCs w:val="18"/>
                <w:lang w:val="en-US" w:eastAsia="zh-CN"/>
              </w:rPr>
              <w:t>并</w:t>
            </w:r>
            <w:r>
              <w:rPr>
                <w:rFonts w:hint="eastAsia" w:ascii="宋体" w:hAnsi="方正黑体_GBK" w:eastAsia="宋体" w:cs="宋体"/>
                <w:color w:val="auto"/>
                <w:sz w:val="21"/>
                <w:szCs w:val="18"/>
              </w:rPr>
              <w:t>加盖制造商公章）</w:t>
            </w:r>
            <w:r>
              <w:rPr>
                <w:rFonts w:hint="eastAsia"/>
              </w:rPr>
              <w:t>）</w:t>
            </w:r>
          </w:p>
        </w:tc>
      </w:tr>
      <w:tr w14:paraId="52E7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4AAFB7C"/>
        </w:tc>
        <w:tc>
          <w:tcPr>
            <w:tcW w:w="7336" w:type="dxa"/>
            <w:tcBorders>
              <w:left w:val="single" w:color="auto" w:sz="4" w:space="0"/>
            </w:tcBorders>
            <w:shd w:val="clear" w:color="auto" w:fill="auto"/>
            <w:vAlign w:val="center"/>
          </w:tcPr>
          <w:p w14:paraId="0D26FD94">
            <w:pPr>
              <w:pStyle w:val="40"/>
              <w:bidi w:val="0"/>
              <w:rPr>
                <w:rFonts w:hint="eastAsia"/>
              </w:rPr>
            </w:pPr>
            <w:r>
              <w:rPr>
                <w:rFonts w:hint="eastAsia"/>
              </w:rPr>
              <w:t>支持双系统冗余架构，可通过WEB页面进行主备系统切换，当主系统发生故障或需要升级时可切换至备系统进行工作；（</w:t>
            </w:r>
            <w:r>
              <w:rPr>
                <w:rFonts w:hint="eastAsia" w:hAnsi="方正黑体_GBK"/>
              </w:rPr>
              <w:t>提供对应产品外观照片证明</w:t>
            </w:r>
            <w:r>
              <w:rPr>
                <w:rFonts w:hint="eastAsia" w:hAnsi="方正黑体_GBK"/>
                <w:lang w:eastAsia="zh-CN"/>
              </w:rPr>
              <w:t>，</w:t>
            </w:r>
            <w:r>
              <w:rPr>
                <w:rFonts w:hint="eastAsia" w:hAnsi="方正黑体_GBK"/>
                <w:lang w:val="en-US" w:eastAsia="zh-CN"/>
              </w:rPr>
              <w:t>并</w:t>
            </w:r>
            <w:r>
              <w:rPr>
                <w:rFonts w:hint="eastAsia" w:hAnsi="方正黑体_GBK"/>
              </w:rPr>
              <w:t>加盖制造商公章</w:t>
            </w:r>
            <w:r>
              <w:rPr>
                <w:rFonts w:hint="eastAsia"/>
              </w:rPr>
              <w:t>）</w:t>
            </w:r>
          </w:p>
        </w:tc>
      </w:tr>
      <w:tr w14:paraId="420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086F3DD4">
            <w:pPr>
              <w:pStyle w:val="40"/>
              <w:bidi w:val="0"/>
              <w:rPr>
                <w:rFonts w:hint="eastAsia"/>
              </w:rPr>
            </w:pPr>
            <w:r>
              <w:rPr>
                <w:rFonts w:hint="eastAsia"/>
              </w:rPr>
              <w:t>性能参数</w:t>
            </w:r>
          </w:p>
        </w:tc>
        <w:tc>
          <w:tcPr>
            <w:tcW w:w="7336" w:type="dxa"/>
            <w:tcBorders>
              <w:left w:val="single" w:color="auto" w:sz="4" w:space="0"/>
            </w:tcBorders>
            <w:shd w:val="clear" w:color="auto" w:fill="auto"/>
            <w:vAlign w:val="center"/>
          </w:tcPr>
          <w:p w14:paraId="394792EF">
            <w:pPr>
              <w:pStyle w:val="40"/>
              <w:bidi w:val="0"/>
              <w:rPr>
                <w:rFonts w:hint="eastAsia"/>
              </w:rPr>
            </w:pPr>
            <w:r>
              <w:rPr>
                <w:rFonts w:hint="eastAsia"/>
              </w:rPr>
              <w:t>网络层吞吐≥10Gbps，应用层吞吐≥9Gbps，应用层并发性能≥20万条，视频并发数≥3500路（2M码流），传输延时≤2ms；稳定性运行时间(MTBF)≥5000小时；</w:t>
            </w:r>
          </w:p>
        </w:tc>
      </w:tr>
      <w:tr w14:paraId="674D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5C361FB3">
            <w:pPr>
              <w:pStyle w:val="40"/>
              <w:bidi w:val="0"/>
              <w:rPr>
                <w:rFonts w:hint="eastAsia"/>
              </w:rPr>
            </w:pPr>
            <w:r>
              <w:rPr>
                <w:rFonts w:hint="eastAsia"/>
              </w:rPr>
              <w:t>安全管理</w:t>
            </w:r>
          </w:p>
        </w:tc>
        <w:tc>
          <w:tcPr>
            <w:tcW w:w="7336" w:type="dxa"/>
            <w:tcBorders>
              <w:left w:val="single" w:color="auto" w:sz="4" w:space="0"/>
            </w:tcBorders>
            <w:shd w:val="clear" w:color="auto" w:fill="auto"/>
            <w:vAlign w:val="center"/>
          </w:tcPr>
          <w:p w14:paraId="72711B03">
            <w:pPr>
              <w:pStyle w:val="40"/>
              <w:bidi w:val="0"/>
              <w:rPr>
                <w:rFonts w:hint="eastAsia"/>
              </w:rPr>
            </w:pPr>
            <w:r>
              <w:rPr>
                <w:rFonts w:hint="eastAsia"/>
              </w:rPr>
              <w:t>支持IPV4/IPV6双栈接入</w:t>
            </w:r>
          </w:p>
        </w:tc>
      </w:tr>
      <w:tr w14:paraId="01C3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79C517A"/>
        </w:tc>
        <w:tc>
          <w:tcPr>
            <w:tcW w:w="7336" w:type="dxa"/>
            <w:tcBorders>
              <w:left w:val="single" w:color="auto" w:sz="4" w:space="0"/>
            </w:tcBorders>
            <w:shd w:val="clear" w:color="auto" w:fill="auto"/>
            <w:vAlign w:val="center"/>
          </w:tcPr>
          <w:p w14:paraId="08D4E827">
            <w:pPr>
              <w:pStyle w:val="40"/>
              <w:bidi w:val="0"/>
              <w:rPr>
                <w:rFonts w:hint="eastAsia"/>
              </w:rPr>
            </w:pPr>
            <w:r>
              <w:rPr>
                <w:rFonts w:hint="eastAsia"/>
              </w:rPr>
              <w:t>系统管理员具备多种认证方式：支持用户名/口令、Radius、LDAP、浏览器证书、U-KEY等多种认证管理方式</w:t>
            </w:r>
          </w:p>
        </w:tc>
      </w:tr>
      <w:tr w14:paraId="0B44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9D8F007">
            <w:pPr>
              <w:pStyle w:val="40"/>
              <w:bidi w:val="0"/>
              <w:rPr>
                <w:rFonts w:hint="eastAsia"/>
              </w:rPr>
            </w:pPr>
            <w:r>
              <w:rPr>
                <w:rFonts w:hint="eastAsia"/>
              </w:rPr>
              <w:t>系统运维</w:t>
            </w:r>
          </w:p>
        </w:tc>
        <w:tc>
          <w:tcPr>
            <w:tcW w:w="7336" w:type="dxa"/>
            <w:tcBorders>
              <w:left w:val="single" w:color="auto" w:sz="4" w:space="0"/>
            </w:tcBorders>
            <w:shd w:val="clear" w:color="auto" w:fill="auto"/>
            <w:vAlign w:val="center"/>
          </w:tcPr>
          <w:p w14:paraId="104FACA8">
            <w:pPr>
              <w:pStyle w:val="40"/>
              <w:bidi w:val="0"/>
              <w:rPr>
                <w:rFonts w:hint="eastAsia"/>
              </w:rPr>
            </w:pPr>
            <w:r>
              <w:rPr>
                <w:rFonts w:hint="eastAsia"/>
              </w:rPr>
              <w:t>具备配置智能备份功能，可灵活设置备份周期，备份个数，为节省磁盘空间占用，当配置无变化时，不进行重复备份；</w:t>
            </w:r>
            <w:r>
              <w:t>（</w:t>
            </w:r>
            <w:r>
              <w:rPr>
                <w:rFonts w:hint="eastAsia" w:hAnsi="方正黑体_GBK"/>
              </w:rPr>
              <w:t>提供对应产品外观照片证明</w:t>
            </w:r>
            <w:r>
              <w:rPr>
                <w:rFonts w:hint="eastAsia" w:hAnsi="方正黑体_GBK"/>
                <w:lang w:eastAsia="zh-CN"/>
              </w:rPr>
              <w:t>，</w:t>
            </w:r>
            <w:r>
              <w:rPr>
                <w:rFonts w:hint="eastAsia" w:hAnsi="方正黑体_GBK"/>
                <w:lang w:val="en-US" w:eastAsia="zh-CN"/>
              </w:rPr>
              <w:t>并</w:t>
            </w:r>
            <w:r>
              <w:rPr>
                <w:rFonts w:hint="eastAsia" w:hAnsi="方正黑体_GBK"/>
              </w:rPr>
              <w:t>加盖制造商公章</w:t>
            </w:r>
            <w:r>
              <w:t>）</w:t>
            </w:r>
          </w:p>
        </w:tc>
      </w:tr>
      <w:tr w14:paraId="2139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10A020CA"/>
        </w:tc>
        <w:tc>
          <w:tcPr>
            <w:tcW w:w="7336" w:type="dxa"/>
            <w:tcBorders>
              <w:left w:val="single" w:color="auto" w:sz="4" w:space="0"/>
            </w:tcBorders>
            <w:shd w:val="clear" w:color="auto" w:fill="auto"/>
            <w:vAlign w:val="center"/>
          </w:tcPr>
          <w:p w14:paraId="4C3ECF65">
            <w:pPr>
              <w:pStyle w:val="40"/>
              <w:bidi w:val="0"/>
              <w:rPr>
                <w:rFonts w:hint="eastAsia"/>
              </w:rPr>
            </w:pPr>
            <w:r>
              <w:rPr>
                <w:rFonts w:hint="eastAsia"/>
              </w:rPr>
              <w:t>支持NTP网络时间同步，支持内外端机系统时间同步</w:t>
            </w:r>
          </w:p>
        </w:tc>
      </w:tr>
      <w:tr w14:paraId="4145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0DB20BF3"/>
        </w:tc>
        <w:tc>
          <w:tcPr>
            <w:tcW w:w="7336" w:type="dxa"/>
            <w:tcBorders>
              <w:left w:val="single" w:color="auto" w:sz="4" w:space="0"/>
            </w:tcBorders>
            <w:shd w:val="clear" w:color="auto" w:fill="auto"/>
            <w:vAlign w:val="center"/>
          </w:tcPr>
          <w:p w14:paraId="3D4655A1">
            <w:pPr>
              <w:pStyle w:val="40"/>
              <w:bidi w:val="0"/>
              <w:rPr>
                <w:rFonts w:hint="eastAsia"/>
              </w:rPr>
            </w:pPr>
            <w:r>
              <w:rPr>
                <w:rFonts w:hint="eastAsia"/>
              </w:rPr>
              <w:t>系统内置调试工具，包括但不限于：trace、connect、tcpdump、ping、arp </w:t>
            </w:r>
          </w:p>
        </w:tc>
      </w:tr>
      <w:tr w14:paraId="595F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1853B333"/>
        </w:tc>
        <w:tc>
          <w:tcPr>
            <w:tcW w:w="7336" w:type="dxa"/>
            <w:tcBorders>
              <w:left w:val="single" w:color="auto" w:sz="4" w:space="0"/>
            </w:tcBorders>
            <w:shd w:val="clear" w:color="auto" w:fill="auto"/>
            <w:vAlign w:val="center"/>
          </w:tcPr>
          <w:p w14:paraId="4CE9243F">
            <w:pPr>
              <w:pStyle w:val="40"/>
              <w:bidi w:val="0"/>
              <w:rPr>
                <w:rFonts w:hint="eastAsia"/>
              </w:rPr>
            </w:pPr>
            <w:r>
              <w:rPr>
                <w:rFonts w:hint="eastAsia"/>
              </w:rPr>
              <w:t>提供可视化dashboard，在首页可直观展示近7天文件同步个数、数据库同步条数、TCP、UDP请求数、文件流量、数据库流量、TCP、UDP流量等</w:t>
            </w:r>
          </w:p>
        </w:tc>
      </w:tr>
      <w:tr w14:paraId="5720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0DF6B82E"/>
        </w:tc>
        <w:tc>
          <w:tcPr>
            <w:tcW w:w="7336" w:type="dxa"/>
            <w:tcBorders>
              <w:left w:val="single" w:color="auto" w:sz="4" w:space="0"/>
            </w:tcBorders>
            <w:shd w:val="clear" w:color="auto" w:fill="auto"/>
            <w:vAlign w:val="center"/>
          </w:tcPr>
          <w:p w14:paraId="78B6319B">
            <w:pPr>
              <w:pStyle w:val="40"/>
              <w:bidi w:val="0"/>
              <w:rPr>
                <w:rFonts w:hint="eastAsia"/>
              </w:rPr>
            </w:pPr>
            <w:r>
              <w:rPr>
                <w:rFonts w:hint="eastAsia"/>
              </w:rPr>
              <w:t>在首页可直观展现出当前系统实时CPU使用情况、硬盘使用情况、TCP连接数、UDP连接数，同时可直观呈现当前应用CPU、内存 top5排名</w:t>
            </w:r>
          </w:p>
        </w:tc>
      </w:tr>
      <w:tr w14:paraId="5AD6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492120C8">
            <w:pPr>
              <w:pStyle w:val="40"/>
              <w:bidi w:val="0"/>
              <w:rPr>
                <w:rFonts w:hint="eastAsia"/>
              </w:rPr>
            </w:pPr>
            <w:r>
              <w:rPr>
                <w:rFonts w:hint="eastAsia"/>
              </w:rPr>
              <w:t>文件交换</w:t>
            </w:r>
          </w:p>
        </w:tc>
        <w:tc>
          <w:tcPr>
            <w:tcW w:w="7336" w:type="dxa"/>
            <w:tcBorders>
              <w:left w:val="single" w:color="auto" w:sz="4" w:space="0"/>
            </w:tcBorders>
            <w:shd w:val="clear" w:color="auto" w:fill="auto"/>
            <w:vAlign w:val="center"/>
          </w:tcPr>
          <w:p w14:paraId="527197A4">
            <w:pPr>
              <w:pStyle w:val="40"/>
              <w:bidi w:val="0"/>
              <w:rPr>
                <w:rFonts w:hint="eastAsia"/>
              </w:rPr>
            </w:pPr>
            <w:r>
              <w:rPr>
                <w:rFonts w:hint="eastAsia"/>
              </w:rPr>
              <w:t>文件同步支持FTP、SFTP、SMB、NFS等协议，同时可设置服务器加密方式，服务器编码方式等</w:t>
            </w:r>
          </w:p>
        </w:tc>
      </w:tr>
      <w:tr w14:paraId="5AFF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2362DE49"/>
        </w:tc>
        <w:tc>
          <w:tcPr>
            <w:tcW w:w="7336" w:type="dxa"/>
            <w:tcBorders>
              <w:left w:val="single" w:color="auto" w:sz="4" w:space="0"/>
            </w:tcBorders>
            <w:shd w:val="clear" w:color="auto" w:fill="auto"/>
            <w:vAlign w:val="center"/>
          </w:tcPr>
          <w:p w14:paraId="63651B7B">
            <w:pPr>
              <w:pStyle w:val="40"/>
              <w:bidi w:val="0"/>
              <w:rPr>
                <w:rFonts w:hint="eastAsia"/>
              </w:rPr>
            </w:pPr>
            <w:r>
              <w:rPr>
                <w:rFonts w:hint="eastAsia"/>
              </w:rPr>
              <w:t>文件交换可灵活设置文件传输方向，同时工作模式支持源端移动、源端删除、增量更新、完全复制、延迟删除等多种模式。</w:t>
            </w:r>
            <w:r>
              <w:t>（</w:t>
            </w:r>
            <w:r>
              <w:rPr>
                <w:rFonts w:hint="eastAsia" w:hAnsi="方正黑体_GBK"/>
              </w:rPr>
              <w:t>提供对应产品外观照片证明</w:t>
            </w:r>
            <w:r>
              <w:rPr>
                <w:rFonts w:hint="eastAsia" w:hAnsi="方正黑体_GBK"/>
                <w:lang w:eastAsia="zh-CN"/>
              </w:rPr>
              <w:t>，</w:t>
            </w:r>
            <w:r>
              <w:rPr>
                <w:rFonts w:hint="eastAsia" w:hAnsi="方正黑体_GBK"/>
                <w:lang w:val="en-US" w:eastAsia="zh-CN"/>
              </w:rPr>
              <w:t>并</w:t>
            </w:r>
            <w:r>
              <w:rPr>
                <w:rFonts w:hint="eastAsia" w:hAnsi="方正黑体_GBK"/>
              </w:rPr>
              <w:t>加盖制造商公章</w:t>
            </w:r>
            <w:r>
              <w:t>）</w:t>
            </w:r>
          </w:p>
        </w:tc>
      </w:tr>
      <w:tr w14:paraId="592A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0ACB4354"/>
        </w:tc>
        <w:tc>
          <w:tcPr>
            <w:tcW w:w="7336" w:type="dxa"/>
            <w:tcBorders>
              <w:left w:val="single" w:color="auto" w:sz="4" w:space="0"/>
            </w:tcBorders>
            <w:shd w:val="clear" w:color="auto" w:fill="auto"/>
            <w:vAlign w:val="center"/>
          </w:tcPr>
          <w:p w14:paraId="3BA79EC0">
            <w:pPr>
              <w:pStyle w:val="40"/>
              <w:bidi w:val="0"/>
              <w:rPr>
                <w:rFonts w:hint="eastAsia"/>
              </w:rPr>
            </w:pPr>
            <w:r>
              <w:rPr>
                <w:rFonts w:hint="eastAsia"/>
              </w:rPr>
              <w:t>支持文件断点续传，同时支持文件并发数量设置，大幅度提升文件传输性能，充分利用硬件资源</w:t>
            </w:r>
          </w:p>
        </w:tc>
      </w:tr>
      <w:tr w14:paraId="396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481FE5F"/>
        </w:tc>
        <w:tc>
          <w:tcPr>
            <w:tcW w:w="7336" w:type="dxa"/>
            <w:tcBorders>
              <w:left w:val="single" w:color="auto" w:sz="4" w:space="0"/>
            </w:tcBorders>
            <w:shd w:val="clear" w:color="auto" w:fill="auto"/>
            <w:vAlign w:val="center"/>
          </w:tcPr>
          <w:p w14:paraId="4DCA647B">
            <w:pPr>
              <w:pStyle w:val="40"/>
              <w:bidi w:val="0"/>
              <w:rPr>
                <w:rFonts w:hint="eastAsia"/>
              </w:rPr>
            </w:pPr>
            <w:r>
              <w:rPr>
                <w:rFonts w:hint="eastAsia"/>
              </w:rPr>
              <w:t>文件传输具备文件名过滤、文件类型过滤、文件内容过滤、文档重建、病毒过滤</w:t>
            </w:r>
          </w:p>
        </w:tc>
      </w:tr>
      <w:tr w14:paraId="64AE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C1BB8F7"/>
        </w:tc>
        <w:tc>
          <w:tcPr>
            <w:tcW w:w="7336" w:type="dxa"/>
            <w:tcBorders>
              <w:left w:val="single" w:color="auto" w:sz="4" w:space="0"/>
            </w:tcBorders>
            <w:shd w:val="clear" w:color="auto" w:fill="auto"/>
            <w:vAlign w:val="center"/>
          </w:tcPr>
          <w:p w14:paraId="06408A11">
            <w:pPr>
              <w:pStyle w:val="40"/>
              <w:bidi w:val="0"/>
              <w:rPr>
                <w:rFonts w:hint="eastAsia"/>
              </w:rPr>
            </w:pPr>
            <w:r>
              <w:rPr>
                <w:rFonts w:hint="eastAsia"/>
              </w:rPr>
              <w:t>支持文件重构技术，可自动剔除文件中夹带的危险程序，可执行代码等</w:t>
            </w:r>
          </w:p>
        </w:tc>
      </w:tr>
      <w:tr w14:paraId="57F1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3065EAF"/>
        </w:tc>
        <w:tc>
          <w:tcPr>
            <w:tcW w:w="7336" w:type="dxa"/>
            <w:tcBorders>
              <w:left w:val="single" w:color="auto" w:sz="4" w:space="0"/>
            </w:tcBorders>
            <w:shd w:val="clear" w:color="auto" w:fill="auto"/>
            <w:vAlign w:val="center"/>
          </w:tcPr>
          <w:p w14:paraId="189AB5D7">
            <w:pPr>
              <w:pStyle w:val="40"/>
              <w:bidi w:val="0"/>
              <w:rPr>
                <w:rFonts w:hint="eastAsia"/>
              </w:rPr>
            </w:pPr>
            <w:r>
              <w:rPr>
                <w:rFonts w:hint="eastAsia"/>
              </w:rPr>
              <w:t>文件交换支持传送优先级，可根据文件大小、新旧、文件名、后缀、缓时传输等多种方式进行优先级排序传输</w:t>
            </w:r>
          </w:p>
        </w:tc>
      </w:tr>
      <w:tr w14:paraId="3C2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A736711"/>
        </w:tc>
        <w:tc>
          <w:tcPr>
            <w:tcW w:w="7336" w:type="dxa"/>
            <w:tcBorders>
              <w:left w:val="single" w:color="auto" w:sz="4" w:space="0"/>
            </w:tcBorders>
            <w:shd w:val="clear" w:color="auto" w:fill="auto"/>
            <w:vAlign w:val="center"/>
          </w:tcPr>
          <w:p w14:paraId="772CCD85">
            <w:pPr>
              <w:pStyle w:val="40"/>
              <w:bidi w:val="0"/>
              <w:rPr>
                <w:rFonts w:hint="eastAsia"/>
              </w:rPr>
            </w:pPr>
            <w:r>
              <w:rPr>
                <w:rFonts w:hint="eastAsia"/>
              </w:rPr>
              <w:t>支持实时监控文件同步进度、当前同步文件大小、已传输大小、花费时长、同步速率</w:t>
            </w:r>
          </w:p>
        </w:tc>
      </w:tr>
      <w:tr w14:paraId="433A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8B16096"/>
        </w:tc>
        <w:tc>
          <w:tcPr>
            <w:tcW w:w="7336" w:type="dxa"/>
            <w:tcBorders>
              <w:left w:val="single" w:color="auto" w:sz="4" w:space="0"/>
            </w:tcBorders>
            <w:shd w:val="clear" w:color="auto" w:fill="auto"/>
            <w:vAlign w:val="center"/>
          </w:tcPr>
          <w:p w14:paraId="794A598E">
            <w:pPr>
              <w:pStyle w:val="40"/>
              <w:bidi w:val="0"/>
              <w:rPr>
                <w:rFonts w:hint="eastAsia"/>
              </w:rPr>
            </w:pPr>
            <w:r>
              <w:rPr>
                <w:rFonts w:hint="eastAsia"/>
              </w:rPr>
              <w:t>支持文件同步记录统计，可以按照任务号分别统计源端文件数量、源端文件大小、发送文件数量、发送文件大小、接收文件数量、累计接收大小，可按照图表或者饼图进行呈现；（提供对应产品功能截图证明）</w:t>
            </w:r>
          </w:p>
        </w:tc>
      </w:tr>
      <w:tr w14:paraId="3A00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8AF4B2D"/>
        </w:tc>
        <w:tc>
          <w:tcPr>
            <w:tcW w:w="7336" w:type="dxa"/>
            <w:tcBorders>
              <w:left w:val="single" w:color="auto" w:sz="4" w:space="0"/>
            </w:tcBorders>
            <w:shd w:val="clear" w:color="auto" w:fill="auto"/>
            <w:vAlign w:val="center"/>
          </w:tcPr>
          <w:p w14:paraId="03FF293A">
            <w:pPr>
              <w:pStyle w:val="40"/>
              <w:bidi w:val="0"/>
              <w:rPr>
                <w:rFonts w:hint="eastAsia"/>
              </w:rPr>
            </w:pPr>
            <w:r>
              <w:rPr>
                <w:rFonts w:hint="eastAsia"/>
              </w:rPr>
              <w:t>支持目录结构同步，同步子目录、空目录删除、任务工作时间范围、开始时间、大小限制、任务优先级配置 </w:t>
            </w:r>
          </w:p>
        </w:tc>
      </w:tr>
      <w:tr w14:paraId="34E3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7EEA66F8">
            <w:pPr>
              <w:pStyle w:val="40"/>
              <w:bidi w:val="0"/>
              <w:rPr>
                <w:rFonts w:hint="eastAsia"/>
              </w:rPr>
            </w:pPr>
            <w:r>
              <w:rPr>
                <w:rFonts w:hint="eastAsia"/>
              </w:rPr>
              <w:t>数据库同步</w:t>
            </w:r>
          </w:p>
        </w:tc>
        <w:tc>
          <w:tcPr>
            <w:tcW w:w="7336" w:type="dxa"/>
            <w:tcBorders>
              <w:left w:val="single" w:color="auto" w:sz="4" w:space="0"/>
            </w:tcBorders>
            <w:shd w:val="clear" w:color="auto" w:fill="auto"/>
            <w:vAlign w:val="center"/>
          </w:tcPr>
          <w:p w14:paraId="6737A7DA">
            <w:pPr>
              <w:pStyle w:val="40"/>
              <w:bidi w:val="0"/>
              <w:rPr>
                <w:rFonts w:hint="eastAsia"/>
              </w:rPr>
            </w:pPr>
            <w:r>
              <w:rPr>
                <w:rFonts w:hint="eastAsia"/>
              </w:rPr>
              <w:t>数据库同步支持无客户端方式同步，无客户端方式同步由网闸设备主动发起并完成，不需要第三方软件支持</w:t>
            </w:r>
          </w:p>
        </w:tc>
      </w:tr>
      <w:tr w14:paraId="76E7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4ED603B"/>
        </w:tc>
        <w:tc>
          <w:tcPr>
            <w:tcW w:w="7336" w:type="dxa"/>
            <w:tcBorders>
              <w:left w:val="single" w:color="auto" w:sz="4" w:space="0"/>
            </w:tcBorders>
            <w:shd w:val="clear" w:color="auto" w:fill="auto"/>
            <w:vAlign w:val="center"/>
          </w:tcPr>
          <w:p w14:paraId="565FA0C1">
            <w:pPr>
              <w:pStyle w:val="40"/>
              <w:bidi w:val="0"/>
              <w:rPr>
                <w:rFonts w:hint="eastAsia"/>
              </w:rPr>
            </w:pPr>
            <w:r>
              <w:rPr>
                <w:rFonts w:hint="eastAsia"/>
              </w:rPr>
              <w:t>支持MySQL、ORACLE、ORACLE_RAC、SQLServer、DB2、SYBASE、POSTGRESQL等常见数据库，支持神通、达梦、人大金仓、南大通用等国产数据库同步</w:t>
            </w:r>
          </w:p>
        </w:tc>
      </w:tr>
      <w:tr w14:paraId="1AFF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1EAC86D"/>
        </w:tc>
        <w:tc>
          <w:tcPr>
            <w:tcW w:w="7336" w:type="dxa"/>
            <w:tcBorders>
              <w:left w:val="single" w:color="auto" w:sz="4" w:space="0"/>
            </w:tcBorders>
            <w:shd w:val="clear" w:color="auto" w:fill="auto"/>
            <w:vAlign w:val="center"/>
          </w:tcPr>
          <w:p w14:paraId="463FF83A">
            <w:pPr>
              <w:pStyle w:val="40"/>
              <w:bidi w:val="0"/>
              <w:rPr>
                <w:rFonts w:hint="eastAsia"/>
              </w:rPr>
            </w:pPr>
            <w:r>
              <w:rPr>
                <w:rFonts w:hint="eastAsia"/>
              </w:rPr>
              <w:t>支持数据库连接超时设置、读写超时设置、采集条数、批量提交条数、提交大小等设置</w:t>
            </w:r>
          </w:p>
        </w:tc>
      </w:tr>
      <w:tr w14:paraId="09AD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3699406"/>
        </w:tc>
        <w:tc>
          <w:tcPr>
            <w:tcW w:w="7336" w:type="dxa"/>
            <w:tcBorders>
              <w:left w:val="single" w:color="auto" w:sz="4" w:space="0"/>
            </w:tcBorders>
            <w:shd w:val="clear" w:color="auto" w:fill="auto"/>
            <w:vAlign w:val="center"/>
          </w:tcPr>
          <w:p w14:paraId="58E4D836">
            <w:pPr>
              <w:pStyle w:val="40"/>
              <w:bidi w:val="0"/>
              <w:rPr>
                <w:rFonts w:hint="eastAsia"/>
              </w:rPr>
            </w:pPr>
            <w:r>
              <w:rPr>
                <w:rFonts w:hint="eastAsia"/>
              </w:rPr>
              <w:t>支持数据库同步线程数配置，提升数据库同步性能；</w:t>
            </w:r>
          </w:p>
        </w:tc>
      </w:tr>
      <w:tr w14:paraId="3992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F5F388F"/>
        </w:tc>
        <w:tc>
          <w:tcPr>
            <w:tcW w:w="7336" w:type="dxa"/>
            <w:tcBorders>
              <w:left w:val="single" w:color="auto" w:sz="4" w:space="0"/>
            </w:tcBorders>
            <w:shd w:val="clear" w:color="auto" w:fill="auto"/>
            <w:vAlign w:val="center"/>
          </w:tcPr>
          <w:p w14:paraId="08F7FF24">
            <w:pPr>
              <w:pStyle w:val="40"/>
              <w:bidi w:val="0"/>
              <w:rPr>
                <w:rFonts w:hint="eastAsia"/>
              </w:rPr>
            </w:pPr>
            <w:r>
              <w:rPr>
                <w:rFonts w:hint="eastAsia"/>
              </w:rPr>
              <w:t>支持数据库同步任务监控，可按照百分比显示数据库当前同步进度、完成时间等</w:t>
            </w:r>
          </w:p>
        </w:tc>
      </w:tr>
      <w:tr w14:paraId="06E3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0195076"/>
        </w:tc>
        <w:tc>
          <w:tcPr>
            <w:tcW w:w="7336" w:type="dxa"/>
            <w:tcBorders>
              <w:left w:val="single" w:color="auto" w:sz="4" w:space="0"/>
            </w:tcBorders>
            <w:shd w:val="clear" w:color="auto" w:fill="auto"/>
            <w:vAlign w:val="center"/>
          </w:tcPr>
          <w:p w14:paraId="53D584BE">
            <w:pPr>
              <w:pStyle w:val="40"/>
              <w:bidi w:val="0"/>
              <w:rPr>
                <w:rFonts w:hint="eastAsia"/>
              </w:rPr>
            </w:pPr>
            <w:r>
              <w:rPr>
                <w:rFonts w:hint="eastAsia"/>
              </w:rPr>
              <w:t>数据同步支持增量更新、周期复制、实时复制、首次复制增量更新、增量源端删除</w:t>
            </w:r>
          </w:p>
        </w:tc>
      </w:tr>
      <w:tr w14:paraId="687A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54F4821B"/>
        </w:tc>
        <w:tc>
          <w:tcPr>
            <w:tcW w:w="7336" w:type="dxa"/>
            <w:tcBorders>
              <w:left w:val="single" w:color="auto" w:sz="4" w:space="0"/>
            </w:tcBorders>
            <w:shd w:val="clear" w:color="auto" w:fill="auto"/>
            <w:vAlign w:val="center"/>
          </w:tcPr>
          <w:p w14:paraId="12494D89">
            <w:pPr>
              <w:pStyle w:val="40"/>
              <w:bidi w:val="0"/>
              <w:rPr>
                <w:rFonts w:hint="eastAsia"/>
              </w:rPr>
            </w:pPr>
            <w:r>
              <w:rPr>
                <w:rFonts w:hint="eastAsia"/>
              </w:rPr>
              <w:t>支持一对一、一对多、多对一数据库同步；支持异构数据库同步，实现不同表结构和不同数据库类型之间的转化</w:t>
            </w:r>
          </w:p>
        </w:tc>
      </w:tr>
      <w:tr w14:paraId="025A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EBC1244"/>
        </w:tc>
        <w:tc>
          <w:tcPr>
            <w:tcW w:w="7336" w:type="dxa"/>
            <w:tcBorders>
              <w:left w:val="single" w:color="auto" w:sz="4" w:space="0"/>
            </w:tcBorders>
            <w:shd w:val="clear" w:color="auto" w:fill="auto"/>
            <w:vAlign w:val="center"/>
          </w:tcPr>
          <w:p w14:paraId="0466891B">
            <w:pPr>
              <w:pStyle w:val="40"/>
              <w:bidi w:val="0"/>
              <w:rPr>
                <w:rFonts w:hint="eastAsia"/>
              </w:rPr>
            </w:pPr>
            <w:r>
              <w:rPr>
                <w:rFonts w:hint="eastAsia"/>
              </w:rPr>
              <w:t>支持同步冲突策略，可自定义覆盖、丢弃冲突策略</w:t>
            </w:r>
          </w:p>
        </w:tc>
      </w:tr>
      <w:tr w14:paraId="6061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641A95B1">
            <w:pPr>
              <w:pStyle w:val="40"/>
              <w:bidi w:val="0"/>
              <w:rPr>
                <w:rFonts w:hint="eastAsia"/>
              </w:rPr>
            </w:pPr>
            <w:r>
              <w:rPr>
                <w:rFonts w:hint="eastAsia"/>
              </w:rPr>
              <w:t>邮件访问</w:t>
            </w:r>
          </w:p>
        </w:tc>
        <w:tc>
          <w:tcPr>
            <w:tcW w:w="7336" w:type="dxa"/>
            <w:tcBorders>
              <w:left w:val="single" w:color="auto" w:sz="4" w:space="0"/>
            </w:tcBorders>
            <w:shd w:val="clear" w:color="auto" w:fill="auto"/>
            <w:vAlign w:val="center"/>
          </w:tcPr>
          <w:p w14:paraId="41040E31">
            <w:pPr>
              <w:pStyle w:val="40"/>
              <w:bidi w:val="0"/>
              <w:rPr>
                <w:rFonts w:hint="eastAsia"/>
              </w:rPr>
            </w:pPr>
            <w:r>
              <w:rPr>
                <w:rFonts w:hint="eastAsia"/>
              </w:rPr>
              <w:t>支持SMTP、POP3、IMAP通用协议</w:t>
            </w:r>
          </w:p>
        </w:tc>
      </w:tr>
      <w:tr w14:paraId="47C5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017FF746"/>
        </w:tc>
        <w:tc>
          <w:tcPr>
            <w:tcW w:w="7336" w:type="dxa"/>
            <w:tcBorders>
              <w:left w:val="single" w:color="auto" w:sz="4" w:space="0"/>
            </w:tcBorders>
            <w:shd w:val="clear" w:color="auto" w:fill="auto"/>
            <w:vAlign w:val="center"/>
          </w:tcPr>
          <w:p w14:paraId="62CEF18F">
            <w:pPr>
              <w:pStyle w:val="40"/>
              <w:bidi w:val="0"/>
              <w:rPr>
                <w:rFonts w:hint="eastAsia"/>
              </w:rPr>
            </w:pPr>
            <w:r>
              <w:rPr>
                <w:rFonts w:hint="eastAsia"/>
              </w:rPr>
              <w:t>邮件访问功能可灵活设置工作时间，邮件附件大小</w:t>
            </w:r>
          </w:p>
        </w:tc>
      </w:tr>
      <w:tr w14:paraId="7BD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856172B"/>
        </w:tc>
        <w:tc>
          <w:tcPr>
            <w:tcW w:w="7336" w:type="dxa"/>
            <w:tcBorders>
              <w:left w:val="single" w:color="auto" w:sz="4" w:space="0"/>
            </w:tcBorders>
            <w:shd w:val="clear" w:color="auto" w:fill="auto"/>
            <w:vAlign w:val="center"/>
          </w:tcPr>
          <w:p w14:paraId="4AC0D993">
            <w:pPr>
              <w:pStyle w:val="40"/>
              <w:bidi w:val="0"/>
              <w:rPr>
                <w:rFonts w:hint="eastAsia"/>
              </w:rPr>
            </w:pPr>
            <w:r>
              <w:rPr>
                <w:rFonts w:hint="eastAsia"/>
              </w:rPr>
              <w:t>支持对附件及其附件类型进行过滤控制，邮件内容过滤、文档重建、病毒过滤</w:t>
            </w:r>
          </w:p>
        </w:tc>
      </w:tr>
      <w:tr w14:paraId="7BB7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0E534171">
            <w:pPr>
              <w:pStyle w:val="40"/>
              <w:bidi w:val="0"/>
              <w:rPr>
                <w:rFonts w:hint="eastAsia"/>
              </w:rPr>
            </w:pPr>
            <w:r>
              <w:rPr>
                <w:rFonts w:hint="eastAsia"/>
              </w:rPr>
              <w:t>数据库访问</w:t>
            </w:r>
          </w:p>
        </w:tc>
        <w:tc>
          <w:tcPr>
            <w:tcW w:w="7336" w:type="dxa"/>
            <w:tcBorders>
              <w:left w:val="single" w:color="auto" w:sz="4" w:space="0"/>
            </w:tcBorders>
            <w:shd w:val="clear" w:color="auto" w:fill="auto"/>
            <w:vAlign w:val="center"/>
          </w:tcPr>
          <w:p w14:paraId="086E5927">
            <w:pPr>
              <w:pStyle w:val="40"/>
              <w:bidi w:val="0"/>
              <w:rPr>
                <w:rFonts w:hint="eastAsia"/>
              </w:rPr>
            </w:pPr>
            <w:r>
              <w:rPr>
                <w:rFonts w:hint="eastAsia"/>
              </w:rPr>
              <w:t>支持MySQL、ORACLE、SQLServer、DB2、SYBASE、POSTGRESQL、达梦、神通、人大金仓等数据库的访问</w:t>
            </w:r>
          </w:p>
        </w:tc>
      </w:tr>
      <w:tr w14:paraId="6326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6DFF93A7"/>
        </w:tc>
        <w:tc>
          <w:tcPr>
            <w:tcW w:w="7336" w:type="dxa"/>
            <w:tcBorders>
              <w:left w:val="single" w:color="auto" w:sz="4" w:space="0"/>
            </w:tcBorders>
            <w:shd w:val="clear" w:color="auto" w:fill="auto"/>
            <w:vAlign w:val="center"/>
          </w:tcPr>
          <w:p w14:paraId="6DBD37B6">
            <w:pPr>
              <w:pStyle w:val="40"/>
              <w:bidi w:val="0"/>
              <w:rPr>
                <w:rFonts w:hint="eastAsia"/>
              </w:rPr>
            </w:pPr>
            <w:r>
              <w:rPr>
                <w:rFonts w:hint="eastAsia"/>
              </w:rPr>
              <w:t>支持数据库访问用户名过滤、数据库名、表控制等策略</w:t>
            </w:r>
          </w:p>
        </w:tc>
      </w:tr>
      <w:tr w14:paraId="64DB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0CEA40E"/>
        </w:tc>
        <w:tc>
          <w:tcPr>
            <w:tcW w:w="7336" w:type="dxa"/>
            <w:tcBorders>
              <w:left w:val="single" w:color="auto" w:sz="4" w:space="0"/>
            </w:tcBorders>
            <w:shd w:val="clear" w:color="auto" w:fill="auto"/>
            <w:vAlign w:val="center"/>
          </w:tcPr>
          <w:p w14:paraId="1DB06D60">
            <w:pPr>
              <w:pStyle w:val="40"/>
              <w:bidi w:val="0"/>
              <w:rPr>
                <w:rFonts w:hint="eastAsia"/>
              </w:rPr>
            </w:pPr>
            <w:r>
              <w:rPr>
                <w:rFonts w:hint="eastAsia"/>
              </w:rPr>
              <w:t>支持数据库命令控制，可对数据库语句进行过滤</w:t>
            </w:r>
          </w:p>
        </w:tc>
      </w:tr>
      <w:tr w14:paraId="3148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8EFAE15"/>
        </w:tc>
        <w:tc>
          <w:tcPr>
            <w:tcW w:w="7336" w:type="dxa"/>
            <w:tcBorders>
              <w:left w:val="single" w:color="auto" w:sz="4" w:space="0"/>
            </w:tcBorders>
            <w:shd w:val="clear" w:color="auto" w:fill="auto"/>
            <w:vAlign w:val="center"/>
          </w:tcPr>
          <w:p w14:paraId="79EAAB40">
            <w:pPr>
              <w:pStyle w:val="40"/>
              <w:bidi w:val="0"/>
              <w:rPr>
                <w:rFonts w:hint="eastAsia"/>
              </w:rPr>
            </w:pPr>
            <w:r>
              <w:rPr>
                <w:rFonts w:hint="eastAsia"/>
              </w:rPr>
              <w:t>支持数据库库名控制、数据库表控制，可以根据用户与数据库表对应关系，进行相应数据库操作过滤</w:t>
            </w:r>
          </w:p>
        </w:tc>
      </w:tr>
      <w:tr w14:paraId="4E8B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5F7DA60">
            <w:pPr>
              <w:pStyle w:val="40"/>
              <w:bidi w:val="0"/>
              <w:rPr>
                <w:rFonts w:hint="eastAsia"/>
              </w:rPr>
            </w:pPr>
            <w:r>
              <w:rPr>
                <w:rFonts w:hint="eastAsia"/>
              </w:rPr>
              <w:t>安全浏览</w:t>
            </w:r>
          </w:p>
        </w:tc>
        <w:tc>
          <w:tcPr>
            <w:tcW w:w="7336" w:type="dxa"/>
            <w:tcBorders>
              <w:left w:val="single" w:color="auto" w:sz="4" w:space="0"/>
            </w:tcBorders>
            <w:shd w:val="clear" w:color="auto" w:fill="auto"/>
            <w:vAlign w:val="center"/>
          </w:tcPr>
          <w:p w14:paraId="5A18BDA9">
            <w:pPr>
              <w:pStyle w:val="40"/>
              <w:bidi w:val="0"/>
              <w:rPr>
                <w:rFonts w:hint="eastAsia"/>
              </w:rPr>
            </w:pPr>
            <w:r>
              <w:rPr>
                <w:rFonts w:hint="eastAsia"/>
              </w:rPr>
              <w:t>安全浏览支持域名控制、源端控制、URL过滤、命令过滤、文件大小限制、用户认证</w:t>
            </w:r>
          </w:p>
        </w:tc>
      </w:tr>
      <w:tr w14:paraId="5E8A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129E8370"/>
        </w:tc>
        <w:tc>
          <w:tcPr>
            <w:tcW w:w="7336" w:type="dxa"/>
            <w:tcBorders>
              <w:left w:val="single" w:color="auto" w:sz="4" w:space="0"/>
            </w:tcBorders>
            <w:shd w:val="clear" w:color="auto" w:fill="auto"/>
            <w:vAlign w:val="center"/>
          </w:tcPr>
          <w:p w14:paraId="0FDE0999">
            <w:pPr>
              <w:pStyle w:val="40"/>
              <w:bidi w:val="0"/>
              <w:rPr>
                <w:rFonts w:hint="eastAsia"/>
              </w:rPr>
            </w:pPr>
            <w:r>
              <w:rPr>
                <w:rFonts w:hint="eastAsia"/>
              </w:rPr>
              <w:t>支持指定DNS服务器</w:t>
            </w:r>
          </w:p>
        </w:tc>
      </w:tr>
      <w:tr w14:paraId="6FA9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69409F15">
            <w:pPr>
              <w:pStyle w:val="40"/>
              <w:bidi w:val="0"/>
              <w:rPr>
                <w:rFonts w:hint="eastAsia"/>
              </w:rPr>
            </w:pPr>
            <w:r>
              <w:rPr>
                <w:rFonts w:hint="eastAsia"/>
              </w:rPr>
              <w:t>TCP/UDP访问</w:t>
            </w:r>
          </w:p>
        </w:tc>
        <w:tc>
          <w:tcPr>
            <w:tcW w:w="7336" w:type="dxa"/>
            <w:tcBorders>
              <w:left w:val="single" w:color="auto" w:sz="4" w:space="0"/>
            </w:tcBorders>
            <w:shd w:val="clear" w:color="auto" w:fill="auto"/>
            <w:vAlign w:val="center"/>
          </w:tcPr>
          <w:p w14:paraId="56B1D537">
            <w:pPr>
              <w:pStyle w:val="40"/>
              <w:bidi w:val="0"/>
              <w:rPr>
                <w:rFonts w:hint="eastAsia"/>
              </w:rPr>
            </w:pPr>
            <w:r>
              <w:rPr>
                <w:rFonts w:hint="eastAsia"/>
              </w:rPr>
              <w:t>支持TCP、UDP定制服务；支持源地址绑定、网络接口地址绑定功能</w:t>
            </w:r>
            <w:r>
              <w:rPr>
                <w:rFonts w:hint="eastAsia"/>
              </w:rPr>
              <w:br w:type="textWrapping"/>
            </w:r>
            <w:r>
              <w:rPr>
                <w:rFonts w:hint="eastAsia"/>
              </w:rPr>
              <w:t>支持源地址、源端口、目的地址、目的端口过滤功能、任务运行时间控制</w:t>
            </w:r>
          </w:p>
        </w:tc>
      </w:tr>
      <w:tr w14:paraId="799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3479D261"/>
        </w:tc>
        <w:tc>
          <w:tcPr>
            <w:tcW w:w="7336" w:type="dxa"/>
            <w:tcBorders>
              <w:left w:val="single" w:color="auto" w:sz="4" w:space="0"/>
            </w:tcBorders>
            <w:shd w:val="clear" w:color="auto" w:fill="auto"/>
            <w:vAlign w:val="center"/>
          </w:tcPr>
          <w:p w14:paraId="7DE398B3">
            <w:pPr>
              <w:pStyle w:val="40"/>
              <w:bidi w:val="0"/>
              <w:rPr>
                <w:rFonts w:hint="eastAsia"/>
              </w:rPr>
            </w:pPr>
            <w:r>
              <w:rPr>
                <w:rFonts w:hint="eastAsia"/>
              </w:rPr>
              <w:t>支持TCP、UDP业务数据统计，可按照秒、分钟展示发送速率、接受速率、连接数，并且可按照图表进行展示；（提供对应产品功能截图证明）</w:t>
            </w:r>
          </w:p>
        </w:tc>
      </w:tr>
      <w:tr w14:paraId="3B35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7237C816">
            <w:pPr>
              <w:pStyle w:val="40"/>
              <w:bidi w:val="0"/>
              <w:rPr>
                <w:rFonts w:hint="eastAsia"/>
              </w:rPr>
            </w:pPr>
            <w:r>
              <w:rPr>
                <w:rFonts w:hint="eastAsia"/>
              </w:rPr>
              <w:t>视频交换</w:t>
            </w:r>
          </w:p>
        </w:tc>
        <w:tc>
          <w:tcPr>
            <w:tcW w:w="7336" w:type="dxa"/>
            <w:tcBorders>
              <w:left w:val="single" w:color="auto" w:sz="4" w:space="0"/>
            </w:tcBorders>
            <w:shd w:val="clear" w:color="auto" w:fill="auto"/>
            <w:vAlign w:val="center"/>
          </w:tcPr>
          <w:p w14:paraId="7D13FB53">
            <w:pPr>
              <w:pStyle w:val="40"/>
              <w:bidi w:val="0"/>
              <w:rPr>
                <w:rFonts w:hint="eastAsia"/>
              </w:rPr>
            </w:pPr>
            <w:r>
              <w:rPr>
                <w:rFonts w:hint="eastAsia"/>
              </w:rPr>
              <w:t>支持28181、DB33标准、具备终端模式</w:t>
            </w:r>
          </w:p>
        </w:tc>
      </w:tr>
      <w:tr w14:paraId="353C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646083A"/>
        </w:tc>
        <w:tc>
          <w:tcPr>
            <w:tcW w:w="7336" w:type="dxa"/>
            <w:tcBorders>
              <w:left w:val="single" w:color="auto" w:sz="4" w:space="0"/>
            </w:tcBorders>
            <w:shd w:val="clear" w:color="auto" w:fill="auto"/>
            <w:vAlign w:val="center"/>
          </w:tcPr>
          <w:p w14:paraId="2E432D25">
            <w:pPr>
              <w:pStyle w:val="40"/>
              <w:bidi w:val="0"/>
              <w:rPr>
                <w:rFonts w:hint="eastAsia"/>
              </w:rPr>
            </w:pPr>
            <w:r>
              <w:rPr>
                <w:rFonts w:hint="eastAsia"/>
              </w:rPr>
              <w:t>支持指定最小端口、最大端口、心跳时间、心跳偏移等策略设定</w:t>
            </w:r>
          </w:p>
        </w:tc>
      </w:tr>
      <w:tr w14:paraId="5EF6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06B4B642">
            <w:pPr>
              <w:pStyle w:val="40"/>
              <w:bidi w:val="0"/>
              <w:rPr>
                <w:rFonts w:hint="eastAsia"/>
              </w:rPr>
            </w:pPr>
            <w:r>
              <w:rPr>
                <w:rFonts w:hint="eastAsia"/>
              </w:rPr>
              <w:t>日志审计</w:t>
            </w:r>
          </w:p>
        </w:tc>
        <w:tc>
          <w:tcPr>
            <w:tcW w:w="7336" w:type="dxa"/>
            <w:tcBorders>
              <w:left w:val="single" w:color="auto" w:sz="4" w:space="0"/>
            </w:tcBorders>
            <w:shd w:val="clear" w:color="auto" w:fill="auto"/>
            <w:vAlign w:val="center"/>
          </w:tcPr>
          <w:p w14:paraId="7A7E80FA">
            <w:pPr>
              <w:pStyle w:val="40"/>
              <w:bidi w:val="0"/>
              <w:rPr>
                <w:rFonts w:hint="eastAsia"/>
              </w:rPr>
            </w:pPr>
            <w:r>
              <w:rPr>
                <w:rFonts w:hint="eastAsia"/>
              </w:rPr>
              <w:t>支持FTP、SFTP、SMB、NFS等协议进行日志导出到指定服务器目录</w:t>
            </w:r>
          </w:p>
        </w:tc>
      </w:tr>
      <w:tr w14:paraId="0B8B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8096115"/>
        </w:tc>
        <w:tc>
          <w:tcPr>
            <w:tcW w:w="7336" w:type="dxa"/>
            <w:tcBorders>
              <w:left w:val="single" w:color="auto" w:sz="4" w:space="0"/>
            </w:tcBorders>
            <w:shd w:val="clear" w:color="auto" w:fill="auto"/>
            <w:vAlign w:val="center"/>
          </w:tcPr>
          <w:p w14:paraId="72449AFE">
            <w:pPr>
              <w:pStyle w:val="40"/>
              <w:bidi w:val="0"/>
              <w:rPr>
                <w:rFonts w:hint="eastAsia"/>
              </w:rPr>
            </w:pPr>
            <w:r>
              <w:rPr>
                <w:rFonts w:hint="eastAsia"/>
              </w:rPr>
              <w:t>支持安全审计能力，可通过自定义时间、任务名称 、文件名称、文件类型、文件大小类型、源目的文件路径、源目IP等详细字段追溯业务数据流向，可自定义配置查询条件，查询条件策略可以自定义设置；（提供对应产品功能截图证明）</w:t>
            </w:r>
          </w:p>
        </w:tc>
      </w:tr>
      <w:tr w14:paraId="47DA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214EBE52">
            <w:pPr>
              <w:pStyle w:val="40"/>
              <w:bidi w:val="0"/>
              <w:rPr>
                <w:rFonts w:hint="eastAsia"/>
              </w:rPr>
            </w:pPr>
            <w:r>
              <w:rPr>
                <w:rFonts w:hint="eastAsia"/>
              </w:rPr>
              <w:t>告警管理</w:t>
            </w:r>
          </w:p>
        </w:tc>
        <w:tc>
          <w:tcPr>
            <w:tcW w:w="7336" w:type="dxa"/>
            <w:tcBorders>
              <w:left w:val="single" w:color="auto" w:sz="4" w:space="0"/>
            </w:tcBorders>
            <w:shd w:val="clear" w:color="auto" w:fill="auto"/>
            <w:vAlign w:val="center"/>
          </w:tcPr>
          <w:p w14:paraId="2340C1A8">
            <w:pPr>
              <w:pStyle w:val="40"/>
              <w:bidi w:val="0"/>
              <w:rPr>
                <w:rFonts w:hint="eastAsia"/>
              </w:rPr>
            </w:pPr>
            <w:r>
              <w:rPr>
                <w:rFonts w:hint="eastAsia"/>
              </w:rPr>
              <w:t>支持按照功能模块，灵活开启告警功能，支持邮件告警、日志告警、SNMP等告警方式</w:t>
            </w:r>
          </w:p>
        </w:tc>
      </w:tr>
      <w:tr w14:paraId="33B3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vMerge w:val="continue"/>
            <w:shd w:val="clear" w:color="auto" w:fill="auto"/>
            <w:noWrap/>
          </w:tcPr>
          <w:p w14:paraId="650555BC"/>
        </w:tc>
        <w:tc>
          <w:tcPr>
            <w:tcW w:w="7336" w:type="dxa"/>
            <w:tcBorders>
              <w:left w:val="single" w:color="auto" w:sz="4" w:space="0"/>
            </w:tcBorders>
            <w:shd w:val="clear" w:color="auto" w:fill="auto"/>
            <w:vAlign w:val="center"/>
          </w:tcPr>
          <w:p w14:paraId="6E1579EB">
            <w:pPr>
              <w:pStyle w:val="40"/>
              <w:bidi w:val="0"/>
              <w:rPr>
                <w:rFonts w:hint="eastAsia"/>
              </w:rPr>
            </w:pPr>
            <w:r>
              <w:rPr>
                <w:rFonts w:hint="eastAsia"/>
              </w:rPr>
              <w:t>支持告警阈值灵活设置，可分别独立设置内存、CPU、硬盘、TCP等三级阈值，提供不同等级的告警要求</w:t>
            </w:r>
          </w:p>
        </w:tc>
      </w:tr>
      <w:tr w14:paraId="54DF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3B00BBC9">
            <w:pPr>
              <w:pStyle w:val="40"/>
              <w:bidi w:val="0"/>
              <w:rPr>
                <w:rFonts w:hint="eastAsia"/>
              </w:rPr>
            </w:pPr>
            <w:r>
              <w:rPr>
                <w:rFonts w:hint="eastAsia"/>
              </w:rPr>
              <w:t>负载均衡</w:t>
            </w:r>
          </w:p>
        </w:tc>
        <w:tc>
          <w:tcPr>
            <w:tcW w:w="7336" w:type="dxa"/>
            <w:tcBorders>
              <w:left w:val="single" w:color="auto" w:sz="4" w:space="0"/>
            </w:tcBorders>
            <w:shd w:val="clear" w:color="auto" w:fill="auto"/>
            <w:vAlign w:val="center"/>
          </w:tcPr>
          <w:p w14:paraId="169C6C20">
            <w:pPr>
              <w:pStyle w:val="40"/>
              <w:bidi w:val="0"/>
              <w:rPr>
                <w:rFonts w:hint="eastAsia"/>
              </w:rPr>
            </w:pPr>
            <w:r>
              <w:rPr>
                <w:rFonts w:hint="eastAsia"/>
              </w:rPr>
              <w:t>支持双机负载时，可查看当前业务负载情况，连接数等</w:t>
            </w:r>
          </w:p>
        </w:tc>
      </w:tr>
      <w:tr w14:paraId="218C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76766A5E"/>
        </w:tc>
        <w:tc>
          <w:tcPr>
            <w:tcW w:w="7336" w:type="dxa"/>
            <w:tcBorders>
              <w:left w:val="single" w:color="auto" w:sz="4" w:space="0"/>
            </w:tcBorders>
            <w:shd w:val="clear" w:color="auto" w:fill="auto"/>
            <w:vAlign w:val="center"/>
          </w:tcPr>
          <w:p w14:paraId="470E4D74">
            <w:pPr>
              <w:pStyle w:val="40"/>
              <w:bidi w:val="0"/>
              <w:rPr>
                <w:rFonts w:hint="eastAsia"/>
              </w:rPr>
            </w:pPr>
            <w:r>
              <w:rPr>
                <w:rFonts w:hint="eastAsia"/>
              </w:rPr>
              <w:t>双机检测支持网络层检测、传输层检测，可灵活设置端口、超时时间，可灵活设置抢占模式或非抢占模式</w:t>
            </w:r>
          </w:p>
        </w:tc>
      </w:tr>
      <w:tr w14:paraId="37F2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5682B11A">
            <w:pPr>
              <w:pStyle w:val="40"/>
              <w:bidi w:val="0"/>
              <w:rPr>
                <w:rFonts w:hint="eastAsia"/>
              </w:rPr>
            </w:pPr>
            <w:r>
              <w:rPr>
                <w:rFonts w:hint="eastAsia"/>
              </w:rPr>
              <w:t>病毒防护</w:t>
            </w:r>
          </w:p>
        </w:tc>
        <w:tc>
          <w:tcPr>
            <w:tcW w:w="7336" w:type="dxa"/>
            <w:tcBorders>
              <w:left w:val="single" w:color="auto" w:sz="4" w:space="0"/>
            </w:tcBorders>
            <w:shd w:val="clear" w:color="auto" w:fill="auto"/>
            <w:vAlign w:val="center"/>
          </w:tcPr>
          <w:p w14:paraId="310B76F0">
            <w:pPr>
              <w:pStyle w:val="40"/>
              <w:bidi w:val="0"/>
              <w:rPr>
                <w:rFonts w:hint="eastAsia"/>
              </w:rPr>
            </w:pPr>
            <w:r>
              <w:rPr>
                <w:rFonts w:hint="eastAsia"/>
              </w:rPr>
              <w:t>支持异构双引擎病毒模块，可根据用户需求选择需要的病毒引擎，支持云查杀模式，可联动云端文件鉴定中心，预判文件安全风险，防止恶意文件通过网闸进入内网，提供高中低不同级别阻断策略；（提供对应产品功能截图证明）</w:t>
            </w:r>
          </w:p>
        </w:tc>
      </w:tr>
      <w:tr w14:paraId="23FE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614BBD47">
            <w:pPr>
              <w:pStyle w:val="40"/>
              <w:bidi w:val="0"/>
              <w:rPr>
                <w:rFonts w:hint="eastAsia"/>
              </w:rPr>
            </w:pPr>
            <w:r>
              <w:rPr>
                <w:rFonts w:hint="eastAsia"/>
              </w:rPr>
              <w:t>安全防护</w:t>
            </w:r>
          </w:p>
        </w:tc>
        <w:tc>
          <w:tcPr>
            <w:tcW w:w="7336" w:type="dxa"/>
            <w:tcBorders>
              <w:left w:val="single" w:color="auto" w:sz="4" w:space="0"/>
            </w:tcBorders>
            <w:shd w:val="clear" w:color="auto" w:fill="auto"/>
            <w:vAlign w:val="center"/>
          </w:tcPr>
          <w:p w14:paraId="1D6EBF60">
            <w:pPr>
              <w:pStyle w:val="40"/>
              <w:bidi w:val="0"/>
              <w:rPr>
                <w:rFonts w:hint="eastAsia"/>
              </w:rPr>
            </w:pPr>
            <w:r>
              <w:rPr>
                <w:rFonts w:hint="eastAsia"/>
              </w:rPr>
              <w:t>支持tcp flood、udp flood攻击防护</w:t>
            </w:r>
          </w:p>
        </w:tc>
      </w:tr>
      <w:tr w14:paraId="731B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460CC94A"/>
        </w:tc>
        <w:tc>
          <w:tcPr>
            <w:tcW w:w="7336" w:type="dxa"/>
            <w:tcBorders>
              <w:left w:val="single" w:color="auto" w:sz="4" w:space="0"/>
            </w:tcBorders>
            <w:shd w:val="clear" w:color="auto" w:fill="auto"/>
            <w:vAlign w:val="center"/>
          </w:tcPr>
          <w:p w14:paraId="4C39C8CB">
            <w:pPr>
              <w:pStyle w:val="40"/>
              <w:bidi w:val="0"/>
              <w:rPr>
                <w:rFonts w:hint="eastAsia"/>
              </w:rPr>
            </w:pPr>
            <w:r>
              <w:rPr>
                <w:rFonts w:hint="eastAsia"/>
              </w:rPr>
              <w:t>支持设定防护范围，根据地址、端口、每秒最大连接数、每秒包个数等参数，并在触发范围时，自动触发防护动作</w:t>
            </w:r>
          </w:p>
        </w:tc>
      </w:tr>
      <w:tr w14:paraId="6661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vMerge w:val="restart"/>
            <w:shd w:val="clear" w:color="auto" w:fill="auto"/>
            <w:noWrap/>
            <w:vAlign w:val="center"/>
          </w:tcPr>
          <w:p w14:paraId="0E788D5C">
            <w:pPr>
              <w:pStyle w:val="40"/>
              <w:bidi w:val="0"/>
              <w:rPr>
                <w:rFonts w:hint="eastAsia"/>
              </w:rPr>
            </w:pPr>
            <w:r>
              <w:rPr>
                <w:rFonts w:hint="eastAsia"/>
              </w:rPr>
              <w:t>产品资质</w:t>
            </w:r>
          </w:p>
        </w:tc>
        <w:tc>
          <w:tcPr>
            <w:tcW w:w="7336" w:type="dxa"/>
            <w:tcBorders>
              <w:left w:val="single" w:color="auto" w:sz="4" w:space="0"/>
            </w:tcBorders>
            <w:shd w:val="clear" w:color="auto" w:fill="auto"/>
            <w:vAlign w:val="center"/>
          </w:tcPr>
          <w:p w14:paraId="61D61253">
            <w:pPr>
              <w:pStyle w:val="40"/>
              <w:bidi w:val="0"/>
              <w:rPr>
                <w:rFonts w:hint="eastAsia"/>
              </w:rPr>
            </w:pPr>
            <w:r>
              <w:rPr>
                <w:rFonts w:hint="eastAsia"/>
              </w:rPr>
              <w:t>具有</w:t>
            </w:r>
            <w:r>
              <w:t>中国网络安全审查认证和市场监管大数据中心(原中国网络安全审查技术与认证中心)颁发的《网络关键设备和网络安全专用产品安全认证证书》</w:t>
            </w:r>
            <w:r>
              <w:rPr>
                <w:rFonts w:hint="eastAsia"/>
              </w:rPr>
              <w:t>。（提供证书复印件并加盖设备制造商公章）。</w:t>
            </w:r>
          </w:p>
        </w:tc>
      </w:tr>
      <w:tr w14:paraId="6E0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vMerge w:val="continue"/>
            <w:shd w:val="clear" w:color="auto" w:fill="auto"/>
            <w:noWrap/>
          </w:tcPr>
          <w:p w14:paraId="2A9F4E5F"/>
        </w:tc>
        <w:tc>
          <w:tcPr>
            <w:tcW w:w="7336" w:type="dxa"/>
            <w:tcBorders>
              <w:left w:val="single" w:color="auto" w:sz="4" w:space="0"/>
            </w:tcBorders>
            <w:shd w:val="clear" w:color="auto" w:fill="auto"/>
            <w:vAlign w:val="center"/>
          </w:tcPr>
          <w:p w14:paraId="4204583A">
            <w:pPr>
              <w:pStyle w:val="40"/>
              <w:bidi w:val="0"/>
              <w:rPr>
                <w:rFonts w:hint="eastAsia"/>
              </w:rPr>
            </w:pPr>
            <w:r>
              <w:rPr>
                <w:rFonts w:hint="eastAsia"/>
              </w:rPr>
              <w:t>产品获得《国家信息安全测评信息技术产品安全测评证书》（级别为EAL4+或以上）。（提供有效证书复印件，加盖制造商公章）</w:t>
            </w:r>
          </w:p>
        </w:tc>
      </w:tr>
      <w:tr w14:paraId="59A5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noWrap/>
            <w:vAlign w:val="center"/>
          </w:tcPr>
          <w:p w14:paraId="5CCE079C">
            <w:pPr>
              <w:pStyle w:val="40"/>
              <w:bidi w:val="0"/>
              <w:rPr>
                <w:rFonts w:hint="eastAsia"/>
              </w:rPr>
            </w:pPr>
            <w:r>
              <w:rPr>
                <w:rFonts w:hint="eastAsia"/>
              </w:rPr>
              <w:t>制造商资质</w:t>
            </w:r>
          </w:p>
        </w:tc>
        <w:tc>
          <w:tcPr>
            <w:tcW w:w="7336" w:type="dxa"/>
            <w:tcBorders>
              <w:left w:val="single" w:color="auto" w:sz="4" w:space="0"/>
            </w:tcBorders>
            <w:shd w:val="clear" w:color="auto" w:fill="auto"/>
            <w:vAlign w:val="center"/>
          </w:tcPr>
          <w:p w14:paraId="7A8FD95E">
            <w:pPr>
              <w:pStyle w:val="40"/>
              <w:bidi w:val="0"/>
              <w:rPr>
                <w:rFonts w:hint="eastAsia"/>
              </w:rPr>
            </w:pPr>
            <w:r>
              <w:rPr>
                <w:rFonts w:hint="eastAsia"/>
              </w:rPr>
              <w:t>产品制造商具有中国信息安全测评中心颁发的国家信息安全测评信息安全服务资质证书（安全工程类三级或以上）。（提供有效证书复印件，加盖制造商公章）</w:t>
            </w:r>
          </w:p>
        </w:tc>
      </w:tr>
      <w:tr w14:paraId="6E39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6" w:type="dxa"/>
            <w:shd w:val="clear" w:color="auto" w:fill="auto"/>
            <w:vAlign w:val="center"/>
          </w:tcPr>
          <w:p w14:paraId="3FACDF29">
            <w:pPr>
              <w:pStyle w:val="40"/>
              <w:bidi w:val="0"/>
              <w:rPr>
                <w:rFonts w:hint="eastAsia"/>
              </w:rPr>
            </w:pPr>
            <w:r>
              <w:rPr>
                <w:rFonts w:hint="eastAsia"/>
              </w:rPr>
              <w:t>服务</w:t>
            </w:r>
          </w:p>
        </w:tc>
        <w:tc>
          <w:tcPr>
            <w:tcW w:w="7336" w:type="dxa"/>
            <w:tcBorders>
              <w:left w:val="single" w:color="auto" w:sz="4" w:space="0"/>
            </w:tcBorders>
            <w:shd w:val="clear" w:color="auto" w:fill="auto"/>
            <w:vAlign w:val="center"/>
          </w:tcPr>
          <w:p w14:paraId="390BC647">
            <w:pPr>
              <w:pStyle w:val="40"/>
              <w:bidi w:val="0"/>
              <w:rPr>
                <w:rFonts w:hint="eastAsia"/>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7B32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6" w:type="dxa"/>
            <w:shd w:val="clear" w:color="auto" w:fill="auto"/>
            <w:vAlign w:val="center"/>
          </w:tcPr>
          <w:p w14:paraId="53AC05F2">
            <w:pPr>
              <w:pStyle w:val="40"/>
              <w:bidi w:val="0"/>
              <w:rPr>
                <w:rFonts w:hint="eastAsia"/>
              </w:rPr>
            </w:pPr>
            <w:r>
              <w:rPr>
                <w:rFonts w:hint="eastAsia"/>
              </w:rPr>
              <w:t>数量(台)</w:t>
            </w:r>
          </w:p>
        </w:tc>
        <w:tc>
          <w:tcPr>
            <w:tcW w:w="7336" w:type="dxa"/>
            <w:tcBorders>
              <w:left w:val="single" w:color="auto" w:sz="4" w:space="0"/>
            </w:tcBorders>
            <w:shd w:val="clear" w:color="auto" w:fill="auto"/>
            <w:vAlign w:val="center"/>
          </w:tcPr>
          <w:p w14:paraId="211523B4">
            <w:pPr>
              <w:pStyle w:val="40"/>
              <w:bidi w:val="0"/>
              <w:rPr>
                <w:rFonts w:hint="eastAsia"/>
              </w:rPr>
            </w:pPr>
            <w:r>
              <w:rPr>
                <w:rFonts w:hint="eastAsia"/>
              </w:rPr>
              <w:t>2</w:t>
            </w:r>
          </w:p>
        </w:tc>
      </w:tr>
    </w:tbl>
    <w:p w14:paraId="558F6A1B">
      <w:pPr>
        <w:ind w:left="0" w:firstLine="420" w:firstLineChars="200"/>
        <w:rPr>
          <w:color w:val="000000"/>
          <w:highlight w:val="none"/>
        </w:rPr>
      </w:pPr>
      <w:r>
        <w:rPr>
          <w:rFonts w:hint="eastAsia"/>
          <w:color w:val="000000"/>
          <w:highlight w:val="none"/>
        </w:rPr>
        <w:t>响应人需提供上述参数要求中的</w:t>
      </w:r>
      <w:r>
        <w:rPr>
          <w:rFonts w:hint="eastAsia" w:ascii="宋体" w:hAnsi="宋体" w:cs="宋体"/>
          <w:color w:val="000000"/>
          <w:szCs w:val="21"/>
          <w:highlight w:val="none"/>
        </w:rPr>
        <w:t>检测报告复印件</w:t>
      </w:r>
      <w:r>
        <w:rPr>
          <w:rFonts w:hint="eastAsia"/>
          <w:color w:val="000000"/>
          <w:highlight w:val="none"/>
        </w:rPr>
        <w:t>、截图、资质证书复印件及证明文件等</w:t>
      </w:r>
      <w:r>
        <w:rPr>
          <w:rFonts w:hint="eastAsia" w:ascii="宋体" w:hAnsi="宋体" w:cs="宋体"/>
          <w:color w:val="000000"/>
          <w:szCs w:val="21"/>
          <w:highlight w:val="none"/>
        </w:rPr>
        <w:t>并加盖原厂公章</w:t>
      </w:r>
      <w:r>
        <w:rPr>
          <w:rFonts w:hint="eastAsia"/>
          <w:color w:val="000000"/>
          <w:highlight w:val="none"/>
        </w:rPr>
        <w:t>【提供满足参数要求的证明文件】</w:t>
      </w:r>
      <w:r>
        <w:rPr>
          <w:color w:val="000000"/>
          <w:highlight w:val="none"/>
        </w:rPr>
        <w:t>。</w:t>
      </w:r>
    </w:p>
    <w:p w14:paraId="10EC785C">
      <w:pPr>
        <w:ind w:left="0" w:firstLine="420" w:firstLineChars="200"/>
        <w:rPr>
          <w:color w:val="000000"/>
          <w:highlight w:val="none"/>
        </w:rPr>
      </w:pPr>
      <w:r>
        <w:rPr>
          <w:rFonts w:hint="eastAsia"/>
          <w:color w:val="000000"/>
          <w:highlight w:val="none"/>
        </w:rPr>
        <w:t>采购人有权要求第一候选人在询比公示发出后5个工作日内提供佐证材料原件并对所投产品进行功能测试。第一候选人所投产品测试结果不能满足技术参数要求，却在响应文件中响应无偏离或正偏离的，视为虚假响应。采购人有权拒绝与之签订合同，第一候选人须承担相应法律责任和因此行为给采购人造成的经济损失。</w:t>
      </w:r>
    </w:p>
    <w:p w14:paraId="4383E2B7">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4.</w:t>
      </w:r>
      <w:r>
        <w:rPr>
          <w:rFonts w:hint="eastAsia"/>
          <w:highlight w:val="none"/>
        </w:rPr>
        <w:t>其他</w:t>
      </w:r>
      <w:r>
        <w:rPr>
          <w:highlight w:val="none"/>
        </w:rPr>
        <w:t>技术要求</w:t>
      </w:r>
    </w:p>
    <w:p w14:paraId="13C3603E">
      <w:pPr>
        <w:rPr>
          <w:color w:val="000000"/>
          <w:highlight w:val="none"/>
        </w:rPr>
      </w:pPr>
      <w:bookmarkStart w:id="51" w:name="_Toc15059418"/>
      <w:bookmarkStart w:id="52" w:name="_Toc89675144"/>
      <w:r>
        <w:rPr>
          <w:color w:val="000000"/>
          <w:highlight w:val="none"/>
        </w:rPr>
        <w:t>1</w:t>
      </w:r>
      <w:r>
        <w:rPr>
          <w:rFonts w:hint="eastAsia"/>
          <w:color w:val="000000"/>
          <w:highlight w:val="none"/>
        </w:rPr>
        <w:t>）不对系统许可（license）做限制。</w:t>
      </w:r>
    </w:p>
    <w:p w14:paraId="73AD3A1D">
      <w:pPr>
        <w:rPr>
          <w:color w:val="000000"/>
          <w:highlight w:val="none"/>
        </w:rPr>
      </w:pPr>
      <w:r>
        <w:rPr>
          <w:color w:val="000000"/>
          <w:highlight w:val="none"/>
        </w:rPr>
        <w:t>2</w:t>
      </w:r>
      <w:r>
        <w:rPr>
          <w:rFonts w:hint="eastAsia"/>
          <w:color w:val="000000"/>
          <w:highlight w:val="none"/>
        </w:rPr>
        <w:t>）需支持IPV6协议。</w:t>
      </w:r>
    </w:p>
    <w:p w14:paraId="4A3C7645">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5.</w:t>
      </w:r>
      <w:r>
        <w:rPr>
          <w:rFonts w:hint="eastAsia"/>
          <w:highlight w:val="none"/>
        </w:rPr>
        <w:t>交付周期、地点</w:t>
      </w:r>
      <w:bookmarkEnd w:id="51"/>
      <w:bookmarkEnd w:id="52"/>
    </w:p>
    <w:p w14:paraId="2CB203A8">
      <w:pPr>
        <w:pStyle w:val="4"/>
        <w:rPr>
          <w:highlight w:val="none"/>
        </w:rPr>
      </w:pPr>
      <w:bookmarkStart w:id="53" w:name="_Toc89675146"/>
      <w:bookmarkStart w:id="54" w:name="_Toc15059420"/>
      <w:bookmarkStart w:id="55" w:name="_Toc440628915"/>
      <w:bookmarkStart w:id="56" w:name="_Toc1125"/>
      <w:bookmarkStart w:id="57" w:name="_Toc387826347"/>
      <w:bookmarkStart w:id="58" w:name="_Toc432254881"/>
      <w:r>
        <w:rPr>
          <w:highlight w:val="none"/>
        </w:rPr>
        <w:t>5</w:t>
      </w:r>
      <w:r>
        <w:rPr>
          <w:rFonts w:hint="eastAsia"/>
          <w:highlight w:val="none"/>
        </w:rPr>
        <w:t>.1 交付时间</w:t>
      </w:r>
    </w:p>
    <w:p w14:paraId="1D2A96D7">
      <w:pPr>
        <w:rPr>
          <w:highlight w:val="none"/>
        </w:rPr>
      </w:pPr>
      <w:r>
        <w:rPr>
          <w:rFonts w:hint="eastAsia"/>
          <w:highlight w:val="none"/>
        </w:rPr>
        <w:t>本项目设备的交付周期为45个自然日，原则上以</w:t>
      </w:r>
      <w:r>
        <w:rPr>
          <w:highlight w:val="none"/>
        </w:rPr>
        <w:t>合同签订</w:t>
      </w:r>
      <w:r>
        <w:rPr>
          <w:rFonts w:hint="eastAsia"/>
          <w:highlight w:val="none"/>
        </w:rPr>
        <w:t>之日起开始计算。</w:t>
      </w:r>
    </w:p>
    <w:p w14:paraId="7C91D82B">
      <w:pPr>
        <w:pStyle w:val="4"/>
        <w:rPr>
          <w:highlight w:val="none"/>
        </w:rPr>
      </w:pPr>
      <w:r>
        <w:rPr>
          <w:highlight w:val="none"/>
        </w:rPr>
        <w:t>5</w:t>
      </w:r>
      <w:r>
        <w:rPr>
          <w:rFonts w:hint="eastAsia"/>
          <w:highlight w:val="none"/>
        </w:rPr>
        <w:t>.2 实施及交付地点</w:t>
      </w:r>
    </w:p>
    <w:p w14:paraId="14E827FC">
      <w:pPr>
        <w:rPr>
          <w:highlight w:val="none"/>
        </w:rPr>
      </w:pPr>
      <w:r>
        <w:rPr>
          <w:rFonts w:hint="eastAsia"/>
          <w:highlight w:val="none"/>
        </w:rPr>
        <w:t>重庆市。</w:t>
      </w:r>
    </w:p>
    <w:p w14:paraId="01F26AAA">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6.</w:t>
      </w:r>
      <w:r>
        <w:rPr>
          <w:rFonts w:hint="eastAsia"/>
          <w:highlight w:val="none"/>
        </w:rPr>
        <w:t>售后服务和支持</w:t>
      </w:r>
    </w:p>
    <w:p w14:paraId="1F697028">
      <w:pPr>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11BE1D3E">
      <w:pPr>
        <w:rPr>
          <w:highlight w:val="none"/>
        </w:rPr>
      </w:pPr>
      <w:r>
        <w:rPr>
          <w:rFonts w:hint="eastAsia"/>
          <w:highlight w:val="none"/>
        </w:rPr>
        <w:t>2）为采购人提供维保前咨询服务。</w:t>
      </w:r>
    </w:p>
    <w:p w14:paraId="70995530">
      <w:pPr>
        <w:rPr>
          <w:highlight w:val="none"/>
        </w:rPr>
      </w:pPr>
      <w:r>
        <w:rPr>
          <w:rFonts w:hint="eastAsia"/>
          <w:highlight w:val="none"/>
        </w:rPr>
        <w:t>3）维保服务质量保证期以生产企业的有效承诺为准。</w:t>
      </w:r>
    </w:p>
    <w:p w14:paraId="1099E063">
      <w:pPr>
        <w:rPr>
          <w:highlight w:val="none"/>
        </w:rPr>
      </w:pPr>
      <w:r>
        <w:rPr>
          <w:rFonts w:hint="eastAsia"/>
          <w:highlight w:val="none"/>
        </w:rPr>
        <w:t>4）对维保范围内设备进行定期维护保养外，在接到采购人设备故障的通知后应及时派人前往维护解决（主城区2小时到现场，远郊区4小时到现场，如需更换故障设备零部件，须在48小时内完成）。</w:t>
      </w:r>
    </w:p>
    <w:p w14:paraId="2276C9A1">
      <w:pPr>
        <w:rPr>
          <w:snapToGrid w:val="0"/>
          <w:color w:val="auto"/>
          <w:highlight w:val="none"/>
        </w:rPr>
      </w:pPr>
      <w:r>
        <w:rPr>
          <w:rFonts w:hint="eastAsia"/>
          <w:color w:val="auto"/>
          <w:highlight w:val="none"/>
        </w:rPr>
        <w:t>5）</w:t>
      </w:r>
      <w:r>
        <w:rPr>
          <w:rFonts w:hint="eastAsia" w:ascii="Times New Roman" w:hAnsi="Times New Roman"/>
          <w:color w:val="auto"/>
          <w:highlight w:val="none"/>
        </w:rPr>
        <w:t>本项目自</w:t>
      </w:r>
      <w:r>
        <w:rPr>
          <w:rFonts w:ascii="Times New Roman" w:hAnsi="Times New Roman"/>
          <w:color w:val="auto"/>
          <w:highlight w:val="none"/>
        </w:rPr>
        <w:t>设备签收之日</w:t>
      </w:r>
      <w:r>
        <w:rPr>
          <w:rFonts w:hint="eastAsia" w:ascii="Times New Roman" w:hAnsi="Times New Roman"/>
          <w:color w:val="auto"/>
          <w:highlight w:val="none"/>
        </w:rPr>
        <w:t>起，免费维保期要求为</w:t>
      </w:r>
      <w:r>
        <w:rPr>
          <w:rFonts w:ascii="Times New Roman" w:hAnsi="Times New Roman"/>
          <w:color w:val="auto"/>
          <w:highlight w:val="none"/>
        </w:rPr>
        <w:t>5</w:t>
      </w:r>
      <w:r>
        <w:rPr>
          <w:rFonts w:hint="eastAsia" w:ascii="Times New Roman" w:hAnsi="Times New Roman"/>
          <w:color w:val="auto"/>
          <w:highlight w:val="none"/>
        </w:rPr>
        <w:t>年</w:t>
      </w:r>
      <w:r>
        <w:rPr>
          <w:rFonts w:ascii="Times New Roman" w:hAnsi="Times New Roman"/>
          <w:color w:val="auto"/>
          <w:highlight w:val="none"/>
        </w:rPr>
        <w:t>，并承诺免费</w:t>
      </w:r>
      <w:r>
        <w:rPr>
          <w:color w:val="auto"/>
          <w:highlight w:val="none"/>
        </w:rPr>
        <w:t>维保期到期后</w:t>
      </w:r>
      <w:r>
        <w:rPr>
          <w:rFonts w:hint="eastAsia"/>
          <w:snapToGrid w:val="0"/>
          <w:color w:val="auto"/>
          <w:highlight w:val="none"/>
        </w:rPr>
        <w:t>维保费每年不超过该产品</w:t>
      </w:r>
      <w:r>
        <w:rPr>
          <w:rFonts w:hint="eastAsia"/>
          <w:color w:val="auto"/>
          <w:highlight w:val="none"/>
        </w:rPr>
        <w:t>响应价格</w:t>
      </w:r>
      <w:r>
        <w:rPr>
          <w:snapToGrid w:val="0"/>
          <w:color w:val="auto"/>
          <w:highlight w:val="none"/>
        </w:rPr>
        <w:t>10%。</w:t>
      </w:r>
    </w:p>
    <w:p w14:paraId="49926412">
      <w:pPr>
        <w:rPr>
          <w:rFonts w:hint="eastAsia" w:eastAsia="宋体"/>
          <w:snapToGrid w:val="0"/>
          <w:color w:val="auto"/>
          <w:highlight w:val="none"/>
          <w:lang w:eastAsia="zh-CN"/>
        </w:rPr>
      </w:pPr>
      <w:r>
        <w:rPr>
          <w:rFonts w:hint="eastAsia"/>
          <w:snapToGrid w:val="0"/>
          <w:color w:val="auto"/>
          <w:highlight w:val="none"/>
          <w:lang w:eastAsia="zh-CN"/>
        </w:rPr>
        <w:t>【</w:t>
      </w:r>
      <w:r>
        <w:rPr>
          <w:rFonts w:hint="eastAsia"/>
          <w:snapToGrid w:val="0"/>
          <w:color w:val="auto"/>
          <w:highlight w:val="none"/>
          <w:lang w:val="en-US" w:eastAsia="zh-CN"/>
        </w:rPr>
        <w:t>提供售后服务和培训方案</w:t>
      </w:r>
      <w:r>
        <w:rPr>
          <w:rFonts w:hint="eastAsia"/>
          <w:snapToGrid w:val="0"/>
          <w:color w:val="auto"/>
          <w:highlight w:val="none"/>
          <w:lang w:eastAsia="zh-CN"/>
        </w:rPr>
        <w:t>】</w:t>
      </w:r>
    </w:p>
    <w:p w14:paraId="0B398AAE">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7.</w:t>
      </w:r>
      <w:r>
        <w:rPr>
          <w:rFonts w:hint="eastAsia"/>
          <w:highlight w:val="none"/>
        </w:rPr>
        <w:t>服务连续性预案</w:t>
      </w:r>
    </w:p>
    <w:p w14:paraId="0BBBDA01">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7EC99D85">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8.</w:t>
      </w:r>
      <w:r>
        <w:rPr>
          <w:rFonts w:hint="eastAsia"/>
          <w:highlight w:val="none"/>
        </w:rPr>
        <w:t>项目实施方案</w:t>
      </w:r>
    </w:p>
    <w:p w14:paraId="63C4181E">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3"/>
    <w:bookmarkEnd w:id="54"/>
    <w:p w14:paraId="39E60E6A">
      <w:pPr>
        <w:pStyle w:val="3"/>
        <w:ind w:left="360" w:hanging="360"/>
        <w:rPr>
          <w:highlight w:val="none"/>
        </w:rPr>
      </w:pPr>
      <w:bookmarkStart w:id="59" w:name="_Toc89675148"/>
      <w:bookmarkStart w:id="60" w:name="_Toc15059422"/>
      <w:r>
        <w:rPr>
          <w:rFonts w:ascii="宋体" w:hAnsi="宋体" w:eastAsia="宋体" w:cs="Times New Roman"/>
          <w:b/>
          <w:bCs/>
          <w:snapToGrid w:val="0"/>
          <w:kern w:val="2"/>
          <w:sz w:val="21"/>
          <w:szCs w:val="24"/>
          <w:highlight w:val="none"/>
          <w:lang w:val="en-US" w:eastAsia="zh-CN" w:bidi="ar-SA"/>
        </w:rPr>
        <w:t>9.</w:t>
      </w:r>
      <w:r>
        <w:rPr>
          <w:rFonts w:hint="eastAsia"/>
          <w:highlight w:val="none"/>
        </w:rPr>
        <w:t>付款方式</w:t>
      </w:r>
      <w:bookmarkEnd w:id="59"/>
      <w:bookmarkEnd w:id="60"/>
    </w:p>
    <w:p w14:paraId="6941DA19">
      <w:pPr>
        <w:rPr>
          <w:color w:val="000000"/>
          <w:highlight w:val="none"/>
        </w:rPr>
      </w:pPr>
      <w:bookmarkStart w:id="61" w:name="_Toc89675150"/>
      <w:bookmarkStart w:id="62" w:name="_Toc15059424"/>
      <w:r>
        <w:rPr>
          <w:rFonts w:hint="eastAsia" w:cs="Times New Roman"/>
          <w:b/>
          <w:bCs/>
          <w:snapToGrid w:val="0"/>
          <w:color w:val="000000"/>
          <w:szCs w:val="24"/>
          <w:highlight w:val="none"/>
        </w:rPr>
        <w:t>9.1．</w:t>
      </w:r>
      <w:r>
        <w:rPr>
          <w:rFonts w:hint="eastAsia"/>
          <w:color w:val="000000"/>
          <w:highlight w:val="none"/>
        </w:rPr>
        <w:t>履约保证金</w:t>
      </w:r>
    </w:p>
    <w:p w14:paraId="50D220BB">
      <w:pPr>
        <w:rPr>
          <w:color w:val="000000"/>
          <w:highlight w:val="none"/>
        </w:rPr>
      </w:pPr>
      <w:r>
        <w:rPr>
          <w:rFonts w:hint="eastAsia"/>
          <w:color w:val="000000"/>
          <w:highlight w:val="none"/>
        </w:rPr>
        <w:t>成交供应商向采购人支付</w:t>
      </w:r>
      <w:r>
        <w:rPr>
          <w:color w:val="000000"/>
          <w:highlight w:val="none"/>
        </w:rPr>
        <w:t>合同金额5%</w:t>
      </w:r>
      <w:r>
        <w:rPr>
          <w:rFonts w:hint="eastAsia"/>
          <w:color w:val="000000"/>
          <w:highlight w:val="none"/>
        </w:rPr>
        <w:t>作为履约保证金，合同签订后</w:t>
      </w:r>
      <w:r>
        <w:rPr>
          <w:color w:val="000000"/>
          <w:highlight w:val="none"/>
        </w:rPr>
        <w:t>10</w:t>
      </w:r>
      <w:r>
        <w:rPr>
          <w:rFonts w:hint="eastAsia"/>
          <w:color w:val="000000"/>
          <w:highlight w:val="none"/>
        </w:rPr>
        <w:t>个工作日内成交供应商将履约保证金存至采购人指定账户，</w:t>
      </w:r>
      <w:r>
        <w:rPr>
          <w:color w:val="000000"/>
          <w:highlight w:val="none"/>
        </w:rPr>
        <w:t>设备维保到期后</w:t>
      </w:r>
      <w:r>
        <w:rPr>
          <w:rFonts w:hint="eastAsia"/>
          <w:color w:val="000000"/>
          <w:highlight w:val="none"/>
        </w:rPr>
        <w:t>，成交供应商在20日内向采购人申请退还履约保证金，采购人需在收到申请后60日内确认成交供应商无违约行为并将履约保证金退还成交供应商。除不可抗力原因外，</w:t>
      </w:r>
      <w:r>
        <w:rPr>
          <w:color w:val="000000"/>
          <w:highlight w:val="none"/>
        </w:rPr>
        <w:t>成交供应商</w:t>
      </w:r>
      <w:r>
        <w:rPr>
          <w:rFonts w:hint="eastAsia"/>
          <w:color w:val="000000"/>
          <w:highlight w:val="none"/>
        </w:rPr>
        <w:t>不得以任何理由中断或拒绝供货</w:t>
      </w:r>
      <w:r>
        <w:rPr>
          <w:color w:val="000000"/>
          <w:highlight w:val="none"/>
        </w:rPr>
        <w:t>，如果成交供应商因非不可抗力的原因中断或拒绝供货，采购人将扣罚全部履约保证金。</w:t>
      </w:r>
    </w:p>
    <w:p w14:paraId="74799104">
      <w:pPr>
        <w:rPr>
          <w:color w:val="000000"/>
          <w:highlight w:val="none"/>
        </w:rPr>
      </w:pPr>
      <w:r>
        <w:rPr>
          <w:rFonts w:hint="eastAsia"/>
          <w:color w:val="000000"/>
          <w:highlight w:val="none"/>
        </w:rPr>
        <w:t>1.履约担保金额：成交供应商向采购人支付</w:t>
      </w:r>
      <w:r>
        <w:rPr>
          <w:color w:val="000000"/>
          <w:highlight w:val="none"/>
        </w:rPr>
        <w:t>合同金额5%</w:t>
      </w:r>
      <w:r>
        <w:rPr>
          <w:rFonts w:hint="eastAsia"/>
          <w:color w:val="000000"/>
          <w:highlight w:val="none"/>
        </w:rPr>
        <w:t>；</w:t>
      </w:r>
    </w:p>
    <w:p w14:paraId="466684B8">
      <w:pPr>
        <w:rPr>
          <w:color w:val="000000"/>
          <w:highlight w:val="none"/>
        </w:rPr>
      </w:pPr>
      <w:r>
        <w:rPr>
          <w:rFonts w:hint="eastAsia"/>
          <w:color w:val="000000"/>
          <w:highlight w:val="none"/>
        </w:rPr>
        <w:t>2.履约担保提交时间：合同签订后</w:t>
      </w:r>
      <w:r>
        <w:rPr>
          <w:color w:val="000000"/>
          <w:highlight w:val="none"/>
        </w:rPr>
        <w:t>10</w:t>
      </w:r>
      <w:r>
        <w:rPr>
          <w:rFonts w:hint="eastAsia"/>
          <w:color w:val="000000"/>
          <w:highlight w:val="none"/>
        </w:rPr>
        <w:t>个工作日内；</w:t>
      </w:r>
    </w:p>
    <w:p w14:paraId="39D4C8DA">
      <w:pPr>
        <w:rPr>
          <w:color w:val="000000"/>
          <w:highlight w:val="none"/>
        </w:rPr>
      </w:pPr>
      <w:r>
        <w:rPr>
          <w:rFonts w:hint="eastAsia"/>
          <w:color w:val="000000"/>
          <w:highlight w:val="none"/>
        </w:rPr>
        <w:t>3.履约保证金缴纳方式：通过转账或电汇方式直接划付至下面指定的账户</w:t>
      </w:r>
    </w:p>
    <w:p w14:paraId="42F220C2">
      <w:pPr>
        <w:rPr>
          <w:color w:val="000000"/>
          <w:highlight w:val="none"/>
        </w:rPr>
      </w:pPr>
      <w:r>
        <w:rPr>
          <w:rFonts w:hint="eastAsia"/>
          <w:color w:val="000000"/>
          <w:highlight w:val="none"/>
        </w:rPr>
        <w:t>户名：重庆三峡银行股份有限公司</w:t>
      </w:r>
    </w:p>
    <w:p w14:paraId="5F2E0F30">
      <w:pPr>
        <w:rPr>
          <w:color w:val="000000"/>
          <w:highlight w:val="none"/>
        </w:rPr>
      </w:pPr>
      <w:r>
        <w:rPr>
          <w:rFonts w:hint="eastAsia"/>
          <w:color w:val="000000"/>
          <w:highlight w:val="none"/>
        </w:rPr>
        <w:t>账号：0101014040000043</w:t>
      </w:r>
    </w:p>
    <w:p w14:paraId="7D3113D4">
      <w:pPr>
        <w:rPr>
          <w:color w:val="000000"/>
          <w:highlight w:val="none"/>
        </w:rPr>
      </w:pPr>
      <w:r>
        <w:rPr>
          <w:rFonts w:hint="eastAsia"/>
          <w:color w:val="000000"/>
          <w:highlight w:val="none"/>
        </w:rPr>
        <w:t>开户行：重庆三峡银行营业部</w:t>
      </w:r>
    </w:p>
    <w:p w14:paraId="30C84A1E">
      <w:pPr>
        <w:rPr>
          <w:color w:val="000000"/>
          <w:highlight w:val="none"/>
        </w:rPr>
      </w:pPr>
      <w:r>
        <w:rPr>
          <w:rFonts w:hint="eastAsia"/>
          <w:color w:val="000000"/>
          <w:highlight w:val="none"/>
        </w:rPr>
        <w:t>在款项来源处或空白处注明：</w:t>
      </w:r>
      <w:r>
        <w:rPr>
          <w:rFonts w:hint="eastAsia"/>
          <w:snapToGrid w:val="0"/>
          <w:color w:val="000000"/>
          <w:highlight w:val="none"/>
        </w:rPr>
        <w:t>西永数据中心信创网络安全设备采购项目</w:t>
      </w:r>
      <w:r>
        <w:rPr>
          <w:rFonts w:hint="eastAsia"/>
          <w:bCs/>
          <w:snapToGrid w:val="0"/>
          <w:color w:val="000000"/>
          <w:highlight w:val="none"/>
        </w:rPr>
        <w:t>（标段X）</w:t>
      </w:r>
      <w:r>
        <w:rPr>
          <w:rFonts w:hint="eastAsia"/>
          <w:color w:val="000000"/>
          <w:highlight w:val="none"/>
        </w:rPr>
        <w:t>履约保证金</w:t>
      </w:r>
    </w:p>
    <w:p w14:paraId="29413078">
      <w:pPr>
        <w:rPr>
          <w:color w:val="000000"/>
          <w:highlight w:val="none"/>
        </w:rPr>
      </w:pPr>
      <w:r>
        <w:rPr>
          <w:rFonts w:hint="eastAsia"/>
          <w:color w:val="000000"/>
          <w:highlight w:val="none"/>
        </w:rPr>
        <w:t>9.2．结算方式</w:t>
      </w:r>
    </w:p>
    <w:p w14:paraId="43DB8D7D">
      <w:pPr>
        <w:rPr>
          <w:color w:val="000000"/>
          <w:highlight w:val="none"/>
        </w:rPr>
      </w:pPr>
      <w:r>
        <w:rPr>
          <w:color w:val="000000"/>
          <w:highlight w:val="none"/>
        </w:rPr>
        <w:t>合同签订完成后，成交供应商按要求将</w:t>
      </w:r>
      <w:r>
        <w:rPr>
          <w:rFonts w:hint="eastAsia"/>
          <w:color w:val="000000"/>
          <w:highlight w:val="none"/>
        </w:rPr>
        <w:t>设备</w:t>
      </w:r>
      <w:r>
        <w:rPr>
          <w:color w:val="000000"/>
          <w:highlight w:val="none"/>
        </w:rPr>
        <w:t>送</w:t>
      </w:r>
      <w:r>
        <w:rPr>
          <w:rFonts w:hint="eastAsia"/>
          <w:color w:val="000000"/>
          <w:highlight w:val="none"/>
        </w:rPr>
        <w:t>达指定现场</w:t>
      </w:r>
      <w:r>
        <w:rPr>
          <w:color w:val="000000"/>
          <w:highlight w:val="none"/>
        </w:rPr>
        <w:t>。设备</w:t>
      </w:r>
      <w:r>
        <w:rPr>
          <w:rFonts w:hint="eastAsia"/>
          <w:color w:val="000000"/>
          <w:highlight w:val="none"/>
        </w:rPr>
        <w:t>签收、完成初始化安装，设备自【</w:t>
      </w:r>
      <w:r>
        <w:rPr>
          <w:color w:val="000000"/>
          <w:highlight w:val="none"/>
        </w:rPr>
        <w:t>签收</w:t>
      </w:r>
      <w:r>
        <w:rPr>
          <w:rFonts w:hint="eastAsia"/>
          <w:color w:val="000000"/>
          <w:highlight w:val="none"/>
        </w:rPr>
        <w:t>之日】起正常运行三个月，按要求完成新设备的安装和部署工作并</w:t>
      </w:r>
      <w:r>
        <w:rPr>
          <w:color w:val="000000"/>
          <w:highlight w:val="none"/>
        </w:rPr>
        <w:t>完成最终</w:t>
      </w:r>
      <w:r>
        <w:rPr>
          <w:rFonts w:hint="eastAsia"/>
          <w:color w:val="000000"/>
          <w:highlight w:val="none"/>
        </w:rPr>
        <w:t>验收合格后</w:t>
      </w:r>
      <w:r>
        <w:rPr>
          <w:color w:val="000000"/>
          <w:highlight w:val="none"/>
        </w:rPr>
        <w:t>，</w:t>
      </w:r>
      <w:r>
        <w:rPr>
          <w:rFonts w:hint="eastAsia"/>
          <w:color w:val="000000"/>
          <w:highlight w:val="none"/>
        </w:rPr>
        <w:t>且确认生产厂商维保承诺符合维保要求后30个工作日内，</w:t>
      </w:r>
      <w:r>
        <w:rPr>
          <w:color w:val="000000"/>
          <w:highlight w:val="none"/>
        </w:rPr>
        <w:t>成交供应商</w:t>
      </w:r>
      <w:r>
        <w:rPr>
          <w:rFonts w:hint="eastAsia"/>
          <w:color w:val="000000"/>
          <w:highlight w:val="none"/>
        </w:rPr>
        <w:t>向采购人提供合法、全额（本合同全部款项）的增值税专用发票，甲方支付合同总金额的</w:t>
      </w:r>
      <w:r>
        <w:rPr>
          <w:color w:val="000000"/>
          <w:highlight w:val="none"/>
        </w:rPr>
        <w:t>100</w:t>
      </w:r>
      <w:r>
        <w:rPr>
          <w:rFonts w:hint="eastAsia"/>
          <w:color w:val="000000"/>
          <w:highlight w:val="none"/>
        </w:rPr>
        <w:t>%</w:t>
      </w:r>
      <w:r>
        <w:rPr>
          <w:color w:val="000000"/>
          <w:highlight w:val="none"/>
        </w:rPr>
        <w:t>。</w:t>
      </w:r>
    </w:p>
    <w:p w14:paraId="0E12FE04">
      <w:pPr>
        <w:rPr>
          <w:color w:val="000000"/>
          <w:highlight w:val="none"/>
        </w:rPr>
      </w:pPr>
      <w:r>
        <w:rPr>
          <w:rFonts w:hint="eastAsia"/>
          <w:color w:val="000000"/>
          <w:highlight w:val="none"/>
        </w:rPr>
        <w:t>9.3．</w:t>
      </w:r>
      <w:r>
        <w:rPr>
          <w:color w:val="000000"/>
          <w:highlight w:val="none"/>
        </w:rPr>
        <w:t>违约情况</w:t>
      </w:r>
    </w:p>
    <w:p w14:paraId="49BC8A9A">
      <w:pPr>
        <w:rPr>
          <w:color w:val="000000"/>
          <w:highlight w:val="none"/>
        </w:rPr>
      </w:pPr>
      <w:r>
        <w:rPr>
          <w:color w:val="000000"/>
          <w:highlight w:val="none"/>
        </w:rPr>
        <w:t>成交供应商在以下几种情况下出现违约，将导致全部扣除履约保证金。</w:t>
      </w:r>
    </w:p>
    <w:p w14:paraId="04A47143">
      <w:pPr>
        <w:rPr>
          <w:color w:val="000000"/>
          <w:highlight w:val="none"/>
        </w:rPr>
      </w:pPr>
      <w:r>
        <w:rPr>
          <w:rFonts w:hint="eastAsia"/>
          <w:color w:val="000000"/>
          <w:highlight w:val="none"/>
        </w:rPr>
        <w:t>1</w:t>
      </w:r>
      <w:r>
        <w:rPr>
          <w:color w:val="000000"/>
          <w:highlight w:val="none"/>
        </w:rPr>
        <w:t>、所到货设备原厂维保服务内容不满足合同中要求。</w:t>
      </w:r>
    </w:p>
    <w:p w14:paraId="7D09CEC6">
      <w:pPr>
        <w:rPr>
          <w:color w:val="000000"/>
          <w:highlight w:val="none"/>
        </w:rPr>
      </w:pPr>
      <w:r>
        <w:rPr>
          <w:color w:val="000000"/>
          <w:highlight w:val="none"/>
        </w:rPr>
        <w:t>2、未按合同约定时限供货。</w:t>
      </w:r>
    </w:p>
    <w:p w14:paraId="0C4C0FD8">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10.</w:t>
      </w:r>
      <w:r>
        <w:rPr>
          <w:rFonts w:hint="eastAsia"/>
          <w:highlight w:val="none"/>
        </w:rPr>
        <w:t>保密条款</w:t>
      </w:r>
      <w:bookmarkEnd w:id="55"/>
      <w:bookmarkEnd w:id="56"/>
      <w:bookmarkEnd w:id="57"/>
      <w:bookmarkEnd w:id="58"/>
      <w:bookmarkEnd w:id="61"/>
      <w:bookmarkEnd w:id="62"/>
    </w:p>
    <w:p w14:paraId="6D952A40">
      <w:pPr>
        <w:pStyle w:val="4"/>
        <w:rPr>
          <w:highlight w:val="none"/>
        </w:rPr>
      </w:pPr>
      <w:r>
        <w:rPr>
          <w:rFonts w:hint="eastAsia"/>
          <w:highlight w:val="none"/>
        </w:rPr>
        <w:t>1</w:t>
      </w:r>
      <w:r>
        <w:rPr>
          <w:highlight w:val="none"/>
        </w:rPr>
        <w:t>0</w:t>
      </w:r>
      <w:r>
        <w:rPr>
          <w:rFonts w:hint="eastAsia"/>
          <w:highlight w:val="none"/>
        </w:rPr>
        <w:t>.1 保密范围</w:t>
      </w:r>
    </w:p>
    <w:p w14:paraId="40F37A6F">
      <w:pPr>
        <w:rPr>
          <w:highlight w:val="none"/>
        </w:rPr>
      </w:pPr>
      <w:r>
        <w:rPr>
          <w:rFonts w:hint="eastAsia"/>
          <w:highlight w:val="none"/>
        </w:rPr>
        <w:t>成交供应商在实施过程中接触到的采购人知识产权、经营信息等。</w:t>
      </w:r>
    </w:p>
    <w:p w14:paraId="05E6A097">
      <w:pPr>
        <w:pStyle w:val="4"/>
        <w:rPr>
          <w:highlight w:val="none"/>
        </w:rPr>
      </w:pPr>
      <w:r>
        <w:rPr>
          <w:highlight w:val="none"/>
        </w:rPr>
        <w:t>10</w:t>
      </w:r>
      <w:r>
        <w:rPr>
          <w:rFonts w:hint="eastAsia"/>
          <w:highlight w:val="none"/>
        </w:rPr>
        <w:t>.2 保密责任</w:t>
      </w:r>
    </w:p>
    <w:p w14:paraId="3378AE8E">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58F06291">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11.</w:t>
      </w:r>
      <w:r>
        <w:rPr>
          <w:rFonts w:hint="eastAsia"/>
          <w:highlight w:val="none"/>
        </w:rPr>
        <w:t>报价要求</w:t>
      </w:r>
    </w:p>
    <w:p w14:paraId="428ECB21">
      <w:pPr>
        <w:rPr>
          <w:highlight w:val="none"/>
        </w:rPr>
      </w:pPr>
      <w:r>
        <w:rPr>
          <w:highlight w:val="none"/>
        </w:rPr>
        <w:t>1</w:t>
      </w:r>
      <w:r>
        <w:rPr>
          <w:rFonts w:hint="eastAsia"/>
          <w:highlight w:val="none"/>
        </w:rPr>
        <w:t>）响应人应严格按照《响应文件格式》的“报价一览表”和“分项报价明细表”的格式认真填写。</w:t>
      </w:r>
    </w:p>
    <w:p w14:paraId="7245DF95">
      <w:pPr>
        <w:rPr>
          <w:highlight w:val="none"/>
        </w:rPr>
      </w:pPr>
      <w:r>
        <w:rPr>
          <w:highlight w:val="none"/>
        </w:rPr>
        <w:t>2</w:t>
      </w:r>
      <w:r>
        <w:rPr>
          <w:rFonts w:hint="eastAsia"/>
          <w:highlight w:val="none"/>
        </w:rPr>
        <w:t>）“分项报价明细表”里需详细写明各类硬件、中间件、操作系统、实施费用等产品模块名称及价格。</w:t>
      </w:r>
    </w:p>
    <w:p w14:paraId="3906FF6A">
      <w:pPr>
        <w:rPr>
          <w:rFonts w:hint="eastAsia"/>
          <w:snapToGrid w:val="0"/>
          <w:highlight w:val="none"/>
        </w:rPr>
      </w:pPr>
      <w:r>
        <w:rPr>
          <w:rFonts w:hint="eastAsia"/>
          <w:snapToGrid w:val="0"/>
          <w:highlight w:val="none"/>
        </w:rPr>
        <w:t>（标段1：路由交换设备）：千兆接入交换机最高限价1万元/台</w:t>
      </w:r>
      <w:r>
        <w:rPr>
          <w:snapToGrid w:val="0"/>
          <w:highlight w:val="none"/>
        </w:rPr>
        <w:t>；</w:t>
      </w:r>
      <w:r>
        <w:rPr>
          <w:rFonts w:hint="eastAsia"/>
          <w:snapToGrid w:val="0"/>
          <w:highlight w:val="none"/>
        </w:rPr>
        <w:t>万兆接入交换机</w:t>
      </w:r>
      <w:r>
        <w:rPr>
          <w:snapToGrid w:val="0"/>
          <w:highlight w:val="none"/>
        </w:rPr>
        <w:t>1、</w:t>
      </w:r>
      <w:r>
        <w:rPr>
          <w:rFonts w:hint="eastAsia"/>
          <w:snapToGrid w:val="0"/>
          <w:highlight w:val="none"/>
        </w:rPr>
        <w:t>万兆接入交换机</w:t>
      </w:r>
      <w:r>
        <w:rPr>
          <w:snapToGrid w:val="0"/>
          <w:highlight w:val="none"/>
        </w:rPr>
        <w:t>2</w:t>
      </w:r>
      <w:r>
        <w:rPr>
          <w:rFonts w:hint="eastAsia"/>
          <w:snapToGrid w:val="0"/>
          <w:highlight w:val="none"/>
        </w:rPr>
        <w:t>最高限价5.5万元/台；汇聚交换机</w:t>
      </w:r>
      <w:r>
        <w:rPr>
          <w:snapToGrid w:val="0"/>
          <w:highlight w:val="none"/>
        </w:rPr>
        <w:t>1、</w:t>
      </w:r>
      <w:r>
        <w:rPr>
          <w:rFonts w:hint="eastAsia"/>
          <w:snapToGrid w:val="0"/>
          <w:highlight w:val="none"/>
        </w:rPr>
        <w:t>汇聚交换机</w:t>
      </w:r>
      <w:r>
        <w:rPr>
          <w:snapToGrid w:val="0"/>
          <w:highlight w:val="none"/>
        </w:rPr>
        <w:t>2</w:t>
      </w:r>
      <w:r>
        <w:rPr>
          <w:rFonts w:hint="eastAsia"/>
          <w:snapToGrid w:val="0"/>
          <w:highlight w:val="none"/>
        </w:rPr>
        <w:t>最高限价25万元/台。汇聚路由器最高限价30万元/台，接入路由器最高限价3.4万元/台。（标段2：负载均衡设备）：负载均衡</w:t>
      </w:r>
      <w:r>
        <w:rPr>
          <w:snapToGrid w:val="0"/>
          <w:highlight w:val="none"/>
        </w:rPr>
        <w:t>1、</w:t>
      </w:r>
      <w:r>
        <w:rPr>
          <w:rFonts w:hint="eastAsia"/>
          <w:snapToGrid w:val="0"/>
          <w:highlight w:val="none"/>
        </w:rPr>
        <w:t>负载均衡</w:t>
      </w:r>
      <w:r>
        <w:rPr>
          <w:snapToGrid w:val="0"/>
          <w:highlight w:val="none"/>
        </w:rPr>
        <w:t>2</w:t>
      </w:r>
      <w:r>
        <w:rPr>
          <w:rFonts w:hint="eastAsia"/>
          <w:snapToGrid w:val="0"/>
          <w:highlight w:val="none"/>
        </w:rPr>
        <w:t>最高限价20万元/台。（标段3：安全设备）：防火墙1、防火墙2、防火墙3最高限价16.5万元/台，防火墙4最高限价10万元/台；IDS最高限价15.5万元/台；</w:t>
      </w:r>
      <w:r>
        <w:rPr>
          <w:snapToGrid w:val="0"/>
          <w:highlight w:val="none"/>
        </w:rPr>
        <w:t>应用</w:t>
      </w:r>
      <w:r>
        <w:rPr>
          <w:rFonts w:hint="eastAsia"/>
          <w:snapToGrid w:val="0"/>
          <w:highlight w:val="none"/>
        </w:rPr>
        <w:t>防火墙最高限价20万元/台；网闸最高限价40万元/台。</w:t>
      </w:r>
    </w:p>
    <w:p w14:paraId="2948CF20">
      <w:pPr>
        <w:pStyle w:val="3"/>
        <w:ind w:left="360" w:hanging="360"/>
        <w:rPr>
          <w:highlight w:val="none"/>
        </w:rPr>
      </w:pPr>
      <w:bookmarkStart w:id="63" w:name="_Toc15059426"/>
      <w:bookmarkStart w:id="64" w:name="_Toc89675152"/>
      <w:r>
        <w:rPr>
          <w:rFonts w:ascii="宋体" w:hAnsi="宋体" w:eastAsia="宋体" w:cs="Times New Roman"/>
          <w:b/>
          <w:bCs/>
          <w:snapToGrid w:val="0"/>
          <w:kern w:val="2"/>
          <w:sz w:val="21"/>
          <w:szCs w:val="24"/>
          <w:highlight w:val="none"/>
          <w:lang w:val="en-US" w:eastAsia="zh-CN" w:bidi="ar-SA"/>
        </w:rPr>
        <w:t>12.</w:t>
      </w:r>
      <w:r>
        <w:rPr>
          <w:rFonts w:hint="eastAsia"/>
          <w:highlight w:val="none"/>
        </w:rPr>
        <w:t>知识产权</w:t>
      </w:r>
      <w:bookmarkEnd w:id="63"/>
      <w:bookmarkEnd w:id="64"/>
    </w:p>
    <w:p w14:paraId="7D1EBD30">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75685295">
      <w:pPr>
        <w:pStyle w:val="3"/>
        <w:ind w:left="360" w:hanging="360"/>
        <w:rPr>
          <w:highlight w:val="none"/>
        </w:rPr>
      </w:pPr>
      <w:bookmarkStart w:id="65" w:name="_Toc89675153"/>
      <w:bookmarkStart w:id="66" w:name="_Toc15059427"/>
      <w:r>
        <w:rPr>
          <w:rFonts w:ascii="宋体" w:hAnsi="宋体" w:eastAsia="宋体" w:cs="Times New Roman"/>
          <w:b/>
          <w:bCs/>
          <w:snapToGrid w:val="0"/>
          <w:kern w:val="2"/>
          <w:sz w:val="21"/>
          <w:szCs w:val="24"/>
          <w:highlight w:val="none"/>
          <w:lang w:val="en-US" w:eastAsia="zh-CN" w:bidi="ar-SA"/>
        </w:rPr>
        <w:t>13.</w:t>
      </w:r>
      <w:r>
        <w:rPr>
          <w:rFonts w:hint="eastAsia"/>
          <w:highlight w:val="none"/>
        </w:rPr>
        <w:t>其他</w:t>
      </w:r>
      <w:bookmarkEnd w:id="65"/>
      <w:bookmarkEnd w:id="66"/>
    </w:p>
    <w:p w14:paraId="02AF34B2">
      <w:pPr>
        <w:spacing w:line="600" w:lineRule="exact"/>
        <w:rPr>
          <w:highlight w:val="none"/>
        </w:rPr>
      </w:pPr>
      <w:r>
        <w:rPr>
          <w:highlight w:val="none"/>
        </w:rPr>
        <w:t>1</w:t>
      </w:r>
      <w:r>
        <w:rPr>
          <w:rFonts w:hint="eastAsia"/>
          <w:highlight w:val="none"/>
        </w:rPr>
        <w:t>）响应人必须在响应承诺函中对本章内容做出整体性响应和承诺，承诺内容必须达到本章及询比文件其他条款的要求。</w:t>
      </w:r>
    </w:p>
    <w:p w14:paraId="6596CED0">
      <w:pPr>
        <w:spacing w:line="600" w:lineRule="exact"/>
        <w:rPr>
          <w:highlight w:val="none"/>
        </w:rPr>
      </w:pPr>
      <w:r>
        <w:rPr>
          <w:highlight w:val="none"/>
        </w:rPr>
        <w:t>2</w:t>
      </w:r>
      <w:r>
        <w:rPr>
          <w:rFonts w:hint="eastAsia"/>
          <w:highlight w:val="none"/>
        </w:rPr>
        <w:t>）响应人应根据本章内容和要求，提供对应资料，无遗漏。</w:t>
      </w:r>
    </w:p>
    <w:p w14:paraId="7B7647E5">
      <w:pPr>
        <w:spacing w:line="600" w:lineRule="exact"/>
        <w:rPr>
          <w:highlight w:val="none"/>
        </w:rPr>
      </w:pPr>
      <w:r>
        <w:rPr>
          <w:highlight w:val="none"/>
        </w:rPr>
        <w:t>3</w:t>
      </w:r>
      <w:r>
        <w:rPr>
          <w:rFonts w:hint="eastAsia"/>
          <w:highlight w:val="none"/>
        </w:rPr>
        <w:t>）其他未尽事宜由供需双方在合同中详细约定。</w:t>
      </w:r>
    </w:p>
    <w:p w14:paraId="2124EB46">
      <w:pPr>
        <w:snapToGrid w:val="0"/>
        <w:rPr>
          <w:rFonts w:cs="宋体"/>
          <w:snapToGrid w:val="0"/>
          <w:color w:val="FF0000"/>
          <w:kern w:val="0"/>
          <w:szCs w:val="24"/>
        </w:rPr>
      </w:pPr>
      <w:r>
        <w:rPr>
          <w:rFonts w:hint="eastAsia" w:cs="宋体"/>
          <w:snapToGrid w:val="0"/>
          <w:color w:val="FF0000"/>
          <w:kern w:val="0"/>
          <w:szCs w:val="24"/>
        </w:rPr>
        <w:br w:type="page"/>
      </w:r>
    </w:p>
    <w:p w14:paraId="2F60537E">
      <w:pPr>
        <w:pStyle w:val="2"/>
      </w:pPr>
      <w:bookmarkStart w:id="67" w:name="_Toc21427"/>
      <w:bookmarkStart w:id="68" w:name="_Toc10868"/>
      <w:bookmarkStart w:id="69" w:name="_Toc29189"/>
      <w:r>
        <w:rPr>
          <w:rFonts w:hint="eastAsia"/>
        </w:rPr>
        <w:t>第四章 评审办法（经评审的最低价法）</w:t>
      </w:r>
      <w:bookmarkEnd w:id="67"/>
      <w:bookmarkEnd w:id="68"/>
    </w:p>
    <w:p w14:paraId="4F3C53BF">
      <w:pPr>
        <w:pStyle w:val="3"/>
        <w:rPr>
          <w:highlight w:val="none"/>
        </w:rPr>
      </w:pPr>
      <w:r>
        <w:rPr>
          <w:rFonts w:hint="eastAsia"/>
          <w:highlight w:val="none"/>
        </w:rPr>
        <w:t>评审办法前附表</w:t>
      </w:r>
    </w:p>
    <w:p w14:paraId="160D6542">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40B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17E3BE4">
            <w:pPr>
              <w:pStyle w:val="41"/>
              <w:rPr>
                <w:highlight w:val="none"/>
              </w:rPr>
            </w:pPr>
            <w:r>
              <w:rPr>
                <w:rFonts w:hint="eastAsia"/>
                <w:highlight w:val="none"/>
              </w:rPr>
              <w:t>条款号</w:t>
            </w:r>
          </w:p>
        </w:tc>
        <w:tc>
          <w:tcPr>
            <w:tcW w:w="1253" w:type="dxa"/>
            <w:vAlign w:val="center"/>
          </w:tcPr>
          <w:p w14:paraId="0EF68DD1">
            <w:pPr>
              <w:pStyle w:val="41"/>
              <w:rPr>
                <w:highlight w:val="none"/>
              </w:rPr>
            </w:pPr>
            <w:r>
              <w:rPr>
                <w:rFonts w:hint="eastAsia"/>
                <w:highlight w:val="none"/>
              </w:rPr>
              <w:t>评审因素</w:t>
            </w:r>
          </w:p>
        </w:tc>
        <w:tc>
          <w:tcPr>
            <w:tcW w:w="7229" w:type="dxa"/>
            <w:gridSpan w:val="2"/>
            <w:vAlign w:val="center"/>
          </w:tcPr>
          <w:p w14:paraId="4F0A4512">
            <w:pPr>
              <w:pStyle w:val="41"/>
              <w:rPr>
                <w:highlight w:val="none"/>
              </w:rPr>
            </w:pPr>
            <w:r>
              <w:rPr>
                <w:rFonts w:hint="eastAsia"/>
                <w:highlight w:val="none"/>
              </w:rPr>
              <w:t>评审标准</w:t>
            </w:r>
          </w:p>
        </w:tc>
      </w:tr>
      <w:tr w14:paraId="3322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9C96273">
            <w:pPr>
              <w:pStyle w:val="40"/>
              <w:rPr>
                <w:highlight w:val="none"/>
              </w:rPr>
            </w:pPr>
            <w:r>
              <w:rPr>
                <w:rFonts w:hint="eastAsia"/>
                <w:highlight w:val="none"/>
              </w:rPr>
              <w:t>1</w:t>
            </w:r>
          </w:p>
        </w:tc>
        <w:tc>
          <w:tcPr>
            <w:tcW w:w="1253" w:type="dxa"/>
            <w:tcBorders>
              <w:left w:val="single" w:color="auto" w:sz="4" w:space="0"/>
            </w:tcBorders>
            <w:vAlign w:val="center"/>
          </w:tcPr>
          <w:p w14:paraId="26353655">
            <w:pPr>
              <w:pStyle w:val="40"/>
              <w:rPr>
                <w:highlight w:val="none"/>
              </w:rPr>
            </w:pPr>
            <w:r>
              <w:rPr>
                <w:rFonts w:hint="eastAsia"/>
                <w:highlight w:val="none"/>
              </w:rPr>
              <w:t>评审方法</w:t>
            </w:r>
          </w:p>
        </w:tc>
        <w:tc>
          <w:tcPr>
            <w:tcW w:w="7229" w:type="dxa"/>
            <w:gridSpan w:val="2"/>
            <w:tcBorders>
              <w:left w:val="single" w:color="auto" w:sz="4" w:space="0"/>
            </w:tcBorders>
            <w:vAlign w:val="center"/>
          </w:tcPr>
          <w:p w14:paraId="12AF0961">
            <w:pPr>
              <w:pStyle w:val="40"/>
              <w:rPr>
                <w:highlight w:val="none"/>
              </w:rPr>
            </w:pPr>
            <w:r>
              <w:rPr>
                <w:rFonts w:hint="eastAsia"/>
                <w:highlight w:val="none"/>
              </w:rPr>
              <w:t>本次评审采用经评审的最低价法，评审委员会按照评审办法前附表第2.1 条进行符合性审查，再按照评审办法前附表第2.2 条进行报价排序，</w:t>
            </w:r>
            <w:r>
              <w:rPr>
                <w:rFonts w:hint="eastAsia"/>
                <w:highlight w:val="none"/>
                <w:lang w:val="en-US" w:eastAsia="zh-CN"/>
              </w:rPr>
              <w:t>每个标段</w:t>
            </w:r>
            <w:r>
              <w:rPr>
                <w:rFonts w:hint="eastAsia"/>
                <w:highlight w:val="none"/>
              </w:rPr>
              <w:t>符合性审查合格的响应人中按报价由低到高推荐1-3名成交候选人。若出现响应人响应报价相同的，由评审委员会按照</w:t>
            </w:r>
            <w:r>
              <w:rPr>
                <w:highlight w:val="none"/>
              </w:rPr>
              <w:t>单个案例金额最大的优先</w:t>
            </w:r>
            <w:r>
              <w:rPr>
                <w:rFonts w:hint="eastAsia"/>
                <w:highlight w:val="none"/>
              </w:rPr>
              <w:t>原则排序。</w:t>
            </w:r>
          </w:p>
        </w:tc>
      </w:tr>
      <w:tr w14:paraId="4F0E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41D8990">
            <w:pPr>
              <w:pStyle w:val="40"/>
              <w:rPr>
                <w:highlight w:val="none"/>
              </w:rPr>
            </w:pPr>
            <w:r>
              <w:rPr>
                <w:rFonts w:hint="eastAsia"/>
                <w:highlight w:val="none"/>
              </w:rPr>
              <w:t>2.1</w:t>
            </w:r>
          </w:p>
        </w:tc>
        <w:tc>
          <w:tcPr>
            <w:tcW w:w="1253" w:type="dxa"/>
            <w:tcBorders>
              <w:left w:val="single" w:color="auto" w:sz="4" w:space="0"/>
            </w:tcBorders>
            <w:vAlign w:val="center"/>
          </w:tcPr>
          <w:p w14:paraId="1309B268">
            <w:pPr>
              <w:pStyle w:val="40"/>
              <w:rPr>
                <w:highlight w:val="none"/>
              </w:rPr>
            </w:pPr>
            <w:r>
              <w:rPr>
                <w:rFonts w:hint="eastAsia"/>
                <w:highlight w:val="none"/>
              </w:rPr>
              <w:t>符合性审查标准</w:t>
            </w:r>
          </w:p>
        </w:tc>
        <w:tc>
          <w:tcPr>
            <w:tcW w:w="7229" w:type="dxa"/>
            <w:gridSpan w:val="2"/>
            <w:tcBorders>
              <w:left w:val="single" w:color="auto" w:sz="4" w:space="0"/>
            </w:tcBorders>
            <w:vAlign w:val="center"/>
          </w:tcPr>
          <w:p w14:paraId="568ED8F1">
            <w:pPr>
              <w:pStyle w:val="40"/>
              <w:rPr>
                <w:highlight w:val="none"/>
              </w:rPr>
            </w:pPr>
            <w:r>
              <w:rPr>
                <w:rFonts w:hint="eastAsia"/>
                <w:highlight w:val="none"/>
              </w:rPr>
              <w:t>所有响应人进行符合性审查。符合性审查内容：资格评审、形式评审、响应性评审。</w:t>
            </w:r>
          </w:p>
        </w:tc>
      </w:tr>
      <w:tr w14:paraId="23BA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77992B6">
            <w:pPr>
              <w:pStyle w:val="40"/>
              <w:rPr>
                <w:highlight w:val="none"/>
              </w:rPr>
            </w:pPr>
            <w:r>
              <w:rPr>
                <w:rFonts w:hint="eastAsia"/>
                <w:highlight w:val="none"/>
              </w:rPr>
              <w:t>2.2</w:t>
            </w:r>
          </w:p>
        </w:tc>
        <w:tc>
          <w:tcPr>
            <w:tcW w:w="1253" w:type="dxa"/>
            <w:tcBorders>
              <w:left w:val="single" w:color="auto" w:sz="4" w:space="0"/>
            </w:tcBorders>
            <w:vAlign w:val="center"/>
          </w:tcPr>
          <w:p w14:paraId="059DAE5C">
            <w:pPr>
              <w:pStyle w:val="40"/>
              <w:rPr>
                <w:highlight w:val="none"/>
              </w:rPr>
            </w:pPr>
            <w:r>
              <w:rPr>
                <w:rFonts w:hint="eastAsia"/>
                <w:highlight w:val="none"/>
              </w:rPr>
              <w:t>报价排序</w:t>
            </w:r>
          </w:p>
        </w:tc>
        <w:tc>
          <w:tcPr>
            <w:tcW w:w="7229" w:type="dxa"/>
            <w:gridSpan w:val="2"/>
            <w:tcBorders>
              <w:left w:val="single" w:color="auto" w:sz="4" w:space="0"/>
            </w:tcBorders>
            <w:vAlign w:val="center"/>
          </w:tcPr>
          <w:p w14:paraId="732E232C">
            <w:pPr>
              <w:pStyle w:val="40"/>
              <w:rPr>
                <w:highlight w:val="none"/>
              </w:rPr>
            </w:pPr>
            <w:r>
              <w:rPr>
                <w:rFonts w:hint="eastAsia"/>
                <w:highlight w:val="none"/>
              </w:rPr>
              <w:t>对报价不高于最高限价的所有响应人的响应文件，符合性审查合格的按照含税报价由低到高的顺序排序。</w:t>
            </w:r>
          </w:p>
        </w:tc>
      </w:tr>
      <w:tr w14:paraId="4F86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69600BB">
            <w:pPr>
              <w:pStyle w:val="40"/>
              <w:rPr>
                <w:highlight w:val="none"/>
              </w:rPr>
            </w:pPr>
            <w:r>
              <w:rPr>
                <w:rFonts w:hint="eastAsia"/>
                <w:highlight w:val="none"/>
              </w:rPr>
              <w:t>2.2.1</w:t>
            </w:r>
          </w:p>
        </w:tc>
        <w:tc>
          <w:tcPr>
            <w:tcW w:w="1253" w:type="dxa"/>
            <w:tcBorders>
              <w:left w:val="single" w:color="auto" w:sz="4" w:space="0"/>
            </w:tcBorders>
            <w:vAlign w:val="center"/>
          </w:tcPr>
          <w:p w14:paraId="1D773D79">
            <w:pPr>
              <w:pStyle w:val="40"/>
              <w:rPr>
                <w:highlight w:val="none"/>
              </w:rPr>
            </w:pPr>
            <w:r>
              <w:rPr>
                <w:rFonts w:hint="eastAsia"/>
                <w:highlight w:val="none"/>
              </w:rPr>
              <w:t>资格评审标准</w:t>
            </w:r>
          </w:p>
        </w:tc>
        <w:tc>
          <w:tcPr>
            <w:tcW w:w="1753" w:type="dxa"/>
            <w:tcBorders>
              <w:left w:val="single" w:color="auto" w:sz="4" w:space="0"/>
            </w:tcBorders>
            <w:vAlign w:val="center"/>
          </w:tcPr>
          <w:p w14:paraId="51B75259">
            <w:pPr>
              <w:pStyle w:val="40"/>
              <w:rPr>
                <w:highlight w:val="none"/>
              </w:rPr>
            </w:pPr>
            <w:r>
              <w:rPr>
                <w:rFonts w:hint="eastAsia"/>
                <w:highlight w:val="none"/>
              </w:rPr>
              <w:t>资格条件要求</w:t>
            </w:r>
          </w:p>
        </w:tc>
        <w:tc>
          <w:tcPr>
            <w:tcW w:w="5476" w:type="dxa"/>
            <w:tcBorders>
              <w:left w:val="single" w:color="auto" w:sz="4" w:space="0"/>
            </w:tcBorders>
            <w:vAlign w:val="center"/>
          </w:tcPr>
          <w:p w14:paraId="247D1CE8">
            <w:pPr>
              <w:pStyle w:val="40"/>
              <w:rPr>
                <w:highlight w:val="none"/>
              </w:rPr>
            </w:pPr>
            <w:r>
              <w:rPr>
                <w:rFonts w:hint="eastAsia"/>
                <w:highlight w:val="none"/>
              </w:rPr>
              <w:t>符合第一章“2. 响应人资格要求”规定</w:t>
            </w:r>
          </w:p>
        </w:tc>
      </w:tr>
      <w:tr w14:paraId="3360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08DFF9E">
            <w:pPr>
              <w:pStyle w:val="40"/>
              <w:rPr>
                <w:highlight w:val="none"/>
              </w:rPr>
            </w:pPr>
            <w:r>
              <w:rPr>
                <w:rFonts w:hint="eastAsia"/>
                <w:highlight w:val="none"/>
              </w:rPr>
              <w:t>2.2.2</w:t>
            </w:r>
          </w:p>
        </w:tc>
        <w:tc>
          <w:tcPr>
            <w:tcW w:w="1253" w:type="dxa"/>
            <w:vMerge w:val="restart"/>
            <w:tcBorders>
              <w:left w:val="single" w:color="auto" w:sz="4" w:space="0"/>
            </w:tcBorders>
            <w:vAlign w:val="center"/>
          </w:tcPr>
          <w:p w14:paraId="62D3F49B">
            <w:pPr>
              <w:pStyle w:val="40"/>
              <w:rPr>
                <w:highlight w:val="none"/>
              </w:rPr>
            </w:pPr>
            <w:r>
              <w:rPr>
                <w:rFonts w:hint="eastAsia"/>
                <w:highlight w:val="none"/>
              </w:rPr>
              <w:t>形式评审标准</w:t>
            </w:r>
          </w:p>
        </w:tc>
        <w:tc>
          <w:tcPr>
            <w:tcW w:w="1753" w:type="dxa"/>
            <w:tcBorders>
              <w:left w:val="single" w:color="auto" w:sz="4" w:space="0"/>
            </w:tcBorders>
            <w:vAlign w:val="center"/>
          </w:tcPr>
          <w:p w14:paraId="47668370">
            <w:pPr>
              <w:pStyle w:val="40"/>
              <w:rPr>
                <w:highlight w:val="none"/>
              </w:rPr>
            </w:pPr>
            <w:r>
              <w:rPr>
                <w:rFonts w:hint="eastAsia"/>
                <w:highlight w:val="none"/>
              </w:rPr>
              <w:t>响应人名称</w:t>
            </w:r>
          </w:p>
        </w:tc>
        <w:tc>
          <w:tcPr>
            <w:tcW w:w="5476" w:type="dxa"/>
            <w:tcBorders>
              <w:left w:val="single" w:color="auto" w:sz="4" w:space="0"/>
            </w:tcBorders>
            <w:vAlign w:val="center"/>
          </w:tcPr>
          <w:p w14:paraId="294B05DA">
            <w:pPr>
              <w:pStyle w:val="40"/>
              <w:rPr>
                <w:highlight w:val="none"/>
              </w:rPr>
            </w:pPr>
            <w:r>
              <w:rPr>
                <w:rFonts w:hint="eastAsia"/>
                <w:highlight w:val="none"/>
              </w:rPr>
              <w:t>与营业执照、资格证明材料一致</w:t>
            </w:r>
          </w:p>
        </w:tc>
      </w:tr>
      <w:tr w14:paraId="6DF4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6DCA708E"/>
        </w:tc>
        <w:tc>
          <w:tcPr>
            <w:tcW w:w="1253" w:type="dxa"/>
            <w:vMerge w:val="continue"/>
            <w:tcBorders>
              <w:left w:val="single" w:color="auto" w:sz="4" w:space="0"/>
            </w:tcBorders>
            <w:vAlign w:val="center"/>
          </w:tcPr>
          <w:p w14:paraId="5A9F842B"/>
        </w:tc>
        <w:tc>
          <w:tcPr>
            <w:tcW w:w="1753" w:type="dxa"/>
            <w:tcBorders>
              <w:left w:val="single" w:color="auto" w:sz="4" w:space="0"/>
            </w:tcBorders>
            <w:vAlign w:val="center"/>
          </w:tcPr>
          <w:p w14:paraId="157132A6">
            <w:pPr>
              <w:pStyle w:val="40"/>
              <w:rPr>
                <w:highlight w:val="none"/>
              </w:rPr>
            </w:pPr>
            <w:r>
              <w:rPr>
                <w:rFonts w:hint="eastAsia"/>
                <w:highlight w:val="none"/>
              </w:rPr>
              <w:t>响应文件的签字盖章</w:t>
            </w:r>
          </w:p>
        </w:tc>
        <w:tc>
          <w:tcPr>
            <w:tcW w:w="5476" w:type="dxa"/>
            <w:tcBorders>
              <w:left w:val="single" w:color="auto" w:sz="4" w:space="0"/>
            </w:tcBorders>
            <w:vAlign w:val="center"/>
          </w:tcPr>
          <w:p w14:paraId="5D2A7C1E">
            <w:pPr>
              <w:pStyle w:val="40"/>
              <w:rPr>
                <w:highlight w:val="none"/>
              </w:rPr>
            </w:pPr>
            <w:r>
              <w:rPr>
                <w:rFonts w:hint="eastAsia"/>
                <w:highlight w:val="none"/>
              </w:rPr>
              <w:t>符合第二章“响应人须知”4.6 条规定</w:t>
            </w:r>
          </w:p>
        </w:tc>
      </w:tr>
      <w:tr w14:paraId="050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28B429F"/>
        </w:tc>
        <w:tc>
          <w:tcPr>
            <w:tcW w:w="1253" w:type="dxa"/>
            <w:vMerge w:val="continue"/>
            <w:tcBorders>
              <w:left w:val="single" w:color="auto" w:sz="4" w:space="0"/>
            </w:tcBorders>
            <w:vAlign w:val="center"/>
          </w:tcPr>
          <w:p w14:paraId="6090C32D"/>
        </w:tc>
        <w:tc>
          <w:tcPr>
            <w:tcW w:w="1753" w:type="dxa"/>
            <w:tcBorders>
              <w:left w:val="single" w:color="auto" w:sz="4" w:space="0"/>
            </w:tcBorders>
            <w:vAlign w:val="center"/>
          </w:tcPr>
          <w:p w14:paraId="3B21F33D">
            <w:pPr>
              <w:pStyle w:val="40"/>
              <w:rPr>
                <w:highlight w:val="none"/>
              </w:rPr>
            </w:pPr>
            <w:r>
              <w:rPr>
                <w:rFonts w:hint="eastAsia"/>
                <w:highlight w:val="none"/>
              </w:rPr>
              <w:t>响应文件的密封</w:t>
            </w:r>
          </w:p>
        </w:tc>
        <w:tc>
          <w:tcPr>
            <w:tcW w:w="5476" w:type="dxa"/>
            <w:tcBorders>
              <w:left w:val="single" w:color="auto" w:sz="4" w:space="0"/>
            </w:tcBorders>
            <w:vAlign w:val="center"/>
          </w:tcPr>
          <w:p w14:paraId="0E372C2D">
            <w:pPr>
              <w:pStyle w:val="40"/>
              <w:rPr>
                <w:highlight w:val="none"/>
              </w:rPr>
            </w:pPr>
            <w:r>
              <w:rPr>
                <w:rFonts w:hint="eastAsia"/>
                <w:highlight w:val="none"/>
              </w:rPr>
              <w:t>符合第二章“响应人须知”4.7 条规定</w:t>
            </w:r>
          </w:p>
        </w:tc>
      </w:tr>
      <w:tr w14:paraId="555F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072965C"/>
        </w:tc>
        <w:tc>
          <w:tcPr>
            <w:tcW w:w="1253" w:type="dxa"/>
            <w:vMerge w:val="continue"/>
            <w:tcBorders>
              <w:left w:val="single" w:color="auto" w:sz="4" w:space="0"/>
            </w:tcBorders>
            <w:vAlign w:val="center"/>
          </w:tcPr>
          <w:p w14:paraId="624396F9"/>
        </w:tc>
        <w:tc>
          <w:tcPr>
            <w:tcW w:w="1753" w:type="dxa"/>
            <w:tcBorders>
              <w:left w:val="single" w:color="auto" w:sz="4" w:space="0"/>
            </w:tcBorders>
            <w:vAlign w:val="center"/>
          </w:tcPr>
          <w:p w14:paraId="10E3E21B">
            <w:pPr>
              <w:pStyle w:val="40"/>
              <w:rPr>
                <w:highlight w:val="none"/>
              </w:rPr>
            </w:pPr>
            <w:r>
              <w:rPr>
                <w:rFonts w:hint="eastAsia"/>
                <w:highlight w:val="none"/>
              </w:rPr>
              <w:t>响应文件格式</w:t>
            </w:r>
          </w:p>
        </w:tc>
        <w:tc>
          <w:tcPr>
            <w:tcW w:w="5476" w:type="dxa"/>
            <w:tcBorders>
              <w:left w:val="single" w:color="auto" w:sz="4" w:space="0"/>
            </w:tcBorders>
            <w:vAlign w:val="center"/>
          </w:tcPr>
          <w:p w14:paraId="6293726B">
            <w:pPr>
              <w:pStyle w:val="40"/>
              <w:rPr>
                <w:highlight w:val="none"/>
              </w:rPr>
            </w:pPr>
            <w:r>
              <w:rPr>
                <w:rFonts w:hint="eastAsia"/>
                <w:highlight w:val="none"/>
              </w:rPr>
              <w:t>符合第六章“响应文件格式”的要求</w:t>
            </w:r>
          </w:p>
        </w:tc>
      </w:tr>
      <w:tr w14:paraId="1828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52E34BF"/>
        </w:tc>
        <w:tc>
          <w:tcPr>
            <w:tcW w:w="1253" w:type="dxa"/>
            <w:vMerge w:val="continue"/>
            <w:tcBorders>
              <w:left w:val="single" w:color="auto" w:sz="4" w:space="0"/>
            </w:tcBorders>
            <w:vAlign w:val="center"/>
          </w:tcPr>
          <w:p w14:paraId="5EAD1BCF"/>
        </w:tc>
        <w:tc>
          <w:tcPr>
            <w:tcW w:w="1753" w:type="dxa"/>
            <w:tcBorders>
              <w:left w:val="single" w:color="auto" w:sz="4" w:space="0"/>
            </w:tcBorders>
            <w:vAlign w:val="center"/>
          </w:tcPr>
          <w:p w14:paraId="04FC5BBC">
            <w:pPr>
              <w:pStyle w:val="40"/>
              <w:rPr>
                <w:highlight w:val="none"/>
              </w:rPr>
            </w:pPr>
            <w:r>
              <w:rPr>
                <w:rFonts w:hint="eastAsia"/>
                <w:highlight w:val="none"/>
              </w:rPr>
              <w:t>响应文件组成</w:t>
            </w:r>
          </w:p>
        </w:tc>
        <w:tc>
          <w:tcPr>
            <w:tcW w:w="5476" w:type="dxa"/>
            <w:tcBorders>
              <w:left w:val="single" w:color="auto" w:sz="4" w:space="0"/>
            </w:tcBorders>
            <w:vAlign w:val="center"/>
          </w:tcPr>
          <w:p w14:paraId="46E8E9AC">
            <w:pPr>
              <w:pStyle w:val="40"/>
              <w:rPr>
                <w:highlight w:val="none"/>
              </w:rPr>
            </w:pPr>
            <w:r>
              <w:rPr>
                <w:rFonts w:hint="eastAsia"/>
                <w:highlight w:val="none"/>
              </w:rPr>
              <w:t>符合第二章“响应人须知”4.2 条规定，内容齐全、无遗漏</w:t>
            </w:r>
          </w:p>
        </w:tc>
      </w:tr>
      <w:tr w14:paraId="6994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B64D525"/>
        </w:tc>
        <w:tc>
          <w:tcPr>
            <w:tcW w:w="1253" w:type="dxa"/>
            <w:vMerge w:val="continue"/>
            <w:tcBorders>
              <w:left w:val="single" w:color="auto" w:sz="4" w:space="0"/>
            </w:tcBorders>
            <w:vAlign w:val="center"/>
          </w:tcPr>
          <w:p w14:paraId="1C746BDD"/>
        </w:tc>
        <w:tc>
          <w:tcPr>
            <w:tcW w:w="1753" w:type="dxa"/>
            <w:tcBorders>
              <w:left w:val="single" w:color="auto" w:sz="4" w:space="0"/>
            </w:tcBorders>
            <w:vAlign w:val="center"/>
          </w:tcPr>
          <w:p w14:paraId="48B2137B">
            <w:pPr>
              <w:pStyle w:val="40"/>
              <w:rPr>
                <w:highlight w:val="none"/>
              </w:rPr>
            </w:pPr>
            <w:r>
              <w:rPr>
                <w:rFonts w:hint="eastAsia"/>
                <w:highlight w:val="none"/>
              </w:rPr>
              <w:t>联合体响应</w:t>
            </w:r>
          </w:p>
        </w:tc>
        <w:tc>
          <w:tcPr>
            <w:tcW w:w="5476" w:type="dxa"/>
            <w:tcBorders>
              <w:left w:val="single" w:color="auto" w:sz="4" w:space="0"/>
            </w:tcBorders>
            <w:vAlign w:val="center"/>
          </w:tcPr>
          <w:p w14:paraId="657B24A2">
            <w:pPr>
              <w:pStyle w:val="40"/>
              <w:rPr>
                <w:highlight w:val="none"/>
              </w:rPr>
            </w:pPr>
            <w:r>
              <w:rPr>
                <w:rFonts w:hint="eastAsia"/>
                <w:highlight w:val="none"/>
              </w:rPr>
              <w:t>符合第一章“2. 响应人资格要求”2.5 条的要求</w:t>
            </w:r>
          </w:p>
        </w:tc>
      </w:tr>
      <w:tr w14:paraId="1356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E324F26">
            <w:pPr>
              <w:pStyle w:val="40"/>
              <w:rPr>
                <w:highlight w:val="none"/>
              </w:rPr>
            </w:pPr>
            <w:r>
              <w:rPr>
                <w:rFonts w:hint="eastAsia"/>
                <w:highlight w:val="none"/>
              </w:rPr>
              <w:t>2.2.3</w:t>
            </w:r>
          </w:p>
        </w:tc>
        <w:tc>
          <w:tcPr>
            <w:tcW w:w="1253" w:type="dxa"/>
            <w:vMerge w:val="restart"/>
            <w:tcBorders>
              <w:left w:val="single" w:color="auto" w:sz="4" w:space="0"/>
            </w:tcBorders>
            <w:vAlign w:val="center"/>
          </w:tcPr>
          <w:p w14:paraId="132A8A4D">
            <w:pPr>
              <w:pStyle w:val="40"/>
              <w:rPr>
                <w:highlight w:val="none"/>
              </w:rPr>
            </w:pPr>
            <w:r>
              <w:rPr>
                <w:rFonts w:hint="eastAsia"/>
                <w:highlight w:val="none"/>
              </w:rPr>
              <w:t>响应性评审标准</w:t>
            </w:r>
          </w:p>
        </w:tc>
        <w:tc>
          <w:tcPr>
            <w:tcW w:w="1753" w:type="dxa"/>
            <w:tcBorders>
              <w:left w:val="single" w:color="auto" w:sz="4" w:space="0"/>
            </w:tcBorders>
            <w:vAlign w:val="center"/>
          </w:tcPr>
          <w:p w14:paraId="2FCAECD7">
            <w:pPr>
              <w:pStyle w:val="40"/>
              <w:rPr>
                <w:highlight w:val="none"/>
              </w:rPr>
            </w:pPr>
            <w:r>
              <w:rPr>
                <w:rFonts w:hint="eastAsia"/>
                <w:highlight w:val="none"/>
              </w:rPr>
              <w:t>响应内容</w:t>
            </w:r>
          </w:p>
        </w:tc>
        <w:tc>
          <w:tcPr>
            <w:tcW w:w="5476" w:type="dxa"/>
            <w:tcBorders>
              <w:left w:val="single" w:color="auto" w:sz="4" w:space="0"/>
            </w:tcBorders>
            <w:vAlign w:val="center"/>
          </w:tcPr>
          <w:p w14:paraId="1C622695">
            <w:pPr>
              <w:pStyle w:val="40"/>
              <w:rPr>
                <w:highlight w:val="none"/>
              </w:rPr>
            </w:pPr>
            <w:r>
              <w:rPr>
                <w:rFonts w:hint="eastAsia"/>
                <w:highlight w:val="none"/>
              </w:rPr>
              <w:t>1. 在响应承诺函中对第三章“项目要求”内容做出整体承诺；</w:t>
            </w:r>
          </w:p>
          <w:p w14:paraId="53CC4F25">
            <w:pPr>
              <w:pStyle w:val="40"/>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762A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11A8101"/>
        </w:tc>
        <w:tc>
          <w:tcPr>
            <w:tcW w:w="1253" w:type="dxa"/>
            <w:vMerge w:val="continue"/>
            <w:tcBorders>
              <w:left w:val="single" w:color="auto" w:sz="4" w:space="0"/>
            </w:tcBorders>
          </w:tcPr>
          <w:p w14:paraId="1F011FED"/>
        </w:tc>
        <w:tc>
          <w:tcPr>
            <w:tcW w:w="1753" w:type="dxa"/>
            <w:tcBorders>
              <w:left w:val="single" w:color="auto" w:sz="4" w:space="0"/>
            </w:tcBorders>
            <w:vAlign w:val="center"/>
          </w:tcPr>
          <w:p w14:paraId="168DE0A9">
            <w:pPr>
              <w:pStyle w:val="40"/>
              <w:rPr>
                <w:highlight w:val="none"/>
              </w:rPr>
            </w:pPr>
            <w:r>
              <w:rPr>
                <w:rFonts w:hint="eastAsia"/>
                <w:highlight w:val="none"/>
              </w:rPr>
              <w:t>响应文件份数</w:t>
            </w:r>
          </w:p>
        </w:tc>
        <w:tc>
          <w:tcPr>
            <w:tcW w:w="5476" w:type="dxa"/>
            <w:tcBorders>
              <w:left w:val="single" w:color="auto" w:sz="4" w:space="0"/>
            </w:tcBorders>
            <w:vAlign w:val="center"/>
          </w:tcPr>
          <w:p w14:paraId="5C885CE7">
            <w:pPr>
              <w:pStyle w:val="40"/>
              <w:rPr>
                <w:highlight w:val="none"/>
              </w:rPr>
            </w:pPr>
            <w:r>
              <w:rPr>
                <w:rFonts w:hint="eastAsia"/>
                <w:highlight w:val="none"/>
              </w:rPr>
              <w:t>符合第二章“响应人须知”4.6 条规定</w:t>
            </w:r>
          </w:p>
        </w:tc>
      </w:tr>
      <w:tr w14:paraId="4C83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AB38FE0"/>
        </w:tc>
        <w:tc>
          <w:tcPr>
            <w:tcW w:w="1253" w:type="dxa"/>
            <w:vMerge w:val="continue"/>
            <w:tcBorders>
              <w:left w:val="single" w:color="auto" w:sz="4" w:space="0"/>
            </w:tcBorders>
          </w:tcPr>
          <w:p w14:paraId="088C1D62"/>
        </w:tc>
        <w:tc>
          <w:tcPr>
            <w:tcW w:w="1753" w:type="dxa"/>
            <w:tcBorders>
              <w:left w:val="single" w:color="auto" w:sz="4" w:space="0"/>
            </w:tcBorders>
            <w:vAlign w:val="center"/>
          </w:tcPr>
          <w:p w14:paraId="64EAFA68">
            <w:pPr>
              <w:pStyle w:val="40"/>
              <w:rPr>
                <w:highlight w:val="none"/>
              </w:rPr>
            </w:pPr>
            <w:r>
              <w:rPr>
                <w:rFonts w:hint="eastAsia"/>
                <w:highlight w:val="none"/>
              </w:rPr>
              <w:t>响应方案唯一</w:t>
            </w:r>
          </w:p>
        </w:tc>
        <w:tc>
          <w:tcPr>
            <w:tcW w:w="5476" w:type="dxa"/>
            <w:tcBorders>
              <w:left w:val="single" w:color="auto" w:sz="4" w:space="0"/>
            </w:tcBorders>
            <w:vAlign w:val="center"/>
          </w:tcPr>
          <w:p w14:paraId="5DE1C60C">
            <w:pPr>
              <w:pStyle w:val="40"/>
              <w:rPr>
                <w:highlight w:val="none"/>
              </w:rPr>
            </w:pPr>
            <w:r>
              <w:rPr>
                <w:rFonts w:hint="eastAsia"/>
                <w:highlight w:val="none"/>
              </w:rPr>
              <w:t>只能有一个方案响应。</w:t>
            </w:r>
          </w:p>
        </w:tc>
      </w:tr>
      <w:tr w14:paraId="66CA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F0D07AD"/>
        </w:tc>
        <w:tc>
          <w:tcPr>
            <w:tcW w:w="1253" w:type="dxa"/>
            <w:vMerge w:val="continue"/>
            <w:tcBorders>
              <w:left w:val="single" w:color="auto" w:sz="4" w:space="0"/>
            </w:tcBorders>
          </w:tcPr>
          <w:p w14:paraId="075FE556"/>
        </w:tc>
        <w:tc>
          <w:tcPr>
            <w:tcW w:w="1753" w:type="dxa"/>
            <w:tcBorders>
              <w:left w:val="single" w:color="auto" w:sz="4" w:space="0"/>
            </w:tcBorders>
            <w:vAlign w:val="center"/>
          </w:tcPr>
          <w:p w14:paraId="36EDFA2D">
            <w:pPr>
              <w:pStyle w:val="40"/>
              <w:rPr>
                <w:highlight w:val="none"/>
              </w:rPr>
            </w:pPr>
            <w:r>
              <w:rPr>
                <w:rFonts w:hint="eastAsia"/>
                <w:highlight w:val="none"/>
              </w:rPr>
              <w:t>响应报价</w:t>
            </w:r>
          </w:p>
        </w:tc>
        <w:tc>
          <w:tcPr>
            <w:tcW w:w="5476" w:type="dxa"/>
            <w:tcBorders>
              <w:left w:val="single" w:color="auto" w:sz="4" w:space="0"/>
            </w:tcBorders>
            <w:vAlign w:val="center"/>
          </w:tcPr>
          <w:p w14:paraId="510B8AF3">
            <w:pPr>
              <w:pStyle w:val="40"/>
              <w:rPr>
                <w:highlight w:val="none"/>
              </w:rPr>
            </w:pPr>
            <w:r>
              <w:rPr>
                <w:rFonts w:hint="eastAsia"/>
                <w:highlight w:val="none"/>
              </w:rPr>
              <w:t>符合第二章“响应人须知”4.8 条规定</w:t>
            </w:r>
          </w:p>
        </w:tc>
      </w:tr>
      <w:tr w14:paraId="3E5C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9014DEB"/>
        </w:tc>
        <w:tc>
          <w:tcPr>
            <w:tcW w:w="1253" w:type="dxa"/>
            <w:vMerge w:val="continue"/>
            <w:tcBorders>
              <w:left w:val="single" w:color="auto" w:sz="4" w:space="0"/>
            </w:tcBorders>
          </w:tcPr>
          <w:p w14:paraId="5E50EE80"/>
        </w:tc>
        <w:tc>
          <w:tcPr>
            <w:tcW w:w="1753" w:type="dxa"/>
            <w:tcBorders>
              <w:left w:val="single" w:color="auto" w:sz="4" w:space="0"/>
            </w:tcBorders>
            <w:vAlign w:val="center"/>
          </w:tcPr>
          <w:p w14:paraId="7B1C0F5F">
            <w:pPr>
              <w:pStyle w:val="40"/>
              <w:rPr>
                <w:highlight w:val="none"/>
              </w:rPr>
            </w:pPr>
            <w:r>
              <w:rPr>
                <w:rFonts w:hint="eastAsia"/>
                <w:highlight w:val="none"/>
              </w:rPr>
              <w:t>响应有效期</w:t>
            </w:r>
          </w:p>
        </w:tc>
        <w:tc>
          <w:tcPr>
            <w:tcW w:w="5476" w:type="dxa"/>
            <w:tcBorders>
              <w:left w:val="single" w:color="auto" w:sz="4" w:space="0"/>
            </w:tcBorders>
          </w:tcPr>
          <w:p w14:paraId="1F67CDE3">
            <w:pPr>
              <w:pStyle w:val="40"/>
              <w:rPr>
                <w:highlight w:val="none"/>
              </w:rPr>
            </w:pPr>
            <w:r>
              <w:rPr>
                <w:rFonts w:hint="eastAsia"/>
                <w:highlight w:val="none"/>
              </w:rPr>
              <w:t>符合第二章“响应人须知”4.4 条规定</w:t>
            </w:r>
          </w:p>
        </w:tc>
      </w:tr>
      <w:tr w14:paraId="73D4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BDC893A"/>
        </w:tc>
        <w:tc>
          <w:tcPr>
            <w:tcW w:w="1253" w:type="dxa"/>
            <w:vMerge w:val="continue"/>
            <w:tcBorders>
              <w:left w:val="single" w:color="auto" w:sz="4" w:space="0"/>
            </w:tcBorders>
          </w:tcPr>
          <w:p w14:paraId="2B9B4D78"/>
        </w:tc>
        <w:tc>
          <w:tcPr>
            <w:tcW w:w="1753" w:type="dxa"/>
            <w:tcBorders>
              <w:left w:val="single" w:color="auto" w:sz="4" w:space="0"/>
            </w:tcBorders>
            <w:vAlign w:val="center"/>
          </w:tcPr>
          <w:p w14:paraId="70F18544">
            <w:pPr>
              <w:pStyle w:val="40"/>
              <w:rPr>
                <w:highlight w:val="none"/>
              </w:rPr>
            </w:pPr>
            <w:r>
              <w:rPr>
                <w:rFonts w:hint="eastAsia"/>
                <w:highlight w:val="none"/>
              </w:rPr>
              <w:t>响应保证金</w:t>
            </w:r>
          </w:p>
        </w:tc>
        <w:tc>
          <w:tcPr>
            <w:tcW w:w="5476" w:type="dxa"/>
            <w:tcBorders>
              <w:left w:val="single" w:color="auto" w:sz="4" w:space="0"/>
            </w:tcBorders>
          </w:tcPr>
          <w:p w14:paraId="1DAC5A5D">
            <w:pPr>
              <w:pStyle w:val="40"/>
              <w:rPr>
                <w:highlight w:val="none"/>
              </w:rPr>
            </w:pPr>
            <w:r>
              <w:rPr>
                <w:rFonts w:hint="eastAsia"/>
                <w:highlight w:val="none"/>
              </w:rPr>
              <w:t>按时足额缴纳响应保证金，以重庆市公共资源交易中心《投标保证金交纳情况一览表》为准。</w:t>
            </w:r>
          </w:p>
        </w:tc>
      </w:tr>
      <w:tr w14:paraId="77CA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82" w:type="dxa"/>
            <w:vAlign w:val="center"/>
          </w:tcPr>
          <w:p w14:paraId="236BCAB5">
            <w:pPr>
              <w:pStyle w:val="40"/>
              <w:rPr>
                <w:highlight w:val="none"/>
              </w:rPr>
            </w:pPr>
            <w:r>
              <w:rPr>
                <w:rFonts w:hint="eastAsia"/>
                <w:highlight w:val="none"/>
              </w:rPr>
              <w:t>3</w:t>
            </w:r>
          </w:p>
        </w:tc>
        <w:tc>
          <w:tcPr>
            <w:tcW w:w="1253" w:type="dxa"/>
            <w:tcBorders>
              <w:left w:val="single" w:color="auto" w:sz="4" w:space="0"/>
            </w:tcBorders>
            <w:vAlign w:val="center"/>
          </w:tcPr>
          <w:p w14:paraId="462585EC">
            <w:pPr>
              <w:pStyle w:val="40"/>
              <w:rPr>
                <w:highlight w:val="none"/>
              </w:rPr>
            </w:pPr>
            <w:r>
              <w:rPr>
                <w:rFonts w:hint="eastAsia"/>
                <w:highlight w:val="none"/>
              </w:rPr>
              <w:t>评审程序</w:t>
            </w:r>
          </w:p>
        </w:tc>
        <w:tc>
          <w:tcPr>
            <w:tcW w:w="7229" w:type="dxa"/>
            <w:gridSpan w:val="2"/>
            <w:tcBorders>
              <w:left w:val="single" w:color="auto" w:sz="4" w:space="0"/>
            </w:tcBorders>
          </w:tcPr>
          <w:p w14:paraId="0E0F2B39">
            <w:pPr>
              <w:pStyle w:val="40"/>
              <w:rPr>
                <w:highlight w:val="none"/>
              </w:rPr>
            </w:pPr>
            <w:r>
              <w:rPr>
                <w:rFonts w:hint="eastAsia"/>
                <w:highlight w:val="none"/>
              </w:rPr>
              <w:t>1.评审委员会所有响应文件进行符合性审查</w:t>
            </w:r>
          </w:p>
          <w:p w14:paraId="75731226">
            <w:pPr>
              <w:pStyle w:val="40"/>
              <w:rPr>
                <w:highlight w:val="none"/>
              </w:rPr>
            </w:pPr>
            <w:r>
              <w:rPr>
                <w:rFonts w:hint="eastAsia"/>
                <w:highlight w:val="none"/>
              </w:rPr>
              <w:t>2.评审委员会对</w:t>
            </w:r>
            <w:r>
              <w:rPr>
                <w:rFonts w:hint="eastAsia"/>
                <w:highlight w:val="none"/>
                <w:lang w:val="en-US" w:eastAsia="zh-CN"/>
              </w:rPr>
              <w:t>每个标段</w:t>
            </w:r>
            <w:r>
              <w:rPr>
                <w:rFonts w:hint="eastAsia"/>
                <w:highlight w:val="none"/>
              </w:rPr>
              <w:t>通过符合性审查的响应文件进行报价排序，按含税报价由低到高推荐1-3名成交候选人。报价最低的成为第一成交候选人，报价次低的成为第二成交候选人，依次类推，共推荐1-3名成交候选人。</w:t>
            </w:r>
          </w:p>
        </w:tc>
      </w:tr>
      <w:tr w14:paraId="4270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647CAF66">
            <w:pPr>
              <w:pStyle w:val="40"/>
              <w:rPr>
                <w:highlight w:val="none"/>
              </w:rPr>
            </w:pPr>
            <w:r>
              <w:rPr>
                <w:rFonts w:hint="eastAsia"/>
                <w:highlight w:val="none"/>
              </w:rPr>
              <w:t>3.4</w:t>
            </w:r>
          </w:p>
        </w:tc>
        <w:tc>
          <w:tcPr>
            <w:tcW w:w="1253" w:type="dxa"/>
            <w:tcBorders>
              <w:left w:val="single" w:color="auto" w:sz="4" w:space="0"/>
            </w:tcBorders>
            <w:vAlign w:val="center"/>
          </w:tcPr>
          <w:p w14:paraId="797DB60C">
            <w:pPr>
              <w:pStyle w:val="40"/>
              <w:rPr>
                <w:highlight w:val="none"/>
              </w:rPr>
            </w:pPr>
            <w:r>
              <w:rPr>
                <w:rFonts w:hint="eastAsia"/>
                <w:highlight w:val="none"/>
              </w:rPr>
              <w:t>评审结果</w:t>
            </w:r>
          </w:p>
        </w:tc>
        <w:tc>
          <w:tcPr>
            <w:tcW w:w="7229" w:type="dxa"/>
            <w:gridSpan w:val="2"/>
            <w:tcBorders>
              <w:left w:val="single" w:color="auto" w:sz="4" w:space="0"/>
            </w:tcBorders>
            <w:vAlign w:val="center"/>
          </w:tcPr>
          <w:p w14:paraId="7C1618F3">
            <w:pPr>
              <w:pStyle w:val="40"/>
              <w:rPr>
                <w:highlight w:val="none"/>
              </w:rPr>
            </w:pPr>
            <w:r>
              <w:rPr>
                <w:rFonts w:hint="eastAsia"/>
                <w:highlight w:val="none"/>
              </w:rPr>
              <w:t>3.4.1 评审委员会按经评审的最低价法推荐成交候选人。</w:t>
            </w:r>
          </w:p>
          <w:p w14:paraId="712DDB6A">
            <w:pPr>
              <w:pStyle w:val="40"/>
              <w:rPr>
                <w:highlight w:val="none"/>
              </w:rPr>
            </w:pPr>
            <w:r>
              <w:rPr>
                <w:rFonts w:hint="eastAsia"/>
                <w:highlight w:val="none"/>
              </w:rPr>
              <w:t>3.4.2 评审委员会完成评审后，应当向采购人提交书面评审报告。</w:t>
            </w:r>
          </w:p>
        </w:tc>
      </w:tr>
    </w:tbl>
    <w:p w14:paraId="50ADFA0A">
      <w:pPr>
        <w:rPr>
          <w:rFonts w:ascii="宋体" w:hAnsi="宋体" w:cs="宋体"/>
          <w:snapToGrid w:val="0"/>
          <w:szCs w:val="21"/>
        </w:rPr>
      </w:pPr>
      <w:r>
        <w:rPr>
          <w:rFonts w:hint="eastAsia" w:ascii="宋体" w:hAnsi="宋体" w:cs="宋体"/>
          <w:snapToGrid w:val="0"/>
          <w:szCs w:val="21"/>
        </w:rPr>
        <w:br w:type="page"/>
      </w:r>
    </w:p>
    <w:p w14:paraId="64F2F0C8">
      <w:pPr>
        <w:pStyle w:val="3"/>
        <w:rPr>
          <w:highlight w:val="none"/>
        </w:rPr>
      </w:pPr>
      <w:bookmarkStart w:id="70" w:name="_Toc25275"/>
      <w:bookmarkStart w:id="71" w:name="_Toc32646"/>
      <w:bookmarkStart w:id="72" w:name="_Toc2724"/>
      <w:r>
        <w:rPr>
          <w:highlight w:val="none"/>
        </w:rPr>
        <w:t>1.</w:t>
      </w:r>
      <w:r>
        <w:rPr>
          <w:rFonts w:hint="eastAsia"/>
          <w:highlight w:val="none"/>
        </w:rPr>
        <w:t xml:space="preserve"> 评审</w:t>
      </w:r>
      <w:r>
        <w:rPr>
          <w:highlight w:val="none"/>
        </w:rPr>
        <w:t>方法</w:t>
      </w:r>
      <w:bookmarkEnd w:id="70"/>
      <w:bookmarkEnd w:id="71"/>
      <w:bookmarkEnd w:id="72"/>
    </w:p>
    <w:p w14:paraId="72C08C5C">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14DE1C45">
      <w:pPr>
        <w:pStyle w:val="3"/>
        <w:rPr>
          <w:highlight w:val="none"/>
        </w:rPr>
      </w:pPr>
      <w:bookmarkStart w:id="73" w:name="_Toc10761"/>
      <w:bookmarkStart w:id="74" w:name="_Toc2555"/>
      <w:bookmarkStart w:id="75" w:name="_Toc15579"/>
      <w:r>
        <w:rPr>
          <w:highlight w:val="none"/>
        </w:rPr>
        <w:t>2.</w:t>
      </w:r>
      <w:r>
        <w:rPr>
          <w:rFonts w:hint="eastAsia"/>
          <w:highlight w:val="none"/>
        </w:rPr>
        <w:t xml:space="preserve"> </w:t>
      </w:r>
      <w:r>
        <w:rPr>
          <w:highlight w:val="none"/>
        </w:rPr>
        <w:t>评审标准</w:t>
      </w:r>
      <w:bookmarkEnd w:id="73"/>
      <w:bookmarkEnd w:id="74"/>
      <w:bookmarkEnd w:id="75"/>
    </w:p>
    <w:p w14:paraId="5E14B10F">
      <w:pPr>
        <w:pStyle w:val="4"/>
        <w:rPr>
          <w:highlight w:val="none"/>
        </w:rPr>
      </w:pPr>
      <w:bookmarkStart w:id="76" w:name="_Toc15271"/>
      <w:r>
        <w:rPr>
          <w:highlight w:val="none"/>
        </w:rPr>
        <w:t>2.</w:t>
      </w:r>
      <w:r>
        <w:rPr>
          <w:rFonts w:hint="eastAsia"/>
          <w:highlight w:val="none"/>
        </w:rPr>
        <w:t>1 符合性审查标准</w:t>
      </w:r>
      <w:bookmarkEnd w:id="76"/>
    </w:p>
    <w:p w14:paraId="04478ED2">
      <w:pPr>
        <w:rPr>
          <w:highlight w:val="none"/>
        </w:rPr>
      </w:pPr>
      <w:r>
        <w:rPr>
          <w:rFonts w:hint="eastAsia"/>
          <w:highlight w:val="none"/>
        </w:rPr>
        <w:t>按评审办法前附表约定的审查标准进行符合性审查。符合性审查内容：资格评审、形式评审、响应性评审。</w:t>
      </w:r>
    </w:p>
    <w:p w14:paraId="7890F405">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5B9F440F">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4E3434B3">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164E5B8D">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222D2749">
      <w:pPr>
        <w:rPr>
          <w:highlight w:val="none"/>
        </w:rPr>
      </w:pPr>
      <w:r>
        <w:rPr>
          <w:rFonts w:hint="eastAsia"/>
          <w:highlight w:val="none"/>
        </w:rPr>
        <w:t>见评审办法前附表。</w:t>
      </w:r>
    </w:p>
    <w:p w14:paraId="112B677A">
      <w:pPr>
        <w:pStyle w:val="3"/>
        <w:rPr>
          <w:highlight w:val="none"/>
        </w:rPr>
      </w:pPr>
      <w:bookmarkStart w:id="77" w:name="_Toc26015"/>
      <w:bookmarkStart w:id="78" w:name="_Toc7105"/>
      <w:bookmarkStart w:id="79" w:name="_Toc26445"/>
      <w:r>
        <w:rPr>
          <w:highlight w:val="none"/>
        </w:rPr>
        <w:t>3.</w:t>
      </w:r>
      <w:r>
        <w:rPr>
          <w:rFonts w:hint="eastAsia"/>
          <w:highlight w:val="none"/>
        </w:rPr>
        <w:t xml:space="preserve"> 评审</w:t>
      </w:r>
      <w:r>
        <w:rPr>
          <w:highlight w:val="none"/>
        </w:rPr>
        <w:t>程序</w:t>
      </w:r>
      <w:bookmarkEnd w:id="77"/>
      <w:bookmarkEnd w:id="78"/>
      <w:bookmarkEnd w:id="79"/>
    </w:p>
    <w:p w14:paraId="31A2E330">
      <w:pPr>
        <w:pStyle w:val="4"/>
        <w:rPr>
          <w:highlight w:val="none"/>
        </w:rPr>
      </w:pPr>
      <w:bookmarkStart w:id="80" w:name="_Toc19164"/>
      <w:r>
        <w:rPr>
          <w:highlight w:val="none"/>
        </w:rPr>
        <w:t>3.</w:t>
      </w:r>
      <w:r>
        <w:rPr>
          <w:rFonts w:hint="eastAsia"/>
          <w:highlight w:val="none"/>
        </w:rPr>
        <w:t>1 符合性审查</w:t>
      </w:r>
      <w:bookmarkEnd w:id="80"/>
    </w:p>
    <w:p w14:paraId="006A1474">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542C5F29">
      <w:pPr>
        <w:rPr>
          <w:highlight w:val="none"/>
        </w:rPr>
      </w:pPr>
      <w:r>
        <w:rPr>
          <w:rFonts w:hint="eastAsia"/>
          <w:highlight w:val="none"/>
        </w:rPr>
        <w:t>有一项不符合评审标准的，作否决响应处理。</w:t>
      </w:r>
    </w:p>
    <w:p w14:paraId="0E0B6CC7">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7C64CCD9">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165C85E4">
      <w:pPr>
        <w:rPr>
          <w:highlight w:val="none"/>
        </w:rPr>
      </w:pPr>
      <w:r>
        <w:rPr>
          <w:rFonts w:hint="eastAsia"/>
          <w:highlight w:val="none"/>
        </w:rPr>
        <w:t>3.1.2.2 有串通响应、弄虚作假等其他违反相关法律、法规行为的；</w:t>
      </w:r>
    </w:p>
    <w:p w14:paraId="203AB4C3">
      <w:pPr>
        <w:rPr>
          <w:highlight w:val="none"/>
        </w:rPr>
      </w:pPr>
      <w:r>
        <w:rPr>
          <w:rFonts w:hint="eastAsia"/>
          <w:highlight w:val="none"/>
        </w:rPr>
        <w:t>3.1.2.3 不按评审委员会要求澄清、说明或补正的。</w:t>
      </w:r>
    </w:p>
    <w:p w14:paraId="42380B9C">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25E78BF1">
      <w:pPr>
        <w:pStyle w:val="4"/>
        <w:rPr>
          <w:highlight w:val="none"/>
        </w:rPr>
      </w:pPr>
      <w:bookmarkStart w:id="81" w:name="_Toc14647"/>
      <w:r>
        <w:rPr>
          <w:highlight w:val="none"/>
        </w:rPr>
        <w:t>3.</w:t>
      </w:r>
      <w:r>
        <w:rPr>
          <w:rFonts w:hint="eastAsia"/>
          <w:highlight w:val="none"/>
        </w:rPr>
        <w:t>2 报价排序</w:t>
      </w:r>
    </w:p>
    <w:p w14:paraId="77426054">
      <w:pPr>
        <w:rPr>
          <w:highlight w:val="none"/>
        </w:rPr>
      </w:pPr>
      <w:r>
        <w:rPr>
          <w:rFonts w:hint="eastAsia"/>
          <w:highlight w:val="none"/>
        </w:rPr>
        <w:t>对报价不高于最高限价的所有响应人的响应文件，按照报价由低到高的顺序排序。</w:t>
      </w:r>
    </w:p>
    <w:p w14:paraId="0F6F1FDE">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81"/>
    </w:p>
    <w:p w14:paraId="17DAAB63">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2677771D">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57222A5D">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4EE3656F">
      <w:pPr>
        <w:pStyle w:val="4"/>
        <w:rPr>
          <w:highlight w:val="none"/>
        </w:rPr>
      </w:pPr>
      <w:bookmarkStart w:id="82" w:name="_Toc484465184"/>
      <w:bookmarkStart w:id="83" w:name="_Toc25249"/>
      <w:bookmarkStart w:id="84" w:name="_Toc479262406"/>
      <w:r>
        <w:rPr>
          <w:highlight w:val="none"/>
        </w:rPr>
        <w:t>3.</w:t>
      </w:r>
      <w:r>
        <w:rPr>
          <w:rFonts w:hint="eastAsia"/>
          <w:highlight w:val="none"/>
        </w:rPr>
        <w:t>4</w:t>
      </w:r>
      <w:r>
        <w:rPr>
          <w:highlight w:val="none"/>
        </w:rPr>
        <w:t xml:space="preserve"> </w:t>
      </w:r>
      <w:r>
        <w:rPr>
          <w:rFonts w:hint="eastAsia"/>
          <w:highlight w:val="none"/>
        </w:rPr>
        <w:t>评审结果</w:t>
      </w:r>
      <w:bookmarkEnd w:id="82"/>
      <w:bookmarkEnd w:id="83"/>
      <w:bookmarkEnd w:id="84"/>
    </w:p>
    <w:p w14:paraId="23EAC462">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评审委员会按经评审的最低价法推荐成交候选人。</w:t>
      </w:r>
    </w:p>
    <w:p w14:paraId="66C9F7E4">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14:paraId="1264C8B5">
      <w:pPr>
        <w:rPr>
          <w:highlight w:val="none"/>
        </w:rPr>
      </w:pPr>
      <w:r>
        <w:rPr>
          <w:rFonts w:hint="eastAsia"/>
          <w:highlight w:val="none"/>
        </w:rPr>
        <w:t>3.4.3 有效响应不足三个的，经评审委员会判定，响应人具有相对行业竞争力的，可继续进行评审并确定成交候选人。</w:t>
      </w:r>
    </w:p>
    <w:p w14:paraId="64C81B0A">
      <w:pPr>
        <w:pStyle w:val="4"/>
        <w:rPr>
          <w:highlight w:val="none"/>
        </w:rPr>
      </w:pPr>
      <w:r>
        <w:rPr>
          <w:rFonts w:hint="eastAsia"/>
          <w:highlight w:val="none"/>
        </w:rPr>
        <w:t>3.5 对评审委员会成员的纪律要求</w:t>
      </w:r>
    </w:p>
    <w:p w14:paraId="27068685">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238D58CF">
      <w:pPr>
        <w:pStyle w:val="4"/>
        <w:rPr>
          <w:highlight w:val="none"/>
        </w:rPr>
      </w:pPr>
      <w:r>
        <w:rPr>
          <w:rFonts w:hint="eastAsia"/>
          <w:highlight w:val="none"/>
        </w:rPr>
        <w:t>3.6 对与评审活动有关的工作人员的纪律要求</w:t>
      </w:r>
    </w:p>
    <w:p w14:paraId="162544C1">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20AAC357">
      <w:pPr>
        <w:rPr>
          <w:highlight w:val="none"/>
        </w:rPr>
      </w:pPr>
      <w:r>
        <w:rPr>
          <w:rFonts w:hint="eastAsia"/>
          <w:highlight w:val="none"/>
        </w:rPr>
        <w:br w:type="page"/>
      </w:r>
    </w:p>
    <w:bookmarkEnd w:id="69"/>
    <w:p w14:paraId="0FF0A088">
      <w:pPr>
        <w:pStyle w:val="2"/>
      </w:pPr>
      <w:bookmarkStart w:id="85" w:name="_Toc27619"/>
      <w:bookmarkStart w:id="86" w:name="_Toc9381"/>
      <w:bookmarkStart w:id="87" w:name="_Toc150953074"/>
      <w:bookmarkStart w:id="88" w:name="_Toc89675170"/>
      <w:bookmarkStart w:id="89" w:name="_Toc303066034"/>
      <w:r>
        <w:rPr>
          <w:rFonts w:hint="eastAsia"/>
        </w:rPr>
        <w:t>第五章 合同</w:t>
      </w:r>
      <w:r>
        <w:t>模板</w:t>
      </w:r>
      <w:bookmarkEnd w:id="85"/>
      <w:bookmarkEnd w:id="86"/>
      <w:bookmarkEnd w:id="87"/>
    </w:p>
    <w:p w14:paraId="1E20BDCB">
      <w:pPr>
        <w:ind w:firstLine="0" w:firstLineChars="0"/>
        <w:jc w:val="center"/>
      </w:pPr>
      <w:r>
        <w:rPr>
          <w:rFonts w:hint="eastAsia"/>
        </w:rPr>
        <w:t>（本章节的合同条款及格式仅供参考，具体以合同签订时为准）</w:t>
      </w:r>
    </w:p>
    <w:p w14:paraId="635E5D45">
      <w:pPr>
        <w:jc w:val="right"/>
        <w:rPr>
          <w:rFonts w:hint="eastAsia" w:ascii="宋体"/>
          <w:sz w:val="28"/>
        </w:rPr>
      </w:pPr>
      <w:r>
        <w:rPr>
          <w:rFonts w:hint="eastAsia" w:ascii="宋体"/>
          <w:sz w:val="28"/>
        </w:rPr>
        <w:t>编号：SXYHXXKJ202_____</w:t>
      </w:r>
    </w:p>
    <w:p w14:paraId="7EC8897F">
      <w:pPr>
        <w:jc w:val="center"/>
        <w:rPr>
          <w:rFonts w:hint="eastAsia" w:ascii="宋体"/>
          <w:b/>
          <w:sz w:val="44"/>
        </w:rPr>
      </w:pPr>
    </w:p>
    <w:p w14:paraId="45907CAA">
      <w:pPr>
        <w:jc w:val="center"/>
        <w:rPr>
          <w:rFonts w:hint="eastAsia" w:ascii="宋体"/>
          <w:b/>
          <w:sz w:val="44"/>
        </w:rPr>
      </w:pPr>
    </w:p>
    <w:p w14:paraId="34F16B29">
      <w:pPr>
        <w:jc w:val="center"/>
        <w:rPr>
          <w:rFonts w:hint="eastAsia" w:ascii="宋体"/>
          <w:b/>
          <w:sz w:val="44"/>
        </w:rPr>
      </w:pPr>
    </w:p>
    <w:p w14:paraId="4C13E15B">
      <w:pPr>
        <w:jc w:val="center"/>
        <w:rPr>
          <w:rFonts w:hint="eastAsia" w:ascii="宋体"/>
          <w:b/>
          <w:sz w:val="44"/>
        </w:rPr>
      </w:pPr>
      <w:r>
        <w:rPr>
          <w:rFonts w:hint="eastAsia" w:ascii="宋体"/>
          <w:b/>
          <w:sz w:val="44"/>
        </w:rPr>
        <w:t xml:space="preserve">  重庆三峡银行股份有限公司</w:t>
      </w:r>
    </w:p>
    <w:p w14:paraId="3957D8AA">
      <w:pPr>
        <w:jc w:val="center"/>
        <w:rPr>
          <w:rFonts w:hint="eastAsia" w:ascii="宋体"/>
          <w:b/>
          <w:sz w:val="44"/>
        </w:rPr>
      </w:pPr>
    </w:p>
    <w:p w14:paraId="4D8666CF">
      <w:pPr>
        <w:jc w:val="center"/>
        <w:rPr>
          <w:rFonts w:hint="eastAsia" w:ascii="宋体"/>
          <w:b/>
          <w:sz w:val="44"/>
        </w:rPr>
      </w:pPr>
      <w:r>
        <w:rPr>
          <w:rFonts w:hint="eastAsia" w:ascii="宋体"/>
          <w:b/>
          <w:sz w:val="44"/>
        </w:rPr>
        <w:t>与</w:t>
      </w:r>
    </w:p>
    <w:p w14:paraId="42A84F5D">
      <w:pPr>
        <w:jc w:val="center"/>
        <w:rPr>
          <w:rFonts w:hint="eastAsia" w:ascii="宋体"/>
          <w:b/>
          <w:sz w:val="44"/>
        </w:rPr>
      </w:pPr>
    </w:p>
    <w:p w14:paraId="08604BF9">
      <w:pPr>
        <w:jc w:val="center"/>
        <w:rPr>
          <w:rFonts w:hint="eastAsia" w:ascii="宋体"/>
          <w:b/>
          <w:sz w:val="44"/>
        </w:rPr>
      </w:pPr>
      <w:r>
        <w:rPr>
          <w:rFonts w:hint="eastAsia" w:ascii="宋体"/>
          <w:b/>
          <w:sz w:val="44"/>
        </w:rPr>
        <w:t xml:space="preserve">  xxxxx公司</w:t>
      </w:r>
    </w:p>
    <w:p w14:paraId="68805BEF">
      <w:pPr>
        <w:jc w:val="center"/>
        <w:rPr>
          <w:rFonts w:hint="eastAsia" w:ascii="宋体"/>
          <w:sz w:val="32"/>
          <w:szCs w:val="32"/>
        </w:rPr>
      </w:pPr>
    </w:p>
    <w:p w14:paraId="5DCF7699">
      <w:pPr>
        <w:jc w:val="center"/>
        <w:rPr>
          <w:rFonts w:hint="eastAsia" w:ascii="宋体"/>
          <w:sz w:val="32"/>
          <w:szCs w:val="32"/>
        </w:rPr>
      </w:pPr>
    </w:p>
    <w:p w14:paraId="7DDD2C36">
      <w:pPr>
        <w:jc w:val="center"/>
        <w:rPr>
          <w:rFonts w:hint="eastAsia" w:ascii="宋体"/>
          <w:sz w:val="32"/>
          <w:szCs w:val="32"/>
        </w:rPr>
      </w:pPr>
      <w:r>
        <w:rPr>
          <w:rFonts w:hint="eastAsia" w:ascii="宋体"/>
          <w:sz w:val="32"/>
          <w:szCs w:val="32"/>
        </w:rPr>
        <w:t>（</w:t>
      </w:r>
      <w:r>
        <w:rPr>
          <w:rFonts w:hint="eastAsia"/>
          <w:snapToGrid w:val="0"/>
          <w:sz w:val="32"/>
          <w:szCs w:val="32"/>
        </w:rPr>
        <w:t>西永数据中心信创网络安全设备采购</w:t>
      </w:r>
      <w:r>
        <w:rPr>
          <w:rFonts w:hint="eastAsia"/>
          <w:sz w:val="32"/>
          <w:szCs w:val="32"/>
        </w:rPr>
        <w:t>项目（标段</w:t>
      </w:r>
      <w:r>
        <w:rPr>
          <w:sz w:val="32"/>
          <w:szCs w:val="32"/>
        </w:rPr>
        <w:t>X：XXXX</w:t>
      </w:r>
      <w:r>
        <w:rPr>
          <w:rFonts w:hint="eastAsia"/>
          <w:sz w:val="32"/>
          <w:szCs w:val="32"/>
        </w:rPr>
        <w:t>）</w:t>
      </w:r>
      <w:r>
        <w:rPr>
          <w:rFonts w:hint="eastAsia" w:ascii="宋体"/>
          <w:sz w:val="32"/>
          <w:szCs w:val="32"/>
        </w:rPr>
        <w:t>）</w:t>
      </w:r>
    </w:p>
    <w:p w14:paraId="1ECC52A3">
      <w:pPr>
        <w:jc w:val="center"/>
        <w:rPr>
          <w:rFonts w:hint="eastAsia" w:ascii="宋体"/>
          <w:sz w:val="36"/>
        </w:rPr>
      </w:pPr>
    </w:p>
    <w:p w14:paraId="7A380C2C">
      <w:pPr>
        <w:jc w:val="center"/>
        <w:rPr>
          <w:rFonts w:hint="eastAsia" w:ascii="宋体"/>
          <w:b/>
          <w:sz w:val="48"/>
        </w:rPr>
      </w:pPr>
      <w:r>
        <w:rPr>
          <w:rFonts w:hint="eastAsia" w:ascii="宋体"/>
          <w:b/>
          <w:sz w:val="48"/>
        </w:rPr>
        <w:t>购 销 合 同</w:t>
      </w:r>
    </w:p>
    <w:p w14:paraId="7A8B7A8D">
      <w:pPr>
        <w:rPr>
          <w:rFonts w:hint="eastAsia" w:ascii="宋体"/>
          <w:b/>
          <w:sz w:val="48"/>
        </w:rPr>
      </w:pPr>
    </w:p>
    <w:p w14:paraId="11798596">
      <w:pPr>
        <w:rPr>
          <w:rFonts w:hint="eastAsia" w:ascii="宋体"/>
          <w:b/>
          <w:sz w:val="18"/>
        </w:rPr>
      </w:pPr>
    </w:p>
    <w:p w14:paraId="08F62D32">
      <w:pPr>
        <w:rPr>
          <w:rFonts w:hint="eastAsia" w:ascii="宋体"/>
          <w:b/>
          <w:sz w:val="18"/>
        </w:rPr>
      </w:pPr>
    </w:p>
    <w:p w14:paraId="35A35AED">
      <w:pPr>
        <w:rPr>
          <w:rFonts w:hint="eastAsia" w:ascii="宋体"/>
          <w:b/>
          <w:sz w:val="18"/>
        </w:rPr>
      </w:pPr>
    </w:p>
    <w:p w14:paraId="54BA5423">
      <w:pPr>
        <w:tabs>
          <w:tab w:val="left" w:pos="1843"/>
        </w:tabs>
        <w:rPr>
          <w:rFonts w:hint="eastAsia" w:ascii="宋体"/>
          <w:b/>
          <w:sz w:val="18"/>
        </w:rPr>
      </w:pPr>
    </w:p>
    <w:p w14:paraId="03D5F449">
      <w:pPr>
        <w:ind w:left="2551" w:leftChars="1215"/>
        <w:rPr>
          <w:rFonts w:hint="eastAsia" w:ascii="宋体"/>
          <w:b/>
          <w:sz w:val="28"/>
          <w:szCs w:val="28"/>
        </w:rPr>
      </w:pPr>
    </w:p>
    <w:p w14:paraId="66A630D8">
      <w:pPr>
        <w:ind w:left="2551" w:leftChars="1215"/>
        <w:rPr>
          <w:rFonts w:hint="eastAsia" w:ascii="宋体"/>
          <w:b/>
          <w:sz w:val="28"/>
          <w:szCs w:val="28"/>
        </w:rPr>
      </w:pPr>
      <w:r>
        <w:rPr>
          <w:rFonts w:hint="eastAsia" w:ascii="宋体"/>
          <w:b/>
          <w:sz w:val="28"/>
          <w:szCs w:val="28"/>
        </w:rPr>
        <w:t>签订地点：重庆</w:t>
      </w:r>
    </w:p>
    <w:p w14:paraId="448065D4">
      <w:pPr>
        <w:outlineLvl w:val="9"/>
        <w:rPr>
          <w:rFonts w:hint="eastAsia" w:ascii="宋体"/>
          <w:b/>
          <w:sz w:val="28"/>
          <w:szCs w:val="28"/>
        </w:rPr>
      </w:pPr>
    </w:p>
    <w:p w14:paraId="3678D0AE">
      <w:pPr>
        <w:outlineLvl w:val="9"/>
        <w:rPr>
          <w:rFonts w:hint="eastAsia" w:ascii="宋体"/>
          <w:b/>
          <w:sz w:val="28"/>
          <w:szCs w:val="28"/>
        </w:rPr>
      </w:pPr>
    </w:p>
    <w:p w14:paraId="0CF1B12F">
      <w:pPr>
        <w:outlineLvl w:val="9"/>
        <w:rPr>
          <w:rFonts w:hint="eastAsia" w:ascii="宋体"/>
          <w:b/>
          <w:sz w:val="24"/>
        </w:rPr>
      </w:pPr>
      <w:r>
        <w:rPr>
          <w:rFonts w:hint="eastAsia" w:ascii="宋体"/>
          <w:b/>
          <w:sz w:val="24"/>
        </w:rPr>
        <w:t>甲    方：重庆三峡银行股份有限公司</w:t>
      </w:r>
    </w:p>
    <w:p w14:paraId="4FA5AE32">
      <w:pPr>
        <w:outlineLvl w:val="9"/>
        <w:rPr>
          <w:rFonts w:hint="eastAsia" w:ascii="宋体"/>
          <w:b/>
          <w:sz w:val="24"/>
        </w:rPr>
      </w:pPr>
      <w:r>
        <w:rPr>
          <w:rFonts w:hint="eastAsia" w:ascii="宋体"/>
          <w:sz w:val="24"/>
        </w:rPr>
        <w:t>地    址：</w:t>
      </w:r>
      <w:r>
        <w:rPr>
          <w:rFonts w:hint="eastAsia" w:ascii="宋体"/>
          <w:sz w:val="24"/>
          <w:szCs w:val="20"/>
        </w:rPr>
        <w:t>重庆市渝北区嘉州路88号中渝国际都会4号写字楼</w:t>
      </w:r>
    </w:p>
    <w:p w14:paraId="34393073">
      <w:pPr>
        <w:outlineLvl w:val="9"/>
        <w:rPr>
          <w:rFonts w:hint="eastAsia" w:ascii="宋体"/>
          <w:sz w:val="24"/>
        </w:rPr>
      </w:pPr>
      <w:r>
        <w:rPr>
          <w:rFonts w:hint="eastAsia" w:ascii="宋体"/>
          <w:sz w:val="24"/>
        </w:rPr>
        <w:t>法定代表人：刘江桥</w:t>
      </w:r>
    </w:p>
    <w:p w14:paraId="2E68652D">
      <w:pPr>
        <w:outlineLvl w:val="9"/>
        <w:rPr>
          <w:rFonts w:hint="eastAsia" w:ascii="宋体"/>
          <w:bCs/>
          <w:sz w:val="24"/>
        </w:rPr>
      </w:pPr>
      <w:r>
        <w:rPr>
          <w:rFonts w:hint="eastAsia" w:ascii="宋体"/>
          <w:sz w:val="24"/>
        </w:rPr>
        <w:t>邮政编码：</w:t>
      </w:r>
    </w:p>
    <w:p w14:paraId="3493A19A">
      <w:pPr>
        <w:outlineLvl w:val="9"/>
        <w:rPr>
          <w:rFonts w:hint="eastAsia" w:ascii="宋体"/>
          <w:sz w:val="24"/>
        </w:rPr>
      </w:pPr>
      <w:r>
        <w:rPr>
          <w:rFonts w:hint="eastAsia" w:ascii="宋体"/>
          <w:sz w:val="24"/>
        </w:rPr>
        <w:t>联系人：</w:t>
      </w:r>
    </w:p>
    <w:p w14:paraId="6C056497">
      <w:pPr>
        <w:outlineLvl w:val="9"/>
        <w:rPr>
          <w:rFonts w:hint="eastAsia" w:ascii="宋体"/>
          <w:sz w:val="24"/>
        </w:rPr>
      </w:pPr>
      <w:r>
        <w:rPr>
          <w:rFonts w:hint="eastAsia" w:ascii="宋体"/>
          <w:sz w:val="24"/>
        </w:rPr>
        <w:t>联系电话：</w:t>
      </w:r>
    </w:p>
    <w:p w14:paraId="138586C9">
      <w:pPr>
        <w:outlineLvl w:val="9"/>
        <w:rPr>
          <w:rFonts w:hint="eastAsia" w:ascii="宋体"/>
          <w:sz w:val="24"/>
        </w:rPr>
      </w:pPr>
      <w:r>
        <w:rPr>
          <w:rFonts w:hint="eastAsia" w:ascii="宋体"/>
          <w:sz w:val="24"/>
        </w:rPr>
        <w:t>传真号码：</w:t>
      </w:r>
    </w:p>
    <w:p w14:paraId="4EBB19C9">
      <w:pPr>
        <w:outlineLvl w:val="9"/>
        <w:rPr>
          <w:rFonts w:hint="eastAsia" w:ascii="宋体"/>
          <w:bCs/>
          <w:sz w:val="24"/>
        </w:rPr>
      </w:pPr>
      <w:r>
        <w:rPr>
          <w:rFonts w:hint="eastAsia" w:ascii="宋体"/>
          <w:bCs/>
          <w:sz w:val="24"/>
        </w:rPr>
        <w:t>电子邮箱：</w:t>
      </w:r>
    </w:p>
    <w:p w14:paraId="138F6654">
      <w:pPr>
        <w:outlineLvl w:val="9"/>
        <w:rPr>
          <w:rFonts w:hint="eastAsia" w:ascii="宋体"/>
          <w:b/>
          <w:sz w:val="24"/>
        </w:rPr>
      </w:pPr>
    </w:p>
    <w:p w14:paraId="45A85ED9">
      <w:pPr>
        <w:outlineLvl w:val="9"/>
        <w:rPr>
          <w:rFonts w:hint="eastAsia" w:ascii="宋体"/>
          <w:b/>
          <w:sz w:val="24"/>
        </w:rPr>
      </w:pPr>
      <w:r>
        <w:rPr>
          <w:rFonts w:hint="eastAsia" w:ascii="宋体"/>
          <w:b/>
          <w:sz w:val="24"/>
        </w:rPr>
        <w:t>乙    方：xxxxx公司</w:t>
      </w:r>
      <w:r>
        <w:rPr>
          <w:rFonts w:hint="eastAsia" w:ascii="宋体"/>
          <w:b/>
          <w:sz w:val="24"/>
        </w:rPr>
        <w:tab/>
      </w:r>
    </w:p>
    <w:p w14:paraId="58FA6A11">
      <w:pPr>
        <w:outlineLvl w:val="9"/>
        <w:rPr>
          <w:rFonts w:hint="eastAsia" w:ascii="宋体"/>
          <w:bCs/>
          <w:sz w:val="24"/>
        </w:rPr>
      </w:pPr>
      <w:r>
        <w:rPr>
          <w:rFonts w:hint="eastAsia" w:ascii="宋体"/>
          <w:bCs/>
          <w:sz w:val="24"/>
        </w:rPr>
        <w:t>地    址：</w:t>
      </w:r>
    </w:p>
    <w:p w14:paraId="1737DD44">
      <w:pPr>
        <w:outlineLvl w:val="9"/>
        <w:rPr>
          <w:rFonts w:hint="eastAsia" w:ascii="宋体"/>
          <w:bCs/>
          <w:sz w:val="24"/>
        </w:rPr>
      </w:pPr>
      <w:r>
        <w:rPr>
          <w:rFonts w:hint="eastAsia" w:ascii="宋体"/>
          <w:bCs/>
          <w:sz w:val="24"/>
        </w:rPr>
        <w:t xml:space="preserve">法人代表： </w:t>
      </w:r>
    </w:p>
    <w:p w14:paraId="0CB701CE">
      <w:pPr>
        <w:outlineLvl w:val="9"/>
        <w:rPr>
          <w:rFonts w:hint="eastAsia" w:ascii="宋体"/>
          <w:bCs/>
          <w:sz w:val="24"/>
        </w:rPr>
      </w:pPr>
      <w:r>
        <w:rPr>
          <w:rFonts w:hint="eastAsia" w:ascii="宋体"/>
          <w:bCs/>
          <w:sz w:val="24"/>
        </w:rPr>
        <w:t>邮政编码：</w:t>
      </w:r>
    </w:p>
    <w:p w14:paraId="47ECFE33">
      <w:pPr>
        <w:outlineLvl w:val="9"/>
        <w:rPr>
          <w:rFonts w:hint="eastAsia" w:ascii="宋体"/>
          <w:bCs/>
          <w:sz w:val="24"/>
        </w:rPr>
      </w:pPr>
      <w:r>
        <w:rPr>
          <w:rFonts w:hint="eastAsia" w:ascii="宋体"/>
          <w:bCs/>
          <w:sz w:val="24"/>
        </w:rPr>
        <w:t>联系人：</w:t>
      </w:r>
    </w:p>
    <w:p w14:paraId="3A0B4826">
      <w:pPr>
        <w:outlineLvl w:val="9"/>
        <w:rPr>
          <w:rFonts w:hint="eastAsia" w:ascii="宋体"/>
          <w:bCs/>
          <w:sz w:val="24"/>
        </w:rPr>
      </w:pPr>
      <w:r>
        <w:rPr>
          <w:rFonts w:hint="eastAsia" w:ascii="宋体"/>
          <w:bCs/>
          <w:sz w:val="24"/>
        </w:rPr>
        <w:t>联系电话：</w:t>
      </w:r>
    </w:p>
    <w:p w14:paraId="1BB6A318">
      <w:pPr>
        <w:outlineLvl w:val="9"/>
        <w:rPr>
          <w:rFonts w:hint="eastAsia" w:ascii="宋体"/>
          <w:bCs/>
          <w:sz w:val="24"/>
        </w:rPr>
      </w:pPr>
      <w:r>
        <w:rPr>
          <w:rFonts w:hint="eastAsia" w:ascii="宋体"/>
          <w:bCs/>
          <w:sz w:val="24"/>
        </w:rPr>
        <w:t>传真号码：</w:t>
      </w:r>
    </w:p>
    <w:p w14:paraId="317E9BA4">
      <w:pPr>
        <w:outlineLvl w:val="9"/>
        <w:rPr>
          <w:rFonts w:hint="eastAsia" w:ascii="宋体"/>
          <w:bCs/>
          <w:sz w:val="24"/>
        </w:rPr>
      </w:pPr>
      <w:r>
        <w:rPr>
          <w:rFonts w:hint="eastAsia" w:ascii="宋体"/>
          <w:bCs/>
          <w:sz w:val="24"/>
        </w:rPr>
        <w:t>电子邮箱：</w:t>
      </w:r>
    </w:p>
    <w:p w14:paraId="5BAFEE35">
      <w:pPr>
        <w:numPr>
          <w:ilvl w:val="0"/>
          <w:numId w:val="1"/>
        </w:numPr>
        <w:tabs>
          <w:tab w:val="left" w:pos="993"/>
          <w:tab w:val="clear" w:pos="877"/>
        </w:tabs>
        <w:spacing w:before="240"/>
        <w:ind w:left="877" w:hanging="877" w:firstLineChars="0"/>
        <w:rPr>
          <w:rFonts w:hint="eastAsia" w:ascii="宋体"/>
          <w:b/>
          <w:sz w:val="24"/>
        </w:rPr>
      </w:pPr>
      <w:r>
        <w:rPr>
          <w:rFonts w:hint="eastAsia" w:ascii="宋体"/>
          <w:b/>
          <w:sz w:val="24"/>
        </w:rPr>
        <w:t>本合同事宜</w:t>
      </w:r>
    </w:p>
    <w:p w14:paraId="76757127">
      <w:pPr>
        <w:spacing w:before="240"/>
        <w:ind w:firstLine="470" w:firstLineChars="196"/>
        <w:rPr>
          <w:rFonts w:hint="eastAsia"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 xml:space="preserve">                </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77E10788">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37B9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537B5302">
            <w:pPr>
              <w:jc w:val="center"/>
              <w:rPr>
                <w:rFonts w:hint="eastAsia"/>
                <w:b/>
              </w:rPr>
            </w:pPr>
            <w:r>
              <w:rPr>
                <w:rFonts w:hint="eastAsia"/>
                <w:b/>
              </w:rPr>
              <w:t>产品名称</w:t>
            </w:r>
          </w:p>
        </w:tc>
        <w:tc>
          <w:tcPr>
            <w:tcW w:w="2268" w:type="dxa"/>
            <w:tcBorders>
              <w:tl2br w:val="nil"/>
              <w:tr2bl w:val="nil"/>
            </w:tcBorders>
            <w:vAlign w:val="center"/>
          </w:tcPr>
          <w:p w14:paraId="110840B3">
            <w:pPr>
              <w:ind w:left="252"/>
              <w:jc w:val="center"/>
              <w:rPr>
                <w:rFonts w:hint="eastAsia"/>
                <w:b/>
              </w:rPr>
            </w:pPr>
            <w:r>
              <w:rPr>
                <w:rFonts w:hint="eastAsia"/>
                <w:b/>
              </w:rPr>
              <w:t>产品型号及规格</w:t>
            </w:r>
          </w:p>
        </w:tc>
        <w:tc>
          <w:tcPr>
            <w:tcW w:w="1134" w:type="dxa"/>
            <w:tcBorders>
              <w:tl2br w:val="nil"/>
              <w:tr2bl w:val="nil"/>
            </w:tcBorders>
            <w:vAlign w:val="center"/>
          </w:tcPr>
          <w:p w14:paraId="759D1DC3">
            <w:pPr>
              <w:jc w:val="center"/>
              <w:rPr>
                <w:rFonts w:hint="eastAsia"/>
                <w:b/>
              </w:rPr>
            </w:pPr>
            <w:r>
              <w:rPr>
                <w:rFonts w:hint="eastAsia"/>
                <w:b/>
              </w:rPr>
              <w:t>单价（元）</w:t>
            </w:r>
          </w:p>
        </w:tc>
        <w:tc>
          <w:tcPr>
            <w:tcW w:w="1276" w:type="dxa"/>
            <w:tcBorders>
              <w:tl2br w:val="nil"/>
              <w:tr2bl w:val="nil"/>
            </w:tcBorders>
            <w:vAlign w:val="center"/>
          </w:tcPr>
          <w:p w14:paraId="72123A89">
            <w:pPr>
              <w:jc w:val="center"/>
              <w:rPr>
                <w:rFonts w:hint="eastAsia"/>
                <w:b/>
              </w:rPr>
            </w:pPr>
            <w:r>
              <w:rPr>
                <w:rFonts w:hint="eastAsia"/>
                <w:b/>
              </w:rPr>
              <w:t>数量（台）</w:t>
            </w:r>
          </w:p>
        </w:tc>
        <w:tc>
          <w:tcPr>
            <w:tcW w:w="1276" w:type="dxa"/>
            <w:tcBorders>
              <w:tl2br w:val="nil"/>
              <w:tr2bl w:val="nil"/>
            </w:tcBorders>
            <w:vAlign w:val="center"/>
          </w:tcPr>
          <w:p w14:paraId="341DC65F">
            <w:pPr>
              <w:jc w:val="center"/>
              <w:rPr>
                <w:rFonts w:hint="eastAsia"/>
                <w:b/>
              </w:rPr>
            </w:pPr>
            <w:r>
              <w:rPr>
                <w:rFonts w:hint="eastAsia"/>
                <w:b/>
              </w:rPr>
              <w:t>税率</w:t>
            </w:r>
          </w:p>
        </w:tc>
        <w:tc>
          <w:tcPr>
            <w:tcW w:w="1276" w:type="dxa"/>
            <w:tcBorders>
              <w:tl2br w:val="nil"/>
              <w:tr2bl w:val="nil"/>
            </w:tcBorders>
            <w:vAlign w:val="center"/>
          </w:tcPr>
          <w:p w14:paraId="49721B39">
            <w:pPr>
              <w:jc w:val="center"/>
              <w:rPr>
                <w:rFonts w:hint="eastAsia"/>
                <w:b/>
              </w:rPr>
            </w:pPr>
            <w:r>
              <w:rPr>
                <w:rFonts w:hint="eastAsia"/>
                <w:b/>
              </w:rPr>
              <w:t>总金额含税（元）</w:t>
            </w:r>
          </w:p>
        </w:tc>
      </w:tr>
      <w:tr w14:paraId="379A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5CE86705">
            <w:pPr>
              <w:jc w:val="center"/>
              <w:rPr>
                <w:rFonts w:hint="eastAsia"/>
              </w:rPr>
            </w:pPr>
          </w:p>
        </w:tc>
        <w:tc>
          <w:tcPr>
            <w:tcW w:w="2268" w:type="dxa"/>
            <w:tcBorders>
              <w:tl2br w:val="nil"/>
              <w:tr2bl w:val="nil"/>
            </w:tcBorders>
            <w:vAlign w:val="center"/>
          </w:tcPr>
          <w:p w14:paraId="2107E165">
            <w:pPr>
              <w:ind w:left="207"/>
              <w:jc w:val="left"/>
              <w:rPr>
                <w:rFonts w:hint="eastAsia" w:ascii="宋体"/>
              </w:rPr>
            </w:pPr>
          </w:p>
        </w:tc>
        <w:tc>
          <w:tcPr>
            <w:tcW w:w="1134" w:type="dxa"/>
            <w:tcBorders>
              <w:tl2br w:val="nil"/>
              <w:tr2bl w:val="nil"/>
            </w:tcBorders>
            <w:vAlign w:val="center"/>
          </w:tcPr>
          <w:p w14:paraId="27AB8B95">
            <w:pPr>
              <w:jc w:val="center"/>
              <w:rPr>
                <w:rFonts w:hint="eastAsia" w:ascii="宋体"/>
              </w:rPr>
            </w:pPr>
          </w:p>
        </w:tc>
        <w:tc>
          <w:tcPr>
            <w:tcW w:w="1276" w:type="dxa"/>
            <w:tcBorders>
              <w:tl2br w:val="nil"/>
              <w:tr2bl w:val="nil"/>
            </w:tcBorders>
            <w:vAlign w:val="center"/>
          </w:tcPr>
          <w:p w14:paraId="6165DD75">
            <w:pPr>
              <w:jc w:val="center"/>
              <w:rPr>
                <w:rFonts w:hint="eastAsia" w:ascii="宋体"/>
              </w:rPr>
            </w:pPr>
          </w:p>
        </w:tc>
        <w:tc>
          <w:tcPr>
            <w:tcW w:w="1276" w:type="dxa"/>
            <w:tcBorders>
              <w:tl2br w:val="nil"/>
              <w:tr2bl w:val="nil"/>
            </w:tcBorders>
          </w:tcPr>
          <w:p w14:paraId="4C575ED9">
            <w:pPr>
              <w:jc w:val="center"/>
              <w:rPr>
                <w:rFonts w:hint="eastAsia" w:ascii="宋体"/>
              </w:rPr>
            </w:pPr>
          </w:p>
        </w:tc>
        <w:tc>
          <w:tcPr>
            <w:tcW w:w="1276" w:type="dxa"/>
            <w:tcBorders>
              <w:tl2br w:val="nil"/>
              <w:tr2bl w:val="nil"/>
            </w:tcBorders>
            <w:vAlign w:val="center"/>
          </w:tcPr>
          <w:p w14:paraId="36F9DD89">
            <w:pPr>
              <w:jc w:val="center"/>
              <w:rPr>
                <w:rFonts w:hint="eastAsia" w:ascii="宋体"/>
              </w:rPr>
            </w:pPr>
          </w:p>
        </w:tc>
      </w:tr>
      <w:tr w14:paraId="7A60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875C69F">
            <w:pPr>
              <w:jc w:val="center"/>
              <w:rPr>
                <w:rFonts w:hint="eastAsia"/>
              </w:rPr>
            </w:pPr>
          </w:p>
        </w:tc>
        <w:tc>
          <w:tcPr>
            <w:tcW w:w="2268" w:type="dxa"/>
            <w:tcBorders>
              <w:tl2br w:val="nil"/>
              <w:tr2bl w:val="nil"/>
            </w:tcBorders>
            <w:vAlign w:val="center"/>
          </w:tcPr>
          <w:p w14:paraId="28B563B5">
            <w:pPr>
              <w:ind w:left="207"/>
              <w:jc w:val="left"/>
              <w:rPr>
                <w:rFonts w:hint="eastAsia" w:ascii="宋体"/>
              </w:rPr>
            </w:pPr>
          </w:p>
        </w:tc>
        <w:tc>
          <w:tcPr>
            <w:tcW w:w="1134" w:type="dxa"/>
            <w:tcBorders>
              <w:tl2br w:val="nil"/>
              <w:tr2bl w:val="nil"/>
            </w:tcBorders>
            <w:vAlign w:val="center"/>
          </w:tcPr>
          <w:p w14:paraId="4634289C">
            <w:pPr>
              <w:jc w:val="center"/>
              <w:rPr>
                <w:rFonts w:hint="eastAsia" w:ascii="宋体"/>
              </w:rPr>
            </w:pPr>
          </w:p>
        </w:tc>
        <w:tc>
          <w:tcPr>
            <w:tcW w:w="1276" w:type="dxa"/>
            <w:tcBorders>
              <w:tl2br w:val="nil"/>
              <w:tr2bl w:val="nil"/>
            </w:tcBorders>
            <w:vAlign w:val="center"/>
          </w:tcPr>
          <w:p w14:paraId="10306B3D">
            <w:pPr>
              <w:jc w:val="center"/>
              <w:rPr>
                <w:rFonts w:hint="eastAsia" w:ascii="宋体"/>
              </w:rPr>
            </w:pPr>
          </w:p>
        </w:tc>
        <w:tc>
          <w:tcPr>
            <w:tcW w:w="1276" w:type="dxa"/>
            <w:tcBorders>
              <w:tl2br w:val="nil"/>
              <w:tr2bl w:val="nil"/>
            </w:tcBorders>
          </w:tcPr>
          <w:p w14:paraId="374B0B4F">
            <w:pPr>
              <w:jc w:val="center"/>
              <w:rPr>
                <w:rFonts w:hint="eastAsia" w:ascii="宋体"/>
              </w:rPr>
            </w:pPr>
          </w:p>
        </w:tc>
        <w:tc>
          <w:tcPr>
            <w:tcW w:w="1276" w:type="dxa"/>
            <w:tcBorders>
              <w:tl2br w:val="nil"/>
              <w:tr2bl w:val="nil"/>
            </w:tcBorders>
            <w:vAlign w:val="center"/>
          </w:tcPr>
          <w:p w14:paraId="46A57B6A">
            <w:pPr>
              <w:jc w:val="center"/>
              <w:rPr>
                <w:rFonts w:hint="eastAsia" w:ascii="宋体"/>
              </w:rPr>
            </w:pPr>
          </w:p>
        </w:tc>
      </w:tr>
      <w:tr w14:paraId="7D5D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94595B2">
            <w:pPr>
              <w:jc w:val="center"/>
              <w:rPr>
                <w:rFonts w:hint="eastAsia"/>
              </w:rPr>
            </w:pPr>
          </w:p>
        </w:tc>
        <w:tc>
          <w:tcPr>
            <w:tcW w:w="2268" w:type="dxa"/>
            <w:tcBorders>
              <w:tl2br w:val="nil"/>
              <w:tr2bl w:val="nil"/>
            </w:tcBorders>
            <w:vAlign w:val="center"/>
          </w:tcPr>
          <w:p w14:paraId="2387E023">
            <w:pPr>
              <w:ind w:left="207"/>
              <w:jc w:val="left"/>
              <w:rPr>
                <w:rFonts w:hint="eastAsia" w:ascii="宋体"/>
              </w:rPr>
            </w:pPr>
          </w:p>
        </w:tc>
        <w:tc>
          <w:tcPr>
            <w:tcW w:w="1134" w:type="dxa"/>
            <w:tcBorders>
              <w:tl2br w:val="nil"/>
              <w:tr2bl w:val="nil"/>
            </w:tcBorders>
            <w:vAlign w:val="center"/>
          </w:tcPr>
          <w:p w14:paraId="6BB8ABA8">
            <w:pPr>
              <w:jc w:val="center"/>
              <w:rPr>
                <w:rFonts w:hint="eastAsia" w:ascii="宋体"/>
              </w:rPr>
            </w:pPr>
          </w:p>
        </w:tc>
        <w:tc>
          <w:tcPr>
            <w:tcW w:w="1276" w:type="dxa"/>
            <w:tcBorders>
              <w:tl2br w:val="nil"/>
              <w:tr2bl w:val="nil"/>
            </w:tcBorders>
            <w:vAlign w:val="center"/>
          </w:tcPr>
          <w:p w14:paraId="4A02B777">
            <w:pPr>
              <w:jc w:val="center"/>
              <w:rPr>
                <w:rFonts w:hint="eastAsia" w:ascii="宋体"/>
              </w:rPr>
            </w:pPr>
          </w:p>
        </w:tc>
        <w:tc>
          <w:tcPr>
            <w:tcW w:w="1276" w:type="dxa"/>
            <w:tcBorders>
              <w:tl2br w:val="nil"/>
              <w:tr2bl w:val="nil"/>
            </w:tcBorders>
          </w:tcPr>
          <w:p w14:paraId="35779D09">
            <w:pPr>
              <w:jc w:val="center"/>
              <w:rPr>
                <w:rFonts w:hint="eastAsia" w:ascii="宋体"/>
              </w:rPr>
            </w:pPr>
          </w:p>
        </w:tc>
        <w:tc>
          <w:tcPr>
            <w:tcW w:w="1276" w:type="dxa"/>
            <w:tcBorders>
              <w:tl2br w:val="nil"/>
              <w:tr2bl w:val="nil"/>
            </w:tcBorders>
            <w:vAlign w:val="center"/>
          </w:tcPr>
          <w:p w14:paraId="2B5154B2">
            <w:pPr>
              <w:jc w:val="center"/>
              <w:rPr>
                <w:rFonts w:hint="eastAsia" w:ascii="宋体"/>
              </w:rPr>
            </w:pPr>
          </w:p>
        </w:tc>
      </w:tr>
      <w:tr w14:paraId="0D2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3977D2C">
            <w:pPr>
              <w:jc w:val="center"/>
              <w:rPr>
                <w:rFonts w:hint="eastAsia"/>
              </w:rPr>
            </w:pPr>
          </w:p>
        </w:tc>
        <w:tc>
          <w:tcPr>
            <w:tcW w:w="2268" w:type="dxa"/>
            <w:tcBorders>
              <w:tl2br w:val="nil"/>
              <w:tr2bl w:val="nil"/>
            </w:tcBorders>
            <w:vAlign w:val="center"/>
          </w:tcPr>
          <w:p w14:paraId="584A08DC">
            <w:pPr>
              <w:ind w:left="207"/>
              <w:jc w:val="left"/>
              <w:rPr>
                <w:rFonts w:hint="eastAsia" w:ascii="宋体"/>
              </w:rPr>
            </w:pPr>
          </w:p>
        </w:tc>
        <w:tc>
          <w:tcPr>
            <w:tcW w:w="1134" w:type="dxa"/>
            <w:tcBorders>
              <w:tl2br w:val="nil"/>
              <w:tr2bl w:val="nil"/>
            </w:tcBorders>
            <w:vAlign w:val="center"/>
          </w:tcPr>
          <w:p w14:paraId="483D424D">
            <w:pPr>
              <w:jc w:val="center"/>
              <w:rPr>
                <w:rFonts w:hint="eastAsia" w:ascii="宋体"/>
              </w:rPr>
            </w:pPr>
          </w:p>
        </w:tc>
        <w:tc>
          <w:tcPr>
            <w:tcW w:w="1276" w:type="dxa"/>
            <w:tcBorders>
              <w:tl2br w:val="nil"/>
              <w:tr2bl w:val="nil"/>
            </w:tcBorders>
            <w:vAlign w:val="center"/>
          </w:tcPr>
          <w:p w14:paraId="10BC0EB8">
            <w:pPr>
              <w:jc w:val="center"/>
              <w:rPr>
                <w:rFonts w:hint="eastAsia" w:ascii="宋体"/>
              </w:rPr>
            </w:pPr>
          </w:p>
        </w:tc>
        <w:tc>
          <w:tcPr>
            <w:tcW w:w="1276" w:type="dxa"/>
            <w:tcBorders>
              <w:tl2br w:val="nil"/>
              <w:tr2bl w:val="nil"/>
            </w:tcBorders>
          </w:tcPr>
          <w:p w14:paraId="3E1CC4DE">
            <w:pPr>
              <w:jc w:val="center"/>
              <w:rPr>
                <w:rFonts w:hint="eastAsia" w:ascii="宋体"/>
              </w:rPr>
            </w:pPr>
          </w:p>
        </w:tc>
        <w:tc>
          <w:tcPr>
            <w:tcW w:w="1276" w:type="dxa"/>
            <w:tcBorders>
              <w:tl2br w:val="nil"/>
              <w:tr2bl w:val="nil"/>
            </w:tcBorders>
            <w:vAlign w:val="center"/>
          </w:tcPr>
          <w:p w14:paraId="63B47EF2">
            <w:pPr>
              <w:jc w:val="center"/>
              <w:rPr>
                <w:rFonts w:hint="eastAsia" w:ascii="宋体"/>
              </w:rPr>
            </w:pPr>
          </w:p>
        </w:tc>
      </w:tr>
      <w:tr w14:paraId="2217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596C4913">
            <w:pPr>
              <w:jc w:val="center"/>
              <w:rPr>
                <w:rFonts w:hint="eastAsia"/>
              </w:rPr>
            </w:pPr>
          </w:p>
        </w:tc>
        <w:tc>
          <w:tcPr>
            <w:tcW w:w="7230" w:type="dxa"/>
            <w:gridSpan w:val="5"/>
            <w:tcBorders>
              <w:tl2br w:val="nil"/>
              <w:tr2bl w:val="nil"/>
            </w:tcBorders>
            <w:vAlign w:val="center"/>
          </w:tcPr>
          <w:p w14:paraId="61E5CEC4">
            <w:pPr>
              <w:rPr>
                <w:rFonts w:hint="eastAsia" w:ascii="宋体"/>
              </w:rPr>
            </w:pPr>
            <w:r>
              <w:rPr>
                <w:rFonts w:hint="eastAsia"/>
              </w:rPr>
              <w:t>合计（含税） 大写（人民币）：</w:t>
            </w:r>
          </w:p>
        </w:tc>
      </w:tr>
    </w:tbl>
    <w:p w14:paraId="0237971D">
      <w:pPr>
        <w:tabs>
          <w:tab w:val="left" w:pos="851"/>
        </w:tabs>
        <w:ind w:firstLine="480" w:firstLineChars="200"/>
        <w:rPr>
          <w:rFonts w:hint="eastAsia" w:ascii="宋体"/>
          <w:color w:val="000000"/>
          <w:sz w:val="24"/>
        </w:rPr>
      </w:pPr>
      <w:r>
        <w:rPr>
          <w:rFonts w:hint="eastAsia" w:ascii="宋体"/>
          <w:color w:val="000000"/>
          <w:sz w:val="24"/>
        </w:rPr>
        <w:t>其中不含税价为：       元（大写：         ），税额为：    元（大写：         ）；不含税价格不因国家税率变化而变化，若在合同履行期间，如遇国家的税率调整，则价税合计应相应调整，以开具发票的时间为准。</w:t>
      </w:r>
    </w:p>
    <w:p w14:paraId="4E577148">
      <w:pPr>
        <w:tabs>
          <w:tab w:val="left" w:pos="851"/>
        </w:tabs>
        <w:ind w:firstLine="480" w:firstLineChars="200"/>
        <w:rPr>
          <w:rFonts w:hint="eastAsia" w:ascii="宋体"/>
          <w:color w:val="000000"/>
          <w:sz w:val="24"/>
        </w:rPr>
      </w:pPr>
      <w:r>
        <w:rPr>
          <w:rFonts w:hint="eastAsia" w:ascii="宋体"/>
          <w:color w:val="000000"/>
          <w:sz w:val="24"/>
        </w:rPr>
        <w:t>上述合同金额包含_</w:t>
      </w:r>
      <w:r>
        <w:rPr>
          <w:rFonts w:ascii="宋体"/>
          <w:color w:val="000000"/>
          <w:sz w:val="24"/>
        </w:rPr>
        <w:t>5</w:t>
      </w:r>
      <w:r>
        <w:rPr>
          <w:rFonts w:hint="eastAsia" w:ascii="宋体"/>
          <w:color w:val="000000"/>
          <w:sz w:val="24"/>
        </w:rPr>
        <w:t>_年【生产厂商】提供的</w:t>
      </w:r>
      <w:r>
        <w:rPr>
          <w:rFonts w:ascii="宋体"/>
          <w:color w:val="000000"/>
          <w:sz w:val="24"/>
        </w:rPr>
        <w:t>维保</w:t>
      </w:r>
      <w:r>
        <w:rPr>
          <w:rFonts w:hint="eastAsia" w:ascii="宋体"/>
          <w:color w:val="000000"/>
          <w:sz w:val="24"/>
        </w:rPr>
        <w:t>，</w:t>
      </w:r>
      <w:r>
        <w:rPr>
          <w:rFonts w:ascii="宋体"/>
          <w:color w:val="000000"/>
          <w:sz w:val="24"/>
        </w:rPr>
        <w:t>维保</w:t>
      </w:r>
      <w:r>
        <w:rPr>
          <w:rFonts w:hint="eastAsia" w:ascii="宋体"/>
          <w:color w:val="000000"/>
          <w:sz w:val="24"/>
        </w:rPr>
        <w:t>期为</w:t>
      </w:r>
      <w:r>
        <w:rPr>
          <w:rFonts w:ascii="宋体"/>
          <w:color w:val="000000"/>
          <w:sz w:val="24"/>
        </w:rPr>
        <w:t>签收之日起5</w:t>
      </w:r>
      <w:r>
        <w:rPr>
          <w:rFonts w:hint="eastAsia" w:ascii="宋体"/>
          <w:color w:val="000000"/>
          <w:sz w:val="24"/>
        </w:rPr>
        <w:t xml:space="preserve"> 年，维保期内服务内容详见附件3。除此外甲方无需支付其他费用。</w:t>
      </w:r>
    </w:p>
    <w:p w14:paraId="6B4121B8">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付款方式</w:t>
      </w:r>
    </w:p>
    <w:p w14:paraId="268FC9DF">
      <w:pPr>
        <w:jc w:val="left"/>
        <w:rPr>
          <w:rFonts w:ascii="宋体" w:cs="宋体"/>
          <w:snapToGrid w:val="0"/>
          <w:color w:val="000000"/>
          <w:kern w:val="0"/>
          <w:szCs w:val="24"/>
        </w:rPr>
      </w:pPr>
      <w:r>
        <w:rPr>
          <w:rFonts w:hint="eastAsia" w:ascii="宋体"/>
          <w:color w:val="000000"/>
          <w:sz w:val="24"/>
        </w:rPr>
        <w:t>3.1</w:t>
      </w:r>
      <w:r>
        <w:rPr>
          <w:rFonts w:hint="eastAsia" w:ascii="宋体" w:cs="宋体"/>
          <w:snapToGrid w:val="0"/>
          <w:color w:val="000000"/>
          <w:kern w:val="0"/>
          <w:sz w:val="24"/>
          <w:szCs w:val="24"/>
        </w:rPr>
        <w:t>履约保证金</w:t>
      </w:r>
    </w:p>
    <w:p w14:paraId="6A9EABA2">
      <w:pPr>
        <w:jc w:val="left"/>
        <w:rPr>
          <w:rFonts w:ascii="宋体" w:cs="宋体"/>
          <w:snapToGrid w:val="0"/>
          <w:color w:val="000000"/>
          <w:kern w:val="0"/>
          <w:sz w:val="24"/>
          <w:szCs w:val="24"/>
        </w:rPr>
      </w:pPr>
      <w:r>
        <w:rPr>
          <w:rFonts w:hint="eastAsia" w:ascii="宋体" w:cs="宋体"/>
          <w:snapToGrid w:val="0"/>
          <w:color w:val="000000"/>
          <w:kern w:val="0"/>
          <w:sz w:val="24"/>
          <w:szCs w:val="24"/>
        </w:rPr>
        <w:t>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作为履约保证金，合同签订后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个工作日内乙方将履约保证金存至甲方指定账户，</w:t>
      </w:r>
      <w:r>
        <w:rPr>
          <w:rFonts w:ascii="宋体" w:cs="宋体"/>
          <w:snapToGrid w:val="0"/>
          <w:color w:val="000000"/>
          <w:kern w:val="0"/>
          <w:sz w:val="24"/>
          <w:szCs w:val="24"/>
        </w:rPr>
        <w:t>设备维保到期后</w:t>
      </w:r>
      <w:r>
        <w:rPr>
          <w:rFonts w:hint="eastAsia" w:ascii="宋体" w:cs="宋体"/>
          <w:snapToGrid w:val="0"/>
          <w:color w:val="000000"/>
          <w:kern w:val="0"/>
          <w:sz w:val="24"/>
          <w:szCs w:val="24"/>
        </w:rPr>
        <w:t>，乙方在20日内向甲方申请退还履约保证金，甲方需在收到申请后60日内确认乙方无违约行为并将履约保证金退还乙方。</w:t>
      </w:r>
      <w:r>
        <w:rPr>
          <w:rFonts w:hint="eastAsia" w:ascii="宋体"/>
          <w:color w:val="000000"/>
          <w:sz w:val="24"/>
        </w:rPr>
        <w:t>除不可抗力原因外，</w:t>
      </w:r>
      <w:r>
        <w:rPr>
          <w:rFonts w:ascii="宋体"/>
          <w:color w:val="000000"/>
          <w:sz w:val="24"/>
        </w:rPr>
        <w:t>乙方</w:t>
      </w:r>
      <w:r>
        <w:rPr>
          <w:rFonts w:hint="eastAsia" w:ascii="宋体"/>
          <w:color w:val="000000"/>
          <w:sz w:val="24"/>
        </w:rPr>
        <w:t>不得以任何理由中断或拒绝供货</w:t>
      </w:r>
      <w:r>
        <w:rPr>
          <w:rFonts w:ascii="宋体"/>
          <w:color w:val="000000"/>
          <w:sz w:val="24"/>
        </w:rPr>
        <w:t>，如果乙方因非不可抗力的原因中断或拒绝供货，甲方将扣罚全部履约保证金。</w:t>
      </w:r>
    </w:p>
    <w:p w14:paraId="679824CB">
      <w:pPr>
        <w:jc w:val="left"/>
        <w:rPr>
          <w:rFonts w:ascii="宋体" w:cs="宋体"/>
          <w:snapToGrid w:val="0"/>
          <w:color w:val="000000"/>
          <w:kern w:val="0"/>
          <w:sz w:val="24"/>
          <w:szCs w:val="24"/>
        </w:rPr>
      </w:pPr>
      <w:r>
        <w:rPr>
          <w:rFonts w:hint="eastAsia" w:ascii="宋体" w:cs="宋体"/>
          <w:snapToGrid w:val="0"/>
          <w:color w:val="000000"/>
          <w:kern w:val="0"/>
          <w:sz w:val="24"/>
          <w:szCs w:val="24"/>
        </w:rPr>
        <w:t>1.履约担保金额：乙方向甲方支付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w:t>
      </w:r>
    </w:p>
    <w:p w14:paraId="50E6465F">
      <w:pPr>
        <w:jc w:val="left"/>
        <w:rPr>
          <w:rFonts w:ascii="宋体" w:cs="宋体"/>
          <w:snapToGrid w:val="0"/>
          <w:color w:val="000000"/>
          <w:kern w:val="0"/>
          <w:sz w:val="24"/>
          <w:szCs w:val="24"/>
        </w:rPr>
      </w:pPr>
      <w:r>
        <w:rPr>
          <w:rFonts w:hint="eastAsia" w:ascii="宋体" w:cs="宋体"/>
          <w:snapToGrid w:val="0"/>
          <w:color w:val="000000"/>
          <w:kern w:val="0"/>
          <w:sz w:val="24"/>
          <w:szCs w:val="24"/>
        </w:rPr>
        <w:t>2.履约担保提交时间：合同签订后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w:t>
      </w:r>
    </w:p>
    <w:p w14:paraId="4DCF5361">
      <w:pPr>
        <w:jc w:val="left"/>
        <w:rPr>
          <w:rFonts w:ascii="宋体" w:cs="宋体"/>
          <w:snapToGrid w:val="0"/>
          <w:color w:val="000000"/>
          <w:kern w:val="0"/>
          <w:sz w:val="24"/>
          <w:szCs w:val="24"/>
        </w:rPr>
      </w:pPr>
      <w:r>
        <w:rPr>
          <w:rFonts w:hint="eastAsia" w:ascii="宋体" w:cs="宋体"/>
          <w:snapToGrid w:val="0"/>
          <w:color w:val="000000"/>
          <w:kern w:val="0"/>
          <w:sz w:val="24"/>
          <w:szCs w:val="24"/>
        </w:rPr>
        <w:t>3.履约保证金缴纳方式：通过转账或电汇方式直接划付至下面指定的账户</w:t>
      </w:r>
    </w:p>
    <w:p w14:paraId="210F0395">
      <w:pPr>
        <w:jc w:val="left"/>
        <w:rPr>
          <w:rFonts w:ascii="宋体" w:cs="宋体"/>
          <w:snapToGrid w:val="0"/>
          <w:color w:val="000000"/>
          <w:kern w:val="0"/>
          <w:sz w:val="24"/>
          <w:szCs w:val="24"/>
        </w:rPr>
      </w:pPr>
      <w:r>
        <w:rPr>
          <w:rFonts w:hint="eastAsia" w:ascii="宋体" w:cs="宋体"/>
          <w:snapToGrid w:val="0"/>
          <w:color w:val="000000"/>
          <w:kern w:val="0"/>
          <w:sz w:val="24"/>
          <w:szCs w:val="24"/>
        </w:rPr>
        <w:t>户名：重庆三峡银行股份有限公司</w:t>
      </w:r>
    </w:p>
    <w:p w14:paraId="3856D43E">
      <w:pPr>
        <w:jc w:val="left"/>
        <w:rPr>
          <w:rFonts w:ascii="宋体" w:cs="宋体"/>
          <w:snapToGrid w:val="0"/>
          <w:color w:val="000000"/>
          <w:kern w:val="0"/>
          <w:sz w:val="24"/>
          <w:szCs w:val="24"/>
        </w:rPr>
      </w:pPr>
      <w:r>
        <w:rPr>
          <w:rFonts w:hint="eastAsia" w:ascii="宋体" w:cs="宋体"/>
          <w:snapToGrid w:val="0"/>
          <w:color w:val="000000"/>
          <w:kern w:val="0"/>
          <w:sz w:val="24"/>
          <w:szCs w:val="24"/>
        </w:rPr>
        <w:t>账号：0101014040000043</w:t>
      </w:r>
    </w:p>
    <w:p w14:paraId="79428454">
      <w:pPr>
        <w:jc w:val="left"/>
        <w:rPr>
          <w:rFonts w:ascii="宋体" w:cs="宋体"/>
          <w:snapToGrid w:val="0"/>
          <w:color w:val="000000"/>
          <w:kern w:val="0"/>
          <w:sz w:val="24"/>
          <w:szCs w:val="24"/>
        </w:rPr>
      </w:pPr>
      <w:r>
        <w:rPr>
          <w:rFonts w:hint="eastAsia" w:ascii="宋体" w:cs="宋体"/>
          <w:snapToGrid w:val="0"/>
          <w:color w:val="000000"/>
          <w:kern w:val="0"/>
          <w:sz w:val="24"/>
          <w:szCs w:val="24"/>
        </w:rPr>
        <w:t>开户行：重庆三峡银行营业部</w:t>
      </w:r>
    </w:p>
    <w:p w14:paraId="568AF468">
      <w:pPr>
        <w:ind w:left="420" w:firstLine="140" w:firstLineChars="0"/>
        <w:jc w:val="left"/>
        <w:rPr>
          <w:rFonts w:ascii="宋体" w:cs="宋体"/>
          <w:snapToGrid w:val="0"/>
          <w:color w:val="000000"/>
          <w:kern w:val="0"/>
          <w:sz w:val="24"/>
          <w:szCs w:val="24"/>
        </w:rPr>
      </w:pPr>
      <w:r>
        <w:rPr>
          <w:rFonts w:hint="eastAsia" w:ascii="宋体" w:cs="宋体"/>
          <w:snapToGrid w:val="0"/>
          <w:color w:val="000000"/>
          <w:kern w:val="0"/>
          <w:sz w:val="24"/>
          <w:szCs w:val="24"/>
        </w:rPr>
        <w:t>在款项来源处或空白处注明：</w:t>
      </w:r>
      <w:r>
        <w:rPr>
          <w:rFonts w:hint="eastAsia" w:ascii="宋体" w:cs="宋体"/>
          <w:snapToGrid w:val="0"/>
          <w:color w:val="000000"/>
          <w:kern w:val="0"/>
          <w:sz w:val="24"/>
          <w:szCs w:val="24"/>
          <w:u w:val="single"/>
        </w:rPr>
        <w:t>西永数据中心信创网络安全设备采购项目</w:t>
      </w:r>
      <w:r>
        <w:rPr>
          <w:rFonts w:hint="eastAsia" w:ascii="宋体" w:cs="宋体"/>
          <w:bCs/>
          <w:snapToGrid w:val="0"/>
          <w:color w:val="000000"/>
          <w:kern w:val="0"/>
          <w:sz w:val="24"/>
          <w:szCs w:val="24"/>
          <w:u w:val="single"/>
        </w:rPr>
        <w:t>（标段X）</w:t>
      </w:r>
      <w:r>
        <w:rPr>
          <w:rFonts w:hint="eastAsia" w:ascii="宋体" w:cs="宋体"/>
          <w:snapToGrid w:val="0"/>
          <w:color w:val="000000"/>
          <w:kern w:val="0"/>
          <w:sz w:val="24"/>
          <w:szCs w:val="24"/>
        </w:rPr>
        <w:t>履约保证金</w:t>
      </w:r>
    </w:p>
    <w:p w14:paraId="0A515B95">
      <w:pPr>
        <w:jc w:val="left"/>
        <w:rPr>
          <w:rFonts w:ascii="宋体" w:cs="宋体"/>
          <w:snapToGrid w:val="0"/>
          <w:color w:val="000000"/>
          <w:kern w:val="0"/>
          <w:sz w:val="24"/>
          <w:szCs w:val="24"/>
        </w:rPr>
      </w:pPr>
      <w:r>
        <w:rPr>
          <w:rFonts w:ascii="宋体" w:cs="宋体"/>
          <w:snapToGrid w:val="0"/>
          <w:color w:val="000000"/>
          <w:kern w:val="0"/>
          <w:sz w:val="24"/>
          <w:szCs w:val="24"/>
        </w:rPr>
        <w:t>3.2</w:t>
      </w:r>
      <w:r>
        <w:rPr>
          <w:rFonts w:hint="eastAsia" w:ascii="宋体" w:cs="宋体"/>
          <w:snapToGrid w:val="0"/>
          <w:color w:val="000000"/>
          <w:kern w:val="0"/>
          <w:sz w:val="24"/>
          <w:szCs w:val="24"/>
        </w:rPr>
        <w:t>结算方式</w:t>
      </w:r>
    </w:p>
    <w:p w14:paraId="549546E5">
      <w:pPr>
        <w:jc w:val="left"/>
        <w:rPr>
          <w:rFonts w:ascii="宋体" w:cs="宋体"/>
          <w:snapToGrid w:val="0"/>
          <w:color w:val="000000"/>
          <w:kern w:val="0"/>
          <w:sz w:val="24"/>
          <w:szCs w:val="24"/>
        </w:rPr>
      </w:pPr>
      <w:r>
        <w:rPr>
          <w:color w:val="000000"/>
          <w:sz w:val="24"/>
          <w:szCs w:val="24"/>
        </w:rPr>
        <w:t>合同签订完成后，乙方按要求将</w:t>
      </w:r>
      <w:r>
        <w:rPr>
          <w:rFonts w:hint="eastAsia"/>
          <w:color w:val="000000"/>
          <w:sz w:val="24"/>
          <w:szCs w:val="24"/>
        </w:rPr>
        <w:t>设备</w:t>
      </w:r>
      <w:r>
        <w:rPr>
          <w:color w:val="000000"/>
          <w:sz w:val="24"/>
          <w:szCs w:val="24"/>
        </w:rPr>
        <w:t>送</w:t>
      </w:r>
      <w:r>
        <w:rPr>
          <w:rFonts w:hint="eastAsia"/>
          <w:color w:val="000000"/>
          <w:sz w:val="24"/>
          <w:szCs w:val="24"/>
        </w:rPr>
        <w:t>达指定现场</w:t>
      </w:r>
      <w:r>
        <w:rPr>
          <w:color w:val="000000"/>
          <w:sz w:val="24"/>
          <w:szCs w:val="24"/>
        </w:rPr>
        <w:t>。设备</w:t>
      </w:r>
      <w:r>
        <w:rPr>
          <w:rFonts w:hint="eastAsia"/>
          <w:color w:val="000000"/>
          <w:sz w:val="24"/>
          <w:szCs w:val="24"/>
        </w:rPr>
        <w:t>签收、完成初始化安装并测试通过，设备自【</w:t>
      </w:r>
      <w:r>
        <w:rPr>
          <w:color w:val="000000"/>
          <w:sz w:val="24"/>
          <w:szCs w:val="24"/>
        </w:rPr>
        <w:t>签收</w:t>
      </w:r>
      <w:r>
        <w:rPr>
          <w:rFonts w:hint="eastAsia"/>
          <w:color w:val="000000"/>
          <w:sz w:val="24"/>
          <w:szCs w:val="24"/>
        </w:rPr>
        <w:t>之日】起正常运行三个月，按要求完成新设备的安装和部署工作并</w:t>
      </w:r>
      <w:r>
        <w:rPr>
          <w:color w:val="000000"/>
          <w:sz w:val="24"/>
          <w:szCs w:val="24"/>
        </w:rPr>
        <w:t>完成最终</w:t>
      </w:r>
      <w:r>
        <w:rPr>
          <w:rFonts w:hint="eastAsia"/>
          <w:color w:val="000000"/>
          <w:sz w:val="24"/>
          <w:szCs w:val="24"/>
        </w:rPr>
        <w:t>验收合格后</w:t>
      </w:r>
      <w:r>
        <w:rPr>
          <w:color w:val="000000"/>
          <w:sz w:val="24"/>
          <w:szCs w:val="24"/>
        </w:rPr>
        <w:t>，</w:t>
      </w:r>
      <w:r>
        <w:rPr>
          <w:rFonts w:hint="eastAsia"/>
          <w:color w:val="000000"/>
          <w:sz w:val="24"/>
          <w:szCs w:val="24"/>
        </w:rPr>
        <w:t>且确认生产厂商维保承诺符合维保要求后30个工作日内，</w:t>
      </w:r>
      <w:r>
        <w:rPr>
          <w:color w:val="000000"/>
          <w:sz w:val="24"/>
          <w:szCs w:val="24"/>
        </w:rPr>
        <w:t>乙方</w:t>
      </w:r>
      <w:r>
        <w:rPr>
          <w:rFonts w:hint="eastAsia"/>
          <w:color w:val="000000"/>
          <w:sz w:val="24"/>
          <w:szCs w:val="24"/>
        </w:rPr>
        <w:t>向</w:t>
      </w:r>
      <w:r>
        <w:rPr>
          <w:color w:val="000000"/>
          <w:sz w:val="24"/>
          <w:szCs w:val="24"/>
        </w:rPr>
        <w:t>甲方</w:t>
      </w:r>
      <w:r>
        <w:rPr>
          <w:rFonts w:hint="eastAsia"/>
          <w:color w:val="000000"/>
          <w:sz w:val="24"/>
          <w:szCs w:val="24"/>
        </w:rPr>
        <w:t>提供合法、全额（本合同全部款项）的增值税专用发票，甲方支付合同总金额的</w:t>
      </w:r>
      <w:r>
        <w:rPr>
          <w:color w:val="000000"/>
          <w:sz w:val="24"/>
          <w:szCs w:val="24"/>
        </w:rPr>
        <w:t>100</w:t>
      </w:r>
      <w:r>
        <w:rPr>
          <w:rFonts w:hint="eastAsia"/>
          <w:color w:val="000000"/>
          <w:sz w:val="24"/>
          <w:szCs w:val="24"/>
        </w:rPr>
        <w:t>%</w:t>
      </w:r>
      <w:r>
        <w:rPr>
          <w:rFonts w:ascii="宋体" w:cs="宋体"/>
          <w:snapToGrid w:val="0"/>
          <w:color w:val="000000"/>
          <w:kern w:val="0"/>
          <w:sz w:val="24"/>
          <w:szCs w:val="24"/>
        </w:rPr>
        <w:t>即     元（大写：      ）</w:t>
      </w:r>
      <w:r>
        <w:rPr>
          <w:color w:val="000000"/>
          <w:sz w:val="24"/>
          <w:szCs w:val="24"/>
        </w:rPr>
        <w:t>。</w:t>
      </w:r>
    </w:p>
    <w:p w14:paraId="02FB02CE">
      <w:pPr>
        <w:jc w:val="left"/>
        <w:rPr>
          <w:color w:val="000000"/>
          <w:sz w:val="24"/>
        </w:rPr>
      </w:pPr>
      <w:r>
        <w:rPr>
          <w:rFonts w:hint="eastAsia" w:ascii="宋体"/>
          <w:color w:val="000000"/>
          <w:sz w:val="24"/>
        </w:rPr>
        <w:t>3.3</w:t>
      </w:r>
      <w:r>
        <w:rPr>
          <w:color w:val="000000"/>
          <w:sz w:val="24"/>
        </w:rPr>
        <w:t>违约情况</w:t>
      </w:r>
    </w:p>
    <w:p w14:paraId="314A7DD3">
      <w:pPr>
        <w:jc w:val="left"/>
        <w:rPr>
          <w:color w:val="000000"/>
          <w:sz w:val="24"/>
        </w:rPr>
      </w:pPr>
      <w:r>
        <w:rPr>
          <w:color w:val="000000"/>
          <w:sz w:val="24"/>
        </w:rPr>
        <w:t>成交供应商在以下几种情况下出现违约，将导致全部扣除履约保证金。</w:t>
      </w:r>
    </w:p>
    <w:p w14:paraId="739406BC">
      <w:pPr>
        <w:ind w:firstLine="840" w:firstLineChars="350"/>
        <w:jc w:val="left"/>
        <w:rPr>
          <w:color w:val="000000"/>
          <w:sz w:val="24"/>
        </w:rPr>
      </w:pPr>
      <w:r>
        <w:rPr>
          <w:snapToGrid w:val="0"/>
          <w:color w:val="000000"/>
          <w:sz w:val="24"/>
        </w:rPr>
        <w:t>1.</w:t>
      </w:r>
      <w:r>
        <w:rPr>
          <w:color w:val="000000"/>
          <w:sz w:val="24"/>
        </w:rPr>
        <w:t>所到货设备原厂维保服务内容不满足合同中要求。</w:t>
      </w:r>
    </w:p>
    <w:p w14:paraId="00F9609A">
      <w:pPr>
        <w:ind w:firstLine="840" w:firstLineChars="350"/>
        <w:jc w:val="left"/>
        <w:rPr>
          <w:rFonts w:ascii="宋体"/>
          <w:color w:val="000000"/>
          <w:sz w:val="24"/>
        </w:rPr>
      </w:pPr>
      <w:r>
        <w:rPr>
          <w:snapToGrid w:val="0"/>
          <w:color w:val="000000"/>
          <w:sz w:val="24"/>
        </w:rPr>
        <w:t>2.超过合同约定时限供货。</w:t>
      </w:r>
    </w:p>
    <w:p w14:paraId="59F6CCA1">
      <w:pPr>
        <w:tabs>
          <w:tab w:val="left" w:pos="851"/>
        </w:tabs>
        <w:rPr>
          <w:rFonts w:ascii="宋体"/>
          <w:color w:val="000000"/>
          <w:sz w:val="24"/>
        </w:rPr>
      </w:pPr>
      <w:r>
        <w:rPr>
          <w:rFonts w:hint="eastAsia" w:ascii="宋体"/>
          <w:color w:val="000000"/>
          <w:sz w:val="24"/>
        </w:rPr>
        <w:t>3.4到本合同甲方所指定的交货地点并经甲方签收前所发生的包装、运输、装卸、保险费用及货物毁损灭失风险由乙方负责。</w:t>
      </w:r>
    </w:p>
    <w:p w14:paraId="07B96A3E">
      <w:pPr>
        <w:tabs>
          <w:tab w:val="left" w:pos="851"/>
        </w:tabs>
        <w:rPr>
          <w:color w:val="000000"/>
          <w:sz w:val="24"/>
        </w:rPr>
      </w:pPr>
      <w:r>
        <w:rPr>
          <w:rFonts w:hint="eastAsia" w:ascii="宋体"/>
          <w:color w:val="000000"/>
          <w:sz w:val="24"/>
        </w:rPr>
        <w:t>3.5发票要求：</w:t>
      </w:r>
      <w:r>
        <w:rPr>
          <w:rFonts w:hint="eastAsia"/>
          <w:color w:val="000000"/>
          <w:sz w:val="24"/>
        </w:rPr>
        <w:t>乙方须严格按照合</w:t>
      </w:r>
      <w:r>
        <w:rPr>
          <w:rFonts w:hint="eastAsia" w:ascii="宋体"/>
          <w:color w:val="000000"/>
          <w:sz w:val="24"/>
        </w:rPr>
        <w:t>同内容开具</w:t>
      </w:r>
      <w:r>
        <w:rPr>
          <w:rFonts w:hint="eastAsia" w:ascii="宋体"/>
          <w:b/>
          <w:color w:val="000000"/>
          <w:sz w:val="24"/>
        </w:rPr>
        <w:t>税率为13%的增值税专用发票</w:t>
      </w:r>
      <w:r>
        <w:rPr>
          <w:rFonts w:hint="eastAsia"/>
          <w:color w:val="000000"/>
          <w:sz w:val="24"/>
        </w:rPr>
        <w:t>（若遇国家税率调整另议），乙方在甲方付款前30个工作日需向甲方交付相应的发票，否则甲方有权拒绝支付任何费用且不承担逾期付款违约责任。</w:t>
      </w:r>
    </w:p>
    <w:p w14:paraId="2D19145D">
      <w:pPr>
        <w:tabs>
          <w:tab w:val="left" w:pos="851"/>
        </w:tabs>
        <w:rPr>
          <w:color w:val="000000"/>
          <w:sz w:val="24"/>
        </w:rPr>
      </w:pPr>
      <w:r>
        <w:rPr>
          <w:rFonts w:hint="eastAsia" w:ascii="宋体"/>
          <w:color w:val="000000"/>
          <w:sz w:val="24"/>
        </w:rPr>
        <w:t>3.6</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本合同约定支付费用后，即视为已向乙方及生产厂商履行完所有付款义务，如有任何人向甲方主张费用的，由乙方负责，给甲方造成损失的，乙方应</w:t>
      </w:r>
      <w:r>
        <w:rPr>
          <w:rFonts w:hint="eastAsia"/>
          <w:color w:val="000000"/>
          <w:sz w:val="24"/>
        </w:rPr>
        <w:t>全额</w:t>
      </w:r>
      <w:r>
        <w:rPr>
          <w:color w:val="000000"/>
          <w:sz w:val="24"/>
        </w:rPr>
        <w:t>赔偿甲方。</w:t>
      </w:r>
    </w:p>
    <w:p w14:paraId="0D0BB8F1">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收货方式和交货时间</w:t>
      </w:r>
    </w:p>
    <w:p w14:paraId="78877899">
      <w:pPr>
        <w:tabs>
          <w:tab w:val="left" w:pos="851"/>
        </w:tabs>
        <w:ind w:firstLine="480" w:firstLineChars="200"/>
        <w:rPr>
          <w:rFonts w:hint="eastAsia" w:ascii="宋体"/>
          <w:color w:val="000000"/>
          <w:sz w:val="24"/>
        </w:rPr>
      </w:pPr>
      <w:r>
        <w:rPr>
          <w:rFonts w:hint="eastAsia" w:ascii="宋体"/>
          <w:color w:val="000000"/>
          <w:sz w:val="24"/>
        </w:rPr>
        <w:t>4.1乙方将货物送到甲方指定的收货地点，由甲方指定收货联系人签字确认。</w:t>
      </w:r>
    </w:p>
    <w:p w14:paraId="2DE73F5B">
      <w:pPr>
        <w:ind w:firstLine="840" w:firstLineChars="350"/>
        <w:rPr>
          <w:rFonts w:hint="eastAsia" w:ascii="宋体"/>
          <w:color w:val="000000"/>
          <w:sz w:val="24"/>
          <w:u w:val="single"/>
        </w:rPr>
      </w:pPr>
      <w:r>
        <w:rPr>
          <w:rFonts w:hint="eastAsia" w:ascii="宋体"/>
          <w:color w:val="000000"/>
          <w:sz w:val="24"/>
        </w:rPr>
        <w:t>收货地点：</w:t>
      </w:r>
      <w:r>
        <w:rPr>
          <w:rFonts w:hint="eastAsia" w:ascii="宋体"/>
          <w:color w:val="000000"/>
          <w:sz w:val="24"/>
          <w:u w:val="single"/>
        </w:rPr>
        <w:t xml:space="preserve">                    </w:t>
      </w:r>
    </w:p>
    <w:p w14:paraId="7DBA6EFA">
      <w:pPr>
        <w:ind w:firstLine="840" w:firstLineChars="350"/>
        <w:rPr>
          <w:rFonts w:hint="eastAsia" w:ascii="宋体"/>
          <w:color w:val="000000"/>
          <w:sz w:val="24"/>
        </w:rPr>
      </w:pPr>
      <w:r>
        <w:rPr>
          <w:rFonts w:hint="eastAsia" w:ascii="宋体"/>
          <w:color w:val="000000"/>
          <w:sz w:val="24"/>
        </w:rPr>
        <w:t>收货联系人：</w:t>
      </w:r>
      <w:r>
        <w:rPr>
          <w:rFonts w:hint="eastAsia" w:ascii="宋体"/>
          <w:color w:val="000000"/>
          <w:sz w:val="24"/>
          <w:u w:val="single"/>
        </w:rPr>
        <w:t xml:space="preserve">                  </w:t>
      </w:r>
      <w:r>
        <w:rPr>
          <w:rFonts w:hint="eastAsia" w:ascii="宋体"/>
          <w:color w:val="000000"/>
          <w:sz w:val="24"/>
        </w:rPr>
        <w:t xml:space="preserve"> </w:t>
      </w:r>
    </w:p>
    <w:p w14:paraId="1844BE50">
      <w:pPr>
        <w:ind w:firstLine="840" w:firstLineChars="350"/>
        <w:rPr>
          <w:rFonts w:hint="eastAsia" w:ascii="宋体"/>
          <w:color w:val="000000"/>
          <w:sz w:val="24"/>
        </w:rPr>
      </w:pPr>
      <w:r>
        <w:rPr>
          <w:rFonts w:hint="eastAsia" w:ascii="宋体"/>
          <w:color w:val="000000"/>
          <w:sz w:val="24"/>
        </w:rPr>
        <w:t>收货联系电话：</w:t>
      </w:r>
      <w:r>
        <w:rPr>
          <w:rFonts w:hint="eastAsia" w:ascii="宋体"/>
          <w:color w:val="000000"/>
          <w:sz w:val="24"/>
          <w:u w:val="single"/>
        </w:rPr>
        <w:t xml:space="preserve">                </w:t>
      </w:r>
    </w:p>
    <w:p w14:paraId="7A3C596F">
      <w:pPr>
        <w:numPr>
          <w:ilvl w:val="1"/>
          <w:numId w:val="2"/>
        </w:numPr>
        <w:tabs>
          <w:tab w:val="left" w:pos="851"/>
        </w:tabs>
        <w:ind w:firstLineChars="0"/>
        <w:rPr>
          <w:rFonts w:hint="eastAsia" w:ascii="宋体"/>
          <w:color w:val="000000"/>
          <w:sz w:val="24"/>
        </w:rPr>
      </w:pPr>
      <w:r>
        <w:rPr>
          <w:rFonts w:hint="eastAsia" w:ascii="宋体"/>
          <w:color w:val="000000"/>
          <w:sz w:val="24"/>
        </w:rPr>
        <w:t xml:space="preserve"> 交货时</w:t>
      </w:r>
      <w:r>
        <w:rPr>
          <w:rFonts w:hint="eastAsia"/>
          <w:color w:val="000000"/>
          <w:sz w:val="24"/>
        </w:rPr>
        <w:t>间：本项目设备的交付周期为45个自然日，原则上以合同签订之日起开始计算。</w:t>
      </w:r>
    </w:p>
    <w:p w14:paraId="109BA851">
      <w:pPr>
        <w:numPr>
          <w:ilvl w:val="0"/>
          <w:numId w:val="1"/>
        </w:numPr>
        <w:tabs>
          <w:tab w:val="left" w:pos="993"/>
          <w:tab w:val="clear" w:pos="877"/>
        </w:tabs>
        <w:spacing w:before="240"/>
        <w:ind w:left="877" w:hanging="877" w:firstLineChars="0"/>
        <w:rPr>
          <w:rFonts w:hint="eastAsia"/>
          <w:b/>
          <w:sz w:val="24"/>
        </w:rPr>
      </w:pPr>
      <w:r>
        <w:rPr>
          <w:rFonts w:hint="eastAsia"/>
          <w:b/>
          <w:sz w:val="24"/>
        </w:rPr>
        <w:t>运输和包装</w:t>
      </w:r>
    </w:p>
    <w:p w14:paraId="2F577E66">
      <w:pPr>
        <w:tabs>
          <w:tab w:val="left" w:pos="851"/>
        </w:tabs>
        <w:ind w:firstLine="480" w:firstLineChars="200"/>
        <w:rPr>
          <w:rFonts w:hint="eastAsia"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54E1F018">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货物的交付与验收</w:t>
      </w:r>
    </w:p>
    <w:p w14:paraId="1AB4B4A4">
      <w:pPr>
        <w:tabs>
          <w:tab w:val="left" w:pos="851"/>
        </w:tabs>
        <w:ind w:firstLine="480" w:firstLineChars="200"/>
        <w:rPr>
          <w:rFonts w:hint="eastAsia" w:ascii="宋体"/>
          <w:color w:val="000000"/>
          <w:sz w:val="24"/>
        </w:rPr>
      </w:pPr>
      <w:r>
        <w:rPr>
          <w:rFonts w:hint="eastAsia" w:ascii="宋体"/>
          <w:color w:val="000000"/>
          <w:sz w:val="24"/>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6D46FC3F">
      <w:pPr>
        <w:tabs>
          <w:tab w:val="left" w:pos="851"/>
        </w:tabs>
        <w:ind w:firstLine="480" w:firstLineChars="200"/>
        <w:rPr>
          <w:rFonts w:hint="eastAsia" w:ascii="宋体"/>
          <w:color w:val="000000"/>
          <w:sz w:val="24"/>
        </w:rPr>
      </w:pPr>
      <w:r>
        <w:rPr>
          <w:rFonts w:hint="eastAsia" w:ascii="宋体"/>
          <w:color w:val="000000"/>
          <w:sz w:val="24"/>
        </w:rPr>
        <w:t>6.2 到货签收合格后，由乙方工程师进行硬件设备安装、加电调试，并向甲方提供安装服务报告和货物明细签收单，甲方签署硬件设备签收表（具体详见附件1）。</w:t>
      </w:r>
    </w:p>
    <w:p w14:paraId="10C39D6B">
      <w:pPr>
        <w:tabs>
          <w:tab w:val="left" w:pos="851"/>
        </w:tabs>
        <w:ind w:firstLine="480" w:firstLineChars="200"/>
        <w:rPr>
          <w:rFonts w:hint="eastAsia" w:ascii="宋体"/>
          <w:color w:val="000000"/>
          <w:sz w:val="24"/>
        </w:rPr>
      </w:pPr>
      <w:r>
        <w:rPr>
          <w:rFonts w:hint="eastAsia" w:ascii="宋体"/>
          <w:color w:val="000000"/>
          <w:sz w:val="24"/>
        </w:rPr>
        <w:t>6.3设备自</w:t>
      </w:r>
      <w:r>
        <w:rPr>
          <w:rFonts w:hint="eastAsia" w:ascii="宋体"/>
          <w:sz w:val="24"/>
        </w:rPr>
        <w:t>【</w:t>
      </w:r>
      <w:r>
        <w:rPr>
          <w:rFonts w:hint="eastAsia" w:ascii="宋体"/>
          <w:sz w:val="24"/>
          <w:u w:val="single"/>
        </w:rPr>
        <w:t>签收之日】</w:t>
      </w:r>
      <w:r>
        <w:rPr>
          <w:rFonts w:hint="eastAsia" w:ascii="宋体"/>
          <w:color w:val="000000"/>
          <w:sz w:val="24"/>
        </w:rPr>
        <w:t>三个月内运行正常，则视为验收合格，经甲方确认后，签署最终验收表（具体详见附件2），视为验收合格。</w:t>
      </w:r>
    </w:p>
    <w:p w14:paraId="630B3321">
      <w:pPr>
        <w:tabs>
          <w:tab w:val="left" w:pos="851"/>
        </w:tabs>
        <w:ind w:firstLine="480" w:firstLineChars="200"/>
        <w:rPr>
          <w:rFonts w:hint="eastAsia" w:ascii="宋体"/>
          <w:color w:val="000000"/>
          <w:sz w:val="24"/>
        </w:rPr>
      </w:pPr>
      <w:r>
        <w:rPr>
          <w:rFonts w:hint="eastAsia" w:ascii="宋体"/>
          <w:color w:val="000000"/>
          <w:sz w:val="24"/>
        </w:rPr>
        <w:t>6.4</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14:paraId="66FC6092">
      <w:pPr>
        <w:tabs>
          <w:tab w:val="left" w:pos="851"/>
        </w:tabs>
        <w:ind w:firstLine="480" w:firstLineChars="200"/>
        <w:rPr>
          <w:rFonts w:hint="eastAsia" w:ascii="宋体"/>
          <w:color w:val="000000"/>
          <w:sz w:val="24"/>
        </w:rPr>
      </w:pPr>
      <w:r>
        <w:rPr>
          <w:rFonts w:hint="eastAsia" w:ascii="宋体"/>
          <w:color w:val="000000"/>
          <w:sz w:val="24"/>
        </w:rPr>
        <w:t>（1）针对第三方SDK：乙方应开展安全评估和个人信息保护评估，并提供无中高风险的评估报告；</w:t>
      </w:r>
    </w:p>
    <w:p w14:paraId="1CCBF736">
      <w:pPr>
        <w:tabs>
          <w:tab w:val="left" w:pos="851"/>
        </w:tabs>
        <w:ind w:firstLine="480" w:firstLineChars="200"/>
        <w:rPr>
          <w:rFonts w:hint="eastAsia" w:ascii="宋体"/>
          <w:color w:val="000000"/>
          <w:sz w:val="24"/>
        </w:rPr>
      </w:pPr>
      <w:r>
        <w:rPr>
          <w:rFonts w:hint="eastAsia" w:ascii="宋体"/>
          <w:color w:val="000000"/>
          <w:sz w:val="24"/>
        </w:rPr>
        <w:t>（2）针对第三方小程序：乙方应开展安全评估，并提供无中高风险漏洞的安全评估报告。</w:t>
      </w:r>
    </w:p>
    <w:p w14:paraId="0A56D66A">
      <w:pPr>
        <w:tabs>
          <w:tab w:val="left" w:pos="851"/>
        </w:tabs>
        <w:ind w:firstLine="480" w:firstLineChars="200"/>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204A8F4C">
      <w:pPr>
        <w:tabs>
          <w:tab w:val="left" w:pos="851"/>
        </w:tabs>
        <w:ind w:firstLine="480" w:firstLineChars="200"/>
        <w:rPr>
          <w:rFonts w:hint="eastAsia"/>
          <w:color w:val="000000"/>
          <w:sz w:val="24"/>
        </w:rPr>
      </w:pPr>
      <w:r>
        <w:rPr>
          <w:rFonts w:hint="eastAsia" w:ascii="宋体"/>
          <w:color w:val="000000"/>
          <w:sz w:val="24"/>
        </w:rPr>
        <w:t>6.5</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1B824075">
      <w:pPr>
        <w:tabs>
          <w:tab w:val="left" w:pos="851"/>
        </w:tabs>
        <w:ind w:firstLine="480" w:firstLineChars="200"/>
        <w:rPr>
          <w:rFonts w:hint="eastAsia" w:ascii="宋体"/>
          <w:color w:val="000000"/>
          <w:sz w:val="24"/>
        </w:rPr>
      </w:pPr>
      <w:r>
        <w:rPr>
          <w:rFonts w:hint="eastAsia" w:ascii="宋体"/>
          <w:color w:val="000000"/>
          <w:sz w:val="24"/>
        </w:rPr>
        <w:t>6.6乙方向甲方提供的产品和服务不会有任何第三方主张权利，也不会侵害任何第三方的合法权益，包括知识产权。</w:t>
      </w:r>
      <w:r>
        <w:rPr>
          <w:rFonts w:cs="宋体"/>
          <w:color w:val="000000"/>
          <w:sz w:val="24"/>
        </w:rPr>
        <w:t>如甲方使用乙方提供的</w:t>
      </w:r>
      <w:r>
        <w:rPr>
          <w:rFonts w:hint="eastAsia" w:cs="宋体"/>
          <w:color w:val="000000"/>
          <w:sz w:val="24"/>
        </w:rPr>
        <w:t>产品</w:t>
      </w:r>
      <w:r>
        <w:rPr>
          <w:rFonts w:cs="宋体"/>
          <w:color w:val="000000"/>
          <w:sz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0CDC0867">
      <w:pPr>
        <w:tabs>
          <w:tab w:val="left" w:pos="851"/>
        </w:tabs>
        <w:ind w:firstLine="480" w:firstLineChars="200"/>
        <w:rPr>
          <w:rFonts w:hint="eastAsia" w:ascii="宋体"/>
          <w:color w:val="000000"/>
          <w:sz w:val="24"/>
        </w:rPr>
      </w:pPr>
    </w:p>
    <w:p w14:paraId="09941581">
      <w:pPr>
        <w:numPr>
          <w:ilvl w:val="0"/>
          <w:numId w:val="1"/>
        </w:numPr>
        <w:tabs>
          <w:tab w:val="left" w:pos="993"/>
          <w:tab w:val="clear" w:pos="877"/>
        </w:tabs>
        <w:spacing w:before="240"/>
        <w:ind w:left="877" w:hanging="877" w:firstLineChars="0"/>
        <w:rPr>
          <w:rFonts w:hint="eastAsia" w:ascii="宋体"/>
          <w:b/>
          <w:color w:val="000000"/>
          <w:sz w:val="24"/>
        </w:rPr>
      </w:pPr>
      <w:r>
        <w:rPr>
          <w:rFonts w:ascii="宋体"/>
          <w:b/>
          <w:color w:val="000000"/>
          <w:sz w:val="24"/>
        </w:rPr>
        <w:t>生产厂商</w:t>
      </w:r>
      <w:r>
        <w:rPr>
          <w:rFonts w:hint="eastAsia" w:ascii="宋体"/>
          <w:b/>
          <w:color w:val="000000"/>
          <w:sz w:val="24"/>
        </w:rPr>
        <w:t>质量保证和售后服务</w:t>
      </w:r>
    </w:p>
    <w:p w14:paraId="440D5443">
      <w:pPr>
        <w:tabs>
          <w:tab w:val="left" w:pos="851"/>
        </w:tabs>
        <w:ind w:firstLine="480" w:firstLineChars="200"/>
        <w:rPr>
          <w:rFonts w:hint="eastAsia" w:ascii="宋体"/>
          <w:color w:val="000000"/>
          <w:sz w:val="24"/>
        </w:rPr>
      </w:pPr>
      <w:r>
        <w:rPr>
          <w:rFonts w:hint="eastAsia" w:ascii="宋体"/>
          <w:color w:val="000000"/>
          <w:sz w:val="24"/>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14283CAC">
      <w:pPr>
        <w:tabs>
          <w:tab w:val="left" w:pos="851"/>
        </w:tabs>
        <w:ind w:firstLine="480" w:firstLineChars="200"/>
        <w:rPr>
          <w:rFonts w:hint="eastAsia" w:ascii="宋体"/>
          <w:color w:val="000000"/>
          <w:sz w:val="24"/>
        </w:rPr>
      </w:pPr>
      <w:r>
        <w:rPr>
          <w:rFonts w:hint="eastAsia" w:ascii="宋体"/>
          <w:color w:val="000000"/>
          <w:sz w:val="24"/>
        </w:rPr>
        <w:t>7.2 在维保期内如果合同设备出现故障，乙方应提供维保服务，对合同设备进行修理或更换以消除故障。维保期内的维护服务内容见附件3。</w:t>
      </w:r>
    </w:p>
    <w:p w14:paraId="38D61DF8">
      <w:pPr>
        <w:tabs>
          <w:tab w:val="left" w:pos="851"/>
        </w:tabs>
        <w:ind w:firstLine="480" w:firstLineChars="200"/>
        <w:rPr>
          <w:rFonts w:hint="eastAsia" w:ascii="宋体"/>
          <w:color w:val="000000"/>
          <w:sz w:val="24"/>
        </w:rPr>
      </w:pPr>
      <w:r>
        <w:rPr>
          <w:rFonts w:hint="eastAsia" w:ascii="宋体"/>
          <w:color w:val="000000"/>
          <w:sz w:val="24"/>
        </w:rPr>
        <w:t>7.3维保期到期后【5】年内，本合同项下产品可选择__7.3.1___维保服务。</w:t>
      </w:r>
    </w:p>
    <w:p w14:paraId="7B9FFCCA">
      <w:pPr>
        <w:tabs>
          <w:tab w:val="left" w:pos="851"/>
        </w:tabs>
        <w:ind w:firstLine="480" w:firstLineChars="200"/>
        <w:rPr>
          <w:rFonts w:hint="eastAsia" w:ascii="宋体"/>
          <w:color w:val="000000"/>
          <w:sz w:val="24"/>
        </w:rPr>
      </w:pPr>
      <w:r>
        <w:rPr>
          <w:rFonts w:hint="eastAsia" w:ascii="宋体"/>
          <w:color w:val="000000"/>
          <w:sz w:val="24"/>
        </w:rPr>
        <w:t>7.3.1生产厂商将以合同项下产品金额的__</w:t>
      </w:r>
      <w:r>
        <w:rPr>
          <w:rFonts w:ascii="宋体"/>
          <w:color w:val="000000"/>
          <w:sz w:val="24"/>
        </w:rPr>
        <w:t>10</w:t>
      </w:r>
      <w:r>
        <w:rPr>
          <w:rFonts w:hint="eastAsia" w:ascii="宋体"/>
          <w:color w:val="000000"/>
          <w:sz w:val="24"/>
        </w:rPr>
        <w:t>_____%的维保费率提供生产厂商维保服务，附生产厂商售后服务承诺函，若生产厂商无法以承诺费用续保，由乙方承担违约责任，乙方应向甲方支付超出约定维保费部分的费用。</w:t>
      </w:r>
    </w:p>
    <w:p w14:paraId="14A2558D">
      <w:pPr>
        <w:tabs>
          <w:tab w:val="left" w:pos="851"/>
        </w:tabs>
        <w:ind w:firstLine="480" w:firstLineChars="200"/>
        <w:rPr>
          <w:rFonts w:hint="eastAsia" w:ascii="宋体"/>
          <w:color w:val="000000"/>
          <w:sz w:val="24"/>
        </w:rPr>
      </w:pPr>
      <w:r>
        <w:rPr>
          <w:rFonts w:hint="eastAsia" w:ascii="宋体"/>
          <w:color w:val="000000"/>
          <w:sz w:val="24"/>
        </w:rPr>
        <w:t>7.3.2维保期到期后五年内，乙方将以合同项下产品金额的________%的维保费率提供付费维保服务。</w:t>
      </w:r>
      <w:r>
        <w:rPr>
          <w:rFonts w:hint="eastAsia" w:ascii="宋体"/>
          <w:color w:val="FF0000"/>
          <w:sz w:val="24"/>
        </w:rPr>
        <w:t xml:space="preserve"> </w:t>
      </w:r>
    </w:p>
    <w:p w14:paraId="0407C9DD">
      <w:pPr>
        <w:tabs>
          <w:tab w:val="left" w:pos="851"/>
        </w:tabs>
        <w:ind w:firstLine="480" w:firstLineChars="200"/>
        <w:rPr>
          <w:rFonts w:hint="eastAsia" w:ascii="宋体"/>
          <w:color w:val="000000"/>
          <w:sz w:val="24"/>
        </w:rPr>
      </w:pPr>
      <w:r>
        <w:rPr>
          <w:rFonts w:hint="eastAsia" w:ascii="宋体"/>
          <w:color w:val="000000"/>
          <w:sz w:val="24"/>
        </w:rPr>
        <w:t>7.4维保期到期后【5】年内，</w:t>
      </w:r>
      <w:r>
        <w:rPr>
          <w:rFonts w:hint="eastAsia"/>
          <w:color w:val="000000"/>
          <w:sz w:val="24"/>
        </w:rPr>
        <w:t>如</w:t>
      </w:r>
      <w:r>
        <w:rPr>
          <w:rFonts w:hint="eastAsia" w:ascii="宋体"/>
          <w:color w:val="000000"/>
          <w:sz w:val="24"/>
        </w:rPr>
        <w:t>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2094E1DC">
      <w:pPr>
        <w:tabs>
          <w:tab w:val="left" w:pos="851"/>
        </w:tabs>
        <w:ind w:firstLine="480" w:firstLineChars="200"/>
        <w:rPr>
          <w:rFonts w:hint="eastAsia" w:ascii="宋体"/>
          <w:color w:val="000000"/>
          <w:sz w:val="24"/>
        </w:rPr>
      </w:pPr>
      <w:r>
        <w:rPr>
          <w:rFonts w:ascii="宋体"/>
          <w:color w:val="000000"/>
          <w:sz w:val="24"/>
        </w:rPr>
        <w:t xml:space="preserve">7.5 </w:t>
      </w:r>
      <w:r>
        <w:rPr>
          <w:rFonts w:hint="eastAsia" w:hAnsi="Times New Roman"/>
          <w:color w:val="000000"/>
          <w:sz w:val="24"/>
        </w:rPr>
        <w:t>光模块数量及类型，根据实际部署及实际使用需求进行无条件提供，最高不超过设备的满配数量</w:t>
      </w:r>
      <w:r>
        <w:rPr>
          <w:rFonts w:hAnsi="Times New Roman"/>
          <w:color w:val="000000"/>
          <w:sz w:val="24"/>
        </w:rPr>
        <w:t>。</w:t>
      </w:r>
    </w:p>
    <w:p w14:paraId="5C634665">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保管风险</w:t>
      </w:r>
    </w:p>
    <w:p w14:paraId="687F2084">
      <w:pPr>
        <w:tabs>
          <w:tab w:val="left" w:pos="851"/>
        </w:tabs>
        <w:ind w:firstLine="480" w:firstLineChars="200"/>
        <w:rPr>
          <w:rFonts w:hint="eastAsia"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7D714950">
      <w:pPr>
        <w:tabs>
          <w:tab w:val="left" w:pos="851"/>
        </w:tabs>
        <w:ind w:firstLine="480" w:firstLineChars="200"/>
        <w:rPr>
          <w:rFonts w:hint="eastAsia" w:ascii="宋体"/>
          <w:color w:val="000000"/>
          <w:sz w:val="24"/>
        </w:rPr>
      </w:pPr>
    </w:p>
    <w:p w14:paraId="5AEFEFC6">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违约责任</w:t>
      </w:r>
    </w:p>
    <w:p w14:paraId="0F5063A1">
      <w:pPr>
        <w:tabs>
          <w:tab w:val="left" w:pos="851"/>
        </w:tabs>
        <w:ind w:firstLine="480" w:firstLineChars="200"/>
        <w:rPr>
          <w:rFonts w:hint="eastAsia" w:ascii="宋体"/>
          <w:color w:val="000000"/>
          <w:sz w:val="24"/>
        </w:rPr>
      </w:pPr>
      <w:r>
        <w:rPr>
          <w:rFonts w:hint="eastAsia" w:ascii="宋体"/>
          <w:color w:val="000000"/>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09648811">
      <w:pPr>
        <w:tabs>
          <w:tab w:val="left" w:pos="851"/>
        </w:tabs>
        <w:ind w:firstLine="480" w:firstLineChars="200"/>
        <w:rPr>
          <w:rFonts w:hint="eastAsia" w:ascii="宋体"/>
          <w:color w:val="000000"/>
          <w:sz w:val="24"/>
        </w:rPr>
      </w:pPr>
      <w:r>
        <w:rPr>
          <w:rFonts w:hint="eastAsia" w:ascii="宋体"/>
          <w:color w:val="000000"/>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ADB11F0">
      <w:pPr>
        <w:tabs>
          <w:tab w:val="left" w:pos="851"/>
        </w:tabs>
        <w:ind w:firstLine="480" w:firstLineChars="200"/>
        <w:rPr>
          <w:rFonts w:hint="eastAsia" w:ascii="宋体"/>
          <w:color w:val="000000"/>
          <w:sz w:val="24"/>
        </w:rPr>
      </w:pPr>
      <w:r>
        <w:rPr>
          <w:rFonts w:hint="eastAsia" w:ascii="宋体"/>
          <w:color w:val="000000"/>
          <w:sz w:val="24"/>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685D9DB6">
      <w:pPr>
        <w:tabs>
          <w:tab w:val="left" w:pos="851"/>
        </w:tabs>
        <w:ind w:firstLine="480" w:firstLineChars="200"/>
        <w:rPr>
          <w:rFonts w:hint="eastAsia" w:ascii="宋体"/>
          <w:color w:val="000000"/>
          <w:sz w:val="24"/>
        </w:rPr>
      </w:pPr>
      <w:r>
        <w:rPr>
          <w:rFonts w:hint="eastAsia" w:ascii="宋体"/>
          <w:color w:val="000000"/>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7D5CEEA2">
      <w:pPr>
        <w:ind w:firstLine="480" w:firstLineChars="200"/>
        <w:rPr>
          <w:rFonts w:hint="eastAsia" w:ascii="宋体"/>
          <w:sz w:val="24"/>
        </w:rPr>
      </w:pPr>
      <w:r>
        <w:rPr>
          <w:rFonts w:hint="eastAsia" w:ascii="宋体"/>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5AB7B872">
      <w:pPr>
        <w:ind w:firstLine="480" w:firstLineChars="200"/>
        <w:rPr>
          <w:rFonts w:hint="eastAsia" w:ascii="宋体"/>
          <w:sz w:val="24"/>
        </w:rPr>
      </w:pPr>
      <w:r>
        <w:rPr>
          <w:rFonts w:hint="eastAsia" w:ascii="宋体"/>
          <w:sz w:val="24"/>
        </w:rPr>
        <w:t>9.6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4A641A7A">
      <w:pPr>
        <w:ind w:firstLine="480" w:firstLineChars="200"/>
        <w:rPr>
          <w:rFonts w:hint="eastAsia" w:ascii="宋体"/>
          <w:color w:val="000000"/>
          <w:sz w:val="24"/>
        </w:rPr>
      </w:pPr>
      <w:r>
        <w:rPr>
          <w:rFonts w:hint="eastAsia" w:ascii="宋体"/>
          <w:color w:val="000000"/>
          <w:sz w:val="24"/>
        </w:rPr>
        <w:t>9.7本合同项下乙方应支付的违约金、赔偿金等，甲方均有权从应支付给乙方的任意一笔款项中优先扣除，若有不足，乙方应另行筹措资金补足。</w:t>
      </w:r>
    </w:p>
    <w:p w14:paraId="47AA6265">
      <w:pPr>
        <w:ind w:firstLine="480" w:firstLineChars="200"/>
        <w:rPr>
          <w:rFonts w:hint="eastAsia" w:ascii="宋体"/>
          <w:color w:val="000000"/>
          <w:sz w:val="24"/>
        </w:rPr>
      </w:pPr>
    </w:p>
    <w:p w14:paraId="2B93BD26">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不可抗力</w:t>
      </w:r>
    </w:p>
    <w:p w14:paraId="35CE7616">
      <w:pPr>
        <w:tabs>
          <w:tab w:val="left" w:pos="851"/>
        </w:tabs>
        <w:ind w:firstLine="480" w:firstLineChars="200"/>
        <w:rPr>
          <w:rFonts w:hint="eastAsia" w:ascii="宋体"/>
          <w:color w:val="000000"/>
          <w:sz w:val="24"/>
        </w:rPr>
      </w:pPr>
      <w:r>
        <w:rPr>
          <w:rFonts w:hint="eastAsia" w:ascii="宋体"/>
          <w:color w:val="000000"/>
          <w:sz w:val="24"/>
        </w:rPr>
        <w:t>10.1不可抗力是指本合同生效后，发生不能预见并且对其发生和后果不能防止或避免的事件，如地震、台风、水灾、火灾、战争、传染病等，致使直接影响本合同的履行或不能按约定的条件履行。</w:t>
      </w:r>
    </w:p>
    <w:p w14:paraId="69F0DCB0">
      <w:pPr>
        <w:tabs>
          <w:tab w:val="left" w:pos="851"/>
        </w:tabs>
        <w:ind w:firstLine="480" w:firstLineChars="200"/>
        <w:rPr>
          <w:rFonts w:hint="eastAsia" w:ascii="宋体"/>
          <w:color w:val="000000"/>
          <w:sz w:val="24"/>
        </w:rPr>
      </w:pPr>
      <w:r>
        <w:rPr>
          <w:rFonts w:hint="eastAsia" w:ascii="宋体"/>
          <w:color w:val="000000"/>
          <w:sz w:val="24"/>
        </w:rPr>
        <w:t>10.2发生不可抗力的一方应立即通知对方，并在十五天内提供不可抗力的详情及将有关证明文件送交对方。</w:t>
      </w:r>
    </w:p>
    <w:p w14:paraId="73E03931">
      <w:pPr>
        <w:tabs>
          <w:tab w:val="left" w:pos="851"/>
        </w:tabs>
        <w:ind w:firstLine="480" w:firstLineChars="200"/>
        <w:rPr>
          <w:rFonts w:hint="eastAsia" w:ascii="宋体"/>
          <w:color w:val="000000"/>
          <w:sz w:val="24"/>
        </w:rPr>
      </w:pPr>
      <w:r>
        <w:rPr>
          <w:rFonts w:hint="eastAsia" w:ascii="宋体"/>
          <w:color w:val="000000"/>
          <w:sz w:val="24"/>
        </w:rPr>
        <w:t>10.3发生不可抗力事件时，甲乙双方应协商以寻找一个合理的解决方法，并尽一切努力减轻不可抗力产生的后果。</w:t>
      </w:r>
    </w:p>
    <w:p w14:paraId="6600B0F7">
      <w:pPr>
        <w:tabs>
          <w:tab w:val="left" w:pos="851"/>
        </w:tabs>
        <w:ind w:firstLine="480" w:firstLineChars="200"/>
        <w:rPr>
          <w:rFonts w:hint="eastAsia" w:ascii="宋体"/>
          <w:color w:val="000000"/>
          <w:sz w:val="24"/>
        </w:rPr>
      </w:pPr>
      <w:r>
        <w:rPr>
          <w:rFonts w:hint="eastAsia" w:ascii="宋体"/>
          <w:color w:val="000000"/>
          <w:sz w:val="24"/>
        </w:rPr>
        <w:t>10.4如不可抗力事件持续三十天时，甲乙双方应友好协商解决本合同是否继续履行或终止的问题。</w:t>
      </w:r>
    </w:p>
    <w:p w14:paraId="4516C595">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争议解决</w:t>
      </w:r>
    </w:p>
    <w:p w14:paraId="225C77BA">
      <w:pPr>
        <w:pStyle w:val="11"/>
        <w:snapToGrid w:val="0"/>
        <w:spacing w:beforeAutospacing="0" w:afterAutospacing="0" w:line="360" w:lineRule="auto"/>
        <w:ind w:firstLine="480" w:firstLineChars="200"/>
        <w:rPr>
          <w:rFonts w:hint="eastAsia" w:hAnsi="宋体" w:cs="宋体"/>
          <w:sz w:val="24"/>
          <w:lang w:val="zh-CN" w:eastAsia="zh-CN"/>
        </w:rPr>
      </w:pPr>
      <w:r>
        <w:rPr>
          <w:rFonts w:hint="eastAsia" w:hAnsi="宋体" w:cs="宋体"/>
          <w:color w:val="000000"/>
          <w:sz w:val="24"/>
          <w:szCs w:val="24"/>
        </w:rPr>
        <w:t>因本合同引起的或与本合同有关的任何争议，双方可通过协商解决，协商不成，</w:t>
      </w:r>
      <w:r>
        <w:rPr>
          <w:rFonts w:hint="eastAsia" w:hAnsi="宋体" w:cs="宋体"/>
          <w:sz w:val="24"/>
          <w:lang w:val="zh-CN" w:eastAsia="zh-CN"/>
        </w:rPr>
        <w:t>任何一方应按照下列第</w:t>
      </w:r>
      <w:r>
        <w:rPr>
          <w:rFonts w:hint="eastAsia" w:hAnsi="宋体" w:cs="宋体"/>
          <w:sz w:val="24"/>
          <w:u w:val="single"/>
          <w:lang w:val="zh-CN" w:eastAsia="zh-CN"/>
        </w:rPr>
        <w:t xml:space="preserve">   1  </w:t>
      </w:r>
      <w:r>
        <w:rPr>
          <w:rFonts w:hint="eastAsia" w:hAnsi="宋体" w:cs="宋体"/>
          <w:sz w:val="24"/>
          <w:lang w:val="zh-CN" w:eastAsia="zh-CN"/>
        </w:rPr>
        <w:t>种方式解决：</w:t>
      </w:r>
    </w:p>
    <w:p w14:paraId="14023204">
      <w:pPr>
        <w:pStyle w:val="11"/>
        <w:numPr>
          <w:ilvl w:val="0"/>
          <w:numId w:val="3"/>
        </w:numPr>
        <w:snapToGrid w:val="0"/>
        <w:spacing w:beforeAutospacing="0" w:afterAutospacing="0" w:line="360" w:lineRule="auto"/>
        <w:rPr>
          <w:rFonts w:hint="eastAsia" w:hAnsi="宋体" w:cs="宋体"/>
          <w:sz w:val="24"/>
          <w:lang w:val="zh-CN" w:eastAsia="zh-CN"/>
        </w:rPr>
      </w:pPr>
      <w:r>
        <w:rPr>
          <w:rFonts w:hint="eastAsia" w:hAnsi="宋体" w:cs="宋体"/>
          <w:sz w:val="24"/>
          <w:lang w:val="zh-CN" w:eastAsia="zh-CN"/>
        </w:rPr>
        <w:t>向重庆仲裁委员会按照该会届时有效的仲裁规则申请仲裁。</w:t>
      </w:r>
    </w:p>
    <w:p w14:paraId="337704AB">
      <w:pPr>
        <w:pStyle w:val="11"/>
        <w:numPr>
          <w:ilvl w:val="0"/>
          <w:numId w:val="3"/>
        </w:numPr>
        <w:snapToGrid w:val="0"/>
        <w:spacing w:beforeAutospacing="0" w:afterAutospacing="0" w:line="360" w:lineRule="auto"/>
        <w:rPr>
          <w:rFonts w:hint="eastAsia" w:hAnsi="宋体" w:cs="宋体"/>
          <w:sz w:val="24"/>
          <w:lang w:val="zh-CN" w:eastAsia="zh-CN"/>
        </w:rPr>
      </w:pPr>
      <w:r>
        <w:rPr>
          <w:rFonts w:hint="eastAsia" w:hAnsi="宋体" w:cs="宋体"/>
          <w:sz w:val="24"/>
          <w:lang w:val="zh-CN" w:eastAsia="zh-CN"/>
        </w:rPr>
        <w:t>向本合同首部载明的甲方地址所在地有管辖权的人民法院起诉。</w:t>
      </w:r>
    </w:p>
    <w:p w14:paraId="60FAB8EE">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保密</w:t>
      </w:r>
    </w:p>
    <w:p w14:paraId="0FAE74E9">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12.1乙方须对本合同项下的所有条款保密。</w:t>
      </w:r>
    </w:p>
    <w:p w14:paraId="63BBAD44">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12.2乙方不得在合同允许范围外使用或披露甲方以及甲方客户信息、技术框架、系统架构、业务流程等核心信息。</w:t>
      </w:r>
    </w:p>
    <w:p w14:paraId="62DC91C8">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ADCDB7D">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12.4乙方知道违反本条规定将给甲方客户权利以及甲方造成难以弥补的损失，为此同意承担由此产生的经济上和法律上的责任和损失。</w:t>
      </w:r>
    </w:p>
    <w:p w14:paraId="4F213F06">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12.5乙方承认本合同中的技术资料和技术秘密为甲方所专有，将其对乙方进行披露并不意味着任何所有权、专利权的转让。</w:t>
      </w:r>
    </w:p>
    <w:p w14:paraId="35702160">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12.6在本合同项目通过验收后，乙方应归还甲方提供的所有技术资料或文件等，并承诺不保留任何复印件。</w:t>
      </w:r>
    </w:p>
    <w:p w14:paraId="4AF92A13">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8760586">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12.8除非甲方特别声明，乙方对于保密信息的保密义务为无限期保密，直至甲方宣布解密或者保密信息实际上已经公开。</w:t>
      </w:r>
    </w:p>
    <w:p w14:paraId="34AD3CDC">
      <w:pPr>
        <w:pStyle w:val="17"/>
        <w:ind w:left="0" w:firstLine="482" w:firstLineChars="0"/>
        <w:rPr>
          <w:rFonts w:hint="eastAsia" w:ascii="宋体" w:hAnsi="宋体"/>
          <w:b/>
          <w:color w:val="000000"/>
          <w:sz w:val="24"/>
        </w:rPr>
      </w:pPr>
    </w:p>
    <w:p w14:paraId="02174FD7">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通知与送达</w:t>
      </w:r>
    </w:p>
    <w:p w14:paraId="111FCB50">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360FAB88">
      <w:pPr>
        <w:pStyle w:val="17"/>
        <w:ind w:left="0" w:firstLine="480" w:firstLineChars="200"/>
        <w:rPr>
          <w:rFonts w:hint="eastAsia" w:ascii="宋体" w:eastAsia="宋体"/>
          <w:color w:val="000000"/>
          <w:sz w:val="24"/>
        </w:rPr>
      </w:pPr>
      <w:r>
        <w:rPr>
          <w:rFonts w:hint="eastAsia" w:ascii="宋体" w:eastAsia="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0FE86B0B">
      <w:pPr>
        <w:numPr>
          <w:ilvl w:val="0"/>
          <w:numId w:val="1"/>
        </w:numPr>
        <w:tabs>
          <w:tab w:val="left" w:pos="1276"/>
          <w:tab w:val="clear" w:pos="877"/>
        </w:tabs>
        <w:spacing w:before="240"/>
        <w:ind w:left="877" w:hanging="877" w:firstLineChars="0"/>
        <w:rPr>
          <w:rFonts w:hint="eastAsia" w:ascii="宋体"/>
          <w:b/>
          <w:color w:val="000000"/>
          <w:sz w:val="24"/>
        </w:rPr>
      </w:pPr>
      <w:bookmarkStart w:id="90" w:name="_Toc388368880"/>
      <w:r>
        <w:rPr>
          <w:rFonts w:hint="eastAsia" w:ascii="宋体"/>
          <w:b/>
          <w:color w:val="000000"/>
          <w:sz w:val="24"/>
        </w:rPr>
        <w:t>反商业贿赂</w:t>
      </w:r>
      <w:bookmarkEnd w:id="90"/>
    </w:p>
    <w:p w14:paraId="7ED66005">
      <w:pPr>
        <w:ind w:firstLine="480" w:firstLineChars="200"/>
        <w:rPr>
          <w:rFonts w:hint="eastAsia" w:ascii="宋体"/>
          <w:color w:val="000000"/>
          <w:kern w:val="0"/>
          <w:sz w:val="24"/>
          <w:szCs w:val="20"/>
        </w:rPr>
      </w:pPr>
      <w:r>
        <w:rPr>
          <w:rFonts w:hint="eastAsia" w:ascii="宋体"/>
          <w:color w:val="000000"/>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14:paraId="1AAB200B">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附件</w:t>
      </w:r>
    </w:p>
    <w:p w14:paraId="18A9B5AD">
      <w:pPr>
        <w:ind w:firstLine="480" w:firstLineChars="200"/>
        <w:rPr>
          <w:rFonts w:hint="eastAsia" w:ascii="宋体"/>
          <w:color w:val="000000"/>
          <w:sz w:val="24"/>
        </w:rPr>
      </w:pPr>
      <w:r>
        <w:rPr>
          <w:rFonts w:hint="eastAsia" w:ascii="宋体"/>
          <w:color w:val="000000"/>
          <w:kern w:val="0"/>
          <w:sz w:val="24"/>
          <w:szCs w:val="20"/>
        </w:rPr>
        <w:t>本合同的附件如下，</w:t>
      </w:r>
      <w:r>
        <w:rPr>
          <w:rFonts w:hint="eastAsia" w:ascii="宋体"/>
          <w:color w:val="000000"/>
          <w:sz w:val="24"/>
        </w:rPr>
        <w:t>附件与合同正本具有同等法律效力，主合同与附件如有冲突，以主合同为准。</w:t>
      </w:r>
    </w:p>
    <w:p w14:paraId="55ED2BCB">
      <w:pPr>
        <w:ind w:firstLine="480" w:firstLineChars="200"/>
        <w:rPr>
          <w:rFonts w:hint="eastAsia" w:ascii="宋体"/>
          <w:color w:val="000000"/>
          <w:kern w:val="0"/>
          <w:sz w:val="24"/>
          <w:szCs w:val="20"/>
        </w:rPr>
      </w:pPr>
      <w:r>
        <w:rPr>
          <w:rFonts w:hint="eastAsia" w:ascii="宋体"/>
          <w:color w:val="000000"/>
          <w:kern w:val="0"/>
          <w:sz w:val="24"/>
          <w:szCs w:val="20"/>
        </w:rPr>
        <w:t>附件一：硬件设备签收表</w:t>
      </w:r>
    </w:p>
    <w:p w14:paraId="71832F26">
      <w:pPr>
        <w:ind w:firstLine="480" w:firstLineChars="200"/>
        <w:rPr>
          <w:rFonts w:hint="eastAsia" w:ascii="宋体"/>
          <w:color w:val="000000"/>
          <w:kern w:val="0"/>
          <w:sz w:val="24"/>
          <w:szCs w:val="20"/>
        </w:rPr>
      </w:pPr>
      <w:r>
        <w:rPr>
          <w:rFonts w:hint="eastAsia" w:ascii="宋体"/>
          <w:color w:val="000000"/>
          <w:kern w:val="0"/>
          <w:sz w:val="24"/>
          <w:szCs w:val="20"/>
        </w:rPr>
        <w:t>附件二：最终验收表</w:t>
      </w:r>
    </w:p>
    <w:p w14:paraId="509A9BE3">
      <w:pPr>
        <w:ind w:firstLine="480" w:firstLineChars="200"/>
        <w:rPr>
          <w:rFonts w:hint="eastAsia" w:ascii="宋体"/>
          <w:color w:val="000000"/>
          <w:kern w:val="0"/>
          <w:sz w:val="24"/>
          <w:szCs w:val="20"/>
        </w:rPr>
      </w:pPr>
      <w:r>
        <w:rPr>
          <w:rFonts w:hint="eastAsia" w:ascii="宋体"/>
          <w:color w:val="000000"/>
          <w:kern w:val="0"/>
          <w:sz w:val="24"/>
          <w:szCs w:val="20"/>
        </w:rPr>
        <w:t>附件三：维护服务内容</w:t>
      </w:r>
    </w:p>
    <w:p w14:paraId="6241D8BE">
      <w:pPr>
        <w:ind w:firstLine="480" w:firstLineChars="200"/>
        <w:rPr>
          <w:rFonts w:hint="eastAsia" w:ascii="宋体"/>
          <w:color w:val="000000"/>
          <w:kern w:val="0"/>
          <w:sz w:val="24"/>
          <w:szCs w:val="20"/>
        </w:rPr>
      </w:pPr>
      <w:r>
        <w:rPr>
          <w:rFonts w:hint="eastAsia" w:ascii="宋体"/>
          <w:color w:val="000000"/>
          <w:kern w:val="0"/>
          <w:sz w:val="24"/>
          <w:szCs w:val="20"/>
        </w:rPr>
        <w:t>附件四：</w:t>
      </w:r>
      <w:r>
        <w:rPr>
          <w:rFonts w:hint="eastAsia"/>
          <w:color w:val="000000"/>
          <w:sz w:val="24"/>
          <w:szCs w:val="20"/>
        </w:rPr>
        <w:t>服务连续性预案</w:t>
      </w:r>
    </w:p>
    <w:p w14:paraId="4660CCD1">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其他事宜</w:t>
      </w:r>
    </w:p>
    <w:p w14:paraId="55E1BF65">
      <w:pPr>
        <w:tabs>
          <w:tab w:val="left" w:pos="851"/>
        </w:tabs>
        <w:ind w:firstLine="480" w:firstLineChars="200"/>
        <w:rPr>
          <w:rFonts w:hint="eastAsia" w:ascii="宋体"/>
          <w:color w:val="000000"/>
          <w:sz w:val="24"/>
        </w:rPr>
      </w:pPr>
      <w:r>
        <w:rPr>
          <w:rFonts w:hint="eastAsia" w:ascii="宋体"/>
          <w:color w:val="000000"/>
          <w:sz w:val="24"/>
        </w:rPr>
        <w:t>16.1本合同在甲乙双方加盖公章或合同章后生效。</w:t>
      </w:r>
    </w:p>
    <w:p w14:paraId="20904B7E">
      <w:pPr>
        <w:tabs>
          <w:tab w:val="left" w:pos="851"/>
        </w:tabs>
        <w:ind w:firstLine="480" w:firstLineChars="200"/>
        <w:rPr>
          <w:rFonts w:hint="eastAsia" w:ascii="宋体"/>
          <w:color w:val="000000"/>
          <w:sz w:val="24"/>
        </w:rPr>
      </w:pPr>
      <w:r>
        <w:rPr>
          <w:rFonts w:hint="eastAsia" w:ascii="宋体"/>
          <w:color w:val="000000"/>
          <w:sz w:val="24"/>
        </w:rPr>
        <w:t>16.2本合同双方在未取得对方事先书面同意的前提下，均不得将各自本合同项下的任何权利或义务转让给第三方。</w:t>
      </w:r>
    </w:p>
    <w:p w14:paraId="2AF07206">
      <w:pPr>
        <w:tabs>
          <w:tab w:val="left" w:pos="851"/>
        </w:tabs>
        <w:ind w:firstLine="480" w:firstLineChars="200"/>
        <w:rPr>
          <w:rFonts w:hint="eastAsia" w:ascii="宋体"/>
          <w:color w:val="000000"/>
          <w:sz w:val="24"/>
        </w:rPr>
      </w:pPr>
      <w:r>
        <w:rPr>
          <w:rFonts w:hint="eastAsia" w:ascii="宋体"/>
          <w:color w:val="000000"/>
          <w:sz w:val="24"/>
        </w:rPr>
        <w:t>16.3本合同之未尽事宜双方协商解决，对本合同及其附件的内容进行变更，必须经双方协商一致并签订补充协议。</w:t>
      </w:r>
    </w:p>
    <w:p w14:paraId="1E848FEF">
      <w:pPr>
        <w:tabs>
          <w:tab w:val="left" w:pos="851"/>
        </w:tabs>
        <w:ind w:firstLine="480" w:firstLineChars="200"/>
        <w:rPr>
          <w:rFonts w:hint="eastAsia" w:ascii="宋体"/>
          <w:color w:val="000000"/>
          <w:sz w:val="24"/>
        </w:rPr>
      </w:pPr>
      <w:r>
        <w:rPr>
          <w:rFonts w:hint="eastAsia" w:ascii="宋体"/>
          <w:color w:val="000000"/>
          <w:sz w:val="24"/>
        </w:rPr>
        <w:t>16.4本合同一式  肆  份，甲、乙双方各  贰  份，具有同等法律效力。</w:t>
      </w:r>
    </w:p>
    <w:p w14:paraId="1FD9DC81">
      <w:pPr>
        <w:tabs>
          <w:tab w:val="left" w:pos="851"/>
        </w:tabs>
        <w:ind w:firstLine="480" w:firstLineChars="200"/>
        <w:rPr>
          <w:rFonts w:hint="eastAsia" w:ascii="宋体"/>
          <w:color w:val="000000"/>
          <w:sz w:val="24"/>
        </w:rPr>
      </w:pPr>
      <w:r>
        <w:rPr>
          <w:rFonts w:hint="eastAsia" w:ascii="宋体"/>
          <w:color w:val="000000"/>
          <w:sz w:val="24"/>
        </w:rPr>
        <w:t>16.5本合同传真件和复印件无效。</w:t>
      </w:r>
    </w:p>
    <w:p w14:paraId="02BB4D58">
      <w:pPr>
        <w:tabs>
          <w:tab w:val="left" w:pos="851"/>
        </w:tabs>
        <w:ind w:firstLine="480" w:firstLineChars="200"/>
        <w:rPr>
          <w:rFonts w:hint="eastAsia" w:ascii="宋体"/>
          <w:color w:val="000000"/>
          <w:sz w:val="24"/>
        </w:rPr>
      </w:pPr>
      <w:r>
        <w:rPr>
          <w:rFonts w:hint="eastAsia" w:ascii="宋体"/>
          <w:color w:val="000000"/>
          <w:sz w:val="24"/>
        </w:rPr>
        <w:t>16.6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03B7FBA1">
      <w:pPr>
        <w:rPr>
          <w:rFonts w:hint="eastAsia" w:ascii="宋体"/>
          <w:b/>
          <w:color w:val="000000"/>
          <w:sz w:val="24"/>
        </w:rPr>
      </w:pPr>
      <w:r>
        <w:rPr>
          <w:rFonts w:hint="eastAsia" w:ascii="宋体"/>
          <w:b/>
          <w:color w:val="000000"/>
          <w:sz w:val="24"/>
        </w:rPr>
        <w:t>（以下无正文）</w:t>
      </w:r>
    </w:p>
    <w:p w14:paraId="319654C1">
      <w:pPr>
        <w:rPr>
          <w:rFonts w:hint="eastAsia" w:ascii="宋体"/>
          <w:b/>
          <w:color w:val="000000"/>
          <w:sz w:val="24"/>
        </w:rPr>
      </w:pPr>
    </w:p>
    <w:p w14:paraId="0C454E88">
      <w:pPr>
        <w:ind w:left="4920" w:hanging="4939" w:hangingChars="2050"/>
        <w:rPr>
          <w:rFonts w:hint="eastAsia" w:ascii="宋体"/>
          <w:b/>
          <w:color w:val="000000"/>
          <w:sz w:val="24"/>
        </w:rPr>
      </w:pPr>
    </w:p>
    <w:p w14:paraId="066BA37F">
      <w:pPr>
        <w:ind w:left="4920" w:hanging="4939" w:hangingChars="2050"/>
        <w:rPr>
          <w:rFonts w:hint="eastAsia" w:ascii="宋体"/>
          <w:b/>
          <w:color w:val="000000"/>
          <w:sz w:val="24"/>
        </w:rPr>
      </w:pPr>
    </w:p>
    <w:p w14:paraId="61A3F1C9">
      <w:pPr>
        <w:ind w:left="4920" w:hanging="4939" w:hangingChars="2050"/>
        <w:rPr>
          <w:rFonts w:hint="eastAsia" w:ascii="宋体"/>
          <w:b/>
          <w:color w:val="000000"/>
          <w:sz w:val="24"/>
        </w:rPr>
      </w:pPr>
    </w:p>
    <w:p w14:paraId="338BD866">
      <w:pPr>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400CD8BB">
      <w:pPr>
        <w:rPr>
          <w:rFonts w:hint="eastAsia" w:ascii="宋体"/>
          <w:b/>
          <w:color w:val="000000"/>
          <w:sz w:val="24"/>
        </w:rPr>
      </w:pPr>
    </w:p>
    <w:p w14:paraId="648F7FFC">
      <w:pPr>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1DA5C6F7">
      <w:pPr>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24FCA810">
      <w:pPr>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7EC6F483">
      <w:pPr>
        <w:rPr>
          <w:rFonts w:hint="eastAsia" w:ascii="宋体"/>
          <w:b/>
          <w:color w:val="000000"/>
          <w:sz w:val="24"/>
        </w:rPr>
      </w:pPr>
    </w:p>
    <w:p w14:paraId="78DBE270">
      <w:pPr>
        <w:rPr>
          <w:rFonts w:hint="eastAsia" w:ascii="宋体"/>
          <w:b/>
          <w:color w:val="000000"/>
          <w:sz w:val="24"/>
        </w:rPr>
      </w:pPr>
    </w:p>
    <w:p w14:paraId="4E54B0FE">
      <w:pPr>
        <w:rPr>
          <w:rFonts w:hint="eastAsia" w:ascii="宋体"/>
          <w:b/>
          <w:color w:val="000000"/>
          <w:sz w:val="24"/>
        </w:rPr>
      </w:pPr>
    </w:p>
    <w:p w14:paraId="782D9A84">
      <w:pPr>
        <w:rPr>
          <w:rFonts w:hint="eastAsia" w:ascii="宋体"/>
          <w:b/>
          <w:color w:val="000000"/>
          <w:sz w:val="24"/>
        </w:rPr>
      </w:pPr>
    </w:p>
    <w:p w14:paraId="7CB5EDF1">
      <w:pPr>
        <w:rPr>
          <w:rFonts w:hint="eastAsia" w:ascii="宋体"/>
          <w:b/>
          <w:color w:val="000000"/>
          <w:sz w:val="24"/>
        </w:rPr>
      </w:pPr>
    </w:p>
    <w:p w14:paraId="0972B843">
      <w:pPr>
        <w:rPr>
          <w:rFonts w:hint="eastAsia" w:ascii="宋体"/>
          <w:b/>
          <w:color w:val="000000"/>
          <w:sz w:val="24"/>
        </w:rPr>
      </w:pPr>
    </w:p>
    <w:p w14:paraId="13B1C177">
      <w:pPr>
        <w:rPr>
          <w:rFonts w:hint="eastAsia" w:ascii="宋体"/>
          <w:b/>
          <w:color w:val="000000"/>
          <w:sz w:val="24"/>
        </w:rPr>
      </w:pPr>
    </w:p>
    <w:p w14:paraId="685115E6">
      <w:pPr>
        <w:rPr>
          <w:rFonts w:hint="eastAsia"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0F65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36C07139">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226F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EC6235F">
            <w:pPr>
              <w:pStyle w:val="40"/>
              <w:bidi w:val="0"/>
              <w:rPr>
                <w:rFonts w:hint="eastAsia"/>
              </w:rPr>
            </w:pPr>
            <w:r>
              <w:rPr>
                <w:rFonts w:hint="eastAsia"/>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4A38A0D">
            <w:pPr>
              <w:pStyle w:val="40"/>
              <w:bidi w:val="0"/>
              <w:rPr>
                <w:rFonts w:hint="eastAsia"/>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AD2762">
            <w:pPr>
              <w:pStyle w:val="40"/>
              <w:bidi w:val="0"/>
              <w:rPr>
                <w:rFonts w:hint="eastAsia"/>
              </w:rPr>
            </w:pPr>
            <w:r>
              <w:rPr>
                <w:rFonts w:hint="eastAsia"/>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429CB4">
            <w:pPr>
              <w:pStyle w:val="40"/>
              <w:bidi w:val="0"/>
              <w:rPr>
                <w:rFonts w:hint="eastAsia"/>
              </w:rPr>
            </w:pPr>
          </w:p>
        </w:tc>
      </w:tr>
      <w:tr w14:paraId="27B0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93C834">
            <w:pPr>
              <w:pStyle w:val="40"/>
              <w:bidi w:val="0"/>
              <w:rPr>
                <w:rFonts w:hint="eastAsia"/>
              </w:rPr>
            </w:pPr>
            <w:r>
              <w:rPr>
                <w:rFonts w:hint="eastAsia"/>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A35642">
            <w:pPr>
              <w:pStyle w:val="40"/>
              <w:bidi w:val="0"/>
              <w:rPr>
                <w:rFonts w:hint="eastAsia"/>
              </w:rPr>
            </w:pPr>
            <w:r>
              <w:rPr>
                <w:rFonts w:hint="eastAsia"/>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5ABC2904">
            <w:pPr>
              <w:pStyle w:val="40"/>
              <w:bidi w:val="0"/>
              <w:rPr>
                <w:rFonts w:hint="eastAsia"/>
              </w:rPr>
            </w:pPr>
            <w:r>
              <w:rPr>
                <w:rFonts w:hint="eastAsia"/>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F8C22D0">
            <w:pPr>
              <w:pStyle w:val="40"/>
              <w:bidi w:val="0"/>
              <w:rPr>
                <w:rFonts w:hint="eastAsia"/>
              </w:rPr>
            </w:pPr>
            <w:r>
              <w:rPr>
                <w:rFonts w:hint="eastAsia"/>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4D0222">
            <w:pPr>
              <w:pStyle w:val="40"/>
              <w:bidi w:val="0"/>
              <w:rPr>
                <w:rFonts w:hint="eastAsia"/>
              </w:rPr>
            </w:pPr>
            <w:r>
              <w:rPr>
                <w:rFonts w:hint="eastAsia"/>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6BEAAF5">
            <w:pPr>
              <w:pStyle w:val="40"/>
              <w:bidi w:val="0"/>
              <w:rPr>
                <w:rFonts w:hint="eastAsia"/>
              </w:rPr>
            </w:pPr>
            <w:r>
              <w:rPr>
                <w:rFonts w:hint="eastAsia"/>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EACAE1E">
            <w:pPr>
              <w:pStyle w:val="40"/>
              <w:bidi w:val="0"/>
              <w:rPr>
                <w:rFonts w:hint="eastAsia"/>
              </w:rPr>
            </w:pPr>
            <w:r>
              <w:rPr>
                <w:rFonts w:hint="eastAsia"/>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C535D3">
            <w:pPr>
              <w:pStyle w:val="40"/>
              <w:bidi w:val="0"/>
              <w:rPr>
                <w:rFonts w:hint="eastAsia"/>
              </w:rPr>
            </w:pPr>
            <w:r>
              <w:rPr>
                <w:rFonts w:hint="eastAsia"/>
              </w:rPr>
              <w:t>检验结果</w:t>
            </w:r>
          </w:p>
        </w:tc>
      </w:tr>
      <w:tr w14:paraId="097C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96D8BA">
            <w:pPr>
              <w:pStyle w:val="40"/>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4CCC2C">
            <w:pPr>
              <w:pStyle w:val="40"/>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3BEC1E7">
            <w:pPr>
              <w:pStyle w:val="40"/>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581B0B5">
            <w:pPr>
              <w:pStyle w:val="40"/>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7DB52C">
            <w:pPr>
              <w:pStyle w:val="40"/>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86547B7">
            <w:pPr>
              <w:pStyle w:val="40"/>
              <w:bidi w:val="0"/>
              <w:rPr>
                <w:rFonts w:hint="eastAsia"/>
              </w:rPr>
            </w:pPr>
            <w: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F778090">
            <w:pPr>
              <w:pStyle w:val="40"/>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CA9C54">
            <w:pPr>
              <w:pStyle w:val="40"/>
              <w:bidi w:val="0"/>
              <w:rPr>
                <w:rFonts w:hint="eastAsia"/>
              </w:rPr>
            </w:pPr>
          </w:p>
        </w:tc>
      </w:tr>
      <w:tr w14:paraId="168F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922A67">
            <w:pPr>
              <w:pStyle w:val="40"/>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71A607F">
            <w:pPr>
              <w:pStyle w:val="40"/>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AF5D5F3">
            <w:pPr>
              <w:pStyle w:val="40"/>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9C9A8A3">
            <w:pPr>
              <w:pStyle w:val="40"/>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AE2D998">
            <w:pPr>
              <w:pStyle w:val="40"/>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762E344">
            <w:pPr>
              <w:pStyle w:val="40"/>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7A2C5F02">
            <w:pPr>
              <w:pStyle w:val="40"/>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AC53551">
            <w:pPr>
              <w:pStyle w:val="40"/>
              <w:bidi w:val="0"/>
              <w:rPr>
                <w:rFonts w:hint="eastAsia"/>
              </w:rPr>
            </w:pPr>
          </w:p>
        </w:tc>
      </w:tr>
      <w:tr w14:paraId="1D45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3EA74D">
            <w:pPr>
              <w:pStyle w:val="40"/>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CF1C69">
            <w:pPr>
              <w:pStyle w:val="40"/>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59EC94F">
            <w:pPr>
              <w:pStyle w:val="40"/>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65E303F">
            <w:pPr>
              <w:pStyle w:val="40"/>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8F9C8E">
            <w:pPr>
              <w:pStyle w:val="40"/>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6EDAF23">
            <w:pPr>
              <w:pStyle w:val="40"/>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7E5DE4E">
            <w:pPr>
              <w:pStyle w:val="40"/>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2669E6">
            <w:pPr>
              <w:pStyle w:val="40"/>
              <w:bidi w:val="0"/>
              <w:rPr>
                <w:rFonts w:hint="eastAsia"/>
              </w:rPr>
            </w:pPr>
          </w:p>
        </w:tc>
      </w:tr>
      <w:tr w14:paraId="009B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4CDF326E">
            <w:pPr>
              <w:widowControl/>
              <w:spacing w:before="156" w:beforeLines="50"/>
              <w:jc w:val="left"/>
              <w:rPr>
                <w:rFonts w:hint="eastAsia" w:ascii="宋体"/>
                <w:sz w:val="24"/>
              </w:rPr>
            </w:pPr>
            <w:r>
              <w:rPr>
                <w:rFonts w:hint="eastAsia" w:ascii="宋体"/>
                <w:sz w:val="24"/>
              </w:rPr>
              <w:t>签收说明：我单位已收到货物，型号无误、数量齐全、加电测试通过，可进行签收。</w:t>
            </w:r>
          </w:p>
        </w:tc>
      </w:tr>
      <w:tr w14:paraId="0A7F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684E2F30">
            <w:pPr>
              <w:spacing w:line="400" w:lineRule="exact"/>
              <w:rPr>
                <w:rFonts w:hint="eastAsia" w:ascii="宋体"/>
                <w:sz w:val="24"/>
              </w:rPr>
            </w:pPr>
            <w:r>
              <w:rPr>
                <w:rFonts w:hint="eastAsia" w:ascii="宋体"/>
                <w:sz w:val="24"/>
              </w:rPr>
              <w:t>签收人：</w:t>
            </w:r>
          </w:p>
          <w:p w14:paraId="6ECEC22B">
            <w:pPr>
              <w:spacing w:line="400" w:lineRule="exact"/>
              <w:rPr>
                <w:rFonts w:hint="eastAsia" w:ascii="宋体"/>
                <w:sz w:val="24"/>
              </w:rPr>
            </w:pPr>
          </w:p>
          <w:p w14:paraId="06E78252">
            <w:pPr>
              <w:spacing w:line="400" w:lineRule="exact"/>
              <w:rPr>
                <w:rFonts w:hint="eastAsia" w:ascii="宋体"/>
                <w:sz w:val="24"/>
              </w:rPr>
            </w:pPr>
          </w:p>
          <w:p w14:paraId="656F44DB">
            <w:pPr>
              <w:spacing w:line="400" w:lineRule="exact"/>
              <w:rPr>
                <w:rFonts w:hint="eastAsia" w:ascii="宋体"/>
                <w:sz w:val="24"/>
              </w:rPr>
            </w:pPr>
          </w:p>
          <w:p w14:paraId="10AE9CEC">
            <w:pPr>
              <w:spacing w:line="400" w:lineRule="exact"/>
              <w:ind w:right="600" w:firstLine="2280" w:firstLineChars="950"/>
              <w:rPr>
                <w:rFonts w:hint="eastAsia"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73C224DB">
            <w:pPr>
              <w:widowControl/>
              <w:spacing w:before="156" w:beforeLines="50"/>
              <w:jc w:val="left"/>
              <w:rPr>
                <w:rFonts w:hint="eastAsia" w:ascii="宋体"/>
                <w:sz w:val="24"/>
              </w:rPr>
            </w:pPr>
            <w:r>
              <w:rPr>
                <w:rFonts w:hint="eastAsia" w:ascii="宋体"/>
                <w:sz w:val="24"/>
              </w:rPr>
              <w:t>复核人：</w:t>
            </w:r>
          </w:p>
          <w:p w14:paraId="3BE28FA3">
            <w:pPr>
              <w:widowControl/>
              <w:jc w:val="left"/>
              <w:rPr>
                <w:rFonts w:hint="eastAsia" w:ascii="宋体"/>
                <w:sz w:val="24"/>
              </w:rPr>
            </w:pPr>
          </w:p>
          <w:p w14:paraId="67D49340">
            <w:pPr>
              <w:widowControl/>
              <w:jc w:val="left"/>
              <w:rPr>
                <w:rFonts w:hint="eastAsia" w:ascii="宋体"/>
                <w:sz w:val="24"/>
              </w:rPr>
            </w:pPr>
          </w:p>
          <w:p w14:paraId="5F1B9374">
            <w:pPr>
              <w:widowControl/>
              <w:jc w:val="left"/>
              <w:rPr>
                <w:rFonts w:hint="eastAsia" w:ascii="宋体"/>
                <w:sz w:val="24"/>
              </w:rPr>
            </w:pPr>
          </w:p>
          <w:p w14:paraId="7DBA779B">
            <w:pPr>
              <w:spacing w:line="400" w:lineRule="exact"/>
              <w:ind w:right="600"/>
              <w:rPr>
                <w:rFonts w:hint="eastAsia" w:ascii="宋体"/>
                <w:sz w:val="24"/>
              </w:rPr>
            </w:pPr>
            <w:r>
              <w:rPr>
                <w:rFonts w:hint="eastAsia" w:ascii="宋体"/>
                <w:sz w:val="24"/>
              </w:rPr>
              <w:t xml:space="preserve">                      年  月  日</w:t>
            </w:r>
          </w:p>
        </w:tc>
      </w:tr>
    </w:tbl>
    <w:p w14:paraId="1F9B87A0">
      <w:pPr>
        <w:tabs>
          <w:tab w:val="left" w:pos="2505"/>
        </w:tabs>
        <w:rPr>
          <w:rFonts w:hint="eastAsia" w:ascii="宋体"/>
          <w:sz w:val="24"/>
        </w:rPr>
      </w:pPr>
    </w:p>
    <w:p w14:paraId="20709F05">
      <w:pPr>
        <w:rPr>
          <w:rFonts w:hint="eastAsia" w:ascii="宋体"/>
          <w:sz w:val="24"/>
        </w:rPr>
      </w:pPr>
      <w:r>
        <w:rPr>
          <w:rFonts w:hint="eastAsia" w:ascii="宋体"/>
          <w:sz w:val="24"/>
        </w:rPr>
        <w:br w:type="page"/>
      </w:r>
      <w:r>
        <w:rPr>
          <w:rFonts w:hint="eastAsia" w:ascii="宋体"/>
          <w:b/>
          <w:color w:val="000000"/>
          <w:sz w:val="24"/>
        </w:rPr>
        <w:t>附件2  最终验收表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603B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56DA47D1">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66D2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759AB9">
            <w:pPr>
              <w:pStyle w:val="41"/>
              <w:rPr>
                <w:rFonts w:hint="eastAsia"/>
              </w:rPr>
            </w:pPr>
            <w:r>
              <w:rPr>
                <w:rFonts w:hint="eastAsia"/>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C44817A">
            <w:pPr>
              <w:jc w:val="center"/>
              <w:rPr>
                <w:rFonts w:hint="eastAsia"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3B9E1C0">
            <w:pPr>
              <w:pStyle w:val="41"/>
              <w:rPr>
                <w:rFonts w:hint="eastAsia"/>
              </w:rPr>
            </w:pPr>
            <w:r>
              <w:rPr>
                <w:rFonts w:hint="eastAsia"/>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B9B1AE5">
            <w:pPr>
              <w:jc w:val="center"/>
              <w:rPr>
                <w:rFonts w:hint="eastAsia" w:ascii="宋体"/>
                <w:sz w:val="24"/>
              </w:rPr>
            </w:pPr>
          </w:p>
        </w:tc>
      </w:tr>
      <w:tr w14:paraId="4936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FC42B56">
            <w:pPr>
              <w:pStyle w:val="41"/>
              <w:rPr>
                <w:rFonts w:hint="eastAsia"/>
              </w:rPr>
            </w:pPr>
            <w:r>
              <w:rPr>
                <w:rFonts w:hint="eastAsia"/>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55617C">
            <w:pPr>
              <w:jc w:val="center"/>
              <w:rPr>
                <w:rFonts w:hint="eastAsia"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452B2B">
            <w:pPr>
              <w:pStyle w:val="41"/>
              <w:rPr>
                <w:rFonts w:hint="eastAsia"/>
              </w:rPr>
            </w:pPr>
            <w:r>
              <w:rPr>
                <w:rFonts w:hint="eastAsia"/>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CD91356">
            <w:pPr>
              <w:jc w:val="center"/>
              <w:rPr>
                <w:rFonts w:hint="eastAsia" w:ascii="宋体"/>
                <w:sz w:val="24"/>
              </w:rPr>
            </w:pPr>
          </w:p>
        </w:tc>
      </w:tr>
      <w:tr w14:paraId="52A0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3214E6F">
            <w:pPr>
              <w:pStyle w:val="41"/>
              <w:rPr>
                <w:rFonts w:hint="eastAsia"/>
              </w:rPr>
            </w:pPr>
            <w:r>
              <w:rPr>
                <w:rFonts w:hint="eastAsia"/>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A3943F3">
            <w:pPr>
              <w:pStyle w:val="41"/>
              <w:rPr>
                <w:rFonts w:hint="eastAsia"/>
              </w:rPr>
            </w:pPr>
            <w:r>
              <w:rPr>
                <w:rFonts w:hint="eastAsia"/>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49F89A8">
            <w:pPr>
              <w:pStyle w:val="41"/>
              <w:rPr>
                <w:rFonts w:hint="eastAsia"/>
              </w:rPr>
            </w:pPr>
            <w:r>
              <w:rPr>
                <w:rFonts w:hint="eastAsia"/>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A18F364">
            <w:pPr>
              <w:pStyle w:val="41"/>
              <w:rPr>
                <w:rFonts w:hint="eastAsia"/>
              </w:rPr>
            </w:pPr>
            <w:r>
              <w:rPr>
                <w:rFonts w:hint="eastAsia"/>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56DA8C">
            <w:pPr>
              <w:pStyle w:val="41"/>
              <w:rPr>
                <w:rFonts w:hint="eastAsia"/>
              </w:rPr>
            </w:pPr>
            <w:r>
              <w:rPr>
                <w:rFonts w:hint="eastAsia"/>
              </w:rPr>
              <w:t>生产厂商服务</w:t>
            </w:r>
          </w:p>
          <w:p w14:paraId="231BF9BB">
            <w:pPr>
              <w:pStyle w:val="41"/>
              <w:rPr>
                <w:rFonts w:hint="eastAsia"/>
              </w:rPr>
            </w:pPr>
            <w:r>
              <w:rPr>
                <w:rFonts w:hint="eastAsia"/>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3A9194">
            <w:pPr>
              <w:pStyle w:val="41"/>
              <w:rPr>
                <w:rFonts w:hint="eastAsia"/>
              </w:rPr>
            </w:pPr>
            <w:r>
              <w:rPr>
                <w:rFonts w:hint="eastAsia"/>
              </w:rPr>
              <w:t>运行情况</w:t>
            </w:r>
          </w:p>
        </w:tc>
      </w:tr>
      <w:tr w14:paraId="752C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C3E6541">
            <w:pPr>
              <w:pStyle w:val="41"/>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A13BFAF">
            <w:pP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4DD79C">
            <w:pP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8953914">
            <w:pPr>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6CA710">
            <w:pPr>
              <w:rPr>
                <w:rFonts w:hint="eastAsia"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13044F">
            <w:pPr>
              <w:rPr>
                <w:rFonts w:hint="eastAsia" w:ascii="宋体"/>
                <w:sz w:val="24"/>
              </w:rPr>
            </w:pPr>
          </w:p>
        </w:tc>
      </w:tr>
      <w:tr w14:paraId="1E0A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E944DB2">
            <w:pPr>
              <w:pStyle w:val="41"/>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6FAD4B2">
            <w:pP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348082C">
            <w:pP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4CCCAC51">
            <w:pPr>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4B5748">
            <w:pPr>
              <w:rPr>
                <w:rFonts w:hint="eastAsia"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A8A137">
            <w:pPr>
              <w:rPr>
                <w:rFonts w:hint="eastAsia" w:ascii="宋体"/>
                <w:sz w:val="24"/>
              </w:rPr>
            </w:pPr>
          </w:p>
        </w:tc>
      </w:tr>
      <w:tr w14:paraId="4A88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B5CBDA8">
            <w:pPr>
              <w:pStyle w:val="41"/>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72DEE9D">
            <w:pP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37A3210">
            <w:pP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39931CE">
            <w:pPr>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86D8A3">
            <w:pPr>
              <w:rPr>
                <w:rFonts w:hint="eastAsia"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7C4C20">
            <w:pPr>
              <w:rPr>
                <w:rFonts w:hint="eastAsia" w:ascii="宋体"/>
                <w:sz w:val="24"/>
              </w:rPr>
            </w:pPr>
          </w:p>
        </w:tc>
      </w:tr>
      <w:tr w14:paraId="1558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FBADF8">
            <w:pPr>
              <w:pStyle w:val="41"/>
              <w:rPr>
                <w:rFonts w:hint="eastAsia"/>
              </w:rPr>
            </w:pPr>
            <w:r>
              <w:rPr>
                <w:rFonts w:hint="eastAsia"/>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51007DC0">
            <w:pPr>
              <w:rPr>
                <w:rFonts w:hint="eastAsia" w:ascii="宋体"/>
                <w:sz w:val="24"/>
              </w:rPr>
            </w:pPr>
            <w:r>
              <w:rPr>
                <w:rFonts w:hint="eastAsia" w:ascii="宋体"/>
                <w:sz w:val="24"/>
              </w:rPr>
              <w:t>（可另附验收情况报告）</w:t>
            </w:r>
          </w:p>
        </w:tc>
      </w:tr>
      <w:tr w14:paraId="52A8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14852E56">
            <w:pPr>
              <w:spacing w:line="400" w:lineRule="exact"/>
              <w:rPr>
                <w:rFonts w:hint="eastAsia" w:ascii="宋体"/>
                <w:sz w:val="24"/>
              </w:rPr>
            </w:pPr>
            <w:r>
              <w:rPr>
                <w:rFonts w:hint="eastAsia" w:ascii="宋体"/>
                <w:sz w:val="24"/>
              </w:rPr>
              <w:t>参验人员：</w:t>
            </w:r>
          </w:p>
          <w:p w14:paraId="54F566DF">
            <w:pPr>
              <w:spacing w:line="400" w:lineRule="exact"/>
              <w:rPr>
                <w:rFonts w:hint="eastAsia" w:ascii="宋体"/>
                <w:sz w:val="24"/>
              </w:rPr>
            </w:pPr>
          </w:p>
          <w:p w14:paraId="55165CC3">
            <w:pPr>
              <w:spacing w:line="400" w:lineRule="exact"/>
              <w:rPr>
                <w:rFonts w:hint="eastAsia" w:ascii="宋体"/>
                <w:sz w:val="24"/>
              </w:rPr>
            </w:pPr>
          </w:p>
          <w:p w14:paraId="3DB4A7BA">
            <w:pPr>
              <w:spacing w:line="400" w:lineRule="exact"/>
              <w:rPr>
                <w:rFonts w:hint="eastAsia" w:ascii="宋体"/>
                <w:sz w:val="24"/>
              </w:rPr>
            </w:pPr>
          </w:p>
          <w:p w14:paraId="22709F31">
            <w:pPr>
              <w:spacing w:line="400" w:lineRule="exact"/>
              <w:ind w:right="600" w:firstLine="2520" w:firstLineChars="1050"/>
              <w:rPr>
                <w:rFonts w:hint="eastAsia"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7ED2515C">
            <w:pPr>
              <w:widowControl/>
              <w:spacing w:before="156" w:beforeLines="50"/>
              <w:jc w:val="left"/>
              <w:rPr>
                <w:rFonts w:hint="eastAsia" w:ascii="宋体"/>
                <w:sz w:val="24"/>
              </w:rPr>
            </w:pPr>
            <w:r>
              <w:rPr>
                <w:rFonts w:hint="eastAsia" w:ascii="宋体"/>
                <w:sz w:val="24"/>
              </w:rPr>
              <w:t>部门负责人：</w:t>
            </w:r>
          </w:p>
          <w:p w14:paraId="1AEAB03E">
            <w:pPr>
              <w:widowControl/>
              <w:jc w:val="left"/>
              <w:rPr>
                <w:rFonts w:hint="eastAsia" w:ascii="宋体"/>
                <w:sz w:val="24"/>
              </w:rPr>
            </w:pPr>
          </w:p>
          <w:p w14:paraId="7D2FDBF3">
            <w:pPr>
              <w:widowControl/>
              <w:jc w:val="left"/>
              <w:rPr>
                <w:rFonts w:hint="eastAsia" w:ascii="宋体"/>
                <w:sz w:val="24"/>
              </w:rPr>
            </w:pPr>
          </w:p>
          <w:p w14:paraId="0F02B00D">
            <w:pPr>
              <w:widowControl/>
              <w:jc w:val="left"/>
              <w:rPr>
                <w:rFonts w:hint="eastAsia" w:ascii="宋体"/>
                <w:sz w:val="24"/>
              </w:rPr>
            </w:pPr>
          </w:p>
          <w:p w14:paraId="053CE16B">
            <w:pPr>
              <w:spacing w:line="400" w:lineRule="exact"/>
              <w:ind w:right="600"/>
              <w:rPr>
                <w:rFonts w:hint="eastAsia" w:ascii="宋体"/>
                <w:sz w:val="24"/>
              </w:rPr>
            </w:pPr>
            <w:r>
              <w:rPr>
                <w:rFonts w:hint="eastAsia" w:ascii="宋体"/>
                <w:sz w:val="24"/>
              </w:rPr>
              <w:t xml:space="preserve">                      年  月  日</w:t>
            </w:r>
          </w:p>
        </w:tc>
      </w:tr>
    </w:tbl>
    <w:p w14:paraId="21AFAC3A">
      <w:pPr>
        <w:rPr>
          <w:rFonts w:hint="eastAsia" w:ascii="宋体"/>
          <w:b/>
          <w:color w:val="000000"/>
          <w:sz w:val="24"/>
        </w:rPr>
      </w:pPr>
      <w:r>
        <w:rPr>
          <w:rFonts w:hint="eastAsia" w:ascii="宋体"/>
          <w:b/>
          <w:color w:val="000000"/>
          <w:sz w:val="24"/>
        </w:rPr>
        <w:t xml:space="preserve"> </w:t>
      </w:r>
    </w:p>
    <w:p w14:paraId="38999B1B">
      <w:pPr>
        <w:rPr>
          <w:rFonts w:hint="eastAsia" w:ascii="宋体"/>
          <w:b/>
          <w:color w:val="000000"/>
          <w:sz w:val="24"/>
        </w:rPr>
      </w:pPr>
      <w:r>
        <w:rPr>
          <w:rFonts w:hint="eastAsia" w:ascii="宋体"/>
          <w:b/>
          <w:color w:val="000000"/>
          <w:sz w:val="24"/>
        </w:rPr>
        <w:br w:type="page"/>
      </w:r>
      <w:r>
        <w:rPr>
          <w:rFonts w:hint="eastAsia" w:ascii="宋体"/>
          <w:b/>
          <w:color w:val="000000"/>
          <w:sz w:val="24"/>
        </w:rPr>
        <w:t>附件3：</w:t>
      </w:r>
    </w:p>
    <w:p w14:paraId="4034C330">
      <w:pPr>
        <w:jc w:val="center"/>
        <w:rPr>
          <w:rFonts w:hint="eastAsia" w:ascii="宋体"/>
          <w:b/>
          <w:color w:val="000000"/>
          <w:sz w:val="24"/>
        </w:rPr>
      </w:pPr>
      <w:r>
        <w:rPr>
          <w:rFonts w:hint="eastAsia" w:ascii="宋体"/>
          <w:b/>
          <w:color w:val="000000"/>
          <w:sz w:val="24"/>
        </w:rPr>
        <w:t>维护服务内容</w:t>
      </w:r>
    </w:p>
    <w:p w14:paraId="6999DBAA">
      <w:pPr>
        <w:jc w:val="center"/>
        <w:rPr>
          <w:rFonts w:hint="eastAsia" w:ascii="宋体"/>
          <w:b/>
          <w:color w:val="FF0000"/>
          <w:sz w:val="24"/>
        </w:rPr>
      </w:pPr>
      <w:r>
        <w:rPr>
          <w:rFonts w:hint="eastAsia" w:ascii="宋体"/>
          <w:b/>
          <w:color w:val="FF0000"/>
          <w:sz w:val="24"/>
        </w:rPr>
        <w:t>（与供应商确认维护服务内容，以及响应要求）</w:t>
      </w:r>
    </w:p>
    <w:p w14:paraId="3A2DB5D8">
      <w:pPr>
        <w:jc w:val="center"/>
        <w:rPr>
          <w:rFonts w:hint="eastAsia" w:ascii="宋体"/>
          <w:b/>
          <w:color w:val="FF0000"/>
          <w:sz w:val="24"/>
        </w:rPr>
      </w:pPr>
    </w:p>
    <w:p w14:paraId="2448E3C5">
      <w:pPr>
        <w:jc w:val="center"/>
        <w:rPr>
          <w:rFonts w:hint="eastAsia" w:ascii="宋体"/>
          <w:b/>
          <w:color w:val="FF0000"/>
          <w:sz w:val="24"/>
        </w:rPr>
      </w:pPr>
    </w:p>
    <w:p w14:paraId="34D3FD7B">
      <w:pPr>
        <w:jc w:val="center"/>
        <w:rPr>
          <w:rFonts w:hint="eastAsia" w:ascii="宋体"/>
          <w:b/>
          <w:color w:val="FF0000"/>
          <w:sz w:val="24"/>
        </w:rPr>
      </w:pPr>
    </w:p>
    <w:p w14:paraId="21D71708">
      <w:pPr>
        <w:jc w:val="center"/>
        <w:rPr>
          <w:rFonts w:hint="eastAsia" w:ascii="宋体"/>
          <w:b/>
          <w:color w:val="FF0000"/>
          <w:sz w:val="24"/>
        </w:rPr>
      </w:pPr>
    </w:p>
    <w:p w14:paraId="628761B3">
      <w:pPr>
        <w:rPr>
          <w:rFonts w:hint="eastAsia" w:ascii="宋体"/>
          <w:b/>
          <w:color w:val="000000"/>
          <w:sz w:val="24"/>
        </w:rPr>
      </w:pPr>
    </w:p>
    <w:p w14:paraId="18144ADA">
      <w:pPr>
        <w:rPr>
          <w:rFonts w:hint="eastAsia" w:ascii="宋体"/>
          <w:b/>
          <w:color w:val="000000"/>
          <w:sz w:val="24"/>
        </w:rPr>
      </w:pPr>
      <w:r>
        <w:rPr>
          <w:rFonts w:hint="eastAsia" w:ascii="宋体"/>
          <w:b/>
          <w:color w:val="000000"/>
          <w:sz w:val="24"/>
        </w:rPr>
        <w:t>附件4：</w:t>
      </w:r>
    </w:p>
    <w:p w14:paraId="4469360E">
      <w:pPr>
        <w:jc w:val="center"/>
        <w:rPr>
          <w:rFonts w:hint="eastAsia"/>
          <w:b/>
          <w:color w:val="000000"/>
          <w:sz w:val="24"/>
        </w:rPr>
      </w:pPr>
      <w:r>
        <w:rPr>
          <w:rFonts w:hint="eastAsia"/>
          <w:b/>
          <w:color w:val="000000"/>
          <w:sz w:val="24"/>
        </w:rPr>
        <w:t>服务连续性预案</w:t>
      </w:r>
    </w:p>
    <w:p w14:paraId="7ADB2510">
      <w:pPr>
        <w:jc w:val="center"/>
        <w:rPr>
          <w:rFonts w:hint="eastAsia" w:ascii="方正小标宋_GBK" w:eastAsia="方正小标宋_GBK"/>
          <w:color w:val="FF0000"/>
          <w:sz w:val="24"/>
        </w:rPr>
      </w:pPr>
      <w:r>
        <w:rPr>
          <w:rFonts w:hint="eastAsia" w:ascii="方正小标宋_GBK" w:eastAsia="方正小标宋_GBK"/>
          <w:color w:val="FF0000"/>
          <w:sz w:val="24"/>
        </w:rPr>
        <w:t>（应考虑供应链风险产生的影响）</w:t>
      </w:r>
    </w:p>
    <w:p w14:paraId="446BBC2B">
      <w:pPr>
        <w:jc w:val="center"/>
        <w:rPr>
          <w:rFonts w:hint="eastAsia" w:ascii="宋体"/>
          <w:b/>
          <w:color w:val="000000"/>
          <w:sz w:val="24"/>
        </w:rPr>
      </w:pPr>
    </w:p>
    <w:p w14:paraId="4C14B3E6">
      <w:r>
        <w:rPr>
          <w:rFonts w:hint="eastAsia"/>
        </w:rPr>
        <w:br w:type="page"/>
      </w:r>
    </w:p>
    <w:p w14:paraId="24936B22">
      <w:pPr>
        <w:pStyle w:val="2"/>
      </w:pPr>
      <w:bookmarkStart w:id="91" w:name="_Toc19504"/>
      <w:bookmarkStart w:id="92" w:name="_Toc12934"/>
      <w:r>
        <w:rPr>
          <w:rFonts w:hint="eastAsia"/>
        </w:rPr>
        <w:t xml:space="preserve">第六章 </w:t>
      </w:r>
      <w:bookmarkEnd w:id="88"/>
      <w:bookmarkEnd w:id="89"/>
      <w:bookmarkStart w:id="93" w:name="_Toc303066035"/>
      <w:r>
        <w:rPr>
          <w:rFonts w:hint="eastAsia"/>
        </w:rPr>
        <w:t>响应文件格式</w:t>
      </w:r>
      <w:bookmarkEnd w:id="91"/>
      <w:bookmarkEnd w:id="92"/>
    </w:p>
    <w:bookmarkEnd w:id="93"/>
    <w:p w14:paraId="4D622AD6">
      <w:pPr>
        <w:tabs>
          <w:tab w:val="left" w:pos="6516"/>
        </w:tabs>
        <w:adjustRightInd w:val="0"/>
        <w:snapToGrid w:val="0"/>
        <w:ind w:firstLine="0" w:firstLineChars="0"/>
        <w:jc w:val="center"/>
        <w:rPr>
          <w:rFonts w:ascii="宋体" w:hAnsi="宋体"/>
          <w:b/>
          <w:kern w:val="0"/>
          <w:u w:val="single"/>
        </w:rPr>
      </w:pPr>
    </w:p>
    <w:p w14:paraId="5029D792">
      <w:pPr>
        <w:tabs>
          <w:tab w:val="left" w:pos="6516"/>
        </w:tabs>
        <w:adjustRightInd w:val="0"/>
        <w:snapToGrid w:val="0"/>
        <w:ind w:firstLine="0" w:firstLineChars="0"/>
        <w:jc w:val="center"/>
        <w:rPr>
          <w:rFonts w:ascii="宋体" w:hAnsi="宋体"/>
          <w:b/>
          <w:kern w:val="0"/>
          <w:u w:val="single"/>
        </w:rPr>
      </w:pPr>
    </w:p>
    <w:p w14:paraId="7DCC72FB">
      <w:pPr>
        <w:tabs>
          <w:tab w:val="left" w:pos="6516"/>
        </w:tabs>
        <w:adjustRightInd w:val="0"/>
        <w:snapToGrid w:val="0"/>
        <w:ind w:firstLine="0" w:firstLineChars="0"/>
        <w:jc w:val="center"/>
        <w:rPr>
          <w:rFonts w:ascii="宋体" w:hAnsi="宋体"/>
          <w:b/>
          <w:kern w:val="0"/>
          <w:u w:val="single"/>
        </w:rPr>
      </w:pPr>
    </w:p>
    <w:p w14:paraId="344D99C7">
      <w:pPr>
        <w:pStyle w:val="45"/>
        <w:rPr>
          <w:highlight w:val="none"/>
        </w:rPr>
      </w:pPr>
      <w:r>
        <w:rPr>
          <w:highlight w:val="none"/>
        </w:rPr>
        <w:t>重庆三峡银行</w:t>
      </w:r>
    </w:p>
    <w:p w14:paraId="201D900E">
      <w:pPr>
        <w:pStyle w:val="45"/>
        <w:rPr>
          <w:rFonts w:hint="eastAsia"/>
          <w:highlight w:val="none"/>
        </w:rPr>
      </w:pPr>
      <w:r>
        <w:rPr>
          <w:rFonts w:hint="eastAsia"/>
          <w:highlight w:val="none"/>
        </w:rPr>
        <w:t>西永数据中心信创网络</w:t>
      </w:r>
    </w:p>
    <w:p w14:paraId="2D6FEE0F">
      <w:pPr>
        <w:pStyle w:val="45"/>
        <w:rPr>
          <w:highlight w:val="none"/>
        </w:rPr>
      </w:pPr>
      <w:r>
        <w:rPr>
          <w:rFonts w:hint="eastAsia"/>
          <w:highlight w:val="none"/>
        </w:rPr>
        <w:t>安全设备采购</w:t>
      </w:r>
      <w:r>
        <w:rPr>
          <w:highlight w:val="none"/>
        </w:rPr>
        <w:t>项目</w:t>
      </w:r>
    </w:p>
    <w:p w14:paraId="333B6109"/>
    <w:p w14:paraId="16A533A5"/>
    <w:p w14:paraId="5BE43B87"/>
    <w:p w14:paraId="576346EA"/>
    <w:p w14:paraId="339803E3"/>
    <w:p w14:paraId="4E7517EF"/>
    <w:p w14:paraId="7D5831E1">
      <w:pPr>
        <w:pStyle w:val="46"/>
      </w:pPr>
      <w:r>
        <w:t>响  应  文  件</w:t>
      </w:r>
    </w:p>
    <w:p w14:paraId="01A7ADF4"/>
    <w:p w14:paraId="6AC65958"/>
    <w:p w14:paraId="2F95E444"/>
    <w:p w14:paraId="0C214C14"/>
    <w:p w14:paraId="0A65D9AA"/>
    <w:p w14:paraId="3AA57C6A"/>
    <w:p w14:paraId="0AF4F814">
      <w:pPr>
        <w:ind w:firstLine="0" w:firstLineChars="0"/>
        <w:jc w:val="center"/>
      </w:pPr>
      <w:r>
        <w:rPr>
          <w:rFonts w:hint="eastAsia"/>
        </w:rPr>
        <w:t>响应人：</w:t>
      </w:r>
      <w:r>
        <w:rPr>
          <w:rFonts w:hint="eastAsia"/>
          <w:u w:val="single"/>
        </w:rPr>
        <w:t xml:space="preserve">                （盖单位公章）</w:t>
      </w:r>
    </w:p>
    <w:p w14:paraId="611C8D08">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8DA44CD"/>
    <w:p w14:paraId="1A0D810E"/>
    <w:p w14:paraId="17B04372"/>
    <w:p w14:paraId="145002FC">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E5F30C6">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4F6C506">
      <w:pPr>
        <w:widowControl/>
        <w:autoSpaceDE/>
        <w:autoSpaceDN/>
        <w:spacing w:line="240" w:lineRule="auto"/>
        <w:ind w:firstLine="0" w:firstLineChars="0"/>
        <w:jc w:val="left"/>
        <w:rPr>
          <w:rFonts w:hint="eastAsia"/>
        </w:rPr>
      </w:pPr>
      <w:r>
        <w:rPr>
          <w:rFonts w:hint="eastAsia"/>
        </w:rPr>
        <w:t>一、响应函</w:t>
      </w:r>
    </w:p>
    <w:p w14:paraId="46FC6B90">
      <w:pPr>
        <w:widowControl/>
        <w:autoSpaceDE/>
        <w:autoSpaceDN/>
        <w:spacing w:line="240" w:lineRule="auto"/>
        <w:ind w:firstLine="0" w:firstLineChars="0"/>
        <w:jc w:val="left"/>
        <w:rPr>
          <w:rFonts w:hint="eastAsia"/>
        </w:rPr>
      </w:pPr>
      <w:r>
        <w:rPr>
          <w:rFonts w:hint="eastAsia"/>
        </w:rPr>
        <w:t>二、报价一览表</w:t>
      </w:r>
    </w:p>
    <w:p w14:paraId="0E81E629">
      <w:pPr>
        <w:widowControl/>
        <w:autoSpaceDE/>
        <w:autoSpaceDN/>
        <w:spacing w:line="240" w:lineRule="auto"/>
        <w:ind w:firstLine="0" w:firstLineChars="0"/>
        <w:jc w:val="left"/>
        <w:rPr>
          <w:rFonts w:hint="eastAsia"/>
        </w:rPr>
      </w:pPr>
      <w:r>
        <w:rPr>
          <w:rFonts w:hint="eastAsia"/>
        </w:rPr>
        <w:t>三、分项报价明细表（如有）</w:t>
      </w:r>
    </w:p>
    <w:p w14:paraId="22F94861">
      <w:pPr>
        <w:widowControl/>
        <w:autoSpaceDE/>
        <w:autoSpaceDN/>
        <w:spacing w:line="240" w:lineRule="auto"/>
        <w:ind w:firstLine="0" w:firstLineChars="0"/>
        <w:jc w:val="left"/>
        <w:rPr>
          <w:rFonts w:hint="eastAsia"/>
        </w:rPr>
      </w:pPr>
      <w:r>
        <w:rPr>
          <w:rFonts w:hint="eastAsia"/>
        </w:rPr>
        <w:t>四、资格性文件</w:t>
      </w:r>
    </w:p>
    <w:p w14:paraId="474E9DFB">
      <w:pPr>
        <w:widowControl/>
        <w:autoSpaceDE/>
        <w:autoSpaceDN/>
        <w:spacing w:line="240" w:lineRule="auto"/>
        <w:ind w:firstLine="420" w:firstLineChars="0"/>
        <w:jc w:val="left"/>
        <w:rPr>
          <w:rFonts w:hint="eastAsia"/>
        </w:rPr>
      </w:pPr>
      <w:r>
        <w:rPr>
          <w:rFonts w:hint="eastAsia"/>
        </w:rPr>
        <w:t>（一）响应人基本情况介绍，资质证明等</w:t>
      </w:r>
    </w:p>
    <w:p w14:paraId="0691E970">
      <w:pPr>
        <w:widowControl/>
        <w:autoSpaceDE/>
        <w:autoSpaceDN/>
        <w:spacing w:line="240" w:lineRule="auto"/>
        <w:ind w:firstLine="420" w:firstLineChars="0"/>
        <w:jc w:val="left"/>
        <w:rPr>
          <w:rFonts w:hint="eastAsia"/>
        </w:rPr>
      </w:pPr>
      <w:r>
        <w:rPr>
          <w:rFonts w:hint="eastAsia"/>
        </w:rPr>
        <w:t>（二）法定代表人身份证明及授权委托书</w:t>
      </w:r>
    </w:p>
    <w:p w14:paraId="35274DA3">
      <w:pPr>
        <w:widowControl/>
        <w:autoSpaceDE/>
        <w:autoSpaceDN/>
        <w:spacing w:line="240" w:lineRule="auto"/>
        <w:ind w:firstLine="420" w:firstLineChars="0"/>
        <w:jc w:val="left"/>
        <w:rPr>
          <w:rFonts w:hint="eastAsia"/>
        </w:rPr>
      </w:pPr>
      <w:r>
        <w:rPr>
          <w:rFonts w:hint="eastAsia"/>
        </w:rPr>
        <w:t>（三）书面声明</w:t>
      </w:r>
    </w:p>
    <w:p w14:paraId="299DA6F9">
      <w:pPr>
        <w:widowControl/>
        <w:autoSpaceDE/>
        <w:autoSpaceDN/>
        <w:spacing w:line="240" w:lineRule="auto"/>
        <w:ind w:firstLine="420" w:firstLineChars="0"/>
        <w:jc w:val="left"/>
        <w:rPr>
          <w:rFonts w:hint="eastAsia"/>
        </w:rPr>
      </w:pPr>
      <w:r>
        <w:rPr>
          <w:rFonts w:hint="eastAsia"/>
        </w:rPr>
        <w:t>（四）中国执行信息公开网截图</w:t>
      </w:r>
    </w:p>
    <w:p w14:paraId="589249CD">
      <w:pPr>
        <w:widowControl/>
        <w:autoSpaceDE/>
        <w:autoSpaceDN/>
        <w:spacing w:line="240" w:lineRule="auto"/>
        <w:ind w:firstLine="420" w:firstLineChars="0"/>
        <w:jc w:val="left"/>
        <w:rPr>
          <w:rFonts w:hint="eastAsia"/>
        </w:rPr>
      </w:pPr>
      <w:r>
        <w:rPr>
          <w:rFonts w:hint="eastAsia"/>
        </w:rPr>
        <w:t>（五）项目案例和业绩证明文件复印件（如有）</w:t>
      </w:r>
    </w:p>
    <w:p w14:paraId="134AB2E7">
      <w:pPr>
        <w:widowControl/>
        <w:autoSpaceDE/>
        <w:autoSpaceDN/>
        <w:spacing w:line="240" w:lineRule="auto"/>
        <w:ind w:firstLine="420" w:firstLineChars="0"/>
        <w:jc w:val="left"/>
        <w:rPr>
          <w:rFonts w:hint="eastAsia"/>
        </w:rPr>
      </w:pPr>
      <w:r>
        <w:rPr>
          <w:rFonts w:hint="eastAsia"/>
        </w:rPr>
        <w:t>（六）员工社保缴纳总人数及社保缴纳材料证明</w:t>
      </w:r>
    </w:p>
    <w:p w14:paraId="5EF1A48B">
      <w:pPr>
        <w:widowControl/>
        <w:autoSpaceDE/>
        <w:autoSpaceDN/>
        <w:spacing w:line="240" w:lineRule="auto"/>
        <w:ind w:firstLine="420" w:firstLineChars="0"/>
        <w:jc w:val="left"/>
        <w:rPr>
          <w:rFonts w:hint="eastAsia"/>
        </w:rPr>
      </w:pPr>
      <w:r>
        <w:rPr>
          <w:rFonts w:hint="eastAsia"/>
        </w:rPr>
        <w:t>（七）售后服务承诺函</w:t>
      </w:r>
    </w:p>
    <w:p w14:paraId="18B3C095">
      <w:pPr>
        <w:widowControl/>
        <w:autoSpaceDE/>
        <w:autoSpaceDN/>
        <w:spacing w:line="240" w:lineRule="auto"/>
        <w:ind w:firstLine="420" w:firstLineChars="0"/>
        <w:jc w:val="left"/>
        <w:rPr>
          <w:rFonts w:hint="eastAsia"/>
        </w:rPr>
      </w:pPr>
      <w:r>
        <w:rPr>
          <w:rFonts w:hint="eastAsia"/>
        </w:rPr>
        <w:t>（八）原厂授权证明文件</w:t>
      </w:r>
    </w:p>
    <w:p w14:paraId="003A3072">
      <w:pPr>
        <w:widowControl/>
        <w:autoSpaceDE/>
        <w:autoSpaceDN/>
        <w:spacing w:line="240" w:lineRule="auto"/>
        <w:ind w:firstLine="420" w:firstLineChars="0"/>
        <w:jc w:val="left"/>
        <w:rPr>
          <w:rFonts w:hint="eastAsia"/>
        </w:rPr>
      </w:pPr>
      <w:r>
        <w:rPr>
          <w:rFonts w:hint="eastAsia"/>
        </w:rPr>
        <w:t>（九）其他（如有）</w:t>
      </w:r>
    </w:p>
    <w:p w14:paraId="52CC0B30">
      <w:pPr>
        <w:widowControl/>
        <w:autoSpaceDE/>
        <w:autoSpaceDN/>
        <w:spacing w:line="240" w:lineRule="auto"/>
        <w:ind w:firstLine="0" w:firstLineChars="0"/>
        <w:jc w:val="left"/>
        <w:rPr>
          <w:rFonts w:hint="eastAsia"/>
        </w:rPr>
      </w:pPr>
      <w:r>
        <w:rPr>
          <w:rFonts w:hint="eastAsia"/>
        </w:rPr>
        <w:t>五、响应性文件</w:t>
      </w:r>
    </w:p>
    <w:p w14:paraId="06239B4B">
      <w:pPr>
        <w:widowControl/>
        <w:autoSpaceDE/>
        <w:autoSpaceDN/>
        <w:spacing w:line="240" w:lineRule="auto"/>
        <w:ind w:firstLine="420" w:firstLineChars="0"/>
        <w:jc w:val="left"/>
        <w:rPr>
          <w:rFonts w:hint="eastAsia"/>
        </w:rPr>
      </w:pPr>
      <w:r>
        <w:rPr>
          <w:rFonts w:hint="eastAsia"/>
        </w:rPr>
        <w:t>（一）响应承诺函</w:t>
      </w:r>
    </w:p>
    <w:p w14:paraId="010EE08B">
      <w:pPr>
        <w:widowControl/>
        <w:autoSpaceDE/>
        <w:autoSpaceDN/>
        <w:spacing w:line="240" w:lineRule="auto"/>
        <w:ind w:firstLine="420" w:firstLineChars="0"/>
        <w:jc w:val="left"/>
        <w:rPr>
          <w:rFonts w:hint="eastAsia"/>
        </w:rPr>
      </w:pPr>
      <w:r>
        <w:rPr>
          <w:rFonts w:hint="eastAsia"/>
        </w:rPr>
        <w:t>（二）技术条款偏离表</w:t>
      </w:r>
    </w:p>
    <w:p w14:paraId="663E8040">
      <w:pPr>
        <w:widowControl/>
        <w:autoSpaceDE/>
        <w:autoSpaceDN/>
        <w:spacing w:line="240" w:lineRule="auto"/>
        <w:ind w:firstLine="420" w:firstLineChars="0"/>
        <w:jc w:val="left"/>
        <w:rPr>
          <w:rFonts w:hint="eastAsia"/>
        </w:rPr>
      </w:pPr>
      <w:r>
        <w:rPr>
          <w:rFonts w:hint="eastAsia"/>
        </w:rPr>
        <w:t>（三）满足参数要求的证明文件</w:t>
      </w:r>
    </w:p>
    <w:p w14:paraId="0EE53D4E">
      <w:pPr>
        <w:widowControl/>
        <w:autoSpaceDE/>
        <w:autoSpaceDN/>
        <w:spacing w:line="240" w:lineRule="auto"/>
        <w:ind w:firstLine="420" w:firstLineChars="0"/>
        <w:jc w:val="left"/>
        <w:rPr>
          <w:rFonts w:hint="eastAsia"/>
        </w:rPr>
      </w:pPr>
      <w:r>
        <w:rPr>
          <w:rFonts w:hint="eastAsia"/>
        </w:rPr>
        <w:t>（四）售后服务和培训方案</w:t>
      </w:r>
    </w:p>
    <w:p w14:paraId="6F7388BF">
      <w:pPr>
        <w:widowControl/>
        <w:autoSpaceDE/>
        <w:autoSpaceDN/>
        <w:spacing w:line="240" w:lineRule="auto"/>
        <w:ind w:firstLine="420" w:firstLineChars="0"/>
        <w:jc w:val="left"/>
        <w:rPr>
          <w:rFonts w:hint="eastAsia"/>
        </w:rPr>
      </w:pPr>
      <w:r>
        <w:rPr>
          <w:rFonts w:hint="eastAsia"/>
        </w:rPr>
        <w:t>（五）服务连续性预案</w:t>
      </w:r>
    </w:p>
    <w:p w14:paraId="391D7C1A">
      <w:pPr>
        <w:widowControl/>
        <w:autoSpaceDE/>
        <w:autoSpaceDN/>
        <w:spacing w:line="240" w:lineRule="auto"/>
        <w:ind w:firstLine="420" w:firstLineChars="0"/>
        <w:jc w:val="left"/>
        <w:rPr>
          <w:rFonts w:hint="eastAsia"/>
        </w:rPr>
      </w:pPr>
      <w:r>
        <w:rPr>
          <w:rFonts w:hint="eastAsia"/>
        </w:rPr>
        <w:t>（六）项目实施方案</w:t>
      </w:r>
    </w:p>
    <w:p w14:paraId="4FB62F77">
      <w:pPr>
        <w:widowControl/>
        <w:autoSpaceDE/>
        <w:autoSpaceDN/>
        <w:spacing w:line="240" w:lineRule="auto"/>
        <w:ind w:firstLine="420" w:firstLineChars="0"/>
        <w:jc w:val="left"/>
        <w:rPr>
          <w:rFonts w:hint="eastAsia"/>
        </w:rPr>
      </w:pPr>
      <w:r>
        <w:rPr>
          <w:rFonts w:hint="eastAsia"/>
        </w:rPr>
        <w:t>（七）其他（如有）</w:t>
      </w:r>
    </w:p>
    <w:p w14:paraId="761DED6F">
      <w:pPr>
        <w:widowControl/>
        <w:autoSpaceDE/>
        <w:autoSpaceDN/>
        <w:spacing w:line="240" w:lineRule="auto"/>
        <w:ind w:firstLine="0" w:firstLineChars="0"/>
        <w:jc w:val="left"/>
        <w:rPr>
          <w:rFonts w:hint="eastAsia"/>
        </w:rPr>
      </w:pPr>
      <w:r>
        <w:rPr>
          <w:rFonts w:hint="eastAsia"/>
        </w:rPr>
        <w:t>六、其他（如有）</w:t>
      </w:r>
    </w:p>
    <w:p w14:paraId="30DD5F99">
      <w:pPr>
        <w:widowControl/>
        <w:autoSpaceDE/>
        <w:autoSpaceDN/>
        <w:spacing w:line="240" w:lineRule="auto"/>
        <w:ind w:firstLine="0" w:firstLineChars="0"/>
        <w:jc w:val="left"/>
        <w:rPr>
          <w:rFonts w:hint="eastAsia"/>
        </w:rPr>
      </w:pPr>
    </w:p>
    <w:p w14:paraId="15A2CA94">
      <w:pPr>
        <w:widowControl/>
        <w:autoSpaceDE/>
        <w:autoSpaceDN/>
        <w:spacing w:line="240" w:lineRule="auto"/>
        <w:ind w:firstLine="0" w:firstLineChars="0"/>
        <w:jc w:val="left"/>
      </w:pPr>
      <w:r>
        <w:rPr>
          <w:rFonts w:hint="eastAsia"/>
        </w:rPr>
        <w:br w:type="page"/>
      </w:r>
    </w:p>
    <w:p w14:paraId="68333E7A">
      <w:pPr>
        <w:pStyle w:val="34"/>
      </w:pPr>
      <w:r>
        <w:t>一、响应函</w:t>
      </w:r>
    </w:p>
    <w:p w14:paraId="5DD32687"/>
    <w:p w14:paraId="08BB99AC">
      <w:pPr>
        <w:ind w:firstLine="0" w:firstLineChars="0"/>
      </w:pPr>
      <w:r>
        <w:rPr>
          <w:rFonts w:hint="eastAsia"/>
        </w:rPr>
        <w:t>重庆三峡银行股份有限公司：</w:t>
      </w:r>
    </w:p>
    <w:p w14:paraId="44BCC73C">
      <w:r>
        <w:rPr>
          <w:rFonts w:hint="eastAsia"/>
        </w:rPr>
        <w:t>我方收到</w:t>
      </w:r>
      <w:r>
        <w:rPr>
          <w:rFonts w:hint="eastAsia"/>
          <w:u w:val="single"/>
        </w:rPr>
        <w:t xml:space="preserve">             </w:t>
      </w:r>
      <w:r>
        <w:rPr>
          <w:rFonts w:hint="eastAsia"/>
        </w:rPr>
        <w:t>（项目名称）询比文件，经详细研究，决定参加该询比项目并响应。</w:t>
      </w:r>
    </w:p>
    <w:p w14:paraId="5E80FB81">
      <w:r>
        <w:rPr>
          <w:rFonts w:hint="eastAsia"/>
        </w:rPr>
        <w:t>1、愿意按照询比文件中的一切要求，以响应文件中的内容和报价承担和完成本项目。</w:t>
      </w:r>
    </w:p>
    <w:p w14:paraId="09356A39">
      <w:r>
        <w:rPr>
          <w:rFonts w:hint="eastAsia"/>
        </w:rPr>
        <w:t>2、我方现提交的响应文件为：响应文件正本一份，副本一份，电子文件一份。</w:t>
      </w:r>
    </w:p>
    <w:p w14:paraId="4D014EB7">
      <w:r>
        <w:rPr>
          <w:rFonts w:hint="eastAsia"/>
        </w:rPr>
        <w:t>3、如果我方响应文件被接受，我方将履行询比文件中规定的各项要求，按相关法律法规和合同约定条款承担我方的责任。</w:t>
      </w:r>
    </w:p>
    <w:p w14:paraId="2A7681FE">
      <w:r>
        <w:rPr>
          <w:rFonts w:hint="eastAsia"/>
        </w:rPr>
        <w:t>4、我方愿意提供询比文件中要求的所有资料，并对其真实性负责。</w:t>
      </w:r>
    </w:p>
    <w:p w14:paraId="7723EE99">
      <w:r>
        <w:rPr>
          <w:rFonts w:hint="eastAsia"/>
        </w:rPr>
        <w:t>5、我方理解最低价格不是成交的唯一条件。</w:t>
      </w:r>
    </w:p>
    <w:p w14:paraId="7FF71684">
      <w:r>
        <w:rPr>
          <w:rFonts w:hint="eastAsia"/>
        </w:rPr>
        <w:t>6、响应有效期为响应截止日期后90天内。</w:t>
      </w:r>
    </w:p>
    <w:p w14:paraId="725FFA59">
      <w:r>
        <w:rPr>
          <w:rFonts w:hint="eastAsia"/>
        </w:rPr>
        <w:t xml:space="preserve">7、若我方成交，我方开具税率为 </w:t>
      </w:r>
      <w:r>
        <w:t>13</w:t>
      </w:r>
      <w:r>
        <w:rPr>
          <w:rFonts w:hint="eastAsia"/>
        </w:rPr>
        <w:t xml:space="preserve"> %的增值税专用发票；</w:t>
      </w:r>
    </w:p>
    <w:p w14:paraId="0F198F5B"/>
    <w:p w14:paraId="22AC7648">
      <w:r>
        <w:rPr>
          <w:rFonts w:hint="eastAsia"/>
        </w:rPr>
        <w:t>响应人（公章）：</w:t>
      </w:r>
    </w:p>
    <w:p w14:paraId="346D870E">
      <w:r>
        <w:rPr>
          <w:rFonts w:hint="eastAsia"/>
        </w:rPr>
        <w:t xml:space="preserve">响应人联系人：  </w:t>
      </w:r>
    </w:p>
    <w:p w14:paraId="323725E0">
      <w:r>
        <w:rPr>
          <w:rFonts w:hint="eastAsia"/>
        </w:rPr>
        <w:t xml:space="preserve">响应人联系人联系电话：     </w:t>
      </w:r>
    </w:p>
    <w:p w14:paraId="248A9FCB">
      <w:pPr>
        <w:jc w:val="right"/>
      </w:pPr>
      <w:r>
        <w:rPr>
          <w:rFonts w:hint="eastAsia"/>
        </w:rPr>
        <w:t>年     月     日</w:t>
      </w:r>
    </w:p>
    <w:p w14:paraId="14DB974E"/>
    <w:p w14:paraId="1FF9FD7D">
      <w:pPr>
        <w:widowControl/>
        <w:jc w:val="left"/>
        <w:rPr>
          <w:rFonts w:ascii="宋体"/>
          <w:snapToGrid w:val="0"/>
          <w:kern w:val="0"/>
          <w:sz w:val="24"/>
          <w:szCs w:val="24"/>
        </w:rPr>
      </w:pPr>
    </w:p>
    <w:p w14:paraId="4F947B3D">
      <w:pPr>
        <w:widowControl/>
        <w:ind w:firstLine="0" w:firstLineChars="0"/>
        <w:jc w:val="left"/>
        <w:rPr>
          <w:rFonts w:ascii="宋体"/>
          <w:snapToGrid w:val="0"/>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6C8D75F">
      <w:pPr>
        <w:ind w:firstLine="0" w:firstLineChars="0"/>
      </w:pPr>
    </w:p>
    <w:p w14:paraId="1737BE04">
      <w:pPr>
        <w:pStyle w:val="34"/>
      </w:pPr>
      <w:r>
        <w:t>二、报价一览表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6B8F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786782A">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D0D8638">
            <w:pPr>
              <w:autoSpaceDE/>
              <w:autoSpaceDN/>
              <w:ind w:firstLine="0" w:firstLineChars="0"/>
              <w:jc w:val="center"/>
              <w:rPr>
                <w:rFonts w:ascii="宋体" w:hAnsi="宋体"/>
                <w:szCs w:val="24"/>
              </w:rPr>
            </w:pPr>
          </w:p>
        </w:tc>
      </w:tr>
      <w:tr w14:paraId="4854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C294FC7">
            <w:pPr>
              <w:autoSpaceDE/>
              <w:autoSpaceDN/>
              <w:ind w:firstLine="0" w:firstLineChars="0"/>
              <w:jc w:val="center"/>
              <w:rPr>
                <w:rFonts w:ascii="宋体" w:hAnsi="宋体"/>
                <w:snapToGrid w:val="0"/>
                <w:kern w:val="0"/>
                <w:szCs w:val="24"/>
              </w:rPr>
            </w:pPr>
            <w:r>
              <w:rPr>
                <w:rFonts w:hint="eastAsia" w:ascii="宋体" w:hAnsi="宋体"/>
                <w:snapToGrid w:val="0"/>
                <w:kern w:val="0"/>
                <w:szCs w:val="24"/>
              </w:rPr>
              <w:t>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5D722DAE">
            <w:pPr>
              <w:autoSpaceDE/>
              <w:autoSpaceDN/>
              <w:ind w:firstLine="0" w:firstLineChars="0"/>
              <w:jc w:val="center"/>
              <w:rPr>
                <w:rFonts w:ascii="宋体" w:hAnsi="宋体" w:cs="Cambria"/>
                <w:szCs w:val="21"/>
              </w:rPr>
            </w:pPr>
          </w:p>
        </w:tc>
      </w:tr>
      <w:tr w14:paraId="1BB3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BF5CFF5">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65C25E3">
            <w:pPr>
              <w:pStyle w:val="40"/>
            </w:pPr>
            <w:r>
              <w:t>小写</w:t>
            </w:r>
            <w:r>
              <w:rPr>
                <w:rFonts w:hint="eastAsia"/>
              </w:rPr>
              <w:t xml:space="preserve">：            </w:t>
            </w:r>
            <w:r>
              <w:t>人民币</w:t>
            </w:r>
          </w:p>
          <w:p w14:paraId="5B20C9B0">
            <w:pPr>
              <w:pStyle w:val="40"/>
            </w:pPr>
            <w:r>
              <w:rPr>
                <w:rFonts w:hint="eastAsia"/>
              </w:rPr>
              <w:t>大写：            人民币</w:t>
            </w:r>
          </w:p>
        </w:tc>
      </w:tr>
      <w:tr w14:paraId="299C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1E08549">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EDDBE01">
            <w:pPr>
              <w:pStyle w:val="40"/>
            </w:pPr>
            <w:r>
              <w:t>小写</w:t>
            </w:r>
            <w:r>
              <w:rPr>
                <w:rFonts w:hint="eastAsia"/>
              </w:rPr>
              <w:t xml:space="preserve">：            </w:t>
            </w:r>
            <w:r>
              <w:t>人民币</w:t>
            </w:r>
          </w:p>
          <w:p w14:paraId="43DCFB7F">
            <w:pPr>
              <w:pStyle w:val="40"/>
            </w:pPr>
            <w:r>
              <w:rPr>
                <w:rFonts w:hint="eastAsia"/>
              </w:rPr>
              <w:t>大写：            人民币</w:t>
            </w:r>
          </w:p>
        </w:tc>
      </w:tr>
      <w:tr w14:paraId="44A7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8FB399D">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5AF606DC">
            <w:pPr>
              <w:autoSpaceDE/>
              <w:autoSpaceDN/>
              <w:ind w:firstLine="0" w:firstLineChars="0"/>
              <w:jc w:val="center"/>
              <w:rPr>
                <w:rFonts w:ascii="宋体" w:hAnsi="宋体"/>
                <w:szCs w:val="24"/>
              </w:rPr>
            </w:pPr>
            <w:r>
              <w:rPr>
                <w:rFonts w:ascii="宋体" w:hAnsi="宋体"/>
                <w:szCs w:val="24"/>
              </w:rPr>
              <w:t>5年</w:t>
            </w:r>
          </w:p>
        </w:tc>
        <w:tc>
          <w:tcPr>
            <w:tcW w:w="1250" w:type="pct"/>
            <w:tcBorders>
              <w:top w:val="single" w:color="auto" w:sz="4" w:space="0"/>
              <w:left w:val="single" w:color="auto" w:sz="4" w:space="0"/>
              <w:bottom w:val="single" w:color="auto" w:sz="4" w:space="0"/>
              <w:right w:val="single" w:color="auto" w:sz="4" w:space="0"/>
            </w:tcBorders>
            <w:vAlign w:val="center"/>
          </w:tcPr>
          <w:p w14:paraId="1EA84960">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60D74A31">
            <w:pPr>
              <w:autoSpaceDE/>
              <w:autoSpaceDN/>
              <w:ind w:firstLine="0" w:firstLineChars="0"/>
              <w:jc w:val="center"/>
              <w:rPr>
                <w:rFonts w:ascii="宋体" w:hAnsi="宋体"/>
                <w:szCs w:val="24"/>
              </w:rPr>
            </w:pPr>
          </w:p>
        </w:tc>
      </w:tr>
      <w:tr w14:paraId="51BE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0423C31">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B9CC476">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13</w:t>
            </w:r>
            <w:r>
              <w:rPr>
                <w:rFonts w:hint="eastAsia" w:ascii="宋体" w:hAnsi="宋体"/>
                <w:szCs w:val="24"/>
                <w:u w:val="single"/>
              </w:rPr>
              <w:t xml:space="preserve">  </w:t>
            </w:r>
            <w:r>
              <w:rPr>
                <w:rFonts w:hint="eastAsia" w:ascii="宋体" w:hAnsi="宋体"/>
                <w:szCs w:val="24"/>
              </w:rPr>
              <w:t>%的增值税专用发票</w:t>
            </w:r>
          </w:p>
        </w:tc>
      </w:tr>
      <w:tr w14:paraId="5498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30BFB031">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0D07F2AA"/>
    <w:p w14:paraId="64028033"/>
    <w:p w14:paraId="577E5EC1">
      <w:r>
        <w:rPr>
          <w:rFonts w:hint="eastAsia"/>
        </w:rPr>
        <w:t>注：上述税率为推荐税率，因国家政策产生的特殊情况除外，若有税收优惠请附相关凭证。若遇国家税率调整，则保持不含税价不变，重新计算含税价格。</w:t>
      </w:r>
    </w:p>
    <w:p w14:paraId="36A44392"/>
    <w:p w14:paraId="34A5D009">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682CE011">
      <w:pPr>
        <w:ind w:left="4620" w:firstLine="420" w:firstLineChars="0"/>
        <w:jc w:val="center"/>
        <w:rPr>
          <w:snapToGrid w:val="0"/>
          <w:kern w:val="0"/>
          <w:szCs w:val="24"/>
        </w:rPr>
      </w:pPr>
      <w:r>
        <w:rPr>
          <w:rFonts w:hint="eastAsia"/>
          <w:snapToGrid w:val="0"/>
          <w:kern w:val="0"/>
          <w:szCs w:val="24"/>
        </w:rPr>
        <w:t xml:space="preserve">（公章）      </w:t>
      </w:r>
    </w:p>
    <w:p w14:paraId="5081BCCB">
      <w:pPr>
        <w:ind w:right="-29" w:rightChars="-14"/>
        <w:jc w:val="right"/>
        <w:rPr>
          <w:snapToGrid w:val="0"/>
          <w:kern w:val="0"/>
          <w:szCs w:val="24"/>
        </w:rPr>
      </w:pPr>
      <w:r>
        <w:rPr>
          <w:rFonts w:hint="eastAsia"/>
          <w:snapToGrid w:val="0"/>
          <w:kern w:val="0"/>
          <w:szCs w:val="24"/>
        </w:rPr>
        <w:t xml:space="preserve">       年     月     日</w:t>
      </w:r>
    </w:p>
    <w:p w14:paraId="6146614F">
      <w:r>
        <w:rPr>
          <w:rFonts w:hint="eastAsia"/>
        </w:rPr>
        <w:t>有关说明：</w:t>
      </w:r>
    </w:p>
    <w:p w14:paraId="4A13881C">
      <w:r>
        <w:rPr>
          <w:rFonts w:hint="eastAsia"/>
        </w:rPr>
        <w:t>报价一览表在开标大会上当众宣读，务必填写清楚，准确无误。表格可扩展。</w:t>
      </w:r>
    </w:p>
    <w:p w14:paraId="480CD9F2">
      <w:r>
        <w:rPr>
          <w:rFonts w:hint="eastAsia"/>
        </w:rPr>
        <w:t>本次报价包含上述维护期的，采购人不再另行支付该维护期内维护费用。</w:t>
      </w:r>
    </w:p>
    <w:p w14:paraId="3DB3F878"/>
    <w:p w14:paraId="5632F5B8">
      <w:pPr>
        <w:ind w:firstLine="0" w:firstLineChars="0"/>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85B4B27">
      <w:pPr>
        <w:pStyle w:val="34"/>
      </w:pPr>
      <w:r>
        <w:t>三、分项报价明细表（如有）</w:t>
      </w:r>
    </w:p>
    <w:p w14:paraId="4BF8A196">
      <w:pPr>
        <w:pStyle w:val="47"/>
      </w:pPr>
      <w:r>
        <w:t>（自定义表格形式，格式自拟）</w:t>
      </w:r>
    </w:p>
    <w:p w14:paraId="6043C21F">
      <w:pPr>
        <w:rPr>
          <w:rStyle w:val="29"/>
          <w:b/>
        </w:rPr>
      </w:pPr>
      <w:r>
        <w:rPr>
          <w:rStyle w:val="29"/>
          <w:rFonts w:hint="eastAsia"/>
          <w:b/>
        </w:rPr>
        <w:br w:type="page"/>
      </w:r>
    </w:p>
    <w:p w14:paraId="4E83CAE8">
      <w:pPr>
        <w:pStyle w:val="34"/>
      </w:pPr>
      <w:r>
        <w:t>四、资格性文件</w:t>
      </w:r>
    </w:p>
    <w:p w14:paraId="0EB0E21B">
      <w:pPr>
        <w:pStyle w:val="36"/>
      </w:pPr>
      <w:r>
        <w:t>（一）</w:t>
      </w:r>
      <w:r>
        <w:rPr>
          <w:rFonts w:hint="eastAsia"/>
        </w:rPr>
        <w:t>响应人</w:t>
      </w:r>
      <w: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192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841DFA4">
            <w:pPr>
              <w:pStyle w:val="40"/>
              <w:jc w:val="center"/>
            </w:pPr>
            <w:r>
              <w:rPr>
                <w:rFonts w:hint="eastAsia"/>
              </w:rPr>
              <w:t>响应人名称</w:t>
            </w:r>
          </w:p>
        </w:tc>
        <w:tc>
          <w:tcPr>
            <w:tcW w:w="7114" w:type="dxa"/>
            <w:gridSpan w:val="8"/>
          </w:tcPr>
          <w:p w14:paraId="353DD6E9">
            <w:pPr>
              <w:pStyle w:val="40"/>
              <w:jc w:val="center"/>
            </w:pPr>
          </w:p>
        </w:tc>
      </w:tr>
      <w:tr w14:paraId="659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974DC46">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4F83357">
            <w:pPr>
              <w:pStyle w:val="40"/>
              <w:jc w:val="center"/>
            </w:pPr>
          </w:p>
        </w:tc>
        <w:tc>
          <w:tcPr>
            <w:tcW w:w="1325" w:type="dxa"/>
            <w:tcBorders>
              <w:top w:val="single" w:color="auto" w:sz="4" w:space="0"/>
              <w:left w:val="single" w:color="auto" w:sz="4" w:space="0"/>
              <w:right w:val="single" w:color="auto" w:sz="4" w:space="0"/>
            </w:tcBorders>
            <w:vAlign w:val="center"/>
          </w:tcPr>
          <w:p w14:paraId="22B90FA5">
            <w:pPr>
              <w:pStyle w:val="40"/>
              <w:jc w:val="center"/>
            </w:pPr>
            <w:r>
              <w:rPr>
                <w:rFonts w:hint="eastAsia"/>
              </w:rPr>
              <w:t>邮政编码</w:t>
            </w:r>
          </w:p>
        </w:tc>
        <w:tc>
          <w:tcPr>
            <w:tcW w:w="1657" w:type="dxa"/>
            <w:gridSpan w:val="3"/>
            <w:tcBorders>
              <w:left w:val="single" w:color="auto" w:sz="4" w:space="0"/>
            </w:tcBorders>
          </w:tcPr>
          <w:p w14:paraId="1429A572">
            <w:pPr>
              <w:pStyle w:val="40"/>
              <w:jc w:val="center"/>
            </w:pPr>
          </w:p>
        </w:tc>
      </w:tr>
      <w:tr w14:paraId="194D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AB343CB">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758DBCD">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15BDB26B">
            <w:pPr>
              <w:pStyle w:val="40"/>
              <w:jc w:val="center"/>
            </w:pPr>
          </w:p>
        </w:tc>
        <w:tc>
          <w:tcPr>
            <w:tcW w:w="1325" w:type="dxa"/>
            <w:tcBorders>
              <w:top w:val="single" w:color="auto" w:sz="4" w:space="0"/>
              <w:left w:val="single" w:color="auto" w:sz="4" w:space="0"/>
              <w:right w:val="single" w:color="auto" w:sz="4" w:space="0"/>
            </w:tcBorders>
            <w:vAlign w:val="center"/>
          </w:tcPr>
          <w:p w14:paraId="121EFB51">
            <w:pPr>
              <w:pStyle w:val="40"/>
              <w:jc w:val="center"/>
            </w:pPr>
            <w:r>
              <w:rPr>
                <w:rFonts w:hint="eastAsia"/>
              </w:rPr>
              <w:t>电话</w:t>
            </w:r>
          </w:p>
        </w:tc>
        <w:tc>
          <w:tcPr>
            <w:tcW w:w="1657" w:type="dxa"/>
            <w:gridSpan w:val="3"/>
            <w:tcBorders>
              <w:left w:val="single" w:color="auto" w:sz="4" w:space="0"/>
            </w:tcBorders>
          </w:tcPr>
          <w:p w14:paraId="249B64B9">
            <w:pPr>
              <w:pStyle w:val="40"/>
              <w:jc w:val="center"/>
            </w:pPr>
          </w:p>
        </w:tc>
      </w:tr>
      <w:tr w14:paraId="68A1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B93239F"/>
        </w:tc>
        <w:tc>
          <w:tcPr>
            <w:tcW w:w="1077" w:type="dxa"/>
            <w:tcBorders>
              <w:top w:val="single" w:color="auto" w:sz="4" w:space="0"/>
              <w:left w:val="single" w:color="auto" w:sz="4" w:space="0"/>
              <w:right w:val="single" w:color="auto" w:sz="4" w:space="0"/>
            </w:tcBorders>
            <w:vAlign w:val="center"/>
          </w:tcPr>
          <w:p w14:paraId="75FC105C">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248904CE">
            <w:pPr>
              <w:pStyle w:val="40"/>
              <w:jc w:val="center"/>
            </w:pPr>
          </w:p>
        </w:tc>
        <w:tc>
          <w:tcPr>
            <w:tcW w:w="1325" w:type="dxa"/>
            <w:tcBorders>
              <w:top w:val="single" w:color="auto" w:sz="4" w:space="0"/>
              <w:left w:val="single" w:color="auto" w:sz="4" w:space="0"/>
              <w:right w:val="single" w:color="auto" w:sz="4" w:space="0"/>
            </w:tcBorders>
            <w:vAlign w:val="center"/>
          </w:tcPr>
          <w:p w14:paraId="759F76E4">
            <w:pPr>
              <w:pStyle w:val="40"/>
              <w:jc w:val="center"/>
            </w:pPr>
            <w:r>
              <w:rPr>
                <w:rFonts w:hint="eastAsia"/>
              </w:rPr>
              <w:t>网址</w:t>
            </w:r>
          </w:p>
        </w:tc>
        <w:tc>
          <w:tcPr>
            <w:tcW w:w="1657" w:type="dxa"/>
            <w:gridSpan w:val="3"/>
            <w:tcBorders>
              <w:left w:val="single" w:color="auto" w:sz="4" w:space="0"/>
            </w:tcBorders>
          </w:tcPr>
          <w:p w14:paraId="7DF0DBC5">
            <w:pPr>
              <w:pStyle w:val="40"/>
              <w:jc w:val="center"/>
            </w:pPr>
          </w:p>
        </w:tc>
      </w:tr>
      <w:tr w14:paraId="27CD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54FCAE">
            <w:pPr>
              <w:pStyle w:val="40"/>
              <w:jc w:val="center"/>
            </w:pPr>
            <w:r>
              <w:rPr>
                <w:rFonts w:hint="eastAsia"/>
              </w:rPr>
              <w:t>组织结构</w:t>
            </w:r>
          </w:p>
        </w:tc>
        <w:tc>
          <w:tcPr>
            <w:tcW w:w="7114" w:type="dxa"/>
            <w:gridSpan w:val="8"/>
            <w:tcBorders>
              <w:left w:val="single" w:color="auto" w:sz="4" w:space="0"/>
            </w:tcBorders>
            <w:vAlign w:val="center"/>
          </w:tcPr>
          <w:p w14:paraId="067F6EC5">
            <w:pPr>
              <w:pStyle w:val="40"/>
              <w:jc w:val="center"/>
            </w:pPr>
          </w:p>
        </w:tc>
      </w:tr>
      <w:tr w14:paraId="0B3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94D1F20">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297ECF92">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19B3112B">
            <w:pPr>
              <w:pStyle w:val="40"/>
              <w:jc w:val="center"/>
            </w:pPr>
          </w:p>
        </w:tc>
        <w:tc>
          <w:tcPr>
            <w:tcW w:w="1252" w:type="dxa"/>
            <w:gridSpan w:val="2"/>
            <w:tcBorders>
              <w:top w:val="single" w:color="auto" w:sz="4" w:space="0"/>
              <w:left w:val="single" w:color="auto" w:sz="4" w:space="0"/>
              <w:right w:val="single" w:color="auto" w:sz="4" w:space="0"/>
            </w:tcBorders>
            <w:vAlign w:val="center"/>
          </w:tcPr>
          <w:p w14:paraId="64C46BEC">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B4C0EC3">
            <w:pPr>
              <w:pStyle w:val="40"/>
              <w:jc w:val="center"/>
            </w:pPr>
          </w:p>
        </w:tc>
        <w:tc>
          <w:tcPr>
            <w:tcW w:w="723" w:type="dxa"/>
            <w:tcBorders>
              <w:top w:val="single" w:color="auto" w:sz="4" w:space="0"/>
              <w:left w:val="single" w:color="auto" w:sz="4" w:space="0"/>
              <w:right w:val="single" w:color="auto" w:sz="4" w:space="0"/>
            </w:tcBorders>
            <w:vAlign w:val="center"/>
          </w:tcPr>
          <w:p w14:paraId="0D843616">
            <w:pPr>
              <w:pStyle w:val="40"/>
              <w:jc w:val="center"/>
            </w:pPr>
            <w:r>
              <w:rPr>
                <w:rFonts w:hint="eastAsia"/>
              </w:rPr>
              <w:t>电话</w:t>
            </w:r>
          </w:p>
        </w:tc>
        <w:tc>
          <w:tcPr>
            <w:tcW w:w="758" w:type="dxa"/>
            <w:tcBorders>
              <w:left w:val="single" w:color="auto" w:sz="4" w:space="0"/>
            </w:tcBorders>
          </w:tcPr>
          <w:p w14:paraId="403C97BF">
            <w:pPr>
              <w:pStyle w:val="40"/>
              <w:jc w:val="center"/>
            </w:pPr>
          </w:p>
        </w:tc>
      </w:tr>
      <w:tr w14:paraId="19AE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E0BD78D">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7AF16AD">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4EB9FB82">
            <w:pPr>
              <w:pStyle w:val="40"/>
              <w:jc w:val="center"/>
            </w:pPr>
          </w:p>
        </w:tc>
        <w:tc>
          <w:tcPr>
            <w:tcW w:w="1252" w:type="dxa"/>
            <w:gridSpan w:val="2"/>
            <w:tcBorders>
              <w:top w:val="single" w:color="auto" w:sz="4" w:space="0"/>
              <w:left w:val="single" w:color="auto" w:sz="4" w:space="0"/>
              <w:right w:val="single" w:color="auto" w:sz="4" w:space="0"/>
            </w:tcBorders>
            <w:vAlign w:val="center"/>
          </w:tcPr>
          <w:p w14:paraId="07C610F1">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F2A80B8">
            <w:pPr>
              <w:pStyle w:val="40"/>
              <w:jc w:val="center"/>
            </w:pPr>
          </w:p>
        </w:tc>
        <w:tc>
          <w:tcPr>
            <w:tcW w:w="723" w:type="dxa"/>
            <w:tcBorders>
              <w:top w:val="single" w:color="auto" w:sz="4" w:space="0"/>
              <w:left w:val="single" w:color="auto" w:sz="4" w:space="0"/>
              <w:right w:val="single" w:color="auto" w:sz="4" w:space="0"/>
            </w:tcBorders>
            <w:vAlign w:val="center"/>
          </w:tcPr>
          <w:p w14:paraId="095B9657">
            <w:pPr>
              <w:pStyle w:val="40"/>
              <w:jc w:val="center"/>
            </w:pPr>
            <w:r>
              <w:rPr>
                <w:rFonts w:hint="eastAsia"/>
              </w:rPr>
              <w:t>电话</w:t>
            </w:r>
          </w:p>
        </w:tc>
        <w:tc>
          <w:tcPr>
            <w:tcW w:w="758" w:type="dxa"/>
            <w:tcBorders>
              <w:left w:val="single" w:color="auto" w:sz="4" w:space="0"/>
            </w:tcBorders>
          </w:tcPr>
          <w:p w14:paraId="020C37D0">
            <w:pPr>
              <w:pStyle w:val="40"/>
              <w:jc w:val="center"/>
            </w:pPr>
          </w:p>
        </w:tc>
      </w:tr>
      <w:tr w14:paraId="61F8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79BFE63">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AADDC70">
            <w:pPr>
              <w:pStyle w:val="40"/>
              <w:jc w:val="center"/>
            </w:pPr>
          </w:p>
        </w:tc>
        <w:tc>
          <w:tcPr>
            <w:tcW w:w="4234" w:type="dxa"/>
            <w:gridSpan w:val="6"/>
            <w:tcBorders>
              <w:left w:val="single" w:color="auto" w:sz="4" w:space="0"/>
            </w:tcBorders>
          </w:tcPr>
          <w:p w14:paraId="0E4122A5">
            <w:pPr>
              <w:pStyle w:val="40"/>
              <w:jc w:val="center"/>
            </w:pPr>
            <w:r>
              <w:rPr>
                <w:rFonts w:hint="eastAsia"/>
              </w:rPr>
              <w:t>员工总人数：</w:t>
            </w:r>
          </w:p>
        </w:tc>
      </w:tr>
      <w:tr w14:paraId="0B5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7CC61C">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A3035D6">
            <w:pPr>
              <w:pStyle w:val="40"/>
              <w:jc w:val="center"/>
            </w:pPr>
          </w:p>
        </w:tc>
        <w:tc>
          <w:tcPr>
            <w:tcW w:w="714" w:type="dxa"/>
            <w:vMerge w:val="restart"/>
            <w:tcBorders>
              <w:top w:val="single" w:color="auto" w:sz="4" w:space="0"/>
              <w:left w:val="single" w:color="auto" w:sz="4" w:space="0"/>
              <w:right w:val="single" w:color="auto" w:sz="4" w:space="0"/>
            </w:tcBorders>
            <w:vAlign w:val="center"/>
          </w:tcPr>
          <w:p w14:paraId="238862C1">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0A37C3EC">
            <w:pPr>
              <w:pStyle w:val="40"/>
              <w:jc w:val="center"/>
            </w:pPr>
            <w:r>
              <w:rPr>
                <w:rFonts w:hint="eastAsia"/>
              </w:rPr>
              <w:t>项目经理</w:t>
            </w:r>
          </w:p>
        </w:tc>
        <w:tc>
          <w:tcPr>
            <w:tcW w:w="1481" w:type="dxa"/>
            <w:gridSpan w:val="2"/>
            <w:tcBorders>
              <w:left w:val="single" w:color="auto" w:sz="4" w:space="0"/>
            </w:tcBorders>
          </w:tcPr>
          <w:p w14:paraId="6D06C4B9">
            <w:pPr>
              <w:pStyle w:val="40"/>
              <w:jc w:val="center"/>
            </w:pPr>
          </w:p>
        </w:tc>
      </w:tr>
      <w:tr w14:paraId="46EC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3A91E8C">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5ACC519A">
            <w:pPr>
              <w:pStyle w:val="40"/>
              <w:jc w:val="center"/>
            </w:pPr>
          </w:p>
        </w:tc>
        <w:tc>
          <w:tcPr>
            <w:tcW w:w="714" w:type="dxa"/>
            <w:vMerge w:val="continue"/>
            <w:tcBorders>
              <w:top w:val="single" w:color="auto" w:sz="4" w:space="0"/>
              <w:left w:val="single" w:color="auto" w:sz="4" w:space="0"/>
              <w:right w:val="single" w:color="auto" w:sz="4" w:space="0"/>
            </w:tcBorders>
          </w:tcPr>
          <w:p w14:paraId="31F7D5FC"/>
        </w:tc>
        <w:tc>
          <w:tcPr>
            <w:tcW w:w="2039" w:type="dxa"/>
            <w:gridSpan w:val="3"/>
            <w:tcBorders>
              <w:top w:val="single" w:color="auto" w:sz="4" w:space="0"/>
              <w:left w:val="single" w:color="auto" w:sz="4" w:space="0"/>
              <w:right w:val="single" w:color="auto" w:sz="4" w:space="0"/>
            </w:tcBorders>
            <w:vAlign w:val="center"/>
          </w:tcPr>
          <w:p w14:paraId="0EF74935">
            <w:pPr>
              <w:pStyle w:val="40"/>
              <w:jc w:val="center"/>
            </w:pPr>
            <w:r>
              <w:rPr>
                <w:rFonts w:hint="eastAsia"/>
              </w:rPr>
              <w:t>高级职称人员</w:t>
            </w:r>
          </w:p>
        </w:tc>
        <w:tc>
          <w:tcPr>
            <w:tcW w:w="1481" w:type="dxa"/>
            <w:gridSpan w:val="2"/>
            <w:tcBorders>
              <w:left w:val="single" w:color="auto" w:sz="4" w:space="0"/>
            </w:tcBorders>
          </w:tcPr>
          <w:p w14:paraId="4F1CB962">
            <w:pPr>
              <w:pStyle w:val="40"/>
              <w:jc w:val="center"/>
            </w:pPr>
          </w:p>
        </w:tc>
      </w:tr>
      <w:tr w14:paraId="117F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2D469BE">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2BD1442F">
            <w:pPr>
              <w:pStyle w:val="40"/>
              <w:jc w:val="center"/>
            </w:pPr>
          </w:p>
        </w:tc>
        <w:tc>
          <w:tcPr>
            <w:tcW w:w="714" w:type="dxa"/>
            <w:vMerge w:val="continue"/>
            <w:tcBorders>
              <w:top w:val="single" w:color="auto" w:sz="4" w:space="0"/>
              <w:left w:val="single" w:color="auto" w:sz="4" w:space="0"/>
              <w:right w:val="single" w:color="auto" w:sz="4" w:space="0"/>
            </w:tcBorders>
          </w:tcPr>
          <w:p w14:paraId="37838961"/>
        </w:tc>
        <w:tc>
          <w:tcPr>
            <w:tcW w:w="2039" w:type="dxa"/>
            <w:gridSpan w:val="3"/>
            <w:tcBorders>
              <w:top w:val="single" w:color="auto" w:sz="4" w:space="0"/>
              <w:left w:val="single" w:color="auto" w:sz="4" w:space="0"/>
              <w:right w:val="single" w:color="auto" w:sz="4" w:space="0"/>
            </w:tcBorders>
            <w:vAlign w:val="center"/>
          </w:tcPr>
          <w:p w14:paraId="5E8644A6">
            <w:pPr>
              <w:pStyle w:val="40"/>
              <w:jc w:val="center"/>
            </w:pPr>
            <w:r>
              <w:rPr>
                <w:rFonts w:hint="eastAsia"/>
              </w:rPr>
              <w:t>中级职称人员</w:t>
            </w:r>
          </w:p>
        </w:tc>
        <w:tc>
          <w:tcPr>
            <w:tcW w:w="1481" w:type="dxa"/>
            <w:gridSpan w:val="2"/>
            <w:tcBorders>
              <w:left w:val="single" w:color="auto" w:sz="4" w:space="0"/>
            </w:tcBorders>
          </w:tcPr>
          <w:p w14:paraId="5B0B54E1">
            <w:pPr>
              <w:pStyle w:val="40"/>
              <w:jc w:val="center"/>
            </w:pPr>
          </w:p>
        </w:tc>
      </w:tr>
      <w:tr w14:paraId="6116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C0C4798">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7E1C5CB3">
            <w:pPr>
              <w:pStyle w:val="40"/>
              <w:jc w:val="center"/>
            </w:pPr>
          </w:p>
        </w:tc>
        <w:tc>
          <w:tcPr>
            <w:tcW w:w="714" w:type="dxa"/>
            <w:vMerge w:val="continue"/>
            <w:tcBorders>
              <w:top w:val="single" w:color="auto" w:sz="4" w:space="0"/>
              <w:left w:val="single" w:color="auto" w:sz="4" w:space="0"/>
              <w:right w:val="single" w:color="auto" w:sz="4" w:space="0"/>
            </w:tcBorders>
          </w:tcPr>
          <w:p w14:paraId="41FF8479"/>
        </w:tc>
        <w:tc>
          <w:tcPr>
            <w:tcW w:w="2039" w:type="dxa"/>
            <w:gridSpan w:val="3"/>
            <w:tcBorders>
              <w:top w:val="single" w:color="auto" w:sz="4" w:space="0"/>
              <w:left w:val="single" w:color="auto" w:sz="4" w:space="0"/>
              <w:right w:val="single" w:color="auto" w:sz="4" w:space="0"/>
            </w:tcBorders>
            <w:vAlign w:val="center"/>
          </w:tcPr>
          <w:p w14:paraId="1FE34E3E">
            <w:pPr>
              <w:pStyle w:val="40"/>
              <w:jc w:val="center"/>
            </w:pPr>
            <w:r>
              <w:rPr>
                <w:rFonts w:hint="eastAsia"/>
              </w:rPr>
              <w:t>初级职称人员</w:t>
            </w:r>
          </w:p>
        </w:tc>
        <w:tc>
          <w:tcPr>
            <w:tcW w:w="1481" w:type="dxa"/>
            <w:gridSpan w:val="2"/>
            <w:tcBorders>
              <w:left w:val="single" w:color="auto" w:sz="4" w:space="0"/>
            </w:tcBorders>
          </w:tcPr>
          <w:p w14:paraId="006F63F9">
            <w:pPr>
              <w:pStyle w:val="40"/>
              <w:jc w:val="center"/>
            </w:pPr>
          </w:p>
        </w:tc>
      </w:tr>
      <w:tr w14:paraId="69E7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CE2FDDC">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590062D">
            <w:pPr>
              <w:pStyle w:val="40"/>
              <w:jc w:val="center"/>
            </w:pPr>
          </w:p>
        </w:tc>
        <w:tc>
          <w:tcPr>
            <w:tcW w:w="714" w:type="dxa"/>
            <w:vMerge w:val="continue"/>
            <w:tcBorders>
              <w:top w:val="single" w:color="auto" w:sz="4" w:space="0"/>
              <w:left w:val="single" w:color="auto" w:sz="4" w:space="0"/>
              <w:right w:val="single" w:color="auto" w:sz="4" w:space="0"/>
            </w:tcBorders>
          </w:tcPr>
          <w:p w14:paraId="247FD319"/>
        </w:tc>
        <w:tc>
          <w:tcPr>
            <w:tcW w:w="2039" w:type="dxa"/>
            <w:gridSpan w:val="3"/>
            <w:tcBorders>
              <w:top w:val="single" w:color="auto" w:sz="4" w:space="0"/>
              <w:left w:val="single" w:color="auto" w:sz="4" w:space="0"/>
              <w:right w:val="single" w:color="auto" w:sz="4" w:space="0"/>
            </w:tcBorders>
            <w:vAlign w:val="center"/>
          </w:tcPr>
          <w:p w14:paraId="10A11A41">
            <w:pPr>
              <w:pStyle w:val="40"/>
              <w:jc w:val="center"/>
            </w:pPr>
            <w:r>
              <w:rPr>
                <w:rFonts w:hint="eastAsia"/>
              </w:rPr>
              <w:t>技工</w:t>
            </w:r>
          </w:p>
        </w:tc>
        <w:tc>
          <w:tcPr>
            <w:tcW w:w="1481" w:type="dxa"/>
            <w:gridSpan w:val="2"/>
            <w:tcBorders>
              <w:left w:val="single" w:color="auto" w:sz="4" w:space="0"/>
            </w:tcBorders>
          </w:tcPr>
          <w:p w14:paraId="0470660B">
            <w:pPr>
              <w:pStyle w:val="40"/>
              <w:jc w:val="center"/>
            </w:pPr>
          </w:p>
        </w:tc>
      </w:tr>
      <w:tr w14:paraId="5DC3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94B788D">
            <w:pPr>
              <w:pStyle w:val="40"/>
              <w:jc w:val="center"/>
            </w:pPr>
            <w:r>
              <w:rPr>
                <w:rFonts w:hint="eastAsia"/>
              </w:rPr>
              <w:t>经营范围</w:t>
            </w:r>
          </w:p>
        </w:tc>
        <w:tc>
          <w:tcPr>
            <w:tcW w:w="7114" w:type="dxa"/>
            <w:gridSpan w:val="8"/>
            <w:tcBorders>
              <w:left w:val="single" w:color="auto" w:sz="4" w:space="0"/>
            </w:tcBorders>
          </w:tcPr>
          <w:p w14:paraId="6C55EF30">
            <w:pPr>
              <w:pStyle w:val="40"/>
              <w:jc w:val="center"/>
            </w:pPr>
          </w:p>
        </w:tc>
      </w:tr>
      <w:tr w14:paraId="2929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D9C28F1">
            <w:pPr>
              <w:pStyle w:val="40"/>
              <w:jc w:val="center"/>
            </w:pPr>
            <w:r>
              <w:rPr>
                <w:rFonts w:hint="eastAsia"/>
              </w:rPr>
              <w:t>备注</w:t>
            </w:r>
          </w:p>
        </w:tc>
        <w:tc>
          <w:tcPr>
            <w:tcW w:w="7114" w:type="dxa"/>
            <w:gridSpan w:val="8"/>
            <w:tcBorders>
              <w:left w:val="single" w:color="auto" w:sz="4" w:space="0"/>
            </w:tcBorders>
          </w:tcPr>
          <w:p w14:paraId="19EFE165">
            <w:pPr>
              <w:pStyle w:val="40"/>
              <w:jc w:val="center"/>
            </w:pPr>
          </w:p>
        </w:tc>
      </w:tr>
    </w:tbl>
    <w:p w14:paraId="755F7D4D">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注：附营业执照（副本）、</w:t>
      </w:r>
      <w:r>
        <w:rPr>
          <w:rFonts w:hint="eastAsia"/>
          <w:lang w:val="en-US" w:eastAsia="zh-CN"/>
        </w:rPr>
        <w:t>注册资本证明材料（如有）、</w:t>
      </w:r>
      <w:r>
        <w:rPr>
          <w:rFonts w:hint="eastAsia"/>
        </w:rPr>
        <w:t>资质证明复印件等。</w:t>
      </w:r>
    </w:p>
    <w:p w14:paraId="33B84063">
      <w:pPr>
        <w:pStyle w:val="36"/>
      </w:pPr>
      <w:bookmarkStart w:id="94" w:name="_Toc14270"/>
      <w:bookmarkStart w:id="95" w:name="_Toc8213"/>
      <w:bookmarkStart w:id="96" w:name="_Toc472780356"/>
      <w:bookmarkStart w:id="97" w:name="_Toc478053903"/>
      <w:bookmarkStart w:id="98" w:name="_Toc478054435"/>
      <w:bookmarkStart w:id="99" w:name="_Toc378234584"/>
      <w:bookmarkStart w:id="100" w:name="_Toc378234770"/>
      <w:r>
        <w:t>（二）法定代表人身份证明及授权委托书</w:t>
      </w:r>
      <w:bookmarkEnd w:id="94"/>
      <w:bookmarkEnd w:id="95"/>
    </w:p>
    <w:p w14:paraId="5249FBD2">
      <w:pPr>
        <w:pStyle w:val="37"/>
        <w:rPr>
          <w:rFonts w:ascii="Times New Roman" w:hAnsi="Times New Roman"/>
        </w:rPr>
      </w:pPr>
      <w:r>
        <w:rPr>
          <w:rFonts w:ascii="Times New Roman" w:hAnsi="Times New Roman"/>
        </w:rPr>
        <w:t>法定代表人身份证明书</w:t>
      </w:r>
    </w:p>
    <w:p w14:paraId="51DF633C">
      <w:pPr>
        <w:tabs>
          <w:tab w:val="left" w:pos="6300"/>
        </w:tabs>
        <w:snapToGrid w:val="0"/>
        <w:rPr>
          <w:snapToGrid w:val="0"/>
          <w:kern w:val="0"/>
        </w:rPr>
      </w:pPr>
    </w:p>
    <w:p w14:paraId="0462B4B1">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26364CA1">
      <w:pPr>
        <w:tabs>
          <w:tab w:val="left" w:pos="6300"/>
        </w:tabs>
        <w:snapToGrid w:val="0"/>
        <w:rPr>
          <w:snapToGrid w:val="0"/>
          <w:kern w:val="0"/>
        </w:rPr>
      </w:pPr>
    </w:p>
    <w:p w14:paraId="1F5BF0AB">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59CF9CD">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7625F432">
      <w:pPr>
        <w:tabs>
          <w:tab w:val="left" w:pos="6300"/>
        </w:tabs>
        <w:snapToGrid w:val="0"/>
        <w:rPr>
          <w:snapToGrid w:val="0"/>
          <w:kern w:val="0"/>
        </w:rPr>
      </w:pPr>
    </w:p>
    <w:p w14:paraId="4B88BB72">
      <w:pPr>
        <w:tabs>
          <w:tab w:val="left" w:pos="6300"/>
        </w:tabs>
        <w:snapToGrid w:val="0"/>
        <w:rPr>
          <w:snapToGrid w:val="0"/>
          <w:kern w:val="0"/>
        </w:rPr>
      </w:pPr>
      <w:r>
        <w:rPr>
          <w:rFonts w:hint="eastAsia"/>
          <w:snapToGrid w:val="0"/>
          <w:kern w:val="0"/>
        </w:rPr>
        <w:t>特此证明。</w:t>
      </w:r>
    </w:p>
    <w:p w14:paraId="7F88EBD8">
      <w:pPr>
        <w:tabs>
          <w:tab w:val="left" w:pos="6300"/>
        </w:tabs>
        <w:snapToGrid w:val="0"/>
        <w:rPr>
          <w:snapToGrid w:val="0"/>
          <w:kern w:val="0"/>
        </w:rPr>
      </w:pPr>
    </w:p>
    <w:p w14:paraId="506420F8">
      <w:pPr>
        <w:tabs>
          <w:tab w:val="left" w:pos="6300"/>
        </w:tabs>
        <w:snapToGrid w:val="0"/>
        <w:rPr>
          <w:snapToGrid w:val="0"/>
          <w:kern w:val="0"/>
        </w:rPr>
      </w:pPr>
    </w:p>
    <w:p w14:paraId="52C3861F">
      <w:pPr>
        <w:tabs>
          <w:tab w:val="left" w:pos="6300"/>
        </w:tabs>
        <w:snapToGrid w:val="0"/>
        <w:ind w:firstLine="5250" w:firstLineChars="2500"/>
        <w:rPr>
          <w:snapToGrid w:val="0"/>
          <w:kern w:val="0"/>
        </w:rPr>
      </w:pPr>
      <w:r>
        <w:rPr>
          <w:rFonts w:hint="eastAsia"/>
          <w:snapToGrid w:val="0"/>
          <w:kern w:val="0"/>
        </w:rPr>
        <w:t>响应人：</w:t>
      </w:r>
    </w:p>
    <w:p w14:paraId="7762DAEC">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64A5721">
      <w:pPr>
        <w:tabs>
          <w:tab w:val="left" w:pos="6300"/>
        </w:tabs>
        <w:snapToGrid w:val="0"/>
        <w:rPr>
          <w:snapToGrid w:val="0"/>
          <w:kern w:val="0"/>
        </w:rPr>
      </w:pPr>
    </w:p>
    <w:p w14:paraId="1008204C">
      <w:pPr>
        <w:tabs>
          <w:tab w:val="left" w:pos="6300"/>
        </w:tabs>
        <w:snapToGrid w:val="0"/>
        <w:rPr>
          <w:snapToGrid w:val="0"/>
          <w:kern w:val="0"/>
        </w:rPr>
      </w:pPr>
      <w:r>
        <w:rPr>
          <w:rFonts w:hint="eastAsia"/>
          <w:snapToGrid w:val="0"/>
          <w:kern w:val="0"/>
        </w:rPr>
        <w:t xml:space="preserve">                                             年   月   日</w:t>
      </w:r>
    </w:p>
    <w:p w14:paraId="03BD12E9">
      <w:pPr>
        <w:tabs>
          <w:tab w:val="left" w:pos="6300"/>
        </w:tabs>
        <w:snapToGrid w:val="0"/>
        <w:rPr>
          <w:snapToGrid w:val="0"/>
          <w:kern w:val="0"/>
        </w:rPr>
      </w:pPr>
    </w:p>
    <w:p w14:paraId="6C59FF0E">
      <w:pPr>
        <w:tabs>
          <w:tab w:val="left" w:pos="6300"/>
        </w:tabs>
        <w:snapToGrid w:val="0"/>
        <w:rPr>
          <w:snapToGrid w:val="0"/>
          <w:kern w:val="0"/>
        </w:rPr>
      </w:pPr>
      <w:r>
        <w:rPr>
          <w:rFonts w:hint="eastAsia"/>
          <w:snapToGrid w:val="0"/>
          <w:kern w:val="0"/>
        </w:rPr>
        <w:t>（附：法定代表人身份证正反面复印件）</w:t>
      </w:r>
    </w:p>
    <w:p w14:paraId="4F69BFE2">
      <w:pPr>
        <w:tabs>
          <w:tab w:val="left" w:pos="6300"/>
        </w:tabs>
        <w:snapToGrid w:val="0"/>
        <w:rPr>
          <w:snapToGrid w:val="0"/>
          <w:kern w:val="0"/>
        </w:rPr>
      </w:pPr>
    </w:p>
    <w:p w14:paraId="1A9A163A">
      <w:pPr>
        <w:tabs>
          <w:tab w:val="left" w:pos="6300"/>
        </w:tabs>
        <w:snapToGrid w:val="0"/>
        <w:rPr>
          <w:snapToGrid w:val="0"/>
          <w:kern w:val="0"/>
        </w:rPr>
      </w:pPr>
    </w:p>
    <w:p w14:paraId="2E53006D">
      <w:pPr>
        <w:tabs>
          <w:tab w:val="left" w:pos="6300"/>
        </w:tabs>
        <w:snapToGrid w:val="0"/>
        <w:rPr>
          <w:snapToGrid w:val="0"/>
          <w:kern w:val="0"/>
        </w:rPr>
      </w:pPr>
    </w:p>
    <w:p w14:paraId="7FD10042">
      <w:pPr>
        <w:jc w:val="center"/>
        <w:rPr>
          <w:rStyle w:val="38"/>
          <w:rFonts w:ascii="Times New Roman" w:hAnsi="Times New Roman"/>
        </w:rPr>
      </w:pPr>
      <w:r>
        <w:rPr>
          <w:rFonts w:hint="eastAsia"/>
          <w:snapToGrid w:val="0"/>
          <w:kern w:val="0"/>
        </w:rPr>
        <w:br w:type="column"/>
      </w:r>
      <w:r>
        <w:rPr>
          <w:rStyle w:val="38"/>
          <w:rFonts w:ascii="Times New Roman" w:hAnsi="Times New Roman"/>
        </w:rPr>
        <w:t>授权委托书</w:t>
      </w:r>
      <w:r>
        <w:rPr>
          <w:rStyle w:val="38"/>
        </w:rPr>
        <w:t>（如有）</w:t>
      </w:r>
    </w:p>
    <w:p w14:paraId="00E60029">
      <w:pPr>
        <w:pStyle w:val="47"/>
      </w:pPr>
      <w:r>
        <w:t>（适用于有委托代理人的情况时采用）</w:t>
      </w:r>
    </w:p>
    <w:p w14:paraId="4553870A">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F2C047E">
      <w:pPr>
        <w:tabs>
          <w:tab w:val="left" w:pos="6300"/>
        </w:tabs>
        <w:snapToGrid w:val="0"/>
        <w:rPr>
          <w:snapToGrid w:val="0"/>
          <w:kern w:val="0"/>
        </w:rPr>
      </w:pPr>
    </w:p>
    <w:p w14:paraId="29FD36C0">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F61D459">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35D24F77">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48DA5F81">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126B8C6A">
      <w:pPr>
        <w:tabs>
          <w:tab w:val="left" w:pos="6300"/>
        </w:tabs>
        <w:snapToGrid w:val="0"/>
        <w:rPr>
          <w:snapToGrid w:val="0"/>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569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AFC0BAC">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948D43C">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A02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F8CE08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A7F623B">
            <w:pPr>
              <w:tabs>
                <w:tab w:val="left" w:pos="6300"/>
              </w:tabs>
              <w:snapToGrid w:val="0"/>
              <w:ind w:firstLine="0" w:firstLineChars="0"/>
              <w:rPr>
                <w:snapToGrid w:val="0"/>
                <w:kern w:val="0"/>
              </w:rPr>
            </w:pPr>
            <w:r>
              <w:rPr>
                <w:rFonts w:hint="eastAsia"/>
                <w:snapToGrid w:val="0"/>
                <w:kern w:val="0"/>
                <w:szCs w:val="28"/>
              </w:rPr>
              <w:t>（签字或盖章）</w:t>
            </w:r>
          </w:p>
        </w:tc>
      </w:tr>
    </w:tbl>
    <w:p w14:paraId="08C5637B">
      <w:pPr>
        <w:tabs>
          <w:tab w:val="left" w:pos="6300"/>
        </w:tabs>
        <w:snapToGrid w:val="0"/>
        <w:rPr>
          <w:snapToGrid w:val="0"/>
          <w:kern w:val="0"/>
        </w:rPr>
      </w:pPr>
    </w:p>
    <w:p w14:paraId="5CC36FBC">
      <w:pPr>
        <w:tabs>
          <w:tab w:val="left" w:pos="6300"/>
        </w:tabs>
        <w:snapToGrid w:val="0"/>
        <w:rPr>
          <w:snapToGrid w:val="0"/>
          <w:kern w:val="0"/>
          <w:szCs w:val="28"/>
        </w:rPr>
      </w:pPr>
    </w:p>
    <w:p w14:paraId="05ACF061">
      <w:pPr>
        <w:tabs>
          <w:tab w:val="left" w:pos="6300"/>
        </w:tabs>
        <w:snapToGrid w:val="0"/>
        <w:rPr>
          <w:snapToGrid w:val="0"/>
          <w:kern w:val="0"/>
        </w:rPr>
      </w:pPr>
    </w:p>
    <w:p w14:paraId="4D0A08DC">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2480ED1D">
      <w:pPr>
        <w:tabs>
          <w:tab w:val="left" w:pos="6300"/>
        </w:tabs>
        <w:snapToGrid w:val="0"/>
        <w:rPr>
          <w:snapToGrid w:val="0"/>
          <w:kern w:val="0"/>
        </w:rPr>
      </w:pPr>
    </w:p>
    <w:p w14:paraId="6C7DBBCE">
      <w:pPr>
        <w:tabs>
          <w:tab w:val="left" w:pos="6300"/>
        </w:tabs>
        <w:snapToGrid w:val="0"/>
        <w:rPr>
          <w:snapToGrid w:val="0"/>
          <w:kern w:val="0"/>
        </w:rPr>
      </w:pPr>
    </w:p>
    <w:p w14:paraId="3B86CDD9">
      <w:pPr>
        <w:tabs>
          <w:tab w:val="left" w:pos="6300"/>
        </w:tabs>
        <w:snapToGrid w:val="0"/>
        <w:ind w:firstLine="5250" w:firstLineChars="2500"/>
        <w:rPr>
          <w:snapToGrid w:val="0"/>
          <w:kern w:val="0"/>
        </w:rPr>
      </w:pPr>
      <w:r>
        <w:rPr>
          <w:rFonts w:hint="eastAsia"/>
          <w:snapToGrid w:val="0"/>
          <w:kern w:val="0"/>
        </w:rPr>
        <w:t>响应人：</w:t>
      </w:r>
    </w:p>
    <w:p w14:paraId="27386948">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B6F7724">
      <w:pPr>
        <w:tabs>
          <w:tab w:val="left" w:pos="6300"/>
        </w:tabs>
        <w:snapToGrid w:val="0"/>
        <w:ind w:right="480"/>
        <w:jc w:val="right"/>
        <w:rPr>
          <w:snapToGrid w:val="0"/>
          <w:kern w:val="0"/>
        </w:rPr>
      </w:pPr>
      <w:r>
        <w:rPr>
          <w:rFonts w:hint="eastAsia"/>
          <w:snapToGrid w:val="0"/>
          <w:kern w:val="0"/>
        </w:rPr>
        <w:t>年   月   日</w:t>
      </w:r>
    </w:p>
    <w:p w14:paraId="3ED89DC6">
      <w:pPr>
        <w:tabs>
          <w:tab w:val="left" w:pos="6300"/>
        </w:tabs>
        <w:snapToGrid w:val="0"/>
        <w:rPr>
          <w:snapToGrid w:val="0"/>
          <w:kern w:val="0"/>
        </w:rPr>
      </w:pPr>
    </w:p>
    <w:p w14:paraId="39A1E153">
      <w:pPr>
        <w:tabs>
          <w:tab w:val="left" w:pos="6300"/>
        </w:tabs>
        <w:snapToGrid w:val="0"/>
        <w:rPr>
          <w:snapToGrid w:val="0"/>
          <w:kern w:val="0"/>
        </w:rPr>
      </w:pPr>
      <w:r>
        <w:rPr>
          <w:rFonts w:hint="eastAsia"/>
          <w:snapToGrid w:val="0"/>
          <w:kern w:val="0"/>
        </w:rPr>
        <w:t>注：若为法定代表人办理并签署响应文件的，不提供此文件。</w:t>
      </w:r>
    </w:p>
    <w:p w14:paraId="7FCFA86B"/>
    <w:p w14:paraId="503A6D3F">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96"/>
    <w:bookmarkEnd w:id="97"/>
    <w:bookmarkEnd w:id="98"/>
    <w:bookmarkEnd w:id="99"/>
    <w:bookmarkEnd w:id="100"/>
    <w:p w14:paraId="36E30A86">
      <w:pPr>
        <w:pStyle w:val="36"/>
      </w:pPr>
      <w:r>
        <w:rPr>
          <w:rFonts w:hint="eastAsia"/>
        </w:rPr>
        <w:t>（三）书面声明</w:t>
      </w:r>
    </w:p>
    <w:p w14:paraId="318CCD0D">
      <w:pPr>
        <w:tabs>
          <w:tab w:val="left" w:pos="6300"/>
        </w:tabs>
        <w:snapToGrid w:val="0"/>
        <w:rPr>
          <w:rFonts w:ascii="宋体"/>
          <w:sz w:val="24"/>
        </w:rPr>
      </w:pPr>
    </w:p>
    <w:p w14:paraId="0D03F673">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665AEFF1">
      <w:pPr>
        <w:tabs>
          <w:tab w:val="left" w:pos="6300"/>
        </w:tabs>
        <w:snapToGrid w:val="0"/>
        <w:rPr>
          <w:rFonts w:ascii="宋体"/>
          <w:sz w:val="24"/>
        </w:rPr>
      </w:pPr>
    </w:p>
    <w:p w14:paraId="19B45FC1">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52F9120B">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48D33F47">
      <w:pPr>
        <w:tabs>
          <w:tab w:val="left" w:pos="6300"/>
        </w:tabs>
        <w:snapToGrid w:val="0"/>
        <w:rPr>
          <w:rFonts w:ascii="宋体"/>
          <w:sz w:val="24"/>
        </w:rPr>
      </w:pPr>
      <w:r>
        <w:rPr>
          <w:rFonts w:hint="eastAsia" w:ascii="宋体"/>
          <w:sz w:val="24"/>
        </w:rPr>
        <w:t>特此声明。</w:t>
      </w:r>
    </w:p>
    <w:p w14:paraId="55ABFAEE">
      <w:pPr>
        <w:tabs>
          <w:tab w:val="left" w:pos="6300"/>
        </w:tabs>
        <w:snapToGrid w:val="0"/>
        <w:rPr>
          <w:rFonts w:ascii="宋体"/>
          <w:sz w:val="24"/>
        </w:rPr>
      </w:pPr>
    </w:p>
    <w:p w14:paraId="0B2B6692">
      <w:pPr>
        <w:tabs>
          <w:tab w:val="left" w:pos="6300"/>
        </w:tabs>
        <w:snapToGrid w:val="0"/>
        <w:rPr>
          <w:rFonts w:ascii="宋体"/>
          <w:sz w:val="24"/>
        </w:rPr>
      </w:pPr>
    </w:p>
    <w:p w14:paraId="2A239983">
      <w:pPr>
        <w:tabs>
          <w:tab w:val="left" w:pos="6300"/>
        </w:tabs>
        <w:snapToGrid w:val="0"/>
        <w:rPr>
          <w:rFonts w:ascii="宋体"/>
          <w:sz w:val="24"/>
        </w:rPr>
      </w:pPr>
    </w:p>
    <w:p w14:paraId="5433577C">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661B9754">
      <w:pPr>
        <w:tabs>
          <w:tab w:val="left" w:pos="6300"/>
        </w:tabs>
        <w:snapToGrid w:val="0"/>
        <w:ind w:right="480"/>
        <w:jc w:val="right"/>
        <w:rPr>
          <w:rFonts w:ascii="宋体"/>
          <w:sz w:val="24"/>
        </w:rPr>
      </w:pPr>
      <w:r>
        <w:rPr>
          <w:rFonts w:hint="eastAsia" w:ascii="宋体"/>
          <w:sz w:val="24"/>
        </w:rPr>
        <w:t>年   月   日</w:t>
      </w:r>
    </w:p>
    <w:p w14:paraId="689ED777">
      <w:pPr>
        <w:jc w:val="left"/>
        <w:rPr>
          <w:rFonts w:ascii="宋体" w:cs="等线 Light"/>
          <w:snapToGrid w:val="0"/>
          <w:kern w:val="0"/>
          <w:sz w:val="24"/>
          <w:szCs w:val="24"/>
        </w:rPr>
      </w:pPr>
    </w:p>
    <w:p w14:paraId="3422C44F">
      <w:pPr>
        <w:jc w:val="left"/>
        <w:rPr>
          <w:rFonts w:ascii="宋体" w:cs="等线 Light"/>
          <w:snapToGrid w:val="0"/>
          <w:kern w:val="0"/>
          <w:sz w:val="24"/>
          <w:szCs w:val="24"/>
        </w:rPr>
      </w:pPr>
    </w:p>
    <w:p w14:paraId="7A8D2490">
      <w:pPr>
        <w:jc w:val="left"/>
        <w:rPr>
          <w:rFonts w:ascii="宋体" w:cs="等线 Light"/>
          <w:snapToGrid w:val="0"/>
          <w:kern w:val="0"/>
          <w:sz w:val="24"/>
          <w:szCs w:val="24"/>
        </w:rPr>
      </w:pPr>
    </w:p>
    <w:p w14:paraId="1D4493B0">
      <w:pPr>
        <w:rPr>
          <w:b/>
          <w:bCs/>
        </w:rPr>
      </w:pPr>
      <w:r>
        <w:rPr>
          <w:rFonts w:hint="eastAsia"/>
          <w:kern w:val="0"/>
        </w:rPr>
        <w:br w:type="page"/>
      </w:r>
    </w:p>
    <w:p w14:paraId="78B0839A">
      <w:pPr>
        <w:pStyle w:val="36"/>
      </w:pPr>
      <w:r>
        <w:t>（</w:t>
      </w:r>
      <w:r>
        <w:rPr>
          <w:rFonts w:hint="eastAsia"/>
        </w:rPr>
        <w:t>四</w:t>
      </w:r>
      <w:r>
        <w:t>）中国执行信息公开网截图</w:t>
      </w:r>
    </w:p>
    <w:p w14:paraId="3F483ABD">
      <w:r>
        <w:rPr>
          <w:rFonts w:hint="eastAsia"/>
        </w:rPr>
        <w:t>1.法人在</w:t>
      </w:r>
      <w:r>
        <w:t>中国执行信息公开网</w:t>
      </w:r>
      <w:r>
        <w:rPr>
          <w:rFonts w:hint="eastAsia"/>
        </w:rPr>
        <w:t>的查询</w:t>
      </w:r>
      <w:r>
        <w:t>截图</w:t>
      </w:r>
      <w:r>
        <w:rPr>
          <w:rFonts w:hint="eastAsia"/>
        </w:rPr>
        <w:t>并加盖单位鲜章</w:t>
      </w:r>
    </w:p>
    <w:p w14:paraId="675285BA">
      <w:r>
        <w:rPr>
          <w:rFonts w:hint="eastAsia"/>
        </w:rPr>
        <w:t>2.法定代表人在</w:t>
      </w:r>
      <w:r>
        <w:t>中国执行信息公开网</w:t>
      </w:r>
      <w:r>
        <w:rPr>
          <w:rFonts w:hint="eastAsia"/>
        </w:rPr>
        <w:t>的查询</w:t>
      </w:r>
      <w:r>
        <w:t>截图</w:t>
      </w:r>
      <w:r>
        <w:rPr>
          <w:rFonts w:hint="eastAsia"/>
        </w:rPr>
        <w:t>并加盖单位鲜章</w:t>
      </w:r>
    </w:p>
    <w:p w14:paraId="5DC80DC7"/>
    <w:p w14:paraId="32A06BB8"/>
    <w:p w14:paraId="595D5891"/>
    <w:p w14:paraId="5F0671A2">
      <w:r>
        <w:rPr>
          <w:rFonts w:hint="eastAsia"/>
        </w:rPr>
        <w:br w:type="page"/>
      </w:r>
    </w:p>
    <w:p w14:paraId="31E2FF2E">
      <w:pPr>
        <w:pStyle w:val="36"/>
      </w:pPr>
      <w:r>
        <w:rPr>
          <w:rFonts w:hint="eastAsia"/>
          <w:lang w:val="zh-CN"/>
        </w:rPr>
        <w:t>（</w:t>
      </w:r>
      <w:r>
        <w:rPr>
          <w:rFonts w:hint="eastAsia"/>
        </w:rPr>
        <w:t>五</w:t>
      </w:r>
      <w:r>
        <w:rPr>
          <w:rFonts w:hint="eastAsia"/>
          <w:lang w:val="zh-CN"/>
        </w:rPr>
        <w:t>）项目案例</w:t>
      </w:r>
      <w:r>
        <w:rPr>
          <w:rFonts w:hint="eastAsia"/>
        </w:rPr>
        <w:t>和业绩证明文件复印件（如有）</w:t>
      </w:r>
    </w:p>
    <w:p w14:paraId="0874BA2C">
      <w:r>
        <w:rPr>
          <w:rFonts w:hint="eastAsia"/>
        </w:rPr>
        <w:t>1、合同关键页（合同关键页</w:t>
      </w:r>
      <w:r>
        <w:t>包含：</w:t>
      </w:r>
      <w:r>
        <w:rPr>
          <w:rFonts w:hint="eastAsia" w:ascii="宋体" w:cs="Cambria"/>
          <w:szCs w:val="24"/>
          <w:lang w:bidi="ar-SA"/>
        </w:rPr>
        <w:t>甲乙双方名称、双方印章、项目名称、</w:t>
      </w:r>
      <w:r>
        <w:rPr>
          <w:rFonts w:ascii="宋体" w:cs="Cambria"/>
          <w:szCs w:val="24"/>
          <w:lang w:bidi="ar-SA"/>
        </w:rPr>
        <w:t>型号数量、</w:t>
      </w:r>
      <w:r>
        <w:rPr>
          <w:rFonts w:hint="eastAsia" w:ascii="宋体" w:cs="Cambria"/>
          <w:szCs w:val="24"/>
          <w:lang w:bidi="ar-SA"/>
        </w:rPr>
        <w:t>签订时间</w:t>
      </w:r>
      <w:r>
        <w:rPr>
          <w:rFonts w:hint="eastAsia"/>
        </w:rPr>
        <w:t>）</w:t>
      </w:r>
    </w:p>
    <w:p w14:paraId="4AF59D54">
      <w:r>
        <w:rPr>
          <w:rFonts w:hint="eastAsia"/>
        </w:rPr>
        <w:t>2、项目简介（格式自拟）</w:t>
      </w:r>
    </w:p>
    <w:p w14:paraId="778774F3">
      <w:pPr>
        <w:pStyle w:val="10"/>
      </w:pPr>
    </w:p>
    <w:p w14:paraId="392A73F3">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619175E">
      <w:pPr>
        <w:pStyle w:val="36"/>
        <w:ind w:firstLine="420"/>
      </w:pPr>
      <w:r>
        <w:rPr>
          <w:rFonts w:hint="eastAsia"/>
        </w:rPr>
        <w:t>（六）</w:t>
      </w:r>
      <w:r>
        <w:rPr>
          <w:rFonts w:hint="eastAsia"/>
          <w:highlight w:val="none"/>
        </w:rPr>
        <w:t>员工社保缴纳总人数及社保缴纳材料证明</w:t>
      </w:r>
    </w:p>
    <w:p w14:paraId="2F490F97"/>
    <w:p w14:paraId="1D84147F"/>
    <w:p w14:paraId="487EA1EA"/>
    <w:p w14:paraId="2FE30687">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79BDFED">
      <w:pPr>
        <w:pStyle w:val="36"/>
        <w:ind w:firstLine="420"/>
        <w:rPr>
          <w:lang w:val="zh-CN"/>
        </w:rPr>
      </w:pPr>
      <w:r>
        <w:rPr>
          <w:rFonts w:hint="eastAsia"/>
          <w:lang w:val="zh-CN"/>
        </w:rPr>
        <w:t>（</w:t>
      </w:r>
      <w:r>
        <w:rPr>
          <w:rFonts w:hint="eastAsia"/>
        </w:rPr>
        <w:t>七</w:t>
      </w:r>
      <w:r>
        <w:rPr>
          <w:rFonts w:hint="eastAsia"/>
          <w:lang w:val="zh-CN"/>
        </w:rPr>
        <w:t>）</w:t>
      </w:r>
      <w:r>
        <w:rPr>
          <w:rFonts w:hint="eastAsia" w:ascii="宋体" w:cs="Cambria"/>
          <w:szCs w:val="24"/>
          <w:highlight w:val="none"/>
          <w:lang w:bidi="ar-SA"/>
        </w:rPr>
        <w:t>售后服务承诺函</w:t>
      </w:r>
    </w:p>
    <w:p w14:paraId="20CE7F06">
      <w:pPr>
        <w:rPr>
          <w:lang w:val="zh-CN"/>
        </w:rPr>
      </w:pPr>
    </w:p>
    <w:p w14:paraId="1C0192A9">
      <w:pPr>
        <w:rPr>
          <w:lang w:val="zh-CN"/>
        </w:rPr>
      </w:pPr>
    </w:p>
    <w:p w14:paraId="214599E6">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8F5AA5">
      <w:pPr>
        <w:pStyle w:val="36"/>
        <w:ind w:firstLine="420"/>
      </w:pPr>
      <w:r>
        <w:rPr>
          <w:rFonts w:hint="eastAsia"/>
        </w:rPr>
        <w:t>（</w:t>
      </w:r>
      <w:r>
        <w:rPr>
          <w:rFonts w:hint="eastAsia"/>
          <w:lang w:val="en-US" w:eastAsia="zh-CN"/>
        </w:rPr>
        <w:t>八</w:t>
      </w:r>
      <w:r>
        <w:rPr>
          <w:rFonts w:hint="eastAsia"/>
        </w:rPr>
        <w:t>）原厂授权证明文件</w:t>
      </w:r>
    </w:p>
    <w:p w14:paraId="2596AA46">
      <w:pPr>
        <w:jc w:val="center"/>
      </w:pPr>
      <w:r>
        <w:rPr>
          <w:rFonts w:hint="eastAsia"/>
        </w:rPr>
        <w:t>加盖公章</w:t>
      </w:r>
    </w:p>
    <w:p w14:paraId="17CF7273"/>
    <w:p w14:paraId="18C6D60A"/>
    <w:p w14:paraId="031049FC"/>
    <w:p w14:paraId="02882F95">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C774497">
      <w:pPr>
        <w:pStyle w:val="36"/>
        <w:rPr>
          <w:lang w:val="zh-CN"/>
        </w:rPr>
      </w:pPr>
      <w:r>
        <w:rPr>
          <w:rFonts w:hint="eastAsia"/>
          <w:lang w:val="zh-CN"/>
        </w:rPr>
        <w:t>（</w:t>
      </w:r>
      <w:r>
        <w:rPr>
          <w:rFonts w:hint="eastAsia"/>
          <w:lang w:val="en-US" w:eastAsia="zh-CN"/>
        </w:rPr>
        <w:t>九</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1CE39431">
      <w:pPr>
        <w:rPr>
          <w:lang w:val="zh-CN"/>
        </w:rPr>
      </w:pPr>
    </w:p>
    <w:p w14:paraId="7CE8114F">
      <w:pPr>
        <w:rPr>
          <w:lang w:val="zh-CN"/>
        </w:rPr>
      </w:pPr>
    </w:p>
    <w:p w14:paraId="493D94AD">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5CD5CEF">
      <w:pPr>
        <w:pStyle w:val="34"/>
      </w:pPr>
      <w:r>
        <w:t>五、响应性文件</w:t>
      </w:r>
    </w:p>
    <w:p w14:paraId="05E19E99">
      <w:pPr>
        <w:pStyle w:val="36"/>
        <w:rPr>
          <w:color w:val="000000"/>
        </w:rPr>
      </w:pPr>
      <w:r>
        <w:rPr>
          <w:rFonts w:hint="eastAsia"/>
          <w:color w:val="000000"/>
        </w:rPr>
        <w:t>（一）响应承诺函</w:t>
      </w:r>
    </w:p>
    <w:p w14:paraId="7BF6A1AD">
      <w:pPr>
        <w:rPr>
          <w:color w:val="000000"/>
        </w:rPr>
      </w:pPr>
      <w:r>
        <w:rPr>
          <w:rFonts w:hint="eastAsia" w:ascii="宋体"/>
          <w:color w:val="000000"/>
          <w:szCs w:val="28"/>
        </w:rPr>
        <w:t>项目名称</w:t>
      </w:r>
      <w:r>
        <w:rPr>
          <w:rFonts w:hint="eastAsia" w:ascii="宋体"/>
          <w:color w:val="000000"/>
        </w:rPr>
        <w:t>：</w:t>
      </w:r>
    </w:p>
    <w:p w14:paraId="260B1342">
      <w:pPr>
        <w:autoSpaceDE/>
        <w:autoSpaceDN/>
        <w:rPr>
          <w:rFonts w:cs="Times New Roman"/>
          <w:color w:val="000000"/>
          <w:sz w:val="18"/>
          <w:szCs w:val="18"/>
        </w:rPr>
      </w:pPr>
    </w:p>
    <w:p w14:paraId="36AC4BAE">
      <w:pPr>
        <w:pStyle w:val="36"/>
        <w:ind w:firstLine="420" w:firstLineChars="200"/>
        <w:jc w:val="left"/>
        <w:outlineLvl w:val="9"/>
        <w:rPr>
          <w:color w:val="000000"/>
        </w:rPr>
      </w:pPr>
      <w:r>
        <w:rPr>
          <w:rFonts w:hint="eastAsia"/>
          <w:color w:val="000000"/>
        </w:rPr>
        <w:t>致：重庆三峡银行股份有限公司：</w:t>
      </w:r>
    </w:p>
    <w:p w14:paraId="667823C4">
      <w:pPr>
        <w:rPr>
          <w:color w:val="000000"/>
          <w:lang w:val="zh-CN"/>
        </w:rPr>
      </w:pPr>
    </w:p>
    <w:p w14:paraId="6EC73116">
      <w:pPr>
        <w:rPr>
          <w:color w:val="000000"/>
        </w:rPr>
      </w:pPr>
      <w:r>
        <w:rPr>
          <w:rFonts w:hint="eastAsia"/>
          <w:color w:val="000000"/>
        </w:rPr>
        <w:t>我公司郑重承诺，完全满足第三章“项目要求”所有内容。</w:t>
      </w:r>
    </w:p>
    <w:p w14:paraId="2EEF1D26">
      <w:pPr>
        <w:rPr>
          <w:rFonts w:cs="Times New Roman"/>
          <w:color w:val="000000"/>
          <w:lang w:val="zh-CN"/>
        </w:rPr>
      </w:pPr>
    </w:p>
    <w:p w14:paraId="29E19425">
      <w:pPr>
        <w:spacing w:line="480" w:lineRule="exact"/>
        <w:ind w:firstLine="0" w:firstLineChars="0"/>
        <w:rPr>
          <w:color w:val="000000"/>
        </w:rPr>
      </w:pPr>
      <w:r>
        <w:rPr>
          <w:rFonts w:hint="eastAsia"/>
          <w:color w:val="000000"/>
        </w:rPr>
        <w:t>特此承诺。</w:t>
      </w:r>
    </w:p>
    <w:p w14:paraId="1FE526CF">
      <w:pPr>
        <w:rPr>
          <w:rFonts w:cs="Times New Roman"/>
          <w:color w:val="000000"/>
          <w:lang w:val="zh-CN"/>
        </w:rPr>
      </w:pPr>
    </w:p>
    <w:p w14:paraId="2E56888D">
      <w:pPr>
        <w:rPr>
          <w:rFonts w:cs="Times New Roman"/>
          <w:color w:val="000000"/>
        </w:rPr>
      </w:pPr>
    </w:p>
    <w:p w14:paraId="5A646AA9">
      <w:pPr>
        <w:tabs>
          <w:tab w:val="left" w:pos="6300"/>
        </w:tabs>
        <w:snapToGrid w:val="0"/>
        <w:spacing w:line="480" w:lineRule="exact"/>
        <w:ind w:right="424"/>
        <w:jc w:val="right"/>
        <w:rPr>
          <w:rFonts w:ascii="宋体"/>
          <w:color w:val="000000"/>
        </w:rPr>
      </w:pPr>
      <w:r>
        <w:rPr>
          <w:rFonts w:hint="eastAsia" w:ascii="宋体"/>
          <w:color w:val="000000"/>
        </w:rPr>
        <w:t>（</w:t>
      </w:r>
      <w:r>
        <w:rPr>
          <w:rFonts w:hint="eastAsia" w:ascii="宋体" w:cs="等线 Light"/>
          <w:snapToGrid w:val="0"/>
          <w:color w:val="000000"/>
          <w:kern w:val="0"/>
          <w:szCs w:val="24"/>
        </w:rPr>
        <w:t>响应</w:t>
      </w:r>
      <w:r>
        <w:rPr>
          <w:rFonts w:hint="eastAsia" w:ascii="宋体"/>
          <w:color w:val="000000"/>
        </w:rPr>
        <w:t>人公章）</w:t>
      </w:r>
    </w:p>
    <w:p w14:paraId="143B8835">
      <w:pPr>
        <w:tabs>
          <w:tab w:val="left" w:pos="6300"/>
        </w:tabs>
        <w:snapToGrid w:val="0"/>
        <w:spacing w:line="480" w:lineRule="exact"/>
        <w:ind w:right="480"/>
        <w:jc w:val="right"/>
        <w:rPr>
          <w:rFonts w:cs="Times New Roman"/>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color w:val="000000"/>
        </w:rPr>
        <w:t>年   月   日</w:t>
      </w:r>
    </w:p>
    <w:p w14:paraId="4F209E25">
      <w:pPr>
        <w:pStyle w:val="36"/>
        <w:bidi w:val="0"/>
      </w:pPr>
      <w:r>
        <w:rPr>
          <w:rFonts w:hint="eastAsia"/>
          <w:lang w:val="en-US" w:eastAsia="zh-CN"/>
        </w:rPr>
        <w:t>（二）技术</w:t>
      </w:r>
      <w:r>
        <w:rPr>
          <w:rFonts w:hint="eastAsia"/>
        </w:rPr>
        <w:t>条款偏离表</w:t>
      </w:r>
    </w:p>
    <w:p w14:paraId="28CA6619">
      <w:pPr>
        <w:spacing w:line="360" w:lineRule="auto"/>
        <w:rPr>
          <w:rFonts w:ascii="宋体" w:cs="等线 Light"/>
          <w:b w:val="0"/>
          <w:bCs w:val="0"/>
          <w:snapToGrid w:val="0"/>
          <w:color w:val="auto"/>
          <w:kern w:val="0"/>
          <w:sz w:val="24"/>
          <w:szCs w:val="24"/>
          <w:highlight w:val="none"/>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6098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4F18453A">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rPr>
              <w:t>序号</w:t>
            </w:r>
          </w:p>
        </w:tc>
        <w:tc>
          <w:tcPr>
            <w:tcW w:w="1980" w:type="dxa"/>
            <w:vAlign w:val="center"/>
          </w:tcPr>
          <w:p w14:paraId="3E265331">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rPr>
              <w:t>询比</w:t>
            </w:r>
            <w:r>
              <w:rPr>
                <w:rFonts w:hint="eastAsia" w:ascii="宋体" w:hAnsi="宋体" w:cs="等线 Light"/>
                <w:b w:val="0"/>
                <w:bCs w:val="0"/>
                <w:color w:val="auto"/>
                <w:sz w:val="21"/>
                <w:szCs w:val="21"/>
                <w:highlight w:val="none"/>
              </w:rPr>
              <w:t>文件条目号</w:t>
            </w:r>
          </w:p>
        </w:tc>
        <w:tc>
          <w:tcPr>
            <w:tcW w:w="2056" w:type="dxa"/>
            <w:vAlign w:val="center"/>
          </w:tcPr>
          <w:p w14:paraId="1F7C1E32">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rPr>
              <w:t>询比</w:t>
            </w:r>
            <w:r>
              <w:rPr>
                <w:rFonts w:hint="eastAsia" w:ascii="宋体" w:hAnsi="宋体" w:cs="等线 Light"/>
                <w:b w:val="0"/>
                <w:bCs w:val="0"/>
                <w:color w:val="auto"/>
                <w:sz w:val="21"/>
                <w:szCs w:val="21"/>
                <w:highlight w:val="none"/>
              </w:rPr>
              <w:t>文件</w:t>
            </w:r>
            <w:r>
              <w:rPr>
                <w:rFonts w:hint="eastAsia" w:ascii="宋体" w:hAnsi="宋体" w:cs="等线 Light"/>
                <w:b w:val="0"/>
                <w:bCs w:val="0"/>
                <w:color w:val="auto"/>
                <w:sz w:val="21"/>
                <w:szCs w:val="21"/>
                <w:highlight w:val="none"/>
                <w:lang w:val="en-US" w:eastAsia="zh-CN"/>
              </w:rPr>
              <w:t>技术条款</w:t>
            </w:r>
          </w:p>
        </w:tc>
        <w:tc>
          <w:tcPr>
            <w:tcW w:w="2490" w:type="dxa"/>
            <w:vAlign w:val="center"/>
          </w:tcPr>
          <w:p w14:paraId="0C66BA6F">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lang w:eastAsia="zh-CN"/>
              </w:rPr>
              <w:t>响应</w:t>
            </w:r>
            <w:r>
              <w:rPr>
                <w:rFonts w:hint="eastAsia" w:ascii="宋体" w:hAnsi="宋体" w:cs="等线 Light"/>
                <w:b w:val="0"/>
                <w:bCs w:val="0"/>
                <w:color w:val="auto"/>
                <w:sz w:val="21"/>
                <w:szCs w:val="21"/>
                <w:highlight w:val="none"/>
              </w:rPr>
              <w:t>文件对应</w:t>
            </w:r>
            <w:r>
              <w:rPr>
                <w:rFonts w:hint="eastAsia" w:ascii="宋体" w:hAnsi="宋体" w:cs="等线 Light"/>
                <w:b w:val="0"/>
                <w:bCs w:val="0"/>
                <w:color w:val="auto"/>
                <w:sz w:val="21"/>
                <w:szCs w:val="21"/>
                <w:highlight w:val="none"/>
                <w:lang w:val="en-US" w:eastAsia="zh-CN"/>
              </w:rPr>
              <w:t>技术条款</w:t>
            </w:r>
          </w:p>
        </w:tc>
        <w:tc>
          <w:tcPr>
            <w:tcW w:w="1363" w:type="dxa"/>
            <w:vAlign w:val="center"/>
          </w:tcPr>
          <w:p w14:paraId="1FCA59A1">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rPr>
              <w:t>说明</w:t>
            </w:r>
          </w:p>
        </w:tc>
      </w:tr>
      <w:tr w14:paraId="2E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C99882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例</w:t>
            </w:r>
          </w:p>
        </w:tc>
        <w:tc>
          <w:tcPr>
            <w:tcW w:w="1980" w:type="dxa"/>
            <w:tcBorders>
              <w:left w:val="single" w:color="auto" w:sz="4" w:space="0"/>
            </w:tcBorders>
            <w:vAlign w:val="center"/>
          </w:tcPr>
          <w:p w14:paraId="1F7C815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第三章XXX条</w:t>
            </w:r>
          </w:p>
        </w:tc>
        <w:tc>
          <w:tcPr>
            <w:tcW w:w="2056" w:type="dxa"/>
            <w:tcBorders>
              <w:left w:val="single" w:color="auto" w:sz="4" w:space="0"/>
            </w:tcBorders>
            <w:vAlign w:val="center"/>
          </w:tcPr>
          <w:p w14:paraId="16B0BD3F">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XXXXXX（</w:t>
            </w:r>
            <w:r>
              <w:rPr>
                <w:rFonts w:hint="eastAsia" w:ascii="宋体" w:hAnsi="宋体" w:cs="等线 Light"/>
                <w:b w:val="0"/>
                <w:bCs w:val="0"/>
                <w:color w:val="auto"/>
                <w:sz w:val="21"/>
                <w:szCs w:val="21"/>
                <w:lang w:val="en-US" w:eastAsia="zh-CN"/>
              </w:rPr>
              <w:t>询比</w:t>
            </w:r>
            <w:r>
              <w:rPr>
                <w:rFonts w:hint="eastAsia" w:ascii="宋体" w:hAnsi="宋体" w:cs="等线 Light"/>
                <w:b w:val="0"/>
                <w:bCs w:val="0"/>
                <w:color w:val="auto"/>
                <w:sz w:val="21"/>
                <w:szCs w:val="21"/>
                <w:highlight w:val="none"/>
                <w:lang w:val="en-US" w:eastAsia="zh-CN"/>
              </w:rPr>
              <w:t>文件原文）</w:t>
            </w:r>
          </w:p>
        </w:tc>
        <w:tc>
          <w:tcPr>
            <w:tcW w:w="2490" w:type="dxa"/>
            <w:tcBorders>
              <w:left w:val="single" w:color="auto" w:sz="4" w:space="0"/>
            </w:tcBorders>
            <w:vAlign w:val="center"/>
          </w:tcPr>
          <w:p w14:paraId="2955793C">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eastAsia"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满足</w:t>
            </w:r>
          </w:p>
          <w:p w14:paraId="375CF96A">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XXXXXX（响应文件原文）</w:t>
            </w:r>
          </w:p>
        </w:tc>
        <w:tc>
          <w:tcPr>
            <w:tcW w:w="1363" w:type="dxa"/>
            <w:tcBorders>
              <w:left w:val="single" w:color="auto" w:sz="4" w:space="0"/>
            </w:tcBorders>
            <w:vAlign w:val="center"/>
          </w:tcPr>
          <w:p w14:paraId="7F7D4C8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满足</w:t>
            </w:r>
          </w:p>
          <w:p w14:paraId="7D42155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无偏离</w:t>
            </w:r>
          </w:p>
        </w:tc>
      </w:tr>
      <w:tr w14:paraId="76C6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76949F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72419DA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33B7526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5A92277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62F4CC5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33B1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F66CFF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17F686A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46BCF95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1501BB7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66FEEFC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27C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CF49C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70024FD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455D5EA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685656E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DD78F9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6DF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FF07BA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7948AE4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2F22F97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334350C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D5BA42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37F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541039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2CA5526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53CA8B0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5084D46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7F1ABD0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7F13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FC8FF5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0C93BF0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69F9059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6765A8D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71F72DA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564A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4B1050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27A5F07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0A32673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609AAC6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1C2B47A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6E8D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E43A19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03EF5D1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22FE6F4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1BE77A6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5AB1488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B3F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9F07DE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6ABD8AE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01DDFBF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194E56A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5E2FD0E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bl>
    <w:p w14:paraId="44E220DC">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注：根据第三章第3.1条“技术参数要求”表格中内容填写技术条款偏离表，逐一列出，填写与响应，内容齐全、无遗漏。需每页加盖公章。</w:t>
      </w:r>
    </w:p>
    <w:p w14:paraId="1A793C40">
      <w:pPr>
        <w:autoSpaceDE/>
        <w:autoSpaceDN/>
        <w:bidi w:val="0"/>
        <w:ind w:firstLine="360" w:firstLineChars="200"/>
        <w:rPr>
          <w:b w:val="0"/>
          <w:bCs w:val="0"/>
          <w:color w:val="auto"/>
          <w:sz w:val="18"/>
          <w:szCs w:val="18"/>
          <w:highlight w:val="none"/>
          <w:lang w:val="en-US" w:eastAsia="zh-CN"/>
        </w:rPr>
      </w:pPr>
      <w:r>
        <w:rPr>
          <w:rFonts w:hint="eastAsia"/>
          <w:b w:val="0"/>
          <w:bCs w:val="0"/>
          <w:color w:val="auto"/>
          <w:sz w:val="18"/>
          <w:szCs w:val="18"/>
          <w:highlight w:val="none"/>
          <w:lang w:val="en-US" w:eastAsia="zh-CN"/>
        </w:rPr>
        <w:t>表格填写说明如下：</w:t>
      </w:r>
    </w:p>
    <w:p w14:paraId="5459F2B2">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b w:val="0"/>
          <w:bCs w:val="0"/>
          <w:color w:val="auto"/>
          <w:sz w:val="18"/>
          <w:szCs w:val="18"/>
          <w:lang w:val="en-US" w:eastAsia="zh-CN"/>
        </w:rPr>
        <w:t>询比</w:t>
      </w:r>
      <w:r>
        <w:rPr>
          <w:rFonts w:hint="eastAsia"/>
          <w:b w:val="0"/>
          <w:bCs w:val="0"/>
          <w:color w:val="auto"/>
          <w:sz w:val="18"/>
          <w:szCs w:val="18"/>
          <w:highlight w:val="none"/>
          <w:lang w:val="en-US" w:eastAsia="zh-CN"/>
        </w:rPr>
        <w:t>文件条目号”：详细写明第几章第几条；</w:t>
      </w:r>
    </w:p>
    <w:p w14:paraId="2C77DA41">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rPr>
        <w:t>询比</w:t>
      </w:r>
      <w:r>
        <w:rPr>
          <w:rFonts w:hint="eastAsia" w:ascii="宋体" w:hAnsi="宋体" w:cs="等线 Light"/>
          <w:b w:val="0"/>
          <w:bCs w:val="0"/>
          <w:color w:val="auto"/>
          <w:sz w:val="18"/>
          <w:szCs w:val="18"/>
          <w:highlight w:val="none"/>
        </w:rPr>
        <w:t>文件</w:t>
      </w:r>
      <w:r>
        <w:rPr>
          <w:rFonts w:hint="eastAsia" w:ascii="宋体" w:hAnsi="宋体" w:cs="等线 Light"/>
          <w:b w:val="0"/>
          <w:bCs w:val="0"/>
          <w:color w:val="auto"/>
          <w:sz w:val="18"/>
          <w:szCs w:val="18"/>
          <w:highlight w:val="none"/>
          <w:lang w:val="en-US" w:eastAsia="zh-CN"/>
        </w:rPr>
        <w:t>技术</w:t>
      </w:r>
      <w:r>
        <w:rPr>
          <w:rFonts w:hint="eastAsia" w:ascii="宋体" w:hAnsi="宋体" w:cs="等线 Light"/>
          <w:b w:val="0"/>
          <w:bCs w:val="0"/>
          <w:color w:val="auto"/>
          <w:sz w:val="18"/>
          <w:szCs w:val="18"/>
          <w:highlight w:val="none"/>
        </w:rPr>
        <w:t>条款</w:t>
      </w:r>
      <w:r>
        <w:rPr>
          <w:rFonts w:hint="eastAsia"/>
          <w:b w:val="0"/>
          <w:bCs w:val="0"/>
          <w:color w:val="auto"/>
          <w:sz w:val="18"/>
          <w:szCs w:val="18"/>
          <w:highlight w:val="none"/>
          <w:lang w:val="en-US" w:eastAsia="zh-CN"/>
        </w:rPr>
        <w:t>”：</w:t>
      </w:r>
      <w:r>
        <w:rPr>
          <w:rFonts w:hint="eastAsia"/>
          <w:b w:val="0"/>
          <w:bCs w:val="0"/>
          <w:color w:val="auto"/>
          <w:sz w:val="18"/>
          <w:szCs w:val="18"/>
          <w:lang w:val="en-US" w:eastAsia="zh-CN"/>
        </w:rPr>
        <w:t>询比</w:t>
      </w:r>
      <w:r>
        <w:rPr>
          <w:rFonts w:hint="eastAsia"/>
          <w:b w:val="0"/>
          <w:bCs w:val="0"/>
          <w:color w:val="auto"/>
          <w:sz w:val="18"/>
          <w:szCs w:val="18"/>
          <w:highlight w:val="none"/>
          <w:lang w:val="en-US" w:eastAsia="zh-CN"/>
        </w:rPr>
        <w:t>文件中该条对应内容；</w:t>
      </w:r>
    </w:p>
    <w:p w14:paraId="58643E64">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highlight w:val="none"/>
          <w:lang w:eastAsia="zh-CN"/>
        </w:rPr>
        <w:t>响应</w:t>
      </w:r>
      <w:r>
        <w:rPr>
          <w:rFonts w:hint="eastAsia" w:ascii="宋体" w:hAnsi="宋体" w:cs="等线 Light"/>
          <w:b w:val="0"/>
          <w:bCs w:val="0"/>
          <w:color w:val="auto"/>
          <w:sz w:val="18"/>
          <w:szCs w:val="18"/>
          <w:highlight w:val="none"/>
        </w:rPr>
        <w:t>文件对应</w:t>
      </w:r>
      <w:r>
        <w:rPr>
          <w:rFonts w:hint="eastAsia" w:ascii="宋体" w:hAnsi="宋体" w:cs="等线 Light"/>
          <w:b w:val="0"/>
          <w:bCs w:val="0"/>
          <w:color w:val="auto"/>
          <w:sz w:val="18"/>
          <w:szCs w:val="18"/>
          <w:highlight w:val="none"/>
          <w:lang w:val="en-US" w:eastAsia="zh-CN"/>
        </w:rPr>
        <w:t>技术</w:t>
      </w:r>
      <w:r>
        <w:rPr>
          <w:rFonts w:hint="eastAsia" w:ascii="宋体" w:hAnsi="宋体" w:cs="等线 Light"/>
          <w:b w:val="0"/>
          <w:bCs w:val="0"/>
          <w:color w:val="auto"/>
          <w:sz w:val="18"/>
          <w:szCs w:val="18"/>
          <w:highlight w:val="none"/>
        </w:rPr>
        <w:t>条款</w:t>
      </w:r>
      <w:r>
        <w:rPr>
          <w:rFonts w:hint="eastAsia"/>
          <w:b w:val="0"/>
          <w:bCs w:val="0"/>
          <w:color w:val="auto"/>
          <w:sz w:val="18"/>
          <w:szCs w:val="18"/>
          <w:highlight w:val="none"/>
          <w:lang w:val="en-US" w:eastAsia="zh-CN"/>
        </w:rPr>
        <w:t>”：写明是否满足；</w:t>
      </w:r>
    </w:p>
    <w:p w14:paraId="49F9C9EE">
      <w:pPr>
        <w:autoSpaceDE/>
        <w:autoSpaceDN/>
        <w:bidi w:val="0"/>
        <w:ind w:firstLine="360" w:firstLineChars="200"/>
        <w:rPr>
          <w:rFonts w:hint="eastAsia"/>
          <w:b w:val="0"/>
          <w:bCs w:val="0"/>
          <w:color w:val="auto"/>
          <w:sz w:val="18"/>
          <w:szCs w:val="18"/>
          <w:highlight w:val="none"/>
          <w:lang w:val="en-US" w:eastAsia="zh-CN"/>
        </w:rPr>
        <w:sectPr>
          <w:pgSz w:w="11906" w:h="16838"/>
          <w:pgMar w:top="1440" w:right="1800" w:bottom="1440" w:left="1800" w:header="851" w:footer="992" w:gutter="0"/>
          <w:cols w:space="720" w:num="1"/>
          <w:docGrid w:type="lines" w:linePitch="312" w:charSpace="0"/>
        </w:sect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highlight w:val="none"/>
          <w:lang w:val="en-US" w:eastAsia="zh-CN"/>
        </w:rPr>
        <w:t>说明</w:t>
      </w:r>
      <w:r>
        <w:rPr>
          <w:rFonts w:hint="eastAsia"/>
          <w:b w:val="0"/>
          <w:bCs w:val="0"/>
          <w:color w:val="auto"/>
          <w:sz w:val="18"/>
          <w:szCs w:val="18"/>
          <w:highlight w:val="none"/>
          <w:lang w:val="en-US" w:eastAsia="zh-CN"/>
        </w:rPr>
        <w:t>”：填写是否满足，是否偏离，正/负偏离原因。</w:t>
      </w:r>
    </w:p>
    <w:p w14:paraId="41497702">
      <w:pPr>
        <w:widowControl/>
        <w:numPr>
          <w:ilvl w:val="0"/>
          <w:numId w:val="0"/>
        </w:numPr>
        <w:autoSpaceDE/>
        <w:autoSpaceDN/>
        <w:spacing w:line="240" w:lineRule="auto"/>
        <w:ind w:left="0" w:firstLine="420" w:firstLineChars="0"/>
        <w:jc w:val="center"/>
        <w:outlineLvl w:val="2"/>
        <w:rPr>
          <w:color w:val="000000"/>
        </w:rPr>
      </w:pPr>
      <w:r>
        <w:rPr>
          <w:rFonts w:hint="eastAsia" w:ascii="宋体" w:hAnsi="宋体" w:eastAsia="宋体" w:cs="宋体"/>
          <w:color w:val="000000"/>
          <w:kern w:val="2"/>
          <w:sz w:val="21"/>
          <w:szCs w:val="20"/>
          <w:lang w:val="en-US" w:eastAsia="zh-CN" w:bidi="ar-SA"/>
        </w:rPr>
        <w:t>（</w:t>
      </w:r>
      <w:r>
        <w:rPr>
          <w:rFonts w:hint="eastAsia" w:cs="宋体"/>
          <w:color w:val="000000"/>
          <w:kern w:val="2"/>
          <w:sz w:val="21"/>
          <w:szCs w:val="20"/>
          <w:lang w:val="en-US" w:eastAsia="zh-CN" w:bidi="ar-SA"/>
        </w:rPr>
        <w:t>三</w:t>
      </w:r>
      <w:r>
        <w:rPr>
          <w:rFonts w:hint="eastAsia" w:ascii="宋体" w:hAnsi="宋体" w:eastAsia="宋体" w:cs="宋体"/>
          <w:color w:val="000000"/>
          <w:kern w:val="2"/>
          <w:sz w:val="21"/>
          <w:szCs w:val="20"/>
          <w:lang w:val="en-US" w:eastAsia="zh-CN" w:bidi="ar-SA"/>
        </w:rPr>
        <w:t>）</w:t>
      </w:r>
      <w:r>
        <w:rPr>
          <w:rFonts w:hint="eastAsia"/>
          <w:color w:val="000000"/>
        </w:rPr>
        <w:t>满足参数要求的证明文件</w:t>
      </w:r>
    </w:p>
    <w:p w14:paraId="24EC7F28">
      <w:pPr>
        <w:pStyle w:val="4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000000"/>
        </w:rPr>
        <w:t>注：此处需提供第三章“3.技术要求”条款中要求的所有的</w:t>
      </w:r>
      <w:r>
        <w:rPr>
          <w:rFonts w:hint="eastAsia" w:ascii="宋体" w:hAnsi="宋体" w:cs="宋体"/>
          <w:color w:val="000000"/>
          <w:szCs w:val="21"/>
        </w:rPr>
        <w:t>检测报告复印件</w:t>
      </w:r>
      <w:r>
        <w:rPr>
          <w:rFonts w:hint="eastAsia"/>
          <w:color w:val="000000"/>
        </w:rPr>
        <w:t>、截图、资质证书复印件及证明文件等资料，</w:t>
      </w:r>
      <w:r>
        <w:rPr>
          <w:rFonts w:hint="eastAsia" w:ascii="宋体" w:hAnsi="宋体" w:cs="宋体"/>
          <w:color w:val="000000"/>
          <w:szCs w:val="21"/>
        </w:rPr>
        <w:t>并加盖原厂公章。</w:t>
      </w:r>
    </w:p>
    <w:p w14:paraId="6DFA46E4">
      <w:pPr>
        <w:pStyle w:val="36"/>
      </w:pPr>
      <w:r>
        <w:rPr>
          <w:rFonts w:hint="eastAsia"/>
        </w:rPr>
        <w:t>（</w:t>
      </w:r>
      <w:r>
        <w:rPr>
          <w:rFonts w:hint="eastAsia"/>
          <w:lang w:val="en-US"/>
        </w:rPr>
        <w:t>四</w:t>
      </w:r>
      <w:r>
        <w:rPr>
          <w:rFonts w:hint="eastAsia"/>
        </w:rPr>
        <w:t>）</w:t>
      </w:r>
      <w:r>
        <w:t>售后服务和培训方案</w:t>
      </w:r>
    </w:p>
    <w:p w14:paraId="37D3818F">
      <w:pPr>
        <w:rPr>
          <w:rStyle w:val="29"/>
          <w:b/>
        </w:rPr>
      </w:pPr>
    </w:p>
    <w:p w14:paraId="5245B261">
      <w:pPr>
        <w:rPr>
          <w:rStyle w:val="29"/>
          <w:b/>
        </w:rPr>
      </w:pPr>
    </w:p>
    <w:p w14:paraId="62BAD14A">
      <w:pPr>
        <w:rPr>
          <w:rStyle w:val="29"/>
          <w:b/>
        </w:rPr>
      </w:pPr>
    </w:p>
    <w:p w14:paraId="60C7D075">
      <w:pPr>
        <w:widowControl/>
        <w:autoSpaceDE/>
        <w:autoSpaceDN/>
        <w:spacing w:line="240" w:lineRule="auto"/>
        <w:ind w:firstLine="0" w:firstLineChars="0"/>
        <w:jc w:val="left"/>
        <w:rPr>
          <w:b/>
          <w:sz w:val="28"/>
        </w:rPr>
      </w:pPr>
      <w:r>
        <w:br w:type="page"/>
      </w:r>
    </w:p>
    <w:p w14:paraId="2B243B86">
      <w:pPr>
        <w:pStyle w:val="36"/>
      </w:pPr>
      <w:r>
        <w:rPr>
          <w:rFonts w:hint="eastAsia"/>
          <w:lang w:eastAsia="zh-CN"/>
        </w:rPr>
        <w:t>（</w:t>
      </w:r>
      <w:r>
        <w:rPr>
          <w:rFonts w:hint="eastAsia"/>
          <w:lang w:val="en-US" w:eastAsia="zh-CN"/>
        </w:rPr>
        <w:t>五</w:t>
      </w:r>
      <w:r>
        <w:rPr>
          <w:rFonts w:hint="eastAsia"/>
          <w:lang w:eastAsia="zh-CN"/>
        </w:rPr>
        <w:t>）</w:t>
      </w:r>
      <w:r>
        <w:t>服务连续性预案</w:t>
      </w:r>
    </w:p>
    <w:p w14:paraId="05803422">
      <w:pPr>
        <w:ind w:firstLine="0" w:firstLineChars="0"/>
        <w:jc w:val="center"/>
      </w:pPr>
      <w:r>
        <w:rPr>
          <w:rFonts w:hint="eastAsia"/>
        </w:rPr>
        <w:t>（应考虑供应链风险产生的影响）</w:t>
      </w:r>
    </w:p>
    <w:p w14:paraId="21B2898D">
      <w:pPr>
        <w:rPr>
          <w:rStyle w:val="29"/>
          <w:b/>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BFB296">
      <w:pPr>
        <w:pStyle w:val="36"/>
      </w:pPr>
      <w:r>
        <w:rPr>
          <w:rFonts w:hint="eastAsia"/>
          <w:lang w:eastAsia="zh-CN"/>
        </w:rPr>
        <w:t>（</w:t>
      </w:r>
      <w:r>
        <w:rPr>
          <w:rFonts w:hint="eastAsia"/>
          <w:lang w:val="en-US" w:eastAsia="zh-CN"/>
        </w:rPr>
        <w:t>六</w:t>
      </w:r>
      <w:r>
        <w:rPr>
          <w:rFonts w:hint="eastAsia"/>
          <w:lang w:eastAsia="zh-CN"/>
        </w:rPr>
        <w:t>）</w:t>
      </w:r>
      <w:r>
        <w:t>项目实施方案</w:t>
      </w:r>
    </w:p>
    <w:p w14:paraId="44657B58">
      <w:pPr>
        <w:pStyle w:val="47"/>
      </w:pPr>
      <w:r>
        <w:t>（实施方案包括履行合同的时间计划、提交资料、人员安排等）</w:t>
      </w:r>
    </w:p>
    <w:p w14:paraId="774C0574">
      <w:pPr>
        <w:rPr>
          <w:rStyle w:val="29"/>
          <w:b/>
        </w:rPr>
      </w:pPr>
    </w:p>
    <w:p w14:paraId="34E2B259">
      <w:pPr>
        <w:rPr>
          <w:rStyle w:val="29"/>
          <w:b/>
        </w:rPr>
      </w:pPr>
    </w:p>
    <w:p w14:paraId="6AE53224">
      <w:pPr>
        <w:rPr>
          <w:rStyle w:val="29"/>
          <w:b/>
        </w:rPr>
      </w:pPr>
    </w:p>
    <w:p w14:paraId="7575916C">
      <w:pPr>
        <w:widowControl/>
        <w:autoSpaceDE/>
        <w:autoSpaceDN/>
        <w:spacing w:line="240" w:lineRule="auto"/>
        <w:ind w:firstLine="0" w:firstLineChars="0"/>
        <w:jc w:val="left"/>
        <w:rPr>
          <w:rStyle w:val="35"/>
        </w:rPr>
      </w:pPr>
      <w:r>
        <w:rPr>
          <w:rStyle w:val="35"/>
          <w:b w:val="0"/>
        </w:rPr>
        <w:br w:type="page"/>
      </w:r>
    </w:p>
    <w:p w14:paraId="094D9FC7">
      <w:pPr>
        <w:pStyle w:val="36"/>
        <w:rPr>
          <w:lang w:val="zh-CN"/>
        </w:rPr>
      </w:pPr>
      <w:r>
        <w:rPr>
          <w:rFonts w:hint="eastAsia"/>
          <w:lang w:val="zh-CN"/>
        </w:rPr>
        <w:t>（</w:t>
      </w:r>
      <w:r>
        <w:rPr>
          <w:rFonts w:hint="eastAsia"/>
          <w:lang w:val="en-US" w:eastAsia="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6CBEE31F">
      <w:pPr>
        <w:rPr>
          <w:lang w:val="zh-CN"/>
        </w:rPr>
      </w:pPr>
    </w:p>
    <w:p w14:paraId="18D703A0">
      <w:pPr>
        <w:rPr>
          <w:lang w:val="zh-CN"/>
        </w:rPr>
      </w:pPr>
    </w:p>
    <w:p w14:paraId="2757C2DB">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12233D5">
      <w:pPr>
        <w:pStyle w:val="34"/>
      </w:pPr>
      <w:r>
        <w:rPr>
          <w:rFonts w:hint="eastAsia"/>
          <w:lang w:val="en-US" w:eastAsia="zh-CN"/>
        </w:rPr>
        <w:t>六</w:t>
      </w:r>
      <w:r>
        <w:t>、其他（如有）</w:t>
      </w:r>
    </w:p>
    <w:p w14:paraId="4887C9D8"/>
    <w:p w14:paraId="2B64D42E"/>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D8D1">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76E0294F">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t9iBNcAAAAEAQAADwAAAAAAAAABACAAAAAiAAAAZHJzL2Rv&#10;d25yZXYueG1sUEsBAhQAFAAAAAgAh07iQNTp5nMCAgAA9QMAAA4AAAAAAAAAAQAgAAAAJgEAAGRy&#10;cy9lMm9Eb2MueG1sUEsFBgAAAAAGAAYAWQEAAJoFAAAAAA==&#10;">
              <v:fill on="f" focussize="0,0"/>
              <v:stroke on="f" weight="0.5pt" joinstyle="round"/>
              <v:imagedata o:title=""/>
              <o:lock v:ext="edit" aspectratio="f"/>
              <v:textbox inset="0mm,0mm,0mm,0mm" style="mso-fit-shape-to-text:t;">
                <w:txbxContent>
                  <w:p w14:paraId="76E0294F">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1412DF"/>
    <w:rsid w:val="398B45F9"/>
    <w:rsid w:val="3C1E28BD"/>
    <w:rsid w:val="53170B14"/>
    <w:rsid w:val="5D18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宋体" w:hAnsi="宋体" w:eastAsia="宋体" w:cs="宋体"/>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next w:val="1"/>
    <w:qFormat/>
    <w:locked/>
    <w:uiPriority w:val="0"/>
    <w:pPr>
      <w:spacing w:after="120"/>
    </w:pPr>
  </w:style>
  <w:style w:type="paragraph" w:styleId="11">
    <w:name w:val="Plain Text"/>
    <w:next w:val="9"/>
    <w:qFormat/>
    <w:uiPriority w:val="0"/>
    <w:pPr>
      <w:widowControl w:val="0"/>
      <w:jc w:val="both"/>
    </w:pPr>
    <w:rPr>
      <w:rFonts w:ascii="宋体" w:hAnsi="Times New Roman" w:eastAsia="宋体" w:cs="Times New Roman"/>
      <w:kern w:val="2"/>
      <w:sz w:val="21"/>
      <w:szCs w:val="21"/>
      <w:lang w:val="en-US" w:eastAsia="zh-CN" w:bidi="ar-SA"/>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next w:val="10"/>
    <w:qFormat/>
    <w:uiPriority w:val="0"/>
    <w:pPr>
      <w:widowControl w:val="0"/>
      <w:adjustRightInd w:val="0"/>
      <w:ind w:left="735"/>
      <w:jc w:val="both"/>
      <w:textAlignment w:val="baseline"/>
    </w:pPr>
    <w:rPr>
      <w:rFonts w:ascii="楷体_GB2312" w:hAnsi="Times New Roman" w:eastAsia="楷体_GB2312" w:cs="Times New Roman"/>
      <w:kern w:val="0"/>
      <w:sz w:val="21"/>
      <w:szCs w:val="20"/>
      <w:lang w:val="en-US" w:eastAsia="zh-CN" w:bidi="ar-SA"/>
    </w:rPr>
  </w:style>
  <w:style w:type="paragraph" w:styleId="18">
    <w:name w:val="annotation subject"/>
    <w:basedOn w:val="9"/>
    <w:next w:val="9"/>
    <w:qFormat/>
    <w:uiPriority w:val="0"/>
    <w:rPr>
      <w:b/>
      <w:bCs/>
    </w:rPr>
  </w:style>
  <w:style w:type="character" w:styleId="21">
    <w:name w:val="annotation reference"/>
    <w:basedOn w:val="20"/>
    <w:qFormat/>
    <w:uiPriority w:val="0"/>
    <w:rPr>
      <w:sz w:val="21"/>
      <w:szCs w:val="21"/>
    </w:rPr>
  </w:style>
  <w:style w:type="character" w:customStyle="1" w:styleId="22">
    <w:name w:val="heading 1 Char"/>
    <w:basedOn w:val="20"/>
    <w:link w:val="2"/>
    <w:autoRedefine/>
    <w:qFormat/>
    <w:uiPriority w:val="0"/>
    <w:rPr>
      <w:rFonts w:ascii="宋体" w:hAnsi="宋体" w:eastAsia="宋体" w:cs="等线 Light"/>
      <w:b/>
      <w:snapToGrid w:val="0"/>
      <w:kern w:val="0"/>
      <w:sz w:val="44"/>
      <w:szCs w:val="44"/>
      <w:lang w:val="en-US" w:eastAsia="zh-CN" w:bidi="ar-SA"/>
    </w:rPr>
  </w:style>
  <w:style w:type="character" w:customStyle="1" w:styleId="23">
    <w:name w:val="heading 2 Char"/>
    <w:basedOn w:val="20"/>
    <w:link w:val="3"/>
    <w:autoRedefine/>
    <w:qFormat/>
    <w:uiPriority w:val="0"/>
    <w:rPr>
      <w:rFonts w:ascii="宋体" w:hAnsi="宋体" w:eastAsia="宋体" w:cs="Times New Roman"/>
      <w:b/>
      <w:bCs/>
      <w:snapToGrid w:val="0"/>
      <w:kern w:val="2"/>
      <w:sz w:val="21"/>
      <w:szCs w:val="24"/>
      <w:lang w:val="en-US" w:eastAsia="zh-CN" w:bidi="ar-SA"/>
    </w:rPr>
  </w:style>
  <w:style w:type="character" w:customStyle="1" w:styleId="24">
    <w:name w:val="heading 3 Char"/>
    <w:basedOn w:val="20"/>
    <w:link w:val="4"/>
    <w:autoRedefine/>
    <w:qFormat/>
    <w:uiPriority w:val="0"/>
    <w:rPr>
      <w:rFonts w:ascii="宋体" w:hAnsi="宋体" w:eastAsia="宋体" w:cs="宋体"/>
      <w:b/>
      <w:bCs/>
      <w:kern w:val="2"/>
      <w:sz w:val="21"/>
      <w:szCs w:val="32"/>
      <w:lang w:val="en-US" w:eastAsia="zh-CN" w:bidi="ar-SA"/>
    </w:rPr>
  </w:style>
  <w:style w:type="character" w:customStyle="1" w:styleId="25">
    <w:name w:val="heading 4 Char"/>
    <w:basedOn w:val="20"/>
    <w:link w:val="5"/>
    <w:autoRedefine/>
    <w:qFormat/>
    <w:uiPriority w:val="0"/>
    <w:rPr>
      <w:rFonts w:ascii="宋体" w:hAnsi="宋体" w:eastAsia="宋体" w:cs="Times New Roman"/>
      <w:bCs/>
      <w:kern w:val="2"/>
      <w:sz w:val="21"/>
      <w:szCs w:val="28"/>
      <w:lang w:val="en-US" w:eastAsia="zh-CN" w:bidi="ar-SA"/>
    </w:rPr>
  </w:style>
  <w:style w:type="character" w:customStyle="1" w:styleId="26">
    <w:name w:val="heading 5 Char"/>
    <w:basedOn w:val="20"/>
    <w:link w:val="6"/>
    <w:autoRedefine/>
    <w:qFormat/>
    <w:uiPriority w:val="0"/>
    <w:rPr>
      <w:rFonts w:ascii="宋体" w:hAnsi="宋体" w:eastAsia="宋体" w:cs="宋体"/>
      <w:b/>
      <w:kern w:val="2"/>
      <w:sz w:val="28"/>
      <w:szCs w:val="20"/>
      <w:lang w:val="en-US" w:eastAsia="zh-CN" w:bidi="ar-SA"/>
    </w:rPr>
  </w:style>
  <w:style w:type="character" w:customStyle="1" w:styleId="27">
    <w:name w:val="heading 6 Char"/>
    <w:basedOn w:val="20"/>
    <w:link w:val="7"/>
    <w:autoRedefine/>
    <w:qFormat/>
    <w:uiPriority w:val="0"/>
    <w:rPr>
      <w:rFonts w:ascii="宋体" w:hAnsi="宋体" w:eastAsia="黑体" w:cs="宋体"/>
      <w:b/>
      <w:kern w:val="2"/>
      <w:sz w:val="21"/>
      <w:szCs w:val="20"/>
      <w:lang w:val="en-US" w:eastAsia="zh-CN" w:bidi="ar-SA"/>
    </w:rPr>
  </w:style>
  <w:style w:type="character" w:customStyle="1" w:styleId="28">
    <w:name w:val="heading 7 Char"/>
    <w:basedOn w:val="20"/>
    <w:link w:val="8"/>
    <w:qFormat/>
    <w:uiPriority w:val="0"/>
    <w:rPr>
      <w:rFonts w:ascii="宋体" w:hAnsi="宋体" w:eastAsia="宋体" w:cs="宋体"/>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1">
    <w:name w:val="标题 2 Char"/>
    <w:basedOn w:val="20"/>
    <w:autoRedefine/>
    <w:qFormat/>
    <w:uiPriority w:val="0"/>
    <w:rPr>
      <w:rFonts w:ascii="Times New Roman" w:hAnsi="Times New Roman" w:eastAsia="宋体" w:cs="Times New Roman"/>
      <w:b/>
      <w:bCs/>
      <w:snapToGrid w:val="0"/>
      <w:szCs w:val="24"/>
    </w:rPr>
  </w:style>
  <w:style w:type="character" w:customStyle="1" w:styleId="32">
    <w:name w:val="标题 3 Char"/>
    <w:basedOn w:val="20"/>
    <w:autoRedefine/>
    <w:qFormat/>
    <w:uiPriority w:val="0"/>
    <w:rPr>
      <w:b/>
      <w:bCs/>
      <w:szCs w:val="32"/>
    </w:rPr>
  </w:style>
  <w:style w:type="character" w:customStyle="1" w:styleId="33">
    <w:name w:val="标题 5 Char"/>
    <w:autoRedefine/>
    <w:qFormat/>
    <w:uiPriority w:val="0"/>
    <w:rPr>
      <w:rFonts w:ascii="Times New Roman" w:hAnsi="Times New Roman" w:eastAsia="宋体"/>
      <w:b/>
      <w:sz w:val="28"/>
    </w:rPr>
  </w:style>
  <w:style w:type="paragraph" w:customStyle="1" w:styleId="34">
    <w:name w:val="参选文件格式1"/>
    <w:basedOn w:val="1"/>
    <w:next w:val="1"/>
    <w:link w:val="35"/>
    <w:autoRedefine/>
    <w:qFormat/>
    <w:locked/>
    <w:uiPriority w:val="0"/>
    <w:pPr>
      <w:ind w:firstLine="0" w:firstLineChars="0"/>
      <w:jc w:val="center"/>
      <w:outlineLvl w:val="1"/>
    </w:pPr>
    <w:rPr>
      <w:b/>
      <w:sz w:val="28"/>
    </w:rPr>
  </w:style>
  <w:style w:type="character" w:customStyle="1" w:styleId="35">
    <w:name w:val="参选文件格式1 Char"/>
    <w:basedOn w:val="20"/>
    <w:link w:val="34"/>
    <w:autoRedefine/>
    <w:qFormat/>
    <w:uiPriority w:val="0"/>
    <w:rPr>
      <w:rFonts w:ascii="宋体" w:hAnsi="宋体" w:eastAsia="宋体" w:cs="宋体"/>
      <w:b/>
      <w:kern w:val="2"/>
      <w:sz w:val="28"/>
      <w:szCs w:val="20"/>
      <w:lang w:val="en-US" w:eastAsia="zh-CN" w:bidi="ar-SA"/>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0"/>
    <w:link w:val="37"/>
    <w:autoRedefine/>
    <w:uiPriority w:val="0"/>
    <w:rPr>
      <w:rFonts w:ascii="宋体" w:hAnsi="宋体" w:eastAsia="宋体" w:cs="宋体"/>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 w:type="character" w:customStyle="1" w:styleId="49">
    <w:name w:val="font31"/>
    <w:autoRedefine/>
    <w:qFormat/>
    <w:uiPriority w:val="0"/>
    <w:rPr>
      <w:rFonts w:ascii="宋体" w:hAnsi="宋体" w:eastAsia="宋体" w:cs="宋体"/>
      <w:color w:val="FF0000"/>
      <w:sz w:val="21"/>
      <w:szCs w:val="21"/>
      <w:u w:val="none"/>
    </w:rPr>
  </w:style>
  <w:style w:type="paragraph" w:customStyle="1" w:styleId="50">
    <w:name w:val="列出段落1"/>
    <w:basedOn w:val="1"/>
    <w:qFormat/>
    <w:uiPriority w:val="0"/>
    <w:pPr>
      <w:widowControl w:val="0"/>
      <w:ind w:firstLine="200" w:firstLineChars="200"/>
      <w:jc w:val="both"/>
    </w:pPr>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643A8-AE73-40CE-BCC0-FB738A1556A5}">
  <ds:schemaRefs/>
</ds:datastoreItem>
</file>

<file path=docProps/app.xml><?xml version="1.0" encoding="utf-8"?>
<Properties xmlns="http://schemas.openxmlformats.org/officeDocument/2006/extended-properties" xmlns:vt="http://schemas.openxmlformats.org/officeDocument/2006/docPropsVTypes">
  <Template>Normal.eit</Template>
  <Pages>76</Pages>
  <Words>16548</Words>
  <Characters>19332</Characters>
  <Lines>0</Lines>
  <Paragraphs>819</Paragraphs>
  <TotalTime>7</TotalTime>
  <ScaleCrop>false</ScaleCrop>
  <LinksUpToDate>false</LinksUpToDate>
  <CharactersWithSpaces>19732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2025-09-12T03:45:22Z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E60D3289BB1945C0ABDD5B86A54CFFB3_13</vt:lpwstr>
  </property>
  <property fmtid="{D5CDD505-2E9C-101B-9397-08002B2CF9AE}" pid="4" name="KSOTemplateDocerSaveRecord">
    <vt:lpwstr>eyJoZGlkIjoiYTQ5ZmY1ODA0NTUyNTIzOGU4NGRmM2JhYjg3Y2Q0YjMiLCJ1c2VySWQiOiIxNTcyMDkyNjg5In0=</vt:lpwstr>
  </property>
</Properties>
</file>