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EE69F9"/>
    <w:p w14:paraId="1F96A1E4"/>
    <w:p w14:paraId="1D0A9264">
      <w:pPr>
        <w:ind w:firstLine="0" w:firstLineChars="0"/>
        <w:jc w:val="center"/>
        <w:rPr>
          <w:rFonts w:cs="Times New Roman"/>
          <w:b/>
          <w:snapToGrid w:val="0"/>
          <w:kern w:val="0"/>
          <w:sz w:val="48"/>
          <w:szCs w:val="84"/>
        </w:rPr>
      </w:pPr>
      <w:r>
        <w:rPr>
          <w:rFonts w:hint="eastAsia" w:cs="Times New Roman"/>
          <w:b/>
          <w:snapToGrid w:val="0"/>
          <w:kern w:val="0"/>
          <w:sz w:val="48"/>
          <w:szCs w:val="84"/>
        </w:rPr>
        <w:t>重庆三峡银行</w:t>
      </w:r>
    </w:p>
    <w:p w14:paraId="32ABBA0A">
      <w:pPr>
        <w:ind w:firstLine="0" w:firstLineChars="0"/>
        <w:jc w:val="center"/>
        <w:rPr>
          <w:rFonts w:cs="Times New Roman"/>
          <w:b/>
          <w:snapToGrid w:val="0"/>
          <w:kern w:val="0"/>
          <w:sz w:val="48"/>
          <w:szCs w:val="84"/>
        </w:rPr>
      </w:pPr>
      <w:r>
        <w:rPr>
          <w:rFonts w:hint="eastAsia" w:cs="Times New Roman"/>
          <w:b/>
          <w:snapToGrid w:val="0"/>
          <w:kern w:val="0"/>
          <w:sz w:val="48"/>
          <w:szCs w:val="84"/>
        </w:rPr>
        <w:t>金融借记IC卡空白卡及个人化采购项目</w:t>
      </w:r>
    </w:p>
    <w:p w14:paraId="14BFF847">
      <w:pPr>
        <w:ind w:firstLine="0" w:firstLineChars="0"/>
        <w:jc w:val="center"/>
        <w:rPr>
          <w:rFonts w:cs="Times New Roman"/>
          <w:b/>
          <w:snapToGrid w:val="0"/>
          <w:kern w:val="0"/>
          <w:sz w:val="48"/>
          <w:szCs w:val="84"/>
          <w:highlight w:val="cyan"/>
        </w:rPr>
      </w:pPr>
    </w:p>
    <w:p w14:paraId="5DA725BA"/>
    <w:p w14:paraId="5516A01F"/>
    <w:p w14:paraId="6B9C7D2D"/>
    <w:p w14:paraId="065761AC"/>
    <w:p w14:paraId="27E0EF72"/>
    <w:p w14:paraId="102C754A"/>
    <w:p w14:paraId="1CD0790A"/>
    <w:p w14:paraId="4FF78A5E">
      <w:pPr>
        <w:ind w:firstLine="0" w:firstLineChars="0"/>
        <w:jc w:val="center"/>
        <w:rPr>
          <w:rFonts w:cs="Times New Roman"/>
          <w:b/>
          <w:snapToGrid w:val="0"/>
          <w:kern w:val="0"/>
          <w:sz w:val="84"/>
          <w:szCs w:val="84"/>
        </w:rPr>
      </w:pPr>
      <w:r>
        <w:rPr>
          <w:rFonts w:hint="eastAsia" w:cs="Times New Roman"/>
          <w:b/>
          <w:snapToGrid w:val="0"/>
          <w:kern w:val="0"/>
          <w:sz w:val="96"/>
          <w:szCs w:val="96"/>
        </w:rPr>
        <w:t>询比文件</w:t>
      </w:r>
    </w:p>
    <w:p w14:paraId="56C1B3C5"/>
    <w:p w14:paraId="756582AA"/>
    <w:p w14:paraId="46146188"/>
    <w:p w14:paraId="4030185C"/>
    <w:p w14:paraId="0E3DDC68"/>
    <w:p w14:paraId="1EF6E4C6"/>
    <w:p w14:paraId="5E1630DA"/>
    <w:tbl>
      <w:tblPr>
        <w:tblStyle w:val="19"/>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756"/>
        <w:gridCol w:w="4744"/>
        <w:gridCol w:w="2020"/>
      </w:tblGrid>
      <w:tr w14:paraId="2E5C0A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756" w:type="dxa"/>
            <w:tcBorders>
              <w:tl2br w:val="nil"/>
              <w:tr2bl w:val="nil"/>
            </w:tcBorders>
            <w:vAlign w:val="center"/>
          </w:tcPr>
          <w:p w14:paraId="6DC4F4CC">
            <w:pPr>
              <w:ind w:firstLine="0" w:firstLineChars="0"/>
              <w:jc w:val="distribute"/>
              <w:rPr>
                <w:rFonts w:cs="Times New Roman"/>
                <w:b/>
                <w:snapToGrid w:val="0"/>
                <w:kern w:val="0"/>
                <w:sz w:val="30"/>
                <w:szCs w:val="30"/>
              </w:rPr>
            </w:pPr>
            <w:r>
              <w:rPr>
                <w:rFonts w:hint="eastAsia" w:cs="Times New Roman"/>
                <w:b/>
                <w:snapToGrid w:val="0"/>
                <w:kern w:val="0"/>
                <w:sz w:val="30"/>
                <w:szCs w:val="30"/>
              </w:rPr>
              <w:t>采购人</w:t>
            </w:r>
          </w:p>
        </w:tc>
        <w:tc>
          <w:tcPr>
            <w:tcW w:w="4744" w:type="dxa"/>
            <w:tcBorders>
              <w:tl2br w:val="nil"/>
              <w:tr2bl w:val="nil"/>
            </w:tcBorders>
            <w:vAlign w:val="center"/>
          </w:tcPr>
          <w:p w14:paraId="7B379F8A">
            <w:pPr>
              <w:ind w:firstLine="0" w:firstLineChars="0"/>
              <w:jc w:val="center"/>
              <w:rPr>
                <w:rFonts w:cs="Times New Roman"/>
                <w:b/>
                <w:snapToGrid w:val="0"/>
                <w:kern w:val="0"/>
                <w:sz w:val="30"/>
                <w:szCs w:val="30"/>
              </w:rPr>
            </w:pPr>
            <w:r>
              <w:rPr>
                <w:rFonts w:hint="eastAsia" w:cs="Times New Roman"/>
                <w:b/>
                <w:snapToGrid w:val="0"/>
                <w:kern w:val="0"/>
                <w:sz w:val="30"/>
                <w:szCs w:val="30"/>
              </w:rPr>
              <w:t>重庆三峡银行股份有限公司</w:t>
            </w:r>
          </w:p>
        </w:tc>
        <w:tc>
          <w:tcPr>
            <w:tcW w:w="2020" w:type="dxa"/>
            <w:vMerge w:val="restart"/>
            <w:tcBorders>
              <w:tl2br w:val="nil"/>
              <w:tr2bl w:val="nil"/>
            </w:tcBorders>
            <w:vAlign w:val="center"/>
          </w:tcPr>
          <w:p w14:paraId="56DCA7D4">
            <w:pPr>
              <w:ind w:firstLine="0" w:firstLineChars="0"/>
              <w:jc w:val="center"/>
              <w:rPr>
                <w:rFonts w:cs="Times New Roman"/>
                <w:b/>
                <w:snapToGrid w:val="0"/>
                <w:kern w:val="0"/>
                <w:sz w:val="30"/>
                <w:szCs w:val="30"/>
              </w:rPr>
            </w:pPr>
            <w:r>
              <w:rPr>
                <w:rFonts w:hint="eastAsia" w:cs="Times New Roman"/>
                <w:bCs/>
                <w:snapToGrid w:val="0"/>
                <w:kern w:val="0"/>
                <w:sz w:val="24"/>
                <w:szCs w:val="24"/>
              </w:rPr>
              <w:t>（采购人公章）</w:t>
            </w:r>
          </w:p>
        </w:tc>
      </w:tr>
      <w:tr w14:paraId="6F3C50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756" w:type="dxa"/>
            <w:tcBorders>
              <w:tl2br w:val="nil"/>
              <w:tr2bl w:val="nil"/>
            </w:tcBorders>
            <w:vAlign w:val="center"/>
          </w:tcPr>
          <w:p w14:paraId="4ED14455">
            <w:pPr>
              <w:ind w:firstLine="0" w:firstLineChars="0"/>
              <w:jc w:val="distribute"/>
              <w:rPr>
                <w:rFonts w:cs="Times New Roman"/>
                <w:b/>
                <w:snapToGrid w:val="0"/>
                <w:kern w:val="0"/>
                <w:sz w:val="30"/>
                <w:szCs w:val="30"/>
              </w:rPr>
            </w:pPr>
            <w:r>
              <w:rPr>
                <w:rFonts w:hint="eastAsia" w:cs="Times New Roman"/>
                <w:b/>
                <w:snapToGrid w:val="0"/>
                <w:kern w:val="0"/>
                <w:sz w:val="30"/>
                <w:szCs w:val="30"/>
              </w:rPr>
              <w:t>发布时间</w:t>
            </w:r>
          </w:p>
        </w:tc>
        <w:tc>
          <w:tcPr>
            <w:tcW w:w="4744" w:type="dxa"/>
            <w:tcBorders>
              <w:tl2br w:val="nil"/>
              <w:tr2bl w:val="nil"/>
            </w:tcBorders>
            <w:vAlign w:val="center"/>
          </w:tcPr>
          <w:p w14:paraId="77575AB3">
            <w:pPr>
              <w:ind w:firstLine="0" w:firstLineChars="0"/>
              <w:jc w:val="center"/>
              <w:rPr>
                <w:rFonts w:cs="Times New Roman"/>
                <w:b/>
                <w:snapToGrid w:val="0"/>
                <w:kern w:val="0"/>
                <w:sz w:val="30"/>
                <w:szCs w:val="30"/>
              </w:rPr>
            </w:pPr>
            <w:r>
              <w:rPr>
                <w:rFonts w:hint="eastAsia" w:cs="Times New Roman"/>
                <w:b/>
                <w:snapToGrid w:val="0"/>
                <w:kern w:val="0"/>
                <w:sz w:val="30"/>
                <w:szCs w:val="30"/>
                <w:lang w:val="en-US" w:eastAsia="zh-CN"/>
              </w:rPr>
              <w:t>2025</w:t>
            </w:r>
            <w:r>
              <w:rPr>
                <w:rFonts w:cs="Times New Roman"/>
                <w:b/>
                <w:snapToGrid w:val="0"/>
                <w:kern w:val="0"/>
                <w:sz w:val="30"/>
                <w:szCs w:val="30"/>
              </w:rPr>
              <w:t>年</w:t>
            </w:r>
            <w:r>
              <w:rPr>
                <w:rFonts w:hint="eastAsia" w:cs="Times New Roman"/>
                <w:b/>
                <w:snapToGrid w:val="0"/>
                <w:kern w:val="0"/>
                <w:sz w:val="30"/>
                <w:szCs w:val="30"/>
              </w:rPr>
              <w:t xml:space="preserve"> </w:t>
            </w:r>
            <w:r>
              <w:rPr>
                <w:rFonts w:hint="eastAsia" w:cs="Times New Roman"/>
                <w:b/>
                <w:snapToGrid w:val="0"/>
                <w:kern w:val="0"/>
                <w:sz w:val="30"/>
                <w:szCs w:val="30"/>
                <w:lang w:val="en-US" w:eastAsia="zh-CN"/>
              </w:rPr>
              <w:t>11</w:t>
            </w:r>
            <w:r>
              <w:rPr>
                <w:rFonts w:cs="Times New Roman"/>
                <w:b/>
                <w:snapToGrid w:val="0"/>
                <w:kern w:val="0"/>
                <w:sz w:val="30"/>
                <w:szCs w:val="30"/>
              </w:rPr>
              <w:t>月</w:t>
            </w:r>
          </w:p>
        </w:tc>
        <w:tc>
          <w:tcPr>
            <w:tcW w:w="2020" w:type="dxa"/>
            <w:vMerge w:val="continue"/>
            <w:tcBorders>
              <w:tl2br w:val="nil"/>
              <w:tr2bl w:val="nil"/>
            </w:tcBorders>
            <w:vAlign w:val="center"/>
          </w:tcPr>
          <w:p w14:paraId="51CA2996"/>
        </w:tc>
      </w:tr>
    </w:tbl>
    <w:p w14:paraId="64ED7012"/>
    <w:p w14:paraId="2F8282BD">
      <w:pPr>
        <w:sectPr>
          <w:pgSz w:w="11906" w:h="16838"/>
          <w:pgMar w:top="1440" w:right="1800" w:bottom="1440" w:left="1800" w:header="851" w:footer="992" w:gutter="0"/>
          <w:pgNumType w:start="1"/>
          <w:cols w:space="720" w:num="1"/>
          <w:docGrid w:type="lines" w:linePitch="312" w:charSpace="0"/>
        </w:sectPr>
      </w:pPr>
    </w:p>
    <w:p w14:paraId="1891F173">
      <w:pPr>
        <w:pStyle w:val="40"/>
      </w:pPr>
      <w:r>
        <w:rPr>
          <w:rFonts w:hint="eastAsia"/>
        </w:rPr>
        <w:t>目录</w:t>
      </w:r>
    </w:p>
    <w:p w14:paraId="693D93BD">
      <w:pPr>
        <w:pStyle w:val="17"/>
        <w:tabs>
          <w:tab w:val="right" w:leader="dot" w:pos="8306"/>
        </w:tabs>
      </w:pPr>
      <w:r>
        <w:rPr>
          <w:rFonts w:ascii="宋体" w:hAnsi="宋体"/>
          <w:snapToGrid w:val="0"/>
          <w:kern w:val="0"/>
          <w:sz w:val="24"/>
          <w:szCs w:val="24"/>
          <w:highlight w:val="yellow"/>
        </w:rPr>
        <w:fldChar w:fldCharType="begin"/>
      </w:r>
      <w:r>
        <w:rPr>
          <w:rFonts w:hint="eastAsia" w:ascii="宋体" w:hAnsi="宋体"/>
          <w:snapToGrid w:val="0"/>
          <w:kern w:val="0"/>
          <w:sz w:val="24"/>
          <w:szCs w:val="24"/>
          <w:highlight w:val="yellow"/>
        </w:rPr>
        <w:instrText xml:space="preserve">TOC \o "1-1" \h \z \u</w:instrText>
      </w:r>
      <w:r>
        <w:rPr>
          <w:rFonts w:ascii="宋体" w:hAnsi="宋体"/>
          <w:snapToGrid w:val="0"/>
          <w:kern w:val="0"/>
          <w:sz w:val="24"/>
          <w:szCs w:val="24"/>
          <w:highlight w:val="yellow"/>
        </w:rPr>
        <w:instrText xml:space="preserve"> </w:instrText>
      </w:r>
      <w:r>
        <w:rPr>
          <w:rFonts w:ascii="宋体" w:hAnsi="宋体"/>
          <w:snapToGrid w:val="0"/>
          <w:kern w:val="0"/>
          <w:sz w:val="24"/>
          <w:szCs w:val="24"/>
          <w:highlight w:val="yellow"/>
        </w:rPr>
        <w:fldChar w:fldCharType="separate"/>
      </w:r>
      <w:r>
        <w:rPr>
          <w:rFonts w:ascii="宋体" w:hAnsi="宋体"/>
          <w:snapToGrid w:val="0"/>
          <w:kern w:val="0"/>
          <w:szCs w:val="24"/>
          <w:highlight w:val="yellow"/>
        </w:rPr>
        <w:fldChar w:fldCharType="begin"/>
      </w:r>
      <w:r>
        <w:rPr>
          <w:rFonts w:ascii="宋体" w:hAnsi="宋体"/>
          <w:snapToGrid w:val="0"/>
          <w:kern w:val="0"/>
          <w:szCs w:val="24"/>
          <w:highlight w:val="yellow"/>
        </w:rPr>
        <w:instrText xml:space="preserve"> HYPERLINK \l _Toc12530 </w:instrText>
      </w:r>
      <w:r>
        <w:rPr>
          <w:rFonts w:ascii="宋体" w:hAnsi="宋体"/>
          <w:snapToGrid w:val="0"/>
          <w:kern w:val="0"/>
          <w:szCs w:val="24"/>
          <w:highlight w:val="yellow"/>
        </w:rPr>
        <w:fldChar w:fldCharType="separate"/>
      </w:r>
      <w:r>
        <w:rPr>
          <w:rFonts w:hint="eastAsia"/>
        </w:rPr>
        <w:t>第一章 询比公告</w:t>
      </w:r>
      <w:r>
        <w:tab/>
      </w:r>
      <w:r>
        <w:fldChar w:fldCharType="begin"/>
      </w:r>
      <w:r>
        <w:instrText xml:space="preserve"> PAGEREF _Toc12530 \h </w:instrText>
      </w:r>
      <w:r>
        <w:fldChar w:fldCharType="separate"/>
      </w:r>
      <w:r>
        <w:t>1</w:t>
      </w:r>
      <w:r>
        <w:fldChar w:fldCharType="end"/>
      </w:r>
      <w:r>
        <w:rPr>
          <w:rFonts w:ascii="宋体" w:hAnsi="宋体"/>
          <w:snapToGrid w:val="0"/>
          <w:kern w:val="0"/>
          <w:szCs w:val="24"/>
          <w:highlight w:val="yellow"/>
        </w:rPr>
        <w:fldChar w:fldCharType="end"/>
      </w:r>
    </w:p>
    <w:p w14:paraId="5D2D7853">
      <w:pPr>
        <w:pStyle w:val="17"/>
        <w:tabs>
          <w:tab w:val="right" w:leader="dot" w:pos="8306"/>
        </w:tabs>
      </w:pPr>
      <w:r>
        <w:rPr>
          <w:rFonts w:ascii="宋体" w:hAnsi="宋体"/>
          <w:snapToGrid w:val="0"/>
          <w:kern w:val="0"/>
          <w:szCs w:val="24"/>
          <w:highlight w:val="yellow"/>
        </w:rPr>
        <w:fldChar w:fldCharType="begin"/>
      </w:r>
      <w:r>
        <w:rPr>
          <w:rFonts w:ascii="宋体" w:hAnsi="宋体"/>
          <w:snapToGrid w:val="0"/>
          <w:kern w:val="0"/>
          <w:szCs w:val="24"/>
          <w:highlight w:val="yellow"/>
        </w:rPr>
        <w:instrText xml:space="preserve"> HYPERLINK \l _Toc26127 </w:instrText>
      </w:r>
      <w:r>
        <w:rPr>
          <w:rFonts w:ascii="宋体" w:hAnsi="宋体"/>
          <w:snapToGrid w:val="0"/>
          <w:kern w:val="0"/>
          <w:szCs w:val="24"/>
          <w:highlight w:val="yellow"/>
        </w:rPr>
        <w:fldChar w:fldCharType="separate"/>
      </w:r>
      <w:r>
        <w:rPr>
          <w:rFonts w:hint="eastAsia"/>
        </w:rPr>
        <w:t>第二章 响应人须知</w:t>
      </w:r>
      <w:r>
        <w:tab/>
      </w:r>
      <w:r>
        <w:fldChar w:fldCharType="begin"/>
      </w:r>
      <w:r>
        <w:instrText xml:space="preserve"> PAGEREF _Toc26127 \h </w:instrText>
      </w:r>
      <w:r>
        <w:fldChar w:fldCharType="separate"/>
      </w:r>
      <w:r>
        <w:t>6</w:t>
      </w:r>
      <w:r>
        <w:fldChar w:fldCharType="end"/>
      </w:r>
      <w:r>
        <w:rPr>
          <w:rFonts w:ascii="宋体" w:hAnsi="宋体"/>
          <w:snapToGrid w:val="0"/>
          <w:kern w:val="0"/>
          <w:szCs w:val="24"/>
          <w:highlight w:val="yellow"/>
        </w:rPr>
        <w:fldChar w:fldCharType="end"/>
      </w:r>
    </w:p>
    <w:p w14:paraId="24E73C1B">
      <w:pPr>
        <w:pStyle w:val="17"/>
        <w:tabs>
          <w:tab w:val="right" w:leader="dot" w:pos="8306"/>
        </w:tabs>
      </w:pPr>
      <w:r>
        <w:rPr>
          <w:rFonts w:ascii="宋体" w:hAnsi="宋体"/>
          <w:snapToGrid w:val="0"/>
          <w:kern w:val="0"/>
          <w:szCs w:val="24"/>
          <w:highlight w:val="yellow"/>
        </w:rPr>
        <w:fldChar w:fldCharType="begin"/>
      </w:r>
      <w:r>
        <w:rPr>
          <w:rFonts w:ascii="宋体" w:hAnsi="宋体"/>
          <w:snapToGrid w:val="0"/>
          <w:kern w:val="0"/>
          <w:szCs w:val="24"/>
          <w:highlight w:val="yellow"/>
        </w:rPr>
        <w:instrText xml:space="preserve"> HYPERLINK \l _Toc27323 </w:instrText>
      </w:r>
      <w:r>
        <w:rPr>
          <w:rFonts w:ascii="宋体" w:hAnsi="宋体"/>
          <w:snapToGrid w:val="0"/>
          <w:kern w:val="0"/>
          <w:szCs w:val="24"/>
          <w:highlight w:val="yellow"/>
        </w:rPr>
        <w:fldChar w:fldCharType="separate"/>
      </w:r>
      <w:r>
        <w:rPr>
          <w:rFonts w:hint="eastAsia"/>
        </w:rPr>
        <w:t>第三章 评审办法（综合评估法）</w:t>
      </w:r>
      <w:r>
        <w:tab/>
      </w:r>
      <w:r>
        <w:fldChar w:fldCharType="begin"/>
      </w:r>
      <w:r>
        <w:instrText xml:space="preserve"> PAGEREF _Toc27323 \h </w:instrText>
      </w:r>
      <w:r>
        <w:fldChar w:fldCharType="separate"/>
      </w:r>
      <w:r>
        <w:t>16</w:t>
      </w:r>
      <w:r>
        <w:fldChar w:fldCharType="end"/>
      </w:r>
      <w:r>
        <w:rPr>
          <w:rFonts w:ascii="宋体" w:hAnsi="宋体"/>
          <w:snapToGrid w:val="0"/>
          <w:kern w:val="0"/>
          <w:szCs w:val="24"/>
          <w:highlight w:val="yellow"/>
        </w:rPr>
        <w:fldChar w:fldCharType="end"/>
      </w:r>
    </w:p>
    <w:p w14:paraId="20C93EA4">
      <w:pPr>
        <w:pStyle w:val="17"/>
        <w:tabs>
          <w:tab w:val="right" w:leader="dot" w:pos="8306"/>
        </w:tabs>
      </w:pPr>
      <w:r>
        <w:rPr>
          <w:rFonts w:ascii="宋体" w:hAnsi="宋体"/>
          <w:snapToGrid w:val="0"/>
          <w:kern w:val="0"/>
          <w:szCs w:val="24"/>
          <w:highlight w:val="yellow"/>
        </w:rPr>
        <w:fldChar w:fldCharType="begin"/>
      </w:r>
      <w:r>
        <w:rPr>
          <w:rFonts w:ascii="宋体" w:hAnsi="宋体"/>
          <w:snapToGrid w:val="0"/>
          <w:kern w:val="0"/>
          <w:szCs w:val="24"/>
          <w:highlight w:val="yellow"/>
        </w:rPr>
        <w:instrText xml:space="preserve"> HYPERLINK \l _Toc30882 </w:instrText>
      </w:r>
      <w:r>
        <w:rPr>
          <w:rFonts w:ascii="宋体" w:hAnsi="宋体"/>
          <w:snapToGrid w:val="0"/>
          <w:kern w:val="0"/>
          <w:szCs w:val="24"/>
          <w:highlight w:val="yellow"/>
        </w:rPr>
        <w:fldChar w:fldCharType="separate"/>
      </w:r>
      <w:r>
        <w:rPr>
          <w:rFonts w:hint="eastAsia"/>
        </w:rPr>
        <w:t>第四章 合同条款及格式</w:t>
      </w:r>
      <w:r>
        <w:tab/>
      </w:r>
      <w:r>
        <w:fldChar w:fldCharType="begin"/>
      </w:r>
      <w:r>
        <w:instrText xml:space="preserve"> PAGEREF _Toc30882 \h </w:instrText>
      </w:r>
      <w:r>
        <w:fldChar w:fldCharType="separate"/>
      </w:r>
      <w:r>
        <w:t>26</w:t>
      </w:r>
      <w:r>
        <w:fldChar w:fldCharType="end"/>
      </w:r>
      <w:r>
        <w:rPr>
          <w:rFonts w:ascii="宋体" w:hAnsi="宋体"/>
          <w:snapToGrid w:val="0"/>
          <w:kern w:val="0"/>
          <w:szCs w:val="24"/>
          <w:highlight w:val="yellow"/>
        </w:rPr>
        <w:fldChar w:fldCharType="end"/>
      </w:r>
    </w:p>
    <w:p w14:paraId="4D84BB83">
      <w:pPr>
        <w:pStyle w:val="17"/>
        <w:tabs>
          <w:tab w:val="right" w:leader="dot" w:pos="8306"/>
        </w:tabs>
      </w:pPr>
      <w:r>
        <w:rPr>
          <w:rFonts w:ascii="宋体" w:hAnsi="宋体"/>
          <w:snapToGrid w:val="0"/>
          <w:kern w:val="0"/>
          <w:szCs w:val="24"/>
          <w:highlight w:val="yellow"/>
        </w:rPr>
        <w:fldChar w:fldCharType="begin"/>
      </w:r>
      <w:r>
        <w:rPr>
          <w:rFonts w:ascii="宋体" w:hAnsi="宋体"/>
          <w:snapToGrid w:val="0"/>
          <w:kern w:val="0"/>
          <w:szCs w:val="24"/>
          <w:highlight w:val="yellow"/>
        </w:rPr>
        <w:instrText xml:space="preserve"> HYPERLINK \l _Toc9049 </w:instrText>
      </w:r>
      <w:r>
        <w:rPr>
          <w:rFonts w:ascii="宋体" w:hAnsi="宋体"/>
          <w:snapToGrid w:val="0"/>
          <w:kern w:val="0"/>
          <w:szCs w:val="24"/>
          <w:highlight w:val="yellow"/>
        </w:rPr>
        <w:fldChar w:fldCharType="separate"/>
      </w:r>
      <w:r>
        <w:rPr>
          <w:rFonts w:hint="eastAsia"/>
        </w:rPr>
        <w:t>第五章 项目要求</w:t>
      </w:r>
      <w:r>
        <w:tab/>
      </w:r>
      <w:r>
        <w:fldChar w:fldCharType="begin"/>
      </w:r>
      <w:r>
        <w:instrText xml:space="preserve"> PAGEREF _Toc9049 \h </w:instrText>
      </w:r>
      <w:r>
        <w:fldChar w:fldCharType="separate"/>
      </w:r>
      <w:r>
        <w:t>48</w:t>
      </w:r>
      <w:r>
        <w:fldChar w:fldCharType="end"/>
      </w:r>
      <w:r>
        <w:rPr>
          <w:rFonts w:ascii="宋体" w:hAnsi="宋体"/>
          <w:snapToGrid w:val="0"/>
          <w:kern w:val="0"/>
          <w:szCs w:val="24"/>
          <w:highlight w:val="yellow"/>
        </w:rPr>
        <w:fldChar w:fldCharType="end"/>
      </w:r>
    </w:p>
    <w:p w14:paraId="68D0FD0E">
      <w:pPr>
        <w:pStyle w:val="17"/>
        <w:tabs>
          <w:tab w:val="right" w:leader="dot" w:pos="8306"/>
        </w:tabs>
      </w:pPr>
      <w:r>
        <w:rPr>
          <w:rFonts w:ascii="宋体" w:hAnsi="宋体"/>
          <w:snapToGrid w:val="0"/>
          <w:kern w:val="0"/>
          <w:szCs w:val="24"/>
          <w:highlight w:val="yellow"/>
        </w:rPr>
        <w:fldChar w:fldCharType="begin"/>
      </w:r>
      <w:r>
        <w:rPr>
          <w:rFonts w:ascii="宋体" w:hAnsi="宋体"/>
          <w:snapToGrid w:val="0"/>
          <w:kern w:val="0"/>
          <w:szCs w:val="24"/>
          <w:highlight w:val="yellow"/>
        </w:rPr>
        <w:instrText xml:space="preserve"> HYPERLINK \l _Toc28001 </w:instrText>
      </w:r>
      <w:r>
        <w:rPr>
          <w:rFonts w:ascii="宋体" w:hAnsi="宋体"/>
          <w:snapToGrid w:val="0"/>
          <w:kern w:val="0"/>
          <w:szCs w:val="24"/>
          <w:highlight w:val="yellow"/>
        </w:rPr>
        <w:fldChar w:fldCharType="separate"/>
      </w:r>
      <w:r>
        <w:rPr>
          <w:rFonts w:hint="eastAsia"/>
        </w:rPr>
        <w:t>第六章 响应文件格式</w:t>
      </w:r>
      <w:r>
        <w:tab/>
      </w:r>
      <w:r>
        <w:fldChar w:fldCharType="begin"/>
      </w:r>
      <w:r>
        <w:instrText xml:space="preserve"> PAGEREF _Toc28001 \h </w:instrText>
      </w:r>
      <w:r>
        <w:fldChar w:fldCharType="separate"/>
      </w:r>
      <w:r>
        <w:t>60</w:t>
      </w:r>
      <w:r>
        <w:fldChar w:fldCharType="end"/>
      </w:r>
      <w:r>
        <w:rPr>
          <w:rFonts w:ascii="宋体" w:hAnsi="宋体"/>
          <w:snapToGrid w:val="0"/>
          <w:kern w:val="0"/>
          <w:szCs w:val="24"/>
          <w:highlight w:val="yellow"/>
        </w:rPr>
        <w:fldChar w:fldCharType="end"/>
      </w:r>
    </w:p>
    <w:p w14:paraId="40A7AB6D">
      <w:pPr>
        <w:widowControl/>
        <w:jc w:val="distribute"/>
        <w:rPr>
          <w:rFonts w:hint="eastAsia" w:ascii="宋体" w:hAnsi="宋体"/>
          <w:snapToGrid w:val="0"/>
          <w:kern w:val="0"/>
          <w:sz w:val="24"/>
          <w:szCs w:val="24"/>
        </w:rPr>
      </w:pPr>
      <w:r>
        <w:rPr>
          <w:rFonts w:ascii="宋体" w:hAnsi="宋体"/>
          <w:snapToGrid w:val="0"/>
          <w:kern w:val="0"/>
          <w:szCs w:val="24"/>
          <w:highlight w:val="yellow"/>
        </w:rPr>
        <w:fldChar w:fldCharType="end"/>
      </w:r>
    </w:p>
    <w:p w14:paraId="28EC70DD">
      <w:pPr>
        <w:widowControl/>
        <w:jc w:val="left"/>
        <w:rPr>
          <w:rFonts w:hint="eastAsia" w:ascii="宋体" w:hAnsi="宋体"/>
          <w:snapToGrid w:val="0"/>
          <w:kern w:val="0"/>
          <w:sz w:val="24"/>
          <w:szCs w:val="24"/>
        </w:rPr>
        <w:sectPr>
          <w:pgSz w:w="11906" w:h="16838"/>
          <w:pgMar w:top="1440" w:right="1800" w:bottom="1440" w:left="1800" w:header="851" w:footer="992" w:gutter="0"/>
          <w:pgNumType w:start="1"/>
          <w:cols w:space="720" w:num="1"/>
          <w:docGrid w:type="lines" w:linePitch="312" w:charSpace="0"/>
        </w:sectPr>
      </w:pPr>
    </w:p>
    <w:p w14:paraId="6B673296">
      <w:pPr>
        <w:pStyle w:val="2"/>
      </w:pPr>
      <w:bookmarkStart w:id="0" w:name="_Toc440628903"/>
      <w:bookmarkStart w:id="1" w:name="_Toc6745"/>
      <w:bookmarkStart w:id="2" w:name="_Toc469574661"/>
      <w:bookmarkStart w:id="3" w:name="_Toc10551"/>
      <w:bookmarkStart w:id="4" w:name="_Toc12530"/>
      <w:r>
        <w:rPr>
          <w:rFonts w:hint="eastAsia"/>
        </w:rPr>
        <w:t>第一章</w:t>
      </w:r>
      <w:bookmarkEnd w:id="0"/>
      <w:r>
        <w:rPr>
          <w:rFonts w:hint="eastAsia"/>
        </w:rPr>
        <w:t xml:space="preserve"> </w:t>
      </w:r>
      <w:bookmarkEnd w:id="1"/>
      <w:bookmarkEnd w:id="2"/>
      <w:r>
        <w:rPr>
          <w:rFonts w:hint="eastAsia"/>
        </w:rPr>
        <w:t>询比公告</w:t>
      </w:r>
      <w:bookmarkEnd w:id="3"/>
      <w:bookmarkEnd w:id="4"/>
    </w:p>
    <w:p w14:paraId="5FDDFCFC">
      <w:pPr>
        <w:rPr>
          <w:szCs w:val="21"/>
        </w:rPr>
      </w:pPr>
      <w:bookmarkStart w:id="5" w:name="_Toc89675127"/>
      <w:bookmarkStart w:id="6" w:name="_Toc55379218"/>
      <w:r>
        <w:rPr>
          <w:rFonts w:hint="eastAsia"/>
          <w:szCs w:val="21"/>
        </w:rPr>
        <w:t>本次询比以满足本行业务发展、维护本行利益为目的，对金融IC卡空白卡及个人化进行公开询比，确定未来一定时期内本行金融IC卡空白卡及个人化供货商。现对</w:t>
      </w:r>
      <w:r>
        <w:rPr>
          <w:rFonts w:hint="eastAsia"/>
          <w:szCs w:val="21"/>
          <w:u w:val="single"/>
        </w:rPr>
        <w:t>重庆三峡银行金融借记IC卡空白卡及个人化采购项目</w:t>
      </w:r>
      <w:r>
        <w:rPr>
          <w:rFonts w:hint="eastAsia"/>
          <w:szCs w:val="21"/>
        </w:rPr>
        <w:t>进行公开询比，</w:t>
      </w:r>
      <w:r>
        <w:rPr>
          <w:szCs w:val="21"/>
        </w:rPr>
        <w:t>特邀请有意向的潜在</w:t>
      </w:r>
      <w:r>
        <w:rPr>
          <w:rFonts w:hint="eastAsia"/>
          <w:szCs w:val="21"/>
        </w:rPr>
        <w:t>响应人参与响应</w:t>
      </w:r>
      <w:r>
        <w:rPr>
          <w:szCs w:val="21"/>
        </w:rPr>
        <w:t>。</w:t>
      </w:r>
    </w:p>
    <w:p w14:paraId="29CD4E6A">
      <w:pPr>
        <w:pStyle w:val="3"/>
      </w:pPr>
      <w:r>
        <w:rPr>
          <w:rFonts w:hint="eastAsia"/>
        </w:rPr>
        <w:t>1. 询比项目内容</w:t>
      </w:r>
      <w:bookmarkEnd w:id="5"/>
      <w:bookmarkEnd w:id="6"/>
    </w:p>
    <w:p w14:paraId="1E3BCF04">
      <w:bookmarkStart w:id="7" w:name="_Toc297817088"/>
      <w:bookmarkStart w:id="8" w:name="_Toc89675128"/>
      <w:bookmarkStart w:id="9" w:name="_Toc469574664"/>
      <w:bookmarkStart w:id="10" w:name="_Toc288224935"/>
      <w:bookmarkStart w:id="11" w:name="_Toc55379219"/>
      <w:r>
        <w:rPr>
          <w:rFonts w:hint="eastAsia"/>
        </w:rPr>
        <w:t>1.1 项目名称：</w:t>
      </w:r>
      <w:r>
        <w:rPr>
          <w:rFonts w:hint="eastAsia"/>
          <w:szCs w:val="21"/>
          <w:u w:val="single"/>
        </w:rPr>
        <w:t>重庆三峡银行金融借记IC卡空白卡及个人化采购项目</w:t>
      </w:r>
    </w:p>
    <w:p w14:paraId="18B94A4A">
      <w:r>
        <w:rPr>
          <w:rFonts w:hint="eastAsia"/>
        </w:rPr>
        <w:t>1.2 采购人：</w:t>
      </w:r>
      <w:r>
        <w:t>重庆三峡银行股份有限公司</w:t>
      </w:r>
      <w:r>
        <w:rPr>
          <w:rFonts w:hint="eastAsia"/>
        </w:rPr>
        <w:t>。</w:t>
      </w:r>
    </w:p>
    <w:p w14:paraId="4945CAFE">
      <w:r>
        <w:rPr>
          <w:rFonts w:hint="eastAsia"/>
        </w:rPr>
        <w:t>1.3 询比范围：</w:t>
      </w:r>
      <w:r>
        <w:rPr>
          <w:rFonts w:hint="eastAsia"/>
          <w:szCs w:val="21"/>
        </w:rPr>
        <w:t>金融IC卡空白卡及个人化</w:t>
      </w:r>
    </w:p>
    <w:p w14:paraId="73843889">
      <w:r>
        <w:rPr>
          <w:rFonts w:hint="eastAsia"/>
        </w:rPr>
        <w:t>1.4 响应报价</w:t>
      </w:r>
    </w:p>
    <w:p w14:paraId="221A4237">
      <w:r>
        <w:rPr>
          <w:rFonts w:hint="eastAsia"/>
        </w:rPr>
        <w:t>最高限价：</w:t>
      </w:r>
      <w:r>
        <w:t>3.45/张</w:t>
      </w:r>
      <w:r>
        <w:rPr>
          <w:rFonts w:hint="eastAsia"/>
        </w:rPr>
        <w:t xml:space="preserve"> （含税）</w:t>
      </w:r>
    </w:p>
    <w:p w14:paraId="73FC9C45">
      <w:r>
        <w:rPr>
          <w:rFonts w:hint="eastAsia"/>
        </w:rPr>
        <w:t>1.5 成交供应商数量：</w:t>
      </w:r>
      <w:r>
        <w:t>1-2名</w:t>
      </w:r>
    </w:p>
    <w:p w14:paraId="2444DACC">
      <w:r>
        <w:rPr>
          <w:rFonts w:hint="eastAsia"/>
        </w:rPr>
        <w:t>1.6 其他：经评审排名第一的将作为主供应商，排名第二为备用供应商</w:t>
      </w:r>
      <w:r>
        <w:rPr>
          <w:rFonts w:hint="eastAsia"/>
          <w:szCs w:val="21"/>
        </w:rPr>
        <w:t>。</w:t>
      </w:r>
    </w:p>
    <w:p w14:paraId="33D2F3D5">
      <w:pPr>
        <w:pStyle w:val="3"/>
      </w:pPr>
      <w:r>
        <w:rPr>
          <w:rFonts w:hint="eastAsia"/>
        </w:rPr>
        <w:t>2. 响应人资格要求</w:t>
      </w:r>
      <w:bookmarkEnd w:id="7"/>
      <w:bookmarkEnd w:id="8"/>
      <w:bookmarkEnd w:id="9"/>
      <w:bookmarkEnd w:id="10"/>
      <w:bookmarkEnd w:id="11"/>
    </w:p>
    <w:p w14:paraId="7B4A114C">
      <w:pPr>
        <w:rPr>
          <w:szCs w:val="21"/>
        </w:rPr>
      </w:pPr>
      <w:bookmarkStart w:id="12" w:name="_Hlk55488870"/>
      <w:r>
        <w:rPr>
          <w:rFonts w:hint="eastAsia"/>
          <w:szCs w:val="21"/>
        </w:rPr>
        <w:t>2.1 具有独立承担民事责任的能力</w:t>
      </w:r>
    </w:p>
    <w:p w14:paraId="24AB62E4">
      <w:pPr>
        <w:rPr>
          <w:szCs w:val="21"/>
        </w:rPr>
      </w:pPr>
      <w:r>
        <w:rPr>
          <w:rFonts w:hint="eastAsia"/>
          <w:szCs w:val="21"/>
        </w:rPr>
        <w:t>【提供：1、响应人有效营业执照（副本）或事业单位法人证书（副本）；2、响应人法定代表人身份证明；3、法定代表人授权委托书（适用于有委托代理人的情况时采用）。】</w:t>
      </w:r>
    </w:p>
    <w:p w14:paraId="2C000B5B">
      <w:pPr>
        <w:rPr>
          <w:szCs w:val="21"/>
        </w:rPr>
      </w:pPr>
      <w:r>
        <w:rPr>
          <w:rFonts w:hint="eastAsia"/>
          <w:szCs w:val="21"/>
        </w:rPr>
        <w:t>注：本项目不允许个体工商户或自然人参与响应。</w:t>
      </w:r>
    </w:p>
    <w:p w14:paraId="6ADF13D9">
      <w:pPr>
        <w:rPr>
          <w:szCs w:val="21"/>
        </w:rPr>
      </w:pPr>
      <w:r>
        <w:rPr>
          <w:rFonts w:hint="eastAsia"/>
          <w:szCs w:val="21"/>
        </w:rPr>
        <w:t>2.2 响应人应具有良好的商业信誉和健全的财务会计制度，具有履行合同所必需的设备和专业技术能力，有依法缴纳税收和社会保障金的良好记录，三年内在经营活动中没有重大违法记录【提供书面声明】；</w:t>
      </w:r>
    </w:p>
    <w:p w14:paraId="6C8282B5">
      <w:pPr>
        <w:rPr>
          <w:szCs w:val="21"/>
        </w:rPr>
      </w:pPr>
      <w:r>
        <w:rPr>
          <w:rFonts w:hint="eastAsia"/>
          <w:szCs w:val="21"/>
        </w:rPr>
        <w:t>2.3 本项目不允许任何形式的转包【提供书面声明】。</w:t>
      </w:r>
    </w:p>
    <w:p w14:paraId="3B06BFCE">
      <w:pPr>
        <w:rPr>
          <w:szCs w:val="21"/>
        </w:rPr>
      </w:pPr>
      <w:r>
        <w:rPr>
          <w:rFonts w:hint="eastAsia"/>
          <w:szCs w:val="21"/>
        </w:rPr>
        <w:t>2.4 法人及法定代表人没有被人民法院列为失信被执行人名单（中国执行信息公开网网址：https://zxgk.court.gov.cn/）【提供：1、法人在</w:t>
      </w:r>
      <w:r>
        <w:rPr>
          <w:szCs w:val="21"/>
        </w:rPr>
        <w:t>中国执行信息公开网</w:t>
      </w:r>
      <w:r>
        <w:rPr>
          <w:rFonts w:hint="eastAsia"/>
          <w:szCs w:val="21"/>
        </w:rPr>
        <w:t>的查询</w:t>
      </w:r>
      <w:r>
        <w:rPr>
          <w:szCs w:val="21"/>
        </w:rPr>
        <w:t>截图</w:t>
      </w:r>
      <w:r>
        <w:rPr>
          <w:rFonts w:hint="eastAsia"/>
          <w:szCs w:val="21"/>
        </w:rPr>
        <w:t>并加盖单位鲜章；2、法定代表人在</w:t>
      </w:r>
      <w:r>
        <w:rPr>
          <w:szCs w:val="21"/>
        </w:rPr>
        <w:t>中国执行信息公开网</w:t>
      </w:r>
      <w:r>
        <w:rPr>
          <w:rFonts w:hint="eastAsia"/>
          <w:szCs w:val="21"/>
        </w:rPr>
        <w:t>的查询</w:t>
      </w:r>
      <w:r>
        <w:rPr>
          <w:szCs w:val="21"/>
        </w:rPr>
        <w:t>截图</w:t>
      </w:r>
      <w:r>
        <w:rPr>
          <w:rFonts w:hint="eastAsia"/>
          <w:szCs w:val="21"/>
        </w:rPr>
        <w:t>并加盖单位鲜章】；</w:t>
      </w:r>
    </w:p>
    <w:p w14:paraId="6552C398">
      <w:pPr>
        <w:rPr>
          <w:szCs w:val="21"/>
        </w:rPr>
      </w:pPr>
      <w:r>
        <w:rPr>
          <w:rFonts w:hint="eastAsia"/>
          <w:szCs w:val="21"/>
        </w:rPr>
        <w:t>2.5 本次询比不接受联合体响应。</w:t>
      </w:r>
    </w:p>
    <w:p w14:paraId="238A11BB">
      <w:pPr>
        <w:rPr>
          <w:szCs w:val="21"/>
        </w:rPr>
      </w:pPr>
      <w:r>
        <w:rPr>
          <w:rFonts w:hint="eastAsia"/>
          <w:szCs w:val="21"/>
        </w:rPr>
        <w:t>2.6 本次询比响应人还应具备以下资质及能力：</w:t>
      </w:r>
    </w:p>
    <w:p w14:paraId="10CF95A2">
      <w:pPr>
        <w:rPr>
          <w:szCs w:val="21"/>
        </w:rPr>
      </w:pPr>
      <w:r>
        <w:rPr>
          <w:rFonts w:hint="eastAsia"/>
          <w:szCs w:val="21"/>
        </w:rPr>
        <w:t>（1）响应人</w:t>
      </w:r>
      <w:r>
        <w:rPr>
          <w:szCs w:val="21"/>
        </w:rPr>
        <w:t>须具备丰富的产品线（同时具备中国银联卡生产线、VISA卡或万事达卡的生产线），能够提供符合选型要求的空白卡制作与卡面特殊工艺制作，且具备银联卡、VISA卡或万事达卡的外包制卡能力；【提供书面声明】</w:t>
      </w:r>
    </w:p>
    <w:p w14:paraId="787AA9A5">
      <w:pPr>
        <w:rPr>
          <w:szCs w:val="21"/>
        </w:rPr>
      </w:pPr>
      <w:r>
        <w:rPr>
          <w:rFonts w:hint="eastAsia"/>
          <w:szCs w:val="21"/>
        </w:rPr>
        <w:t>（2）</w:t>
      </w:r>
      <w:r>
        <w:rPr>
          <w:szCs w:val="21"/>
        </w:rPr>
        <w:t>国家集成电路注册中心颁发的《集成电路卡注册证书》；【提供证明文件复印件或扫描件】</w:t>
      </w:r>
    </w:p>
    <w:p w14:paraId="267F55A3">
      <w:pPr>
        <w:rPr>
          <w:szCs w:val="21"/>
        </w:rPr>
      </w:pPr>
      <w:r>
        <w:rPr>
          <w:rFonts w:hint="eastAsia"/>
          <w:szCs w:val="21"/>
        </w:rPr>
        <w:t>（3）响应人</w:t>
      </w:r>
      <w:r>
        <w:rPr>
          <w:szCs w:val="21"/>
        </w:rPr>
        <w:t>须通过中国银联卡片生产资格认证；【提供证明文件复印件或扫描件】</w:t>
      </w:r>
    </w:p>
    <w:p w14:paraId="6E02147A">
      <w:pPr>
        <w:rPr>
          <w:szCs w:val="21"/>
        </w:rPr>
      </w:pPr>
      <w:r>
        <w:rPr>
          <w:rFonts w:hint="eastAsia"/>
          <w:szCs w:val="21"/>
        </w:rPr>
        <w:t>（4）响应人</w:t>
      </w:r>
      <w:r>
        <w:rPr>
          <w:szCs w:val="21"/>
        </w:rPr>
        <w:t>须通过VISA国际组织卡片生产资格认证；【提供证明文件复印件或扫描件】</w:t>
      </w:r>
    </w:p>
    <w:p w14:paraId="6BC4119E">
      <w:pPr>
        <w:rPr>
          <w:szCs w:val="21"/>
        </w:rPr>
      </w:pPr>
      <w:r>
        <w:rPr>
          <w:rFonts w:hint="eastAsia"/>
          <w:szCs w:val="21"/>
        </w:rPr>
        <w:t>（5）响应人</w:t>
      </w:r>
      <w:r>
        <w:rPr>
          <w:szCs w:val="21"/>
        </w:rPr>
        <w:t>须通过MasterCard国际组织卡片生产资格认证；【提供证明文件复印件或扫描件】</w:t>
      </w:r>
    </w:p>
    <w:p w14:paraId="1CCC3216">
      <w:pPr>
        <w:rPr>
          <w:szCs w:val="21"/>
        </w:rPr>
      </w:pPr>
      <w:r>
        <w:rPr>
          <w:rFonts w:hint="eastAsia"/>
          <w:szCs w:val="21"/>
        </w:rPr>
        <w:t>（6）响应人</w:t>
      </w:r>
      <w:r>
        <w:rPr>
          <w:szCs w:val="21"/>
        </w:rPr>
        <w:t>须取得国家密码管理局颁发的《商用密码产品认证证书》（按</w:t>
      </w:r>
      <w:r>
        <w:rPr>
          <w:rFonts w:hint="eastAsia"/>
          <w:szCs w:val="21"/>
        </w:rPr>
        <w:t>响应</w:t>
      </w:r>
      <w:r>
        <w:rPr>
          <w:szCs w:val="21"/>
        </w:rPr>
        <w:t>产品同时提供卡片供应商版与芯片厂商版的证书）【提供证明文件复印件或扫描件】</w:t>
      </w:r>
    </w:p>
    <w:p w14:paraId="7D2C4B66">
      <w:pPr>
        <w:rPr>
          <w:szCs w:val="21"/>
        </w:rPr>
      </w:pPr>
      <w:r>
        <w:rPr>
          <w:rFonts w:hint="eastAsia"/>
          <w:szCs w:val="21"/>
        </w:rPr>
        <w:t>（7）</w:t>
      </w:r>
      <w:r>
        <w:rPr>
          <w:szCs w:val="21"/>
        </w:rPr>
        <w:t>银联卡芯片产品安全认证证书（按</w:t>
      </w:r>
      <w:r>
        <w:rPr>
          <w:rFonts w:hint="eastAsia"/>
          <w:szCs w:val="21"/>
        </w:rPr>
        <w:t>响应</w:t>
      </w:r>
      <w:r>
        <w:rPr>
          <w:szCs w:val="21"/>
        </w:rPr>
        <w:t>产品同时提供卡片供应商版与芯片厂商版的证书）【提供证明文件复印件或扫描件】</w:t>
      </w:r>
    </w:p>
    <w:p w14:paraId="5F18D249">
      <w:pPr>
        <w:rPr>
          <w:szCs w:val="21"/>
        </w:rPr>
      </w:pPr>
      <w:r>
        <w:rPr>
          <w:rFonts w:hint="eastAsia"/>
          <w:szCs w:val="21"/>
        </w:rPr>
        <w:t>（8）</w:t>
      </w:r>
      <w:r>
        <w:rPr>
          <w:szCs w:val="21"/>
        </w:rPr>
        <w:t>银联卡产品认证证书【提供证明文件复印件或扫描件】</w:t>
      </w:r>
    </w:p>
    <w:p w14:paraId="2F613486">
      <w:pPr>
        <w:rPr>
          <w:szCs w:val="21"/>
        </w:rPr>
      </w:pPr>
      <w:r>
        <w:rPr>
          <w:rFonts w:hint="eastAsia"/>
          <w:szCs w:val="21"/>
        </w:rPr>
        <w:t>（9）</w:t>
      </w:r>
      <w:r>
        <w:rPr>
          <w:szCs w:val="21"/>
        </w:rPr>
        <w:t>VISA卡组织的产品测试报告或万事达卡组织的产品测试报告；【提供证明文件复印件或扫描件】</w:t>
      </w:r>
    </w:p>
    <w:p w14:paraId="3318A0FF">
      <w:pPr>
        <w:rPr>
          <w:szCs w:val="21"/>
        </w:rPr>
      </w:pPr>
      <w:r>
        <w:rPr>
          <w:rFonts w:hint="eastAsia"/>
          <w:szCs w:val="21"/>
        </w:rPr>
        <w:t>（10）</w:t>
      </w:r>
      <w:r>
        <w:rPr>
          <w:szCs w:val="21"/>
        </w:rPr>
        <w:t>IT产品信息安全认证证书（EAL4+及以上）；【提供证明文件复印件或扫描件】</w:t>
      </w:r>
    </w:p>
    <w:p w14:paraId="70B71034">
      <w:pPr>
        <w:rPr>
          <w:szCs w:val="21"/>
        </w:rPr>
      </w:pPr>
      <w:r>
        <w:rPr>
          <w:rFonts w:hint="eastAsia"/>
          <w:szCs w:val="21"/>
        </w:rPr>
        <w:t>（11）响应</w:t>
      </w:r>
      <w:r>
        <w:rPr>
          <w:szCs w:val="21"/>
        </w:rPr>
        <w:t>产品所用的IC卡嵌入式COS软件通过银联安全认证的报告或证明；【提供证明文件复印件或扫描件】</w:t>
      </w:r>
    </w:p>
    <w:p w14:paraId="53E80D32">
      <w:pPr>
        <w:rPr>
          <w:szCs w:val="21"/>
        </w:rPr>
      </w:pPr>
      <w:r>
        <w:rPr>
          <w:rFonts w:hint="eastAsia"/>
          <w:szCs w:val="21"/>
        </w:rPr>
        <w:t>（12）</w:t>
      </w:r>
      <w:r>
        <w:rPr>
          <w:szCs w:val="21"/>
        </w:rPr>
        <w:t>具有中国国家信息安全产品认证证书；【提供证明文件复印件或扫描件】</w:t>
      </w:r>
    </w:p>
    <w:p w14:paraId="47512B10">
      <w:pPr>
        <w:rPr>
          <w:szCs w:val="21"/>
        </w:rPr>
      </w:pPr>
      <w:r>
        <w:rPr>
          <w:rFonts w:hint="eastAsia"/>
          <w:szCs w:val="21"/>
        </w:rPr>
        <w:t>（13）响应</w:t>
      </w:r>
      <w:r>
        <w:rPr>
          <w:szCs w:val="21"/>
        </w:rPr>
        <w:t>产品所用芯片供应商针对本采购项目出具的授权书（含供货保障和芯片掩膜方式说明）【提供证明文件复印件或扫描件】</w:t>
      </w:r>
    </w:p>
    <w:p w14:paraId="3A5CE2F8">
      <w:pPr>
        <w:rPr>
          <w:szCs w:val="21"/>
        </w:rPr>
      </w:pPr>
      <w:r>
        <w:rPr>
          <w:rFonts w:hint="eastAsia"/>
          <w:szCs w:val="21"/>
        </w:rPr>
        <w:t>（14）</w:t>
      </w:r>
      <w:r>
        <w:rPr>
          <w:szCs w:val="21"/>
        </w:rPr>
        <w:t>银行卡检测中心出具的</w:t>
      </w:r>
      <w:r>
        <w:rPr>
          <w:rFonts w:hint="eastAsia"/>
          <w:szCs w:val="21"/>
        </w:rPr>
        <w:t>响应</w:t>
      </w:r>
      <w:r>
        <w:rPr>
          <w:szCs w:val="21"/>
        </w:rPr>
        <w:t>产品的PBOC2018</w:t>
      </w:r>
      <w:r>
        <w:rPr>
          <w:rFonts w:hint="eastAsia"/>
          <w:szCs w:val="21"/>
        </w:rPr>
        <w:t>和UICS2021</w:t>
      </w:r>
      <w:r>
        <w:rPr>
          <w:szCs w:val="21"/>
        </w:rPr>
        <w:t>借记/贷记IC卡检测通过报告一份（该报告检测内容应覆盖接触式借记/贷记、非接触借记/贷记、接触式/非接触式小额支付）。【提供证明文件复印或扫描件】</w:t>
      </w:r>
    </w:p>
    <w:p w14:paraId="34F2C741">
      <w:pPr>
        <w:rPr>
          <w:szCs w:val="21"/>
        </w:rPr>
      </w:pPr>
      <w:r>
        <w:rPr>
          <w:rFonts w:hint="eastAsia"/>
          <w:szCs w:val="21"/>
        </w:rPr>
        <w:t>（15）响应人</w:t>
      </w:r>
      <w:r>
        <w:rPr>
          <w:szCs w:val="21"/>
        </w:rPr>
        <w:t>取得银行卡检测中心《银联IC卡个人化业务数据验证检测报告》（算法支持SM2、SM3、SM4、RSA、SHA-1、DES）【提供证明文件复印件或扫描件】</w:t>
      </w:r>
    </w:p>
    <w:p w14:paraId="2159ED56">
      <w:pPr>
        <w:rPr>
          <w:szCs w:val="21"/>
        </w:rPr>
      </w:pPr>
      <w:r>
        <w:rPr>
          <w:rFonts w:hint="eastAsia"/>
          <w:szCs w:val="21"/>
        </w:rPr>
        <w:t>（16）响应人</w:t>
      </w:r>
      <w:r>
        <w:rPr>
          <w:szCs w:val="21"/>
        </w:rPr>
        <w:t>须通过ISO9001系列标准质量管理体系认证；通过ISO27001信息安全管理体系认证；通过ISO14001系列标准环境管理体系认证。【提供证明文件复印件或扫描件】</w:t>
      </w:r>
    </w:p>
    <w:p w14:paraId="2AD89105">
      <w:pPr>
        <w:rPr>
          <w:szCs w:val="21"/>
        </w:rPr>
      </w:pPr>
      <w:r>
        <w:rPr>
          <w:rFonts w:hint="eastAsia"/>
          <w:szCs w:val="21"/>
        </w:rPr>
        <w:t>（17）响应人</w:t>
      </w:r>
      <w:r>
        <w:rPr>
          <w:szCs w:val="21"/>
        </w:rPr>
        <w:t>具有良好的售后服务体系和合理的人员结构，具备一定数量的高、中级专业技术人员和售后服务人员，能按照</w:t>
      </w:r>
      <w:r>
        <w:rPr>
          <w:rFonts w:hint="eastAsia"/>
          <w:szCs w:val="21"/>
        </w:rPr>
        <w:t>采购人</w:t>
      </w:r>
      <w:r>
        <w:rPr>
          <w:szCs w:val="21"/>
        </w:rPr>
        <w:t>技术要求对产品进行配套研发及技术支持。【提供售后服务书面承诺函】</w:t>
      </w:r>
    </w:p>
    <w:p w14:paraId="06E83D7B">
      <w:pPr>
        <w:rPr>
          <w:szCs w:val="21"/>
        </w:rPr>
      </w:pPr>
      <w:r>
        <w:rPr>
          <w:rFonts w:hint="eastAsia"/>
          <w:szCs w:val="21"/>
        </w:rPr>
        <w:t>（18）</w:t>
      </w:r>
      <w:r>
        <w:rPr>
          <w:szCs w:val="21"/>
        </w:rPr>
        <w:t>证明文件如遇续证情况，由</w:t>
      </w:r>
      <w:r>
        <w:rPr>
          <w:rFonts w:hint="eastAsia"/>
          <w:szCs w:val="21"/>
        </w:rPr>
        <w:t>响应人</w:t>
      </w:r>
      <w:r>
        <w:rPr>
          <w:szCs w:val="21"/>
        </w:rPr>
        <w:t>出具原证书和承诺函，并在供货前提供有效期内的相关证书或相关检测机构的证明文件。【提供</w:t>
      </w:r>
      <w:r>
        <w:rPr>
          <w:rFonts w:hint="eastAsia"/>
          <w:szCs w:val="21"/>
        </w:rPr>
        <w:t>书面声明</w:t>
      </w:r>
      <w:r>
        <w:rPr>
          <w:szCs w:val="21"/>
        </w:rPr>
        <w:t>】</w:t>
      </w:r>
    </w:p>
    <w:p w14:paraId="463ECC73">
      <w:pPr>
        <w:rPr>
          <w:szCs w:val="21"/>
        </w:rPr>
      </w:pPr>
      <w:r>
        <w:rPr>
          <w:rFonts w:hint="eastAsia"/>
          <w:szCs w:val="21"/>
        </w:rPr>
        <w:t>（19）响应人</w:t>
      </w:r>
      <w:r>
        <w:rPr>
          <w:szCs w:val="21"/>
        </w:rPr>
        <w:t>提供实施案例：近3年（合同生效在202</w:t>
      </w:r>
      <w:r>
        <w:rPr>
          <w:rFonts w:hint="eastAsia"/>
          <w:szCs w:val="21"/>
        </w:rPr>
        <w:t>3</w:t>
      </w:r>
      <w:r>
        <w:rPr>
          <w:szCs w:val="21"/>
        </w:rPr>
        <w:t>年1月1日以后且至今仍在合同期内的）具有其银联品牌芯片空白卡产品（不含政府</w:t>
      </w:r>
      <w:r>
        <w:rPr>
          <w:rFonts w:hint="eastAsia"/>
          <w:szCs w:val="21"/>
        </w:rPr>
        <w:t>询比</w:t>
      </w:r>
      <w:r>
        <w:rPr>
          <w:szCs w:val="21"/>
        </w:rPr>
        <w:t>的金融社保卡）在工、农、中、建、交、招商、浦发等18家全国性商业银行总行或分行入围的相关实施案例，不少于3家，低于3个案例（不含3个）取消</w:t>
      </w:r>
      <w:r>
        <w:rPr>
          <w:rFonts w:hint="eastAsia"/>
          <w:szCs w:val="21"/>
        </w:rPr>
        <w:t>响应</w:t>
      </w:r>
      <w:r>
        <w:rPr>
          <w:szCs w:val="21"/>
        </w:rPr>
        <w:t>资质</w:t>
      </w:r>
      <w:r>
        <w:rPr>
          <w:rFonts w:hint="eastAsia"/>
          <w:szCs w:val="21"/>
        </w:rPr>
        <w:t>。</w:t>
      </w:r>
      <w:r>
        <w:rPr>
          <w:szCs w:val="21"/>
        </w:rPr>
        <w:t>期间，同一总行/分行有多次入围的仅统计一次入围次数；无实际订单或发票的入围不纳入入围次数统计</w:t>
      </w:r>
      <w:r>
        <w:rPr>
          <w:rFonts w:hint="eastAsia"/>
          <w:szCs w:val="21"/>
        </w:rPr>
        <w:t>。</w:t>
      </w:r>
    </w:p>
    <w:p w14:paraId="71BF961B">
      <w:pPr>
        <w:rPr>
          <w:szCs w:val="21"/>
        </w:rPr>
      </w:pPr>
      <w:r>
        <w:rPr>
          <w:szCs w:val="21"/>
        </w:rPr>
        <w:t>【提供：1、合同关键页（合同关键页包含：甲乙双方名称、双方印章、项目名称、合同签订时间、合同有效期、服务范围。）；2、项目简介（格式自拟）；3、合同对应的发票之一（网上税务系统查询（https://inv-veri.chinatax.gov.cn/）该发票的截图，发票开具日期须晚于合同签订日期、发票购买方须与合同买方一致、发票销售方须与合同卖方（响应人）一致）。】</w:t>
      </w:r>
    </w:p>
    <w:p w14:paraId="7FC7C90D">
      <w:pPr>
        <w:rPr>
          <w:szCs w:val="21"/>
        </w:rPr>
      </w:pPr>
      <w:r>
        <w:rPr>
          <w:rFonts w:hint="eastAsia"/>
          <w:szCs w:val="21"/>
        </w:rPr>
        <w:t>2.7 本次询比不接受曾因响应人的违约行为与采购人发生过纠纷的响应人；不接受与采购人合作过程中不遵守询比文件及合同约定的响应人；不接受曾在采购人项目中存在弄虚作假行为的响应人。若响应人存在上述情况，采购人将有权随时取消其响应资格或成交资格（若签署合同后发现的则有权解除合同），没收其响应保证金，并追究其相应的法律责任。</w:t>
      </w:r>
    </w:p>
    <w:p w14:paraId="7F9499D1">
      <w:pPr>
        <w:rPr>
          <w:color w:val="000000"/>
        </w:rPr>
      </w:pPr>
      <w:r>
        <w:rPr>
          <w:rFonts w:hint="eastAsia"/>
        </w:rPr>
        <w:t>注:以上证明文件若采购人存疑，响应人需提供原件备查，响应文件中须附相关证明文件复印件并逐页加盖公章。项目如为多标段，</w:t>
      </w:r>
      <w:r>
        <w:rPr>
          <w:rFonts w:hint="eastAsia"/>
          <w:color w:val="000000"/>
        </w:rPr>
        <w:t>询比文件中未按标段分别表述的要求、规则、评审办法等内容，均视为适用于所有分包。</w:t>
      </w:r>
    </w:p>
    <w:p w14:paraId="54815421">
      <w:pPr>
        <w:pStyle w:val="3"/>
      </w:pPr>
      <w:bookmarkStart w:id="13" w:name="_Toc55379220"/>
      <w:bookmarkStart w:id="14" w:name="_Toc469574667"/>
      <w:bookmarkStart w:id="15" w:name="_Toc89675130"/>
      <w:bookmarkStart w:id="16" w:name="_Toc297817090"/>
      <w:r>
        <w:rPr>
          <w:rFonts w:hint="eastAsia"/>
        </w:rPr>
        <w:t>3. 询比文件的获取</w:t>
      </w:r>
      <w:bookmarkEnd w:id="13"/>
    </w:p>
    <w:p w14:paraId="4D0F7657">
      <w:pPr>
        <w:rPr>
          <w:highlight w:val="none"/>
        </w:rPr>
      </w:pPr>
      <w:r>
        <w:rPr>
          <w:rFonts w:hint="eastAsia"/>
          <w:highlight w:val="none"/>
        </w:rPr>
        <w:t>3.1 响应截止时间：</w:t>
      </w:r>
      <w:r>
        <w:rPr>
          <w:rFonts w:hint="eastAsia"/>
          <w:highlight w:val="none"/>
          <w:u w:val="single"/>
        </w:rPr>
        <w:t xml:space="preserve"> </w:t>
      </w:r>
      <w:r>
        <w:rPr>
          <w:rFonts w:hint="eastAsia"/>
          <w:highlight w:val="none"/>
          <w:u w:val="single"/>
          <w:lang w:val="en-US" w:eastAsia="zh-CN"/>
        </w:rPr>
        <w:t>2025</w:t>
      </w:r>
      <w:r>
        <w:rPr>
          <w:rFonts w:hint="eastAsia"/>
          <w:highlight w:val="none"/>
          <w:u w:val="single"/>
        </w:rPr>
        <w:t xml:space="preserve"> </w:t>
      </w:r>
      <w:r>
        <w:rPr>
          <w:rFonts w:hint="eastAsia"/>
          <w:highlight w:val="none"/>
        </w:rPr>
        <w:t>年</w:t>
      </w:r>
      <w:r>
        <w:rPr>
          <w:rFonts w:hint="eastAsia"/>
          <w:highlight w:val="none"/>
          <w:u w:val="single"/>
        </w:rPr>
        <w:t xml:space="preserve"> </w:t>
      </w:r>
      <w:r>
        <w:rPr>
          <w:rFonts w:hint="eastAsia"/>
          <w:highlight w:val="none"/>
          <w:u w:val="single"/>
          <w:lang w:val="en-US" w:eastAsia="zh-CN"/>
        </w:rPr>
        <w:t>11</w:t>
      </w:r>
      <w:r>
        <w:rPr>
          <w:rFonts w:hint="eastAsia"/>
          <w:highlight w:val="none"/>
          <w:u w:val="single"/>
        </w:rPr>
        <w:t xml:space="preserve"> </w:t>
      </w:r>
      <w:r>
        <w:rPr>
          <w:rFonts w:hint="eastAsia"/>
          <w:highlight w:val="none"/>
        </w:rPr>
        <w:t>月</w:t>
      </w:r>
      <w:r>
        <w:rPr>
          <w:rFonts w:hint="eastAsia"/>
          <w:highlight w:val="none"/>
          <w:u w:val="single"/>
        </w:rPr>
        <w:t xml:space="preserve"> </w:t>
      </w:r>
      <w:r>
        <w:rPr>
          <w:rFonts w:hint="eastAsia"/>
          <w:highlight w:val="none"/>
          <w:u w:val="single"/>
          <w:lang w:val="en-US" w:eastAsia="zh-CN"/>
        </w:rPr>
        <w:t>20</w:t>
      </w:r>
      <w:r>
        <w:rPr>
          <w:rFonts w:hint="eastAsia"/>
          <w:highlight w:val="none"/>
          <w:u w:val="single"/>
        </w:rPr>
        <w:t xml:space="preserve"> </w:t>
      </w:r>
      <w:r>
        <w:rPr>
          <w:rFonts w:hint="eastAsia"/>
          <w:highlight w:val="none"/>
        </w:rPr>
        <w:t>日</w:t>
      </w:r>
      <w:r>
        <w:rPr>
          <w:rFonts w:hint="eastAsia"/>
          <w:highlight w:val="none"/>
          <w:u w:val="single"/>
        </w:rPr>
        <w:t xml:space="preserve"> </w:t>
      </w:r>
      <w:r>
        <w:rPr>
          <w:rFonts w:hint="eastAsia"/>
          <w:highlight w:val="none"/>
          <w:u w:val="single"/>
          <w:lang w:val="en-US" w:eastAsia="zh-CN"/>
        </w:rPr>
        <w:t>9</w:t>
      </w:r>
      <w:r>
        <w:rPr>
          <w:rFonts w:hint="eastAsia"/>
          <w:highlight w:val="none"/>
          <w:u w:val="single"/>
        </w:rPr>
        <w:t xml:space="preserve"> </w:t>
      </w:r>
      <w:r>
        <w:rPr>
          <w:rFonts w:hint="eastAsia"/>
          <w:highlight w:val="none"/>
        </w:rPr>
        <w:t>时</w:t>
      </w:r>
      <w:r>
        <w:rPr>
          <w:rFonts w:hint="eastAsia"/>
          <w:highlight w:val="none"/>
          <w:u w:val="single"/>
        </w:rPr>
        <w:t xml:space="preserve"> </w:t>
      </w:r>
      <w:r>
        <w:rPr>
          <w:rFonts w:hint="eastAsia"/>
          <w:highlight w:val="none"/>
          <w:u w:val="single"/>
          <w:lang w:val="en-US" w:eastAsia="zh-CN"/>
        </w:rPr>
        <w:t>30</w:t>
      </w:r>
      <w:r>
        <w:rPr>
          <w:rFonts w:hint="eastAsia"/>
          <w:highlight w:val="none"/>
          <w:u w:val="single"/>
        </w:rPr>
        <w:t xml:space="preserve"> </w:t>
      </w:r>
      <w:r>
        <w:rPr>
          <w:rFonts w:hint="eastAsia"/>
          <w:highlight w:val="none"/>
        </w:rPr>
        <w:t>分（北京时间）</w:t>
      </w:r>
    </w:p>
    <w:p w14:paraId="54FEA30D">
      <w:pPr>
        <w:rPr>
          <w:highlight w:val="none"/>
        </w:rPr>
      </w:pPr>
      <w:r>
        <w:rPr>
          <w:rFonts w:hint="eastAsia"/>
          <w:highlight w:val="none"/>
        </w:rPr>
        <w:t>3.2 获取时间和方式：响应截止时间前，在重庆市公共资源交易网（www.cqggzy.com）下载询比文件。</w:t>
      </w:r>
    </w:p>
    <w:p w14:paraId="5044D098">
      <w:pPr>
        <w:pStyle w:val="3"/>
        <w:rPr>
          <w:highlight w:val="none"/>
        </w:rPr>
      </w:pPr>
      <w:r>
        <w:rPr>
          <w:rFonts w:hint="eastAsia"/>
          <w:highlight w:val="none"/>
        </w:rPr>
        <w:t>4. 提问</w:t>
      </w:r>
    </w:p>
    <w:p w14:paraId="2EAD0159">
      <w:pPr>
        <w:rPr>
          <w:highlight w:val="none"/>
        </w:rPr>
      </w:pPr>
      <w:r>
        <w:rPr>
          <w:rFonts w:hint="eastAsia"/>
          <w:highlight w:val="none"/>
        </w:rPr>
        <w:t>4.1 提问截止时间：</w:t>
      </w:r>
      <w:r>
        <w:rPr>
          <w:rFonts w:hint="eastAsia"/>
          <w:highlight w:val="none"/>
          <w:u w:val="single"/>
        </w:rPr>
        <w:t xml:space="preserve"> </w:t>
      </w:r>
      <w:r>
        <w:rPr>
          <w:rFonts w:hint="eastAsia" w:ascii="Times New Roman" w:eastAsia="宋体"/>
          <w:highlight w:val="none"/>
          <w:u w:val="single"/>
          <w:lang w:val="en-US" w:eastAsia="zh-CN"/>
        </w:rPr>
        <w:t>2025</w:t>
      </w:r>
      <w:r>
        <w:rPr>
          <w:rFonts w:hint="eastAsia"/>
          <w:highlight w:val="none"/>
          <w:u w:val="single"/>
        </w:rPr>
        <w:t xml:space="preserve"> </w:t>
      </w:r>
      <w:r>
        <w:rPr>
          <w:rFonts w:hint="eastAsia"/>
          <w:highlight w:val="none"/>
        </w:rPr>
        <w:t>年</w:t>
      </w:r>
      <w:r>
        <w:rPr>
          <w:rFonts w:hint="eastAsia"/>
          <w:highlight w:val="none"/>
          <w:u w:val="single"/>
        </w:rPr>
        <w:t xml:space="preserve"> </w:t>
      </w:r>
      <w:r>
        <w:rPr>
          <w:rFonts w:hint="eastAsia" w:ascii="Times New Roman" w:eastAsia="宋体"/>
          <w:highlight w:val="none"/>
          <w:u w:val="single"/>
          <w:lang w:val="en-US" w:eastAsia="zh-CN"/>
        </w:rPr>
        <w:t>11</w:t>
      </w:r>
      <w:r>
        <w:rPr>
          <w:rFonts w:hint="eastAsia"/>
          <w:highlight w:val="none"/>
          <w:u w:val="single"/>
        </w:rPr>
        <w:t xml:space="preserve"> </w:t>
      </w:r>
      <w:r>
        <w:rPr>
          <w:rFonts w:hint="eastAsia"/>
          <w:highlight w:val="none"/>
        </w:rPr>
        <w:t>月</w:t>
      </w:r>
      <w:r>
        <w:rPr>
          <w:rFonts w:hint="eastAsia"/>
          <w:highlight w:val="none"/>
          <w:u w:val="single"/>
        </w:rPr>
        <w:t xml:space="preserve"> </w:t>
      </w:r>
      <w:r>
        <w:rPr>
          <w:rFonts w:hint="eastAsia" w:ascii="Times New Roman" w:eastAsia="宋体"/>
          <w:highlight w:val="none"/>
          <w:u w:val="single"/>
          <w:lang w:val="en-US" w:eastAsia="zh-CN"/>
        </w:rPr>
        <w:t>0</w:t>
      </w:r>
      <w:r>
        <w:rPr>
          <w:rFonts w:hint="eastAsia"/>
          <w:highlight w:val="none"/>
          <w:u w:val="single"/>
          <w:lang w:val="en-US" w:eastAsia="zh-CN"/>
        </w:rPr>
        <w:t>7</w:t>
      </w:r>
      <w:r>
        <w:rPr>
          <w:rFonts w:hint="eastAsia"/>
          <w:highlight w:val="none"/>
          <w:u w:val="single"/>
        </w:rPr>
        <w:t xml:space="preserve"> </w:t>
      </w:r>
      <w:r>
        <w:rPr>
          <w:rFonts w:hint="eastAsia"/>
          <w:highlight w:val="none"/>
        </w:rPr>
        <w:t>日</w:t>
      </w:r>
      <w:r>
        <w:rPr>
          <w:rFonts w:hint="eastAsia"/>
          <w:highlight w:val="none"/>
          <w:u w:val="single"/>
        </w:rPr>
        <w:t xml:space="preserve"> </w:t>
      </w:r>
      <w:r>
        <w:rPr>
          <w:rFonts w:hint="eastAsia" w:ascii="Times New Roman" w:eastAsia="宋体"/>
          <w:highlight w:val="none"/>
          <w:u w:val="single"/>
          <w:lang w:val="en-US" w:eastAsia="zh-CN"/>
        </w:rPr>
        <w:t>17</w:t>
      </w:r>
      <w:r>
        <w:rPr>
          <w:rFonts w:hint="eastAsia"/>
          <w:highlight w:val="none"/>
          <w:u w:val="single"/>
        </w:rPr>
        <w:t xml:space="preserve"> </w:t>
      </w:r>
      <w:r>
        <w:rPr>
          <w:rFonts w:hint="eastAsia"/>
          <w:highlight w:val="none"/>
        </w:rPr>
        <w:t>时</w:t>
      </w:r>
      <w:r>
        <w:rPr>
          <w:rFonts w:hint="eastAsia"/>
          <w:highlight w:val="none"/>
          <w:u w:val="single"/>
        </w:rPr>
        <w:t xml:space="preserve"> </w:t>
      </w:r>
      <w:r>
        <w:rPr>
          <w:rFonts w:hint="eastAsia" w:ascii="Times New Roman" w:eastAsia="宋体"/>
          <w:highlight w:val="none"/>
          <w:u w:val="single"/>
          <w:lang w:val="en-US" w:eastAsia="zh-CN"/>
        </w:rPr>
        <w:t>00</w:t>
      </w:r>
      <w:r>
        <w:rPr>
          <w:rFonts w:hint="eastAsia"/>
          <w:highlight w:val="none"/>
          <w:u w:val="single"/>
        </w:rPr>
        <w:t xml:space="preserve"> </w:t>
      </w:r>
      <w:r>
        <w:rPr>
          <w:rFonts w:hint="eastAsia"/>
          <w:highlight w:val="none"/>
        </w:rPr>
        <w:t>分（北京时间）</w:t>
      </w:r>
    </w:p>
    <w:p w14:paraId="2EF79861">
      <w:r>
        <w:rPr>
          <w:rFonts w:hint="eastAsia"/>
        </w:rPr>
        <w:t>4.2 响应人在下载询比文件后，应仔细检查询比文件的所有内容，如有残缺或文字表述不清，以及存在错、碰、漏、缺、概</w:t>
      </w:r>
      <w:bookmarkStart w:id="249" w:name="_GoBack"/>
      <w:bookmarkEnd w:id="249"/>
      <w:r>
        <w:rPr>
          <w:rFonts w:hint="eastAsia"/>
        </w:rPr>
        <w:t>念模糊和有可能出现歧义或理解上的偏差的内容等应在提问截止时间前自行在重庆市公共资源交易网（http://www.cqggzy.com/）询比公告的“我要提问”栏目匿名提出。响应人未提出，则视为响应人已全面确认询比文件内容。采购人在认为有必要对响应人所提问题进行回复或对询比文件进行补充修改时，将在《重庆市公共资源交易网（www.cqggzy.com）》“答疑补遗”栏上发布澄清修改文件。不论响应人下载与否，都视为响应人收到有关本项目在《重庆市公共资源交易网（www.cqggzy.com）》上发布的所有资料并全部知晓有关询比过程和事宜，由此产生的一切后果由响应人自负。</w:t>
      </w:r>
    </w:p>
    <w:p w14:paraId="6E09C11B">
      <w:pPr>
        <w:pStyle w:val="3"/>
      </w:pPr>
      <w:bookmarkStart w:id="17" w:name="_Toc55379221"/>
      <w:r>
        <w:rPr>
          <w:rFonts w:hint="eastAsia"/>
        </w:rPr>
        <w:t>5. 响应保证金的递交</w:t>
      </w:r>
      <w:bookmarkEnd w:id="14"/>
      <w:bookmarkEnd w:id="15"/>
      <w:bookmarkEnd w:id="16"/>
      <w:bookmarkEnd w:id="17"/>
    </w:p>
    <w:p w14:paraId="5CC71874">
      <w:bookmarkStart w:id="18" w:name="_Toc469574668"/>
      <w:bookmarkStart w:id="19" w:name="_Toc55379222"/>
      <w:bookmarkStart w:id="20" w:name="_Toc297817091"/>
      <w:bookmarkStart w:id="21" w:name="_Toc89675131"/>
      <w:r>
        <w:rPr>
          <w:rFonts w:hint="eastAsia"/>
        </w:rPr>
        <w:t>5.1 响应保证金的金额：</w:t>
      </w:r>
      <w:r>
        <w:rPr>
          <w:rFonts w:hint="eastAsia"/>
          <w:b/>
          <w:bCs/>
          <w:u w:val="single"/>
        </w:rPr>
        <w:t xml:space="preserve"> 20000 元整（大写： </w:t>
      </w:r>
      <w:r>
        <w:rPr>
          <w:rFonts w:hint="eastAsia"/>
          <w:b/>
          <w:bCs/>
          <w:szCs w:val="21"/>
          <w:u w:val="single"/>
        </w:rPr>
        <w:t>贰万元整</w:t>
      </w:r>
      <w:r>
        <w:rPr>
          <w:rFonts w:hint="eastAsia"/>
          <w:b/>
          <w:bCs/>
          <w:u w:val="single"/>
        </w:rPr>
        <w:t xml:space="preserve"> ）</w:t>
      </w:r>
      <w:r>
        <w:rPr>
          <w:rFonts w:hint="eastAsia"/>
        </w:rPr>
        <w:t>。</w:t>
      </w:r>
    </w:p>
    <w:p w14:paraId="6DDA7A6D">
      <w:r>
        <w:rPr>
          <w:rFonts w:hint="eastAsia"/>
        </w:rPr>
        <w:t>5.2 响应保证金缴纳方式：响应人从响应人的银行账户，通过转账或电汇方式直接划付至对应标段公告下方指定的账户（任选其一），否则，响应保证金无效。响应人自行考虑汇入到账时间风险，本项目响应保证金不接受任何形式保函（包括电子保函）；</w:t>
      </w:r>
    </w:p>
    <w:p w14:paraId="04EC6D12">
      <w:r>
        <w:rPr>
          <w:rFonts w:hint="eastAsia"/>
        </w:rPr>
        <w:t>5.3 响应保证金递交的截止时间同响应截止时间。响应保证金以重庆市公共资源交易中心询比现场获取的保证金交纳情况为准。</w:t>
      </w:r>
    </w:p>
    <w:p w14:paraId="0FE6C466">
      <w:r>
        <w:rPr>
          <w:rFonts w:hint="eastAsia"/>
        </w:rPr>
        <w:t>5.</w:t>
      </w:r>
      <w:r>
        <w:t>4</w:t>
      </w:r>
      <w:r>
        <w:rPr>
          <w:rFonts w:hint="eastAsia"/>
        </w:rPr>
        <w:t xml:space="preserve"> 响应保证金专用账户如下：</w:t>
      </w:r>
    </w:p>
    <w:p w14:paraId="75B41A87">
      <w:r>
        <w:rPr>
          <w:rFonts w:hint="eastAsia"/>
        </w:rPr>
        <w:t>详见重庆市公共资源交易网（www.cqggzy.com）对应本项目询比公告信息栏中的保证金信息。</w:t>
      </w:r>
    </w:p>
    <w:p w14:paraId="70F74A07">
      <w:pPr>
        <w:pStyle w:val="3"/>
      </w:pPr>
      <w:r>
        <w:rPr>
          <w:rFonts w:hint="eastAsia"/>
        </w:rPr>
        <w:t>6. 市场主体信息登记</w:t>
      </w:r>
    </w:p>
    <w:p w14:paraId="43AFBBCD">
      <w:r>
        <w:rPr>
          <w:rFonts w:hint="eastAsia"/>
        </w:rPr>
        <w:t>根据重庆市公共资源交易中心《关于开展公共资源交易市场主体信息登记工作的公告》的要求，响应人在响应前需在重庆市公共资源交易网（www.cqggzy.com）办理市场主体信息登记手续。</w:t>
      </w:r>
    </w:p>
    <w:bookmarkEnd w:id="18"/>
    <w:bookmarkEnd w:id="19"/>
    <w:bookmarkEnd w:id="20"/>
    <w:bookmarkEnd w:id="21"/>
    <w:p w14:paraId="3C03B026">
      <w:pPr>
        <w:pStyle w:val="3"/>
      </w:pPr>
      <w:r>
        <w:rPr>
          <w:rFonts w:hint="eastAsia"/>
        </w:rPr>
        <w:t>7. 响应文件的递交</w:t>
      </w:r>
    </w:p>
    <w:p w14:paraId="244D096B">
      <w:bookmarkStart w:id="22" w:name="_Toc469574669"/>
      <w:bookmarkStart w:id="23" w:name="_Toc55379223"/>
      <w:bookmarkStart w:id="24" w:name="_Toc89675132"/>
      <w:r>
        <w:rPr>
          <w:rFonts w:hint="eastAsia"/>
        </w:rPr>
        <w:t>7.1 响应文件现场递交时间为响应截止时间前半小时内，截至响应截止时间将不再收取响应文件。</w:t>
      </w:r>
    </w:p>
    <w:p w14:paraId="0CCCAEFF">
      <w:r>
        <w:rPr>
          <w:rFonts w:hint="eastAsia"/>
        </w:rPr>
        <w:t>7.2 递交地点为重庆市渝北区青枫北路6号渝兴广场B10栋重庆市公共资源交易中心开标区（具体请登录重庆市公共资源交易网（www.cqggzy.com）查询或递交文件当日见交易中心大厅电子显示屏）。</w:t>
      </w:r>
    </w:p>
    <w:p w14:paraId="2B7C9200">
      <w:r>
        <w:rPr>
          <w:rFonts w:hint="eastAsia"/>
        </w:rPr>
        <w:t>7.3 逾期送达的响应文件，不予接收。</w:t>
      </w:r>
    </w:p>
    <w:p w14:paraId="778BACE1">
      <w:pPr>
        <w:pStyle w:val="3"/>
      </w:pPr>
      <w:r>
        <w:rPr>
          <w:rFonts w:hint="eastAsia"/>
        </w:rPr>
        <w:t>8. 发布公告的媒介</w:t>
      </w:r>
      <w:bookmarkEnd w:id="22"/>
      <w:bookmarkEnd w:id="23"/>
      <w:bookmarkEnd w:id="24"/>
    </w:p>
    <w:p w14:paraId="498E970A">
      <w:bookmarkStart w:id="25" w:name="_Toc250565211"/>
      <w:bookmarkStart w:id="26" w:name="_Toc469574670"/>
      <w:bookmarkStart w:id="27" w:name="_Toc55379224"/>
      <w:bookmarkStart w:id="28" w:name="_Toc89675133"/>
      <w:r>
        <w:rPr>
          <w:rFonts w:hint="eastAsia"/>
        </w:rPr>
        <w:t>本次询比公告同时在</w:t>
      </w:r>
      <w:r>
        <w:rPr>
          <w:rFonts w:hint="eastAsia"/>
          <w:u w:val="single"/>
        </w:rPr>
        <w:t>《重庆市公共资源交易网（www.cqggzy.com）》《重庆三峡银行官网（https://www.ccqtgb.com）》和《中国招标投标公共服务平台（http://www.cebpubservice.com）》</w:t>
      </w:r>
      <w:r>
        <w:rPr>
          <w:rFonts w:hint="eastAsia"/>
        </w:rPr>
        <w:t>上发布。</w:t>
      </w:r>
    </w:p>
    <w:p w14:paraId="58DA184D">
      <w:pPr>
        <w:pStyle w:val="3"/>
      </w:pPr>
      <w:r>
        <w:rPr>
          <w:rFonts w:hint="eastAsia"/>
        </w:rPr>
        <w:t>9. 联系方式</w:t>
      </w:r>
      <w:bookmarkEnd w:id="25"/>
      <w:bookmarkEnd w:id="26"/>
      <w:bookmarkEnd w:id="27"/>
      <w:bookmarkEnd w:id="28"/>
    </w:p>
    <w:tbl>
      <w:tblPr>
        <w:tblStyle w:val="19"/>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943"/>
        <w:gridCol w:w="4480"/>
      </w:tblGrid>
      <w:tr w14:paraId="3A85AD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single" w:color="auto" w:sz="4" w:space="0"/>
              <w:left w:val="single" w:color="auto" w:sz="4" w:space="0"/>
              <w:bottom w:val="nil"/>
              <w:right w:val="single" w:color="auto" w:sz="4" w:space="0"/>
            </w:tcBorders>
          </w:tcPr>
          <w:p w14:paraId="73ED716B">
            <w:pPr>
              <w:ind w:firstLine="0" w:firstLineChars="0"/>
              <w:jc w:val="left"/>
            </w:pPr>
            <w:r>
              <w:rPr>
                <w:rFonts w:hint="eastAsia"/>
              </w:rPr>
              <w:t>9.1 项目需求咨询</w:t>
            </w:r>
          </w:p>
        </w:tc>
      </w:tr>
      <w:tr w14:paraId="2182B8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943" w:type="dxa"/>
            <w:tcBorders>
              <w:top w:val="nil"/>
              <w:left w:val="single" w:color="auto" w:sz="4" w:space="0"/>
              <w:bottom w:val="nil"/>
              <w:right w:val="nil"/>
            </w:tcBorders>
          </w:tcPr>
          <w:p w14:paraId="1491BC5A">
            <w:pPr>
              <w:ind w:firstLine="0" w:firstLineChars="0"/>
              <w:jc w:val="left"/>
              <w:rPr>
                <w:rFonts w:cs="宋体"/>
                <w:szCs w:val="21"/>
              </w:rPr>
            </w:pPr>
            <w:r>
              <w:rPr>
                <w:rFonts w:hint="eastAsia"/>
              </w:rPr>
              <w:t>项目联系人：</w:t>
            </w:r>
            <w:r>
              <w:rPr>
                <w:rFonts w:hint="eastAsia"/>
                <w:szCs w:val="21"/>
              </w:rPr>
              <w:t>熊老师</w:t>
            </w:r>
          </w:p>
        </w:tc>
        <w:tc>
          <w:tcPr>
            <w:tcW w:w="4480" w:type="dxa"/>
            <w:tcBorders>
              <w:top w:val="nil"/>
              <w:left w:val="nil"/>
              <w:bottom w:val="nil"/>
              <w:right w:val="single" w:color="auto" w:sz="4" w:space="0"/>
            </w:tcBorders>
          </w:tcPr>
          <w:p w14:paraId="24B2D883">
            <w:pPr>
              <w:ind w:firstLine="0" w:firstLineChars="0"/>
              <w:jc w:val="left"/>
              <w:rPr>
                <w:rFonts w:cs="宋体"/>
                <w:szCs w:val="21"/>
              </w:rPr>
            </w:pPr>
            <w:r>
              <w:rPr>
                <w:rFonts w:hint="eastAsia"/>
              </w:rPr>
              <w:t>联系方式：</w:t>
            </w:r>
            <w:r>
              <w:rPr>
                <w:rFonts w:hint="eastAsia"/>
                <w:szCs w:val="21"/>
              </w:rPr>
              <w:t>023-88890405</w:t>
            </w:r>
          </w:p>
        </w:tc>
      </w:tr>
      <w:tr w14:paraId="3C2F65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3165636C">
            <w:pPr>
              <w:ind w:firstLine="0" w:firstLineChars="0"/>
              <w:jc w:val="left"/>
            </w:pPr>
          </w:p>
        </w:tc>
      </w:tr>
      <w:tr w14:paraId="77747F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7114D549">
            <w:pPr>
              <w:ind w:firstLine="0" w:firstLineChars="0"/>
              <w:jc w:val="left"/>
            </w:pPr>
            <w:r>
              <w:rPr>
                <w:rFonts w:hint="eastAsia"/>
              </w:rPr>
              <w:t>9.2 项目流程咨询</w:t>
            </w:r>
          </w:p>
        </w:tc>
      </w:tr>
      <w:tr w14:paraId="1355A7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11CC61DC">
            <w:pPr>
              <w:ind w:firstLine="0" w:firstLineChars="0"/>
              <w:jc w:val="left"/>
            </w:pPr>
            <w:r>
              <w:rPr>
                <w:rFonts w:hint="eastAsia"/>
              </w:rPr>
              <w:t>平台服务机构：重庆联合产权交易所集团股份有限公司</w:t>
            </w:r>
          </w:p>
        </w:tc>
      </w:tr>
      <w:tr w14:paraId="0365F6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943" w:type="dxa"/>
            <w:tcBorders>
              <w:top w:val="nil"/>
              <w:left w:val="single" w:color="auto" w:sz="4" w:space="0"/>
              <w:bottom w:val="nil"/>
              <w:right w:val="nil"/>
            </w:tcBorders>
          </w:tcPr>
          <w:p w14:paraId="76EDF3BE">
            <w:pPr>
              <w:ind w:firstLine="0" w:firstLineChars="0"/>
              <w:jc w:val="left"/>
              <w:rPr>
                <w:rFonts w:cs="宋体"/>
                <w:szCs w:val="21"/>
              </w:rPr>
            </w:pPr>
            <w:r>
              <w:rPr>
                <w:rFonts w:hint="eastAsia"/>
              </w:rPr>
              <w:t>平台联系人：罗老师</w:t>
            </w:r>
          </w:p>
        </w:tc>
        <w:tc>
          <w:tcPr>
            <w:tcW w:w="4480" w:type="dxa"/>
            <w:tcBorders>
              <w:top w:val="nil"/>
              <w:left w:val="nil"/>
              <w:bottom w:val="nil"/>
              <w:right w:val="single" w:color="auto" w:sz="4" w:space="0"/>
            </w:tcBorders>
          </w:tcPr>
          <w:p w14:paraId="438E694E">
            <w:pPr>
              <w:ind w:firstLine="0" w:firstLineChars="0"/>
              <w:jc w:val="left"/>
              <w:rPr>
                <w:rFonts w:cs="宋体"/>
                <w:szCs w:val="21"/>
              </w:rPr>
            </w:pPr>
            <w:r>
              <w:rPr>
                <w:rFonts w:hint="eastAsia"/>
              </w:rPr>
              <w:t>联系方式：023-63621694</w:t>
            </w:r>
          </w:p>
        </w:tc>
      </w:tr>
      <w:tr w14:paraId="1D12C6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2116630E">
            <w:pPr>
              <w:ind w:firstLine="0" w:firstLineChars="0"/>
              <w:jc w:val="left"/>
            </w:pPr>
          </w:p>
        </w:tc>
      </w:tr>
      <w:tr w14:paraId="2040C0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78871D07">
            <w:pPr>
              <w:ind w:firstLine="0" w:firstLineChars="0"/>
              <w:jc w:val="left"/>
            </w:pPr>
            <w:r>
              <w:rPr>
                <w:rFonts w:hint="eastAsia"/>
              </w:rPr>
              <w:t>9.3 采购人联系方式</w:t>
            </w:r>
          </w:p>
        </w:tc>
      </w:tr>
      <w:tr w14:paraId="01E3E6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943" w:type="dxa"/>
            <w:tcBorders>
              <w:top w:val="nil"/>
              <w:left w:val="single" w:color="auto" w:sz="4" w:space="0"/>
              <w:bottom w:val="nil"/>
              <w:right w:val="nil"/>
            </w:tcBorders>
          </w:tcPr>
          <w:p w14:paraId="5F1CF7FA">
            <w:pPr>
              <w:ind w:firstLine="0" w:firstLineChars="0"/>
              <w:jc w:val="left"/>
              <w:rPr>
                <w:rFonts w:cs="宋体"/>
                <w:szCs w:val="21"/>
              </w:rPr>
            </w:pPr>
            <w:r>
              <w:rPr>
                <w:rFonts w:hint="eastAsia"/>
              </w:rPr>
              <w:t>联系人：敬老师</w:t>
            </w:r>
          </w:p>
        </w:tc>
        <w:tc>
          <w:tcPr>
            <w:tcW w:w="4480" w:type="dxa"/>
            <w:tcBorders>
              <w:top w:val="nil"/>
              <w:left w:val="nil"/>
              <w:bottom w:val="nil"/>
              <w:right w:val="single" w:color="auto" w:sz="4" w:space="0"/>
            </w:tcBorders>
          </w:tcPr>
          <w:p w14:paraId="18DFDE46">
            <w:pPr>
              <w:ind w:firstLine="0" w:firstLineChars="0"/>
              <w:jc w:val="left"/>
              <w:rPr>
                <w:rFonts w:cs="宋体"/>
                <w:szCs w:val="21"/>
              </w:rPr>
            </w:pPr>
            <w:r>
              <w:rPr>
                <w:rFonts w:hint="eastAsia"/>
              </w:rPr>
              <w:t>联系方式：023-88890395</w:t>
            </w:r>
          </w:p>
        </w:tc>
      </w:tr>
      <w:tr w14:paraId="0C6B2E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single" w:color="auto" w:sz="4" w:space="0"/>
              <w:right w:val="single" w:color="auto" w:sz="4" w:space="0"/>
            </w:tcBorders>
          </w:tcPr>
          <w:p w14:paraId="148C7F9F">
            <w:pPr>
              <w:ind w:firstLine="0" w:firstLineChars="0"/>
              <w:jc w:val="left"/>
            </w:pPr>
            <w:r>
              <w:rPr>
                <w:rFonts w:hint="eastAsia"/>
              </w:rPr>
              <w:t>采购人地址：重庆市渝北区嘉州路88号中渝国际都会4号写字楼21层</w:t>
            </w:r>
          </w:p>
        </w:tc>
      </w:tr>
    </w:tbl>
    <w:p w14:paraId="553AAE7E"/>
    <w:p w14:paraId="5B1BE5F7">
      <w:pPr>
        <w:spacing w:line="240" w:lineRule="auto"/>
        <w:ind w:firstLine="0" w:firstLineChars="0"/>
        <w:jc w:val="right"/>
      </w:pPr>
      <w:r>
        <w:rPr>
          <w:rFonts w:hint="eastAsia"/>
        </w:rPr>
        <w:t>重庆三峡银行股份有限公司</w:t>
      </w:r>
    </w:p>
    <w:p w14:paraId="31D51544">
      <w:pPr>
        <w:jc w:val="right"/>
      </w:pPr>
      <w:r>
        <w:rPr>
          <w:rFonts w:hint="eastAsia"/>
        </w:rPr>
        <w:t>202</w:t>
      </w:r>
      <w:r>
        <w:rPr>
          <w:rFonts w:hint="eastAsia"/>
          <w:lang w:val="en-US" w:eastAsia="zh-CN"/>
        </w:rPr>
        <w:t>5</w:t>
      </w:r>
      <w:r>
        <w:rPr>
          <w:rFonts w:hint="eastAsia"/>
        </w:rPr>
        <w:t>年</w:t>
      </w:r>
      <w:r>
        <w:rPr>
          <w:rFonts w:hint="eastAsia"/>
          <w:lang w:val="en-US" w:eastAsia="zh-CN"/>
        </w:rPr>
        <w:t>11</w:t>
      </w:r>
      <w:r>
        <w:rPr>
          <w:rFonts w:hint="eastAsia"/>
        </w:rPr>
        <w:t>月</w:t>
      </w:r>
      <w:r>
        <w:rPr>
          <w:rFonts w:hint="eastAsia"/>
          <w:lang w:val="en-US" w:eastAsia="zh-CN"/>
        </w:rPr>
        <w:t>05</w:t>
      </w:r>
      <w:r>
        <w:rPr>
          <w:rFonts w:hint="eastAsia"/>
        </w:rPr>
        <w:t>日</w:t>
      </w:r>
    </w:p>
    <w:p w14:paraId="3A92C1E2"/>
    <w:p w14:paraId="0EBE7CE6"/>
    <w:p w14:paraId="07F11193">
      <w:pPr>
        <w:sectPr>
          <w:footerReference r:id="rId5" w:type="default"/>
          <w:pgSz w:w="11906" w:h="16838"/>
          <w:pgMar w:top="1440" w:right="1800" w:bottom="1440" w:left="1800" w:header="851" w:footer="992" w:gutter="0"/>
          <w:pgNumType w:start="1"/>
          <w:cols w:space="720" w:num="1"/>
          <w:docGrid w:type="lines" w:linePitch="312" w:charSpace="0"/>
        </w:sectPr>
      </w:pPr>
    </w:p>
    <w:bookmarkEnd w:id="12"/>
    <w:p w14:paraId="07D519C6">
      <w:pPr>
        <w:pStyle w:val="2"/>
      </w:pPr>
      <w:bookmarkStart w:id="29" w:name="_Toc303066033"/>
      <w:bookmarkStart w:id="30" w:name="_Toc12671"/>
      <w:bookmarkStart w:id="31" w:name="_Toc89675159"/>
      <w:bookmarkStart w:id="32" w:name="_Toc26127"/>
      <w:r>
        <w:rPr>
          <w:rFonts w:hint="eastAsia"/>
        </w:rPr>
        <w:t>第二章 响应人须知</w:t>
      </w:r>
      <w:bookmarkEnd w:id="29"/>
      <w:bookmarkEnd w:id="30"/>
      <w:bookmarkEnd w:id="31"/>
      <w:bookmarkEnd w:id="32"/>
    </w:p>
    <w:p w14:paraId="737A5050">
      <w:pPr>
        <w:pStyle w:val="3"/>
      </w:pPr>
      <w:bookmarkStart w:id="33" w:name="_Toc89675160"/>
      <w:r>
        <w:rPr>
          <w:rFonts w:hint="eastAsia"/>
        </w:rPr>
        <w:t>1. 总则</w:t>
      </w:r>
    </w:p>
    <w:p w14:paraId="3BE82473">
      <w:pPr>
        <w:pStyle w:val="4"/>
      </w:pPr>
      <w:r>
        <w:rPr>
          <w:rFonts w:hint="eastAsia"/>
        </w:rPr>
        <w:t>1.1 项目概况</w:t>
      </w:r>
    </w:p>
    <w:p w14:paraId="082DF2FF">
      <w:r>
        <w:rPr>
          <w:rFonts w:hint="eastAsia"/>
        </w:rPr>
        <w:t>详见第一章“询比项目内容”。</w:t>
      </w:r>
    </w:p>
    <w:p w14:paraId="1778C3AC">
      <w:pPr>
        <w:pStyle w:val="4"/>
      </w:pPr>
      <w:r>
        <w:rPr>
          <w:rFonts w:hint="eastAsia"/>
        </w:rPr>
        <w:t>1.2 询比范围</w:t>
      </w:r>
    </w:p>
    <w:p w14:paraId="43BEE056">
      <w:r>
        <w:rPr>
          <w:rFonts w:hint="eastAsia"/>
        </w:rPr>
        <w:t>详见第一章。</w:t>
      </w:r>
    </w:p>
    <w:p w14:paraId="1A81A437">
      <w:pPr>
        <w:pStyle w:val="4"/>
      </w:pPr>
      <w:r>
        <w:rPr>
          <w:rFonts w:hint="eastAsia"/>
        </w:rPr>
        <w:t>1.3 项目期限、指标</w:t>
      </w:r>
    </w:p>
    <w:p w14:paraId="258D01CD">
      <w:r>
        <w:rPr>
          <w:rFonts w:hint="eastAsia"/>
        </w:rPr>
        <w:t>详见第五章。</w:t>
      </w:r>
    </w:p>
    <w:p w14:paraId="26667D5F">
      <w:pPr>
        <w:pStyle w:val="4"/>
      </w:pPr>
      <w:r>
        <w:rPr>
          <w:rFonts w:hint="eastAsia"/>
        </w:rPr>
        <w:t>1.4 费用承担</w:t>
      </w:r>
    </w:p>
    <w:p w14:paraId="67366DAA">
      <w:r>
        <w:rPr>
          <w:rFonts w:hint="eastAsia"/>
        </w:rPr>
        <w:t>响应</w:t>
      </w:r>
      <w:r>
        <w:t>人准备和参加</w:t>
      </w:r>
      <w:r>
        <w:rPr>
          <w:rFonts w:hint="eastAsia"/>
        </w:rPr>
        <w:t>项目</w:t>
      </w:r>
      <w:r>
        <w:t>发生的费用自理。</w:t>
      </w:r>
    </w:p>
    <w:p w14:paraId="2960E10D">
      <w:pPr>
        <w:pStyle w:val="4"/>
      </w:pPr>
      <w:r>
        <w:rPr>
          <w:rFonts w:hint="eastAsia"/>
        </w:rPr>
        <w:t>1.5 语言文字</w:t>
      </w:r>
    </w:p>
    <w:p w14:paraId="44068CF4">
      <w:r>
        <w:rPr>
          <w:rFonts w:hint="eastAsia"/>
        </w:rPr>
        <w:t>询比文件使用的语言文字为中文。专用术语使用外文的，应附有中文注释。</w:t>
      </w:r>
    </w:p>
    <w:p w14:paraId="046B25A8">
      <w:pPr>
        <w:pStyle w:val="4"/>
      </w:pPr>
      <w:r>
        <w:rPr>
          <w:rFonts w:hint="eastAsia"/>
        </w:rPr>
        <w:t>1.6 计量单位</w:t>
      </w:r>
    </w:p>
    <w:p w14:paraId="182C162C">
      <w:r>
        <w:rPr>
          <w:rFonts w:hint="eastAsia"/>
        </w:rPr>
        <w:t>所有计量均采用中华人民共和国法定计量单位。</w:t>
      </w:r>
    </w:p>
    <w:p w14:paraId="4A35EE01">
      <w:pPr>
        <w:pStyle w:val="4"/>
      </w:pPr>
      <w:r>
        <w:rPr>
          <w:rFonts w:hint="eastAsia"/>
        </w:rPr>
        <w:t>1.7 踏勘现场</w:t>
      </w:r>
    </w:p>
    <w:p w14:paraId="1F1A6AA1">
      <w:r>
        <w:rPr>
          <w:rFonts w:hint="eastAsia"/>
        </w:rPr>
        <w:t>详见第一章。</w:t>
      </w:r>
    </w:p>
    <w:p w14:paraId="5D6CB7C3">
      <w:pPr>
        <w:pStyle w:val="4"/>
      </w:pPr>
      <w:r>
        <w:rPr>
          <w:rFonts w:hint="eastAsia"/>
        </w:rPr>
        <w:t>1.8 分包</w:t>
      </w:r>
    </w:p>
    <w:p w14:paraId="5624E55D">
      <w:r>
        <w:rPr>
          <w:rFonts w:hint="eastAsia"/>
        </w:rPr>
        <w:t>详见第一章。</w:t>
      </w:r>
    </w:p>
    <w:p w14:paraId="70F4CD9A">
      <w:pPr>
        <w:pStyle w:val="4"/>
      </w:pPr>
      <w:r>
        <w:rPr>
          <w:rFonts w:hint="eastAsia"/>
        </w:rPr>
        <w:t>1.9 偏离</w:t>
      </w:r>
    </w:p>
    <w:p w14:paraId="7AE64E9C">
      <w:r>
        <w:rPr>
          <w:rFonts w:hint="eastAsia"/>
        </w:rPr>
        <w:t>允许响应文件偏离询比文件某些要求的，偏离应当符合询比文件规定的偏离范围和幅度。</w:t>
      </w:r>
    </w:p>
    <w:bookmarkEnd w:id="33"/>
    <w:p w14:paraId="2F3769C5">
      <w:pPr>
        <w:pStyle w:val="3"/>
      </w:pPr>
      <w:bookmarkStart w:id="34" w:name="_Toc89675161"/>
      <w:r>
        <w:rPr>
          <w:rFonts w:hint="eastAsia"/>
        </w:rPr>
        <w:t xml:space="preserve">2. </w:t>
      </w:r>
      <w:bookmarkEnd w:id="34"/>
      <w:r>
        <w:rPr>
          <w:rFonts w:hint="eastAsia"/>
        </w:rPr>
        <w:t>响应人</w:t>
      </w:r>
    </w:p>
    <w:p w14:paraId="7CD998C1">
      <w:r>
        <w:rPr>
          <w:rFonts w:hint="eastAsia"/>
        </w:rPr>
        <w:t>为采购人提供工程、货物和服务的承包商、供货商和服务商。</w:t>
      </w:r>
    </w:p>
    <w:p w14:paraId="5A95A501">
      <w:pPr>
        <w:pStyle w:val="4"/>
      </w:pPr>
      <w:r>
        <w:rPr>
          <w:rFonts w:hint="eastAsia"/>
        </w:rPr>
        <w:t>2.1 合格响应人条件</w:t>
      </w:r>
    </w:p>
    <w:p w14:paraId="6D59DDEE">
      <w:r>
        <w:rPr>
          <w:rFonts w:hint="eastAsia"/>
        </w:rPr>
        <w:t>2.1.1 合格响应人应完全符合询比文件第一章中规定的响应人资格条件，并对询比文件作出实质性响应。</w:t>
      </w:r>
    </w:p>
    <w:p w14:paraId="395743A6">
      <w:r>
        <w:rPr>
          <w:rFonts w:hint="eastAsia"/>
        </w:rPr>
        <w:t>2.1.2 联合体响应</w:t>
      </w:r>
    </w:p>
    <w:p w14:paraId="41AE5FED">
      <w:r>
        <w:rPr>
          <w:rFonts w:hint="eastAsia"/>
        </w:rPr>
        <w:t>符合询比文件第一章中规定。</w:t>
      </w:r>
    </w:p>
    <w:p w14:paraId="3B1D4B3F">
      <w:pPr>
        <w:pStyle w:val="4"/>
      </w:pPr>
      <w:r>
        <w:rPr>
          <w:rFonts w:hint="eastAsia"/>
        </w:rPr>
        <w:t>2.2 响应人的风险</w:t>
      </w:r>
    </w:p>
    <w:p w14:paraId="3F906673">
      <w:r>
        <w:rPr>
          <w:rFonts w:hint="eastAsia"/>
        </w:rPr>
        <w:t>响应人没有按照询比文件要求提供全部资料，或者响应人没有对询比文件在各方面作出实质性响应，可能导致响应被拒绝或评定为无效响应。</w:t>
      </w:r>
    </w:p>
    <w:p w14:paraId="4F6DB07E">
      <w:pPr>
        <w:pStyle w:val="4"/>
      </w:pPr>
      <w:r>
        <w:rPr>
          <w:rFonts w:hint="eastAsia"/>
        </w:rPr>
        <w:t>2.3 响应人不得存在下列情形之一</w:t>
      </w:r>
    </w:p>
    <w:p w14:paraId="13ED5671">
      <w:r>
        <w:t>（1）与</w:t>
      </w:r>
      <w:r>
        <w:rPr>
          <w:rFonts w:hint="eastAsia"/>
        </w:rPr>
        <w:t>采购人</w:t>
      </w:r>
      <w:r>
        <w:t>存在利害关系且可能影响</w:t>
      </w:r>
      <w:r>
        <w:rPr>
          <w:rFonts w:hint="eastAsia"/>
        </w:rPr>
        <w:t>询比</w:t>
      </w:r>
      <w:r>
        <w:t>公正性；</w:t>
      </w:r>
    </w:p>
    <w:p w14:paraId="6250C276">
      <w:r>
        <w:t>（2）与本项目的其他</w:t>
      </w:r>
      <w:r>
        <w:rPr>
          <w:rFonts w:hint="eastAsia"/>
        </w:rPr>
        <w:t>响应</w:t>
      </w:r>
      <w:r>
        <w:t xml:space="preserve">人为同一个单位负责人； </w:t>
      </w:r>
    </w:p>
    <w:p w14:paraId="03EAE88D">
      <w:r>
        <w:t>（3）与本项目的其他</w:t>
      </w:r>
      <w:r>
        <w:rPr>
          <w:rFonts w:hint="eastAsia"/>
        </w:rPr>
        <w:t>响应</w:t>
      </w:r>
      <w:r>
        <w:t xml:space="preserve">人存在控股、管理关系； </w:t>
      </w:r>
    </w:p>
    <w:p w14:paraId="0E735125">
      <w:r>
        <w:t>（4）与本项目其他</w:t>
      </w:r>
      <w:r>
        <w:rPr>
          <w:rFonts w:hint="eastAsia"/>
        </w:rPr>
        <w:t>响应</w:t>
      </w:r>
      <w:r>
        <w:t>人代理同一个制造商同一品牌同一型号的物资</w:t>
      </w:r>
      <w:r>
        <w:rPr>
          <w:rFonts w:hint="eastAsia"/>
        </w:rPr>
        <w:t>参与项目</w:t>
      </w:r>
      <w:r>
        <w:t>；</w:t>
      </w:r>
    </w:p>
    <w:p w14:paraId="68857D0D">
      <w:r>
        <w:t xml:space="preserve">（5）为本项目提供过设计、编制技术规范和其他文件的咨询服务； </w:t>
      </w:r>
    </w:p>
    <w:p w14:paraId="235FF967">
      <w:r>
        <w:t xml:space="preserve">（6）为本项目的相关监理人，或者与本项目的相关监理人存在隶属关系或者其他利害关系； </w:t>
      </w:r>
    </w:p>
    <w:p w14:paraId="43706130">
      <w:r>
        <w:t xml:space="preserve">（7）为本项目的代建人； </w:t>
      </w:r>
    </w:p>
    <w:p w14:paraId="42E645AD">
      <w:r>
        <w:t xml:space="preserve">（8）为本项目的招标代理机构； </w:t>
      </w:r>
    </w:p>
    <w:p w14:paraId="16914274">
      <w:r>
        <w:t xml:space="preserve">（9）与本项目的监理人或代建人或招标代理机构同为一个法定代表人； </w:t>
      </w:r>
    </w:p>
    <w:p w14:paraId="69FABA88">
      <w:r>
        <w:t>（10）与本项目的监理人或代建人或招标代理机构存在控股或参股关系；</w:t>
      </w:r>
    </w:p>
    <w:p w14:paraId="3A40B72F">
      <w:r>
        <w:t xml:space="preserve">（11）被依法暂停或者取消投标资格； </w:t>
      </w:r>
    </w:p>
    <w:p w14:paraId="02094491">
      <w:r>
        <w:t xml:space="preserve">（12）被责令停产停业、暂扣或者吊销许可证、暂扣或者吊销执照； </w:t>
      </w:r>
    </w:p>
    <w:p w14:paraId="2DDB9FA1">
      <w:r>
        <w:t>（13）进入清算程序，或被宣告破产，或其他丧失履约能力的情形；</w:t>
      </w:r>
    </w:p>
    <w:p w14:paraId="647D48D8">
      <w:r>
        <w:t xml:space="preserve">（14）在最近三年内发生重大产品质量问题（以相关行业主管部门的行政处罚决定或司法机关出具的有关法律文书为准）； </w:t>
      </w:r>
    </w:p>
    <w:p w14:paraId="4ADE6B48">
      <w:r>
        <w:t>（15）被市场监督管理机关在全国企业信用信息公示系统中列入严重违法失信企业名单；</w:t>
      </w:r>
    </w:p>
    <w:p w14:paraId="65D06860">
      <w:r>
        <w:t xml:space="preserve">（16）被最高人民法院在“信用中国”网站（www.creditchina.gov.cn）或各级信用信息共享平台中列入失信被执行人名单； </w:t>
      </w:r>
    </w:p>
    <w:p w14:paraId="6BB32A38">
      <w:r>
        <w:t>（17）在近三年内</w:t>
      </w:r>
      <w:r>
        <w:rPr>
          <w:rFonts w:hint="eastAsia"/>
        </w:rPr>
        <w:t>响应</w:t>
      </w:r>
      <w:r>
        <w:t xml:space="preserve">人或其法定代表人、拟委任的项目负责人有行贿犯罪行为的（以检察机关职务犯罪预防部门出具的查询结果为准）； </w:t>
      </w:r>
    </w:p>
    <w:p w14:paraId="7608D301">
      <w:r>
        <w:t>（18）法律法规或</w:t>
      </w:r>
      <w:r>
        <w:rPr>
          <w:rFonts w:hint="eastAsia"/>
        </w:rPr>
        <w:t>响应</w:t>
      </w:r>
      <w:r>
        <w:t>人须知规定的其他情形。</w:t>
      </w:r>
    </w:p>
    <w:p w14:paraId="1987CAFE">
      <w:pPr>
        <w:pStyle w:val="3"/>
      </w:pPr>
      <w:bookmarkStart w:id="35" w:name="_Toc89675162"/>
      <w:r>
        <w:rPr>
          <w:rFonts w:hint="eastAsia"/>
        </w:rPr>
        <w:t xml:space="preserve">3. </w:t>
      </w:r>
      <w:bookmarkEnd w:id="35"/>
      <w:r>
        <w:rPr>
          <w:rFonts w:hint="eastAsia"/>
        </w:rPr>
        <w:t>询比文件</w:t>
      </w:r>
    </w:p>
    <w:p w14:paraId="7AD90EDC">
      <w:r>
        <w:rPr>
          <w:rFonts w:hint="eastAsia"/>
        </w:rPr>
        <w:t>3.1 采购人根据自身采购方案或需求编制的采购文件。</w:t>
      </w:r>
    </w:p>
    <w:p w14:paraId="5E7261B2">
      <w:r>
        <w:rPr>
          <w:rFonts w:hint="eastAsia"/>
        </w:rPr>
        <w:t>3.2 询比文件是响应人编制响应文件的依据，是评审委员会评判依据和标准。询比文件也是采购人与成交供应商签订合同的基础。</w:t>
      </w:r>
    </w:p>
    <w:p w14:paraId="0005064E">
      <w:r>
        <w:rPr>
          <w:rFonts w:hint="eastAsia"/>
        </w:rPr>
        <w:t>3.3 采购人对询比文件所作的一切有效的书面通知、修改及补充，都是询比文件不可分割的部分。</w:t>
      </w:r>
    </w:p>
    <w:p w14:paraId="44BB6392">
      <w:r>
        <w:rPr>
          <w:rFonts w:hint="eastAsia"/>
        </w:rPr>
        <w:t>3.4 提问及澄清修改</w:t>
      </w:r>
    </w:p>
    <w:p w14:paraId="7A1378B7">
      <w:r>
        <w:rPr>
          <w:rFonts w:hint="eastAsia"/>
        </w:rPr>
        <w:t>详见第一章。</w:t>
      </w:r>
    </w:p>
    <w:p w14:paraId="7428EBF2">
      <w:r>
        <w:rPr>
          <w:rFonts w:hint="eastAsia"/>
        </w:rPr>
        <w:t>3.5 询比文件的修改</w:t>
      </w:r>
    </w:p>
    <w:p w14:paraId="257C9DBA">
      <w:r>
        <w:rPr>
          <w:rFonts w:hint="eastAsia"/>
        </w:rPr>
        <w:t>按照本章第 3.4 条“提问及澄清修改”相关内容及方式执行。</w:t>
      </w:r>
    </w:p>
    <w:p w14:paraId="201C5A7D">
      <w:pPr>
        <w:pStyle w:val="3"/>
      </w:pPr>
      <w:bookmarkStart w:id="36" w:name="_Toc89675163"/>
      <w:r>
        <w:rPr>
          <w:rFonts w:hint="eastAsia"/>
        </w:rPr>
        <w:t>4. 响应文件</w:t>
      </w:r>
    </w:p>
    <w:p w14:paraId="049801C2">
      <w:r>
        <w:rPr>
          <w:rFonts w:hint="eastAsia"/>
        </w:rPr>
        <w:t>参与询比活动的响应人按照询比文件的要求编制提交的要约文件的统称。</w:t>
      </w:r>
    </w:p>
    <w:p w14:paraId="1EF0BEDB">
      <w:pPr>
        <w:pStyle w:val="4"/>
      </w:pPr>
      <w:r>
        <w:rPr>
          <w:rFonts w:hint="eastAsia"/>
        </w:rPr>
        <w:t>4.1 响应文件组成</w:t>
      </w:r>
    </w:p>
    <w:p w14:paraId="5F20EDD1">
      <w:r>
        <w:rPr>
          <w:rFonts w:hint="eastAsia"/>
        </w:rPr>
        <w:t>响应文件由响应人所作的一切有效补充、修改和承诺等文件组成，响应人应按照第六章“响应文件格式”规定的目录顺序组织编写和装订，否则有可能影响响应人的响应文件评审。</w:t>
      </w:r>
    </w:p>
    <w:p w14:paraId="4F61F343">
      <w:pPr>
        <w:pStyle w:val="4"/>
      </w:pPr>
      <w:r>
        <w:rPr>
          <w:rFonts w:hint="eastAsia"/>
        </w:rPr>
        <w:t>4.2 响应报价</w:t>
      </w:r>
    </w:p>
    <w:p w14:paraId="39B1ACFE">
      <w:r>
        <w:rPr>
          <w:rFonts w:hint="eastAsia"/>
        </w:rPr>
        <w:t>详见第一章。</w:t>
      </w:r>
    </w:p>
    <w:p w14:paraId="37A9AFBA">
      <w:pPr>
        <w:pStyle w:val="4"/>
      </w:pPr>
      <w:r>
        <w:rPr>
          <w:rFonts w:hint="eastAsia"/>
        </w:rPr>
        <w:t>4.3 响应报价</w:t>
      </w:r>
    </w:p>
    <w:p w14:paraId="4E3DAECE">
      <w:pPr>
        <w:pStyle w:val="5"/>
      </w:pPr>
      <w:r>
        <w:rPr>
          <w:rFonts w:hint="eastAsia"/>
        </w:rPr>
        <w:t>4.3.1 最高限价</w:t>
      </w:r>
    </w:p>
    <w:p w14:paraId="2E3CB11F">
      <w:r>
        <w:rPr>
          <w:rFonts w:hint="eastAsia"/>
        </w:rPr>
        <w:t>见第一章。</w:t>
      </w:r>
    </w:p>
    <w:p w14:paraId="170A2D02">
      <w:pPr>
        <w:pStyle w:val="5"/>
      </w:pPr>
      <w:r>
        <w:rPr>
          <w:rFonts w:hint="eastAsia"/>
        </w:rPr>
        <w:t>4.3.2 报价方式及要求</w:t>
      </w:r>
    </w:p>
    <w:p w14:paraId="3CE4C339">
      <w:r>
        <w:rPr>
          <w:rFonts w:hint="eastAsia"/>
        </w:rPr>
        <w:t>4.3.2.1 响应人应严格按照“响应文件格式”填写报价。</w:t>
      </w:r>
    </w:p>
    <w:p w14:paraId="6AC3282B">
      <w:r>
        <w:rPr>
          <w:rFonts w:hint="eastAsia"/>
        </w:rPr>
        <w:t>4.3.2.2 响应人的报价为一次性报价，即在响应有效期内响应价格固定不变。</w:t>
      </w:r>
    </w:p>
    <w:p w14:paraId="2E00792F">
      <w:r>
        <w:rPr>
          <w:rFonts w:hint="eastAsia"/>
        </w:rPr>
        <w:t>4.3.2.3 本项目只接受一个响应报价，有选择的或有条件的响应将不予接受。</w:t>
      </w:r>
    </w:p>
    <w:p w14:paraId="322FE0D3">
      <w:r>
        <w:rPr>
          <w:rFonts w:hint="eastAsia"/>
        </w:rPr>
        <w:t>4.3.2.4 响应报价不得高于最高限价。</w:t>
      </w:r>
    </w:p>
    <w:p w14:paraId="564B0F31">
      <w:r>
        <w:rPr>
          <w:rFonts w:hint="eastAsia"/>
        </w:rPr>
        <w:t>4.3.2.5 询比文件第一章第 1.2 条和第五章规定的其他内容。</w:t>
      </w:r>
    </w:p>
    <w:p w14:paraId="0656AD27">
      <w:pPr>
        <w:pStyle w:val="4"/>
      </w:pPr>
      <w:r>
        <w:rPr>
          <w:rFonts w:hint="eastAsia"/>
        </w:rPr>
        <w:t>4.4 响应有效期</w:t>
      </w:r>
    </w:p>
    <w:p w14:paraId="565C7780">
      <w:r>
        <w:rPr>
          <w:rFonts w:hint="eastAsia"/>
        </w:rPr>
        <w:t>4.4.1 响应有效期为响应截止时间后90天内。</w:t>
      </w:r>
    </w:p>
    <w:p w14:paraId="5BF58741">
      <w:r>
        <w:rPr>
          <w:rFonts w:hint="eastAsia"/>
        </w:rPr>
        <w:t>4.4.2 在响应有效期内，响应人撤销或修改其响应文件的，应承担询比文件和法律规定的责任。</w:t>
      </w:r>
    </w:p>
    <w:p w14:paraId="55584EE1">
      <w:r>
        <w:rPr>
          <w:rFonts w:hint="eastAsia"/>
        </w:rPr>
        <w:t>4.4.3 出现特殊情况需要延长响应有效期的，采购人以书面形式通知所有响应人延长响应有效期。响应人应予以书面回复，同意延长的，应相应延长其响应保证金的有效期，但不得要求或被允许修改其响应文件；响应人拒绝延长的，其响应失效，但响应人有权收回其响应保证金。</w:t>
      </w:r>
    </w:p>
    <w:p w14:paraId="56F6A918">
      <w:pPr>
        <w:pStyle w:val="4"/>
      </w:pPr>
      <w:r>
        <w:rPr>
          <w:rFonts w:hint="eastAsia"/>
        </w:rPr>
        <w:t>4.5 响应保证金</w:t>
      </w:r>
    </w:p>
    <w:p w14:paraId="475143E0">
      <w:r>
        <w:rPr>
          <w:rFonts w:hint="eastAsia"/>
        </w:rPr>
        <w:t>4.5.1 响应人应在响应截止时间前，按询比文件第一章规定向采购人缴纳响应保证金。</w:t>
      </w:r>
    </w:p>
    <w:p w14:paraId="6626D068">
      <w:r>
        <w:rPr>
          <w:rFonts w:hint="eastAsia"/>
        </w:rPr>
        <w:t>4.5.2 响应保证金为响应的有效约束条件。</w:t>
      </w:r>
    </w:p>
    <w:p w14:paraId="7562330E">
      <w:r>
        <w:rPr>
          <w:rFonts w:hint="eastAsia"/>
        </w:rPr>
        <w:t>4.5.3 响应保证金有效期与响应文件有效期一致。</w:t>
      </w:r>
    </w:p>
    <w:p w14:paraId="7FA51E5E">
      <w:r>
        <w:rPr>
          <w:rFonts w:hint="eastAsia"/>
        </w:rPr>
        <w:t>4.5.4 响应保证金币种应与响应报价币种相同。</w:t>
      </w:r>
    </w:p>
    <w:p w14:paraId="66431DD8">
      <w:r>
        <w:rPr>
          <w:rFonts w:hint="eastAsia"/>
        </w:rPr>
        <w:t>4.5.5 响应保证金的退还：</w:t>
      </w:r>
    </w:p>
    <w:p w14:paraId="50E269F8">
      <w:r>
        <w:rPr>
          <w:rFonts w:hint="eastAsia"/>
        </w:rPr>
        <w:t>采购人在成交通知书发出后2个工作日内将成交通知书和保证金退还通知抄告重庆市公共资源交易中心，重庆市公共资源交易中心在收到保证金退还通知后2个工作日内，向除成交供应商以外的响应人，退还响应保证金。</w:t>
      </w:r>
    </w:p>
    <w:p w14:paraId="0F8C9EB4">
      <w:r>
        <w:rPr>
          <w:rFonts w:hint="eastAsia"/>
        </w:rPr>
        <w:t>采购人在合同生效后2个工作日内将签订的合同和保证金退还通知抄告重庆市公共资源交易中心，重庆市公共资源交易中心在收到保证金退还通知后2个工作日内，向成交供应商退还响应保证金。</w:t>
      </w:r>
    </w:p>
    <w:p w14:paraId="4ABE7BD4">
      <w:r>
        <w:rPr>
          <w:rFonts w:hint="eastAsia"/>
        </w:rPr>
        <w:t>响应保证金专用账户由重庆市公共资源交易中心制定，关于保证金相关情况的问题请咨询重庆市公共资源交易中心。</w:t>
      </w:r>
    </w:p>
    <w:p w14:paraId="3293D87D">
      <w:r>
        <w:rPr>
          <w:rFonts w:hint="eastAsia"/>
        </w:rPr>
        <w:t>4.5.6 响应人有下列情形之一的，响应保证金将不予退还：</w:t>
      </w:r>
    </w:p>
    <w:p w14:paraId="32BCC964">
      <w:r>
        <w:rPr>
          <w:rFonts w:hint="eastAsia"/>
        </w:rPr>
        <w:t>4.5.6.1 响应人在响应有效期内撤销响应文件的；</w:t>
      </w:r>
    </w:p>
    <w:p w14:paraId="2B3AA761">
      <w:r>
        <w:rPr>
          <w:rFonts w:hint="eastAsia"/>
        </w:rPr>
        <w:t>4.5.6.2 响应人在响应过程中弄虚作假，提供虚假材料的；</w:t>
      </w:r>
    </w:p>
    <w:p w14:paraId="02FA922B">
      <w:r>
        <w:rPr>
          <w:rFonts w:hint="eastAsia"/>
        </w:rPr>
        <w:t>4.5.6.3 成交供应商无故弃选或无正当理由不与采购人签订合同的；</w:t>
      </w:r>
    </w:p>
    <w:p w14:paraId="6AA0E4B7">
      <w:r>
        <w:rPr>
          <w:rFonts w:hint="eastAsia"/>
        </w:rPr>
        <w:t>4.5.6.4 成交供应商将成交项目转让给他人或者在响应文件中未说明且未经询比单位同意，将成交项目分包给他人的；</w:t>
      </w:r>
    </w:p>
    <w:p w14:paraId="78B3208A">
      <w:r>
        <w:rPr>
          <w:rFonts w:hint="eastAsia"/>
        </w:rPr>
        <w:t>4.5.6.5 成交供应商拒绝履行合同义务的；</w:t>
      </w:r>
    </w:p>
    <w:p w14:paraId="227015C1">
      <w:r>
        <w:rPr>
          <w:rFonts w:hint="eastAsia"/>
        </w:rPr>
        <w:t>4.5.6.6 其他严重扰乱询比程序的；</w:t>
      </w:r>
    </w:p>
    <w:p w14:paraId="5E50E411">
      <w:pPr>
        <w:pStyle w:val="4"/>
      </w:pPr>
      <w:r>
        <w:rPr>
          <w:rFonts w:hint="eastAsia"/>
        </w:rPr>
        <w:t>4.6 资格审查资料</w:t>
      </w:r>
    </w:p>
    <w:p w14:paraId="35732F34">
      <w:pPr>
        <w:rPr>
          <w:rFonts w:hint="eastAsia" w:ascii="宋体" w:hAnsi="宋体" w:cs="宋体"/>
          <w:szCs w:val="21"/>
        </w:rPr>
      </w:pPr>
      <w:r>
        <w:rPr>
          <w:rFonts w:hint="eastAsia"/>
        </w:rPr>
        <w:t>响应</w:t>
      </w:r>
      <w:r>
        <w:rPr>
          <w:rFonts w:hint="eastAsia" w:ascii="宋体" w:hAnsi="宋体" w:cs="宋体"/>
          <w:szCs w:val="21"/>
        </w:rPr>
        <w:t>人应附第一章第2条“响应人资格要求”中要求的相关证明材料。</w:t>
      </w:r>
    </w:p>
    <w:p w14:paraId="0B943E67">
      <w:pPr>
        <w:pStyle w:val="4"/>
      </w:pPr>
      <w:r>
        <w:rPr>
          <w:rFonts w:hint="eastAsia"/>
        </w:rPr>
        <w:t>4.7 备选响应方案</w:t>
      </w:r>
    </w:p>
    <w:p w14:paraId="234F9E72">
      <w:pPr>
        <w:rPr>
          <w:rFonts w:hint="eastAsia" w:ascii="宋体" w:hAnsi="宋体" w:cs="宋体"/>
          <w:szCs w:val="21"/>
        </w:rPr>
      </w:pPr>
      <w:r>
        <w:rPr>
          <w:rFonts w:hint="eastAsia"/>
        </w:rPr>
        <w:t>响应</w:t>
      </w:r>
      <w:r>
        <w:rPr>
          <w:rFonts w:hint="eastAsia" w:ascii="宋体" w:hAnsi="宋体" w:cs="宋体"/>
          <w:szCs w:val="21"/>
        </w:rPr>
        <w:t>人不得递交备选</w:t>
      </w:r>
      <w:r>
        <w:rPr>
          <w:rFonts w:hint="eastAsia"/>
        </w:rPr>
        <w:t>响应</w:t>
      </w:r>
      <w:r>
        <w:rPr>
          <w:rFonts w:hint="eastAsia" w:ascii="宋体" w:hAnsi="宋体" w:cs="宋体"/>
          <w:szCs w:val="21"/>
        </w:rPr>
        <w:t>方案。</w:t>
      </w:r>
    </w:p>
    <w:p w14:paraId="439A8CB2">
      <w:pPr>
        <w:pStyle w:val="4"/>
      </w:pPr>
      <w:r>
        <w:rPr>
          <w:rFonts w:hint="eastAsia"/>
        </w:rPr>
        <w:t>4.8 响应文件的编制</w:t>
      </w:r>
    </w:p>
    <w:p w14:paraId="38406DE2">
      <w:pPr>
        <w:rPr>
          <w:rFonts w:hint="eastAsia" w:ascii="宋体" w:hAnsi="宋体" w:cs="宋体"/>
          <w:szCs w:val="21"/>
        </w:rPr>
      </w:pPr>
      <w:r>
        <w:rPr>
          <w:rFonts w:hint="eastAsia"/>
        </w:rPr>
        <w:t>4.8</w:t>
      </w:r>
      <w:r>
        <w:rPr>
          <w:rFonts w:hint="eastAsia" w:ascii="宋体" w:hAnsi="宋体" w:cs="宋体"/>
          <w:szCs w:val="21"/>
        </w:rPr>
        <w:t xml:space="preserve">.1 </w:t>
      </w:r>
      <w:r>
        <w:rPr>
          <w:rFonts w:hint="eastAsia"/>
        </w:rPr>
        <w:t>响应</w:t>
      </w:r>
      <w:r>
        <w:rPr>
          <w:rFonts w:hint="eastAsia" w:ascii="宋体" w:hAnsi="宋体" w:cs="宋体"/>
          <w:szCs w:val="21"/>
        </w:rPr>
        <w:t>文件应按第六章“</w:t>
      </w:r>
      <w:r>
        <w:rPr>
          <w:rFonts w:hint="eastAsia"/>
        </w:rPr>
        <w:t>响应</w:t>
      </w:r>
      <w:r>
        <w:rPr>
          <w:rFonts w:hint="eastAsia" w:ascii="宋体" w:hAnsi="宋体" w:cs="宋体"/>
          <w:szCs w:val="21"/>
        </w:rPr>
        <w:t>文件格式”进行编写，如有必要，可以增加附页，作为</w:t>
      </w:r>
      <w:r>
        <w:rPr>
          <w:rFonts w:hint="eastAsia"/>
        </w:rPr>
        <w:t>响应</w:t>
      </w:r>
      <w:r>
        <w:rPr>
          <w:rFonts w:hint="eastAsia" w:ascii="宋体" w:hAnsi="宋体" w:cs="宋体"/>
          <w:szCs w:val="21"/>
        </w:rPr>
        <w:t>文件的组成部分。</w:t>
      </w:r>
    </w:p>
    <w:p w14:paraId="5E71CA93">
      <w:pPr>
        <w:rPr>
          <w:rFonts w:hint="eastAsia" w:ascii="宋体" w:hAnsi="宋体" w:cs="宋体"/>
          <w:szCs w:val="21"/>
        </w:rPr>
      </w:pPr>
      <w:r>
        <w:rPr>
          <w:rFonts w:hint="eastAsia"/>
        </w:rPr>
        <w:t>4.8</w:t>
      </w:r>
      <w:r>
        <w:rPr>
          <w:rFonts w:hint="eastAsia" w:ascii="宋体" w:hAnsi="宋体" w:cs="宋体"/>
          <w:szCs w:val="21"/>
        </w:rPr>
        <w:t xml:space="preserve">.2 </w:t>
      </w:r>
      <w:r>
        <w:rPr>
          <w:rFonts w:hint="eastAsia"/>
        </w:rPr>
        <w:t>响应</w:t>
      </w:r>
      <w:r>
        <w:rPr>
          <w:rFonts w:hint="eastAsia" w:ascii="宋体" w:hAnsi="宋体" w:cs="宋体"/>
          <w:szCs w:val="21"/>
        </w:rPr>
        <w:t>文件应当对询比文件有关期限、竞选有效期、采购要求、采购范围等实质性内容做出响应。</w:t>
      </w:r>
    </w:p>
    <w:p w14:paraId="66958F22">
      <w:pPr>
        <w:rPr>
          <w:rFonts w:hint="eastAsia" w:ascii="宋体" w:hAnsi="宋体" w:cs="宋体"/>
          <w:szCs w:val="21"/>
        </w:rPr>
      </w:pPr>
      <w:r>
        <w:rPr>
          <w:rFonts w:hint="eastAsia"/>
        </w:rPr>
        <w:t>4.8</w:t>
      </w:r>
      <w:r>
        <w:rPr>
          <w:rFonts w:hint="eastAsia" w:ascii="宋体" w:hAnsi="宋体" w:cs="宋体"/>
          <w:szCs w:val="21"/>
        </w:rPr>
        <w:t xml:space="preserve">.3 </w:t>
      </w:r>
      <w:r>
        <w:rPr>
          <w:rFonts w:hint="eastAsia"/>
        </w:rPr>
        <w:t>响应</w:t>
      </w:r>
      <w:r>
        <w:rPr>
          <w:rFonts w:hint="eastAsia" w:ascii="宋体" w:hAnsi="宋体" w:cs="宋体"/>
          <w:szCs w:val="21"/>
        </w:rPr>
        <w:t>文件的签名盖章要求：按本章第 5.1 条规定执行。</w:t>
      </w:r>
    </w:p>
    <w:p w14:paraId="128BFCC6">
      <w:pPr>
        <w:rPr>
          <w:rFonts w:hint="eastAsia" w:ascii="宋体" w:hAnsi="宋体" w:cs="宋体"/>
          <w:szCs w:val="21"/>
        </w:rPr>
      </w:pPr>
      <w:r>
        <w:rPr>
          <w:rFonts w:hint="eastAsia"/>
        </w:rPr>
        <w:t>4.8</w:t>
      </w:r>
      <w:r>
        <w:rPr>
          <w:rFonts w:hint="eastAsia" w:ascii="宋体" w:hAnsi="宋体" w:cs="宋体"/>
          <w:szCs w:val="21"/>
        </w:rPr>
        <w:t xml:space="preserve">.4 </w:t>
      </w:r>
      <w:r>
        <w:rPr>
          <w:rFonts w:hint="eastAsia"/>
        </w:rPr>
        <w:t>响应</w:t>
      </w:r>
      <w:r>
        <w:rPr>
          <w:rFonts w:hint="eastAsia" w:ascii="宋体" w:hAnsi="宋体" w:cs="宋体"/>
          <w:szCs w:val="21"/>
        </w:rPr>
        <w:t>文件份数：按本章第 5.1 条规定执行。</w:t>
      </w:r>
    </w:p>
    <w:p w14:paraId="6728924B">
      <w:pPr>
        <w:pStyle w:val="3"/>
      </w:pPr>
      <w:r>
        <w:rPr>
          <w:rFonts w:hint="eastAsia"/>
        </w:rPr>
        <w:t xml:space="preserve">5. </w:t>
      </w:r>
      <w:bookmarkEnd w:id="36"/>
      <w:r>
        <w:rPr>
          <w:rFonts w:hint="eastAsia"/>
        </w:rPr>
        <w:t>响应</w:t>
      </w:r>
    </w:p>
    <w:p w14:paraId="6E29EFB1">
      <w:r>
        <w:rPr>
          <w:rFonts w:hint="eastAsia"/>
        </w:rPr>
        <w:t>响应人应当按照询比文件的要求编制响应文件，并对询比文件提出的要求和条件作出实质性响应。</w:t>
      </w:r>
    </w:p>
    <w:p w14:paraId="7EDBDB70">
      <w:pPr>
        <w:pStyle w:val="4"/>
      </w:pPr>
      <w:r>
        <w:rPr>
          <w:rFonts w:hint="eastAsia"/>
        </w:rPr>
        <w:t>5.1 响应文件的份数和签署</w:t>
      </w:r>
    </w:p>
    <w:p w14:paraId="059CFBA3">
      <w:r>
        <w:rPr>
          <w:rFonts w:hint="eastAsia"/>
        </w:rPr>
        <w:t>5.1.1 响应文件一式三份，其中正本一份，副本一份，电子文件一份（U盘），正本和副本的封面上应清楚地标记“正本”或“副本”的字样，副本可为正本的复印件，当副本和正本不一致时，以纸质正本为准。电子文件应为响应文件盖章后的PDF格式扫描件，文件名为“响应人单位名简称+项目名简称”。</w:t>
      </w:r>
    </w:p>
    <w:p w14:paraId="3ACB2FD5">
      <w:r>
        <w:rPr>
          <w:rFonts w:hint="eastAsia"/>
        </w:rPr>
        <w:t>5.1.2 响应文件正本中，每一页均应由响应人加盖公章，其中规定格式的文件应当按要求签名和加盖响应人公章。</w:t>
      </w:r>
    </w:p>
    <w:p w14:paraId="6CED40D8">
      <w:r>
        <w:rPr>
          <w:rFonts w:hint="eastAsia"/>
        </w:rPr>
        <w:t>5.1.3 若响应人对响应文件的错处作必要修改，则应在修改处加盖响应人公章或由法人或委托代理人签字确认。</w:t>
      </w:r>
    </w:p>
    <w:p w14:paraId="3086BEE5">
      <w:r>
        <w:rPr>
          <w:rFonts w:hint="eastAsia"/>
        </w:rPr>
        <w:t>5.1.4 电报、电话、邮寄、传真形式的响应文件概不接受。</w:t>
      </w:r>
    </w:p>
    <w:p w14:paraId="2B0E3611">
      <w:pPr>
        <w:pStyle w:val="4"/>
      </w:pPr>
      <w:r>
        <w:rPr>
          <w:rFonts w:hint="eastAsia"/>
        </w:rPr>
        <w:t>5.2 响应文件的密封与标记</w:t>
      </w:r>
    </w:p>
    <w:p w14:paraId="204E412C">
      <w:r>
        <w:rPr>
          <w:rFonts w:hint="eastAsia"/>
        </w:rPr>
        <w:t>响应文件的正本、副本、电子文件装入一个文件大袋进行密封。密封袋上注明项目名称、响应人名称及“不准提前启封”字样。信封的封口须加盖响应人公章或授权代表签字。</w:t>
      </w:r>
    </w:p>
    <w:p w14:paraId="13C17753">
      <w:r>
        <w:rPr>
          <w:rFonts w:hint="eastAsia"/>
        </w:rPr>
        <w:t>如果未按上述规定进行密封和标记，采购人将予以拒收。</w:t>
      </w:r>
    </w:p>
    <w:p w14:paraId="4C9C3215">
      <w:pPr>
        <w:pStyle w:val="4"/>
      </w:pPr>
      <w:r>
        <w:rPr>
          <w:rFonts w:hint="eastAsia"/>
        </w:rPr>
        <w:t>5.3 响应文件的递交</w:t>
      </w:r>
    </w:p>
    <w:p w14:paraId="38A4FBA5">
      <w:r>
        <w:rPr>
          <w:rFonts w:hint="eastAsia"/>
        </w:rPr>
        <w:t>5.3.1 响应人应在第一章规定的响应截止时间前递交响应文件。</w:t>
      </w:r>
    </w:p>
    <w:p w14:paraId="101C6EBD">
      <w:r>
        <w:rPr>
          <w:rFonts w:hint="eastAsia"/>
        </w:rPr>
        <w:t>5.3.2 响应人递交响应文件的地点：见第一章。</w:t>
      </w:r>
    </w:p>
    <w:p w14:paraId="54D8FDAF">
      <w:r>
        <w:rPr>
          <w:rFonts w:hint="eastAsia"/>
        </w:rPr>
        <w:t>5.3.3 除询比文件另有规定外，响应人所递交的响应文件不予退还。</w:t>
      </w:r>
    </w:p>
    <w:p w14:paraId="1CABD63B">
      <w:r>
        <w:rPr>
          <w:rFonts w:hint="eastAsia"/>
        </w:rPr>
        <w:t>5.3.4 逾期送达的响应文件将予以拒收。</w:t>
      </w:r>
    </w:p>
    <w:p w14:paraId="50EF7FA7">
      <w:pPr>
        <w:pStyle w:val="4"/>
      </w:pPr>
      <w:r>
        <w:rPr>
          <w:rFonts w:hint="eastAsia"/>
        </w:rPr>
        <w:t>5.4 响应文件的修改与撤回</w:t>
      </w:r>
    </w:p>
    <w:p w14:paraId="48F2914F">
      <w:r>
        <w:rPr>
          <w:rFonts w:hint="eastAsia" w:ascii="宋体" w:hAnsi="宋体" w:cs="宋体"/>
          <w:szCs w:val="21"/>
        </w:rPr>
        <w:t>在</w:t>
      </w:r>
      <w:r>
        <w:rPr>
          <w:rFonts w:hint="eastAsia"/>
        </w:rPr>
        <w:t>响应</w:t>
      </w:r>
      <w:r>
        <w:rPr>
          <w:rFonts w:hint="eastAsia" w:ascii="宋体" w:hAnsi="宋体" w:cs="宋体"/>
          <w:szCs w:val="21"/>
        </w:rPr>
        <w:t>截止时间前，</w:t>
      </w:r>
      <w:r>
        <w:rPr>
          <w:rFonts w:hint="eastAsia"/>
        </w:rPr>
        <w:t>响应</w:t>
      </w:r>
      <w:r>
        <w:rPr>
          <w:rFonts w:hint="eastAsia" w:ascii="宋体" w:hAnsi="宋体" w:cs="宋体"/>
          <w:szCs w:val="21"/>
        </w:rPr>
        <w:t>人可以修改或撤回已递交的</w:t>
      </w:r>
      <w:r>
        <w:rPr>
          <w:rFonts w:hint="eastAsia"/>
        </w:rPr>
        <w:t>响应</w:t>
      </w:r>
      <w:r>
        <w:rPr>
          <w:rFonts w:hint="eastAsia" w:ascii="宋体" w:hAnsi="宋体" w:cs="宋体"/>
          <w:szCs w:val="21"/>
        </w:rPr>
        <w:t>文件。</w:t>
      </w:r>
      <w:r>
        <w:rPr>
          <w:rFonts w:hint="eastAsia"/>
        </w:rPr>
        <w:t>响应</w:t>
      </w:r>
      <w:r>
        <w:rPr>
          <w:rFonts w:hint="eastAsia" w:ascii="宋体" w:hAnsi="宋体" w:cs="宋体"/>
          <w:szCs w:val="21"/>
        </w:rPr>
        <w:t>人修改</w:t>
      </w:r>
      <w:r>
        <w:rPr>
          <w:rFonts w:hint="eastAsia"/>
        </w:rPr>
        <w:t>响应</w:t>
      </w:r>
      <w:r>
        <w:rPr>
          <w:rFonts w:hint="eastAsia" w:ascii="宋体" w:hAnsi="宋体" w:cs="宋体"/>
          <w:szCs w:val="21"/>
        </w:rPr>
        <w:t>文件的，应按照本章第 5.1 条的要求重新对</w:t>
      </w:r>
      <w:r>
        <w:rPr>
          <w:rFonts w:hint="eastAsia"/>
        </w:rPr>
        <w:t>响应</w:t>
      </w:r>
      <w:r>
        <w:rPr>
          <w:rFonts w:hint="eastAsia" w:ascii="宋体" w:hAnsi="宋体" w:cs="宋体"/>
          <w:szCs w:val="21"/>
        </w:rPr>
        <w:t>文件</w:t>
      </w:r>
      <w:r>
        <w:rPr>
          <w:rFonts w:hint="eastAsia"/>
        </w:rPr>
        <w:t>加盖响应人公章或由法人或委托代理人签字确认</w:t>
      </w:r>
      <w:r>
        <w:rPr>
          <w:rFonts w:hint="eastAsia" w:ascii="宋体" w:hAnsi="宋体" w:cs="宋体"/>
          <w:szCs w:val="21"/>
        </w:rPr>
        <w:t>，再按照本章第 5.3 款“响应文件的递交”的要求提交。</w:t>
      </w:r>
    </w:p>
    <w:p w14:paraId="770A2AF5">
      <w:pPr>
        <w:pStyle w:val="3"/>
      </w:pPr>
      <w:bookmarkStart w:id="37" w:name="_Toc89675166"/>
      <w:r>
        <w:rPr>
          <w:rFonts w:hint="eastAsia"/>
        </w:rPr>
        <w:t>6. 询比</w:t>
      </w:r>
    </w:p>
    <w:p w14:paraId="1D2A573D">
      <w:pPr>
        <w:pStyle w:val="4"/>
      </w:pPr>
      <w:r>
        <w:rPr>
          <w:rFonts w:hint="eastAsia"/>
        </w:rPr>
        <w:t>6.1 开标时间、地点</w:t>
      </w:r>
    </w:p>
    <w:p w14:paraId="10C1DE73">
      <w:r>
        <w:rPr>
          <w:rFonts w:hint="eastAsia"/>
        </w:rPr>
        <w:t>见第一章。</w:t>
      </w:r>
    </w:p>
    <w:p w14:paraId="4A75D986">
      <w:pPr>
        <w:pStyle w:val="4"/>
      </w:pPr>
      <w:r>
        <w:rPr>
          <w:rFonts w:hint="eastAsia"/>
        </w:rPr>
        <w:t>6.2 开标程序</w:t>
      </w:r>
    </w:p>
    <w:p w14:paraId="6D40B943">
      <w:r>
        <w:rPr>
          <w:rFonts w:hint="eastAsia"/>
        </w:rPr>
        <w:t>主持人按下列程序进行询比：</w:t>
      </w:r>
    </w:p>
    <w:p w14:paraId="07B66C27">
      <w:r>
        <w:rPr>
          <w:rFonts w:hint="eastAsia"/>
        </w:rPr>
        <w:t>6.1 宣布询比纪律；</w:t>
      </w:r>
    </w:p>
    <w:p w14:paraId="0A643BF0">
      <w:r>
        <w:rPr>
          <w:rFonts w:hint="eastAsia"/>
        </w:rPr>
        <w:t>6.2 宣布采购人、唱标人、记录人、监督人等有关人员姓名；</w:t>
      </w:r>
    </w:p>
    <w:p w14:paraId="5E6CC054">
      <w:r>
        <w:rPr>
          <w:rFonts w:hint="eastAsia"/>
        </w:rPr>
        <w:t>6.3 公布在响应截止时间前递交响应文件的响应人名称；</w:t>
      </w:r>
    </w:p>
    <w:p w14:paraId="70513A44">
      <w:r>
        <w:rPr>
          <w:rFonts w:hint="eastAsia"/>
        </w:rPr>
        <w:t>6.4 展示响应保证金，响应保证金缴款不全或有误的，则记录在案交由评审委员会评审；</w:t>
      </w:r>
    </w:p>
    <w:p w14:paraId="6A9C9E5B">
      <w:r>
        <w:rPr>
          <w:rFonts w:hint="eastAsia"/>
        </w:rPr>
        <w:t>6.5 封装情况检查：响应人或者其推选的代表检查各响应文件的封装情况并确认；</w:t>
      </w:r>
    </w:p>
    <w:p w14:paraId="50A4BB7F">
      <w:r>
        <w:rPr>
          <w:rFonts w:hint="eastAsia"/>
        </w:rPr>
        <w:t>6.6 设有最高限价的，公布最高限价；</w:t>
      </w:r>
    </w:p>
    <w:p w14:paraId="1E01C5C6">
      <w:r>
        <w:rPr>
          <w:rFonts w:hint="eastAsia"/>
        </w:rPr>
        <w:t>6.7 开启响应文件；</w:t>
      </w:r>
    </w:p>
    <w:p w14:paraId="606C9CFA">
      <w:r>
        <w:rPr>
          <w:rFonts w:hint="eastAsia"/>
        </w:rPr>
        <w:t>6.8 采购人代表、响应人代表、监督人、记录人等有关人员在询比记录上签字确认；</w:t>
      </w:r>
    </w:p>
    <w:p w14:paraId="4F12F6FE">
      <w:r>
        <w:rPr>
          <w:rFonts w:hint="eastAsia"/>
        </w:rPr>
        <w:t>6.9 询比结束。</w:t>
      </w:r>
    </w:p>
    <w:p w14:paraId="2F1B444D">
      <w:pPr>
        <w:pStyle w:val="3"/>
      </w:pPr>
      <w:r>
        <w:rPr>
          <w:rFonts w:hint="eastAsia"/>
        </w:rPr>
        <w:t>7. 评审</w:t>
      </w:r>
    </w:p>
    <w:p w14:paraId="484FBA86">
      <w:r>
        <w:rPr>
          <w:rFonts w:hint="eastAsia"/>
        </w:rPr>
        <w:t>7.1 评审委员会的组建</w:t>
      </w:r>
    </w:p>
    <w:p w14:paraId="7B6C023C">
      <w:r>
        <w:rPr>
          <w:rFonts w:hint="eastAsia"/>
        </w:rPr>
        <w:t>由采购人按法律法规及相关规定依法组建评审委员会。</w:t>
      </w:r>
    </w:p>
    <w:p w14:paraId="3F15590E">
      <w:r>
        <w:rPr>
          <w:rFonts w:hint="eastAsia"/>
        </w:rPr>
        <w:t>7.2 评审由采购人依法组建的评审委员会负责。</w:t>
      </w:r>
    </w:p>
    <w:p w14:paraId="0DBDDF82">
      <w:r>
        <w:rPr>
          <w:rFonts w:hint="eastAsia"/>
        </w:rPr>
        <w:t>7.3 评审委员会成员有下列情形之一的，应当回避：</w:t>
      </w:r>
    </w:p>
    <w:p w14:paraId="1DD81D9A">
      <w:r>
        <w:rPr>
          <w:rFonts w:hint="eastAsia"/>
        </w:rPr>
        <w:t>（1）响应人或响应人主要负责人的近亲属；</w:t>
      </w:r>
    </w:p>
    <w:p w14:paraId="487FD5B9">
      <w:r>
        <w:rPr>
          <w:rFonts w:hint="eastAsia"/>
        </w:rPr>
        <w:t>（2）项目主管部门或者监督部门的人员；</w:t>
      </w:r>
    </w:p>
    <w:p w14:paraId="229A957F">
      <w:r>
        <w:rPr>
          <w:rFonts w:hint="eastAsia"/>
        </w:rPr>
        <w:t>（3）与响应人有经济利益关系，可能影响公正评审的；</w:t>
      </w:r>
    </w:p>
    <w:p w14:paraId="2AA0915B">
      <w:r>
        <w:rPr>
          <w:rFonts w:hint="eastAsia"/>
        </w:rPr>
        <w:t>（4）曾因在</w:t>
      </w:r>
      <w:r>
        <w:t>招标、</w:t>
      </w:r>
      <w:r>
        <w:rPr>
          <w:rFonts w:hint="eastAsia"/>
        </w:rPr>
        <w:t>评审以及其他与招标投标有关活动中从事违法行为而受过行政处罚或刑事处罚的；</w:t>
      </w:r>
    </w:p>
    <w:p w14:paraId="5ABCE792">
      <w:r>
        <w:rPr>
          <w:rFonts w:hint="eastAsia"/>
        </w:rPr>
        <w:t>（5）与响应人有其他利害关系。</w:t>
      </w:r>
    </w:p>
    <w:p w14:paraId="413E4F0D">
      <w:r>
        <w:rPr>
          <w:rFonts w:hint="eastAsia"/>
        </w:rPr>
        <w:t>7.4 评审过程中，评审委员会成员有回避事由、擅离职守或者因健康等原因不能继续评审的，采购人有权更换。被更换的评审委员会成员作出的评审结论无效，由更换后的评审委员会成员重新进行评审。</w:t>
      </w:r>
    </w:p>
    <w:p w14:paraId="05C04416">
      <w:bookmarkStart w:id="38" w:name="_Toc30222"/>
      <w:r>
        <w:rPr>
          <w:rFonts w:hint="eastAsia"/>
        </w:rPr>
        <w:t xml:space="preserve">7.5 </w:t>
      </w:r>
      <w:bookmarkEnd w:id="38"/>
      <w:r>
        <w:rPr>
          <w:rFonts w:hint="eastAsia"/>
        </w:rPr>
        <w:t>评审</w:t>
      </w:r>
    </w:p>
    <w:p w14:paraId="26AC450B">
      <w:r>
        <w:rPr>
          <w:rFonts w:hint="eastAsia"/>
        </w:rPr>
        <w:t>评审委员会按照第三章“评审办法”规定的方法、评审因素、标准和程序对响应文件进行评审。第三章“评审办法”没有规定的方法、评审因素和标准，不作为评审依据。</w:t>
      </w:r>
    </w:p>
    <w:p w14:paraId="275DB4C3">
      <w:r>
        <w:rPr>
          <w:rFonts w:hint="eastAsia"/>
        </w:rPr>
        <w:t>7.6 评审完成后，评审委员会应向采购人提交书面评审报告和排名名单。</w:t>
      </w:r>
    </w:p>
    <w:p w14:paraId="0D0A54CD">
      <w:pPr>
        <w:pStyle w:val="3"/>
      </w:pPr>
      <w:r>
        <w:rPr>
          <w:rFonts w:hint="eastAsia"/>
        </w:rPr>
        <w:t>8. 成交结果公示</w:t>
      </w:r>
    </w:p>
    <w:p w14:paraId="78FAEFCB">
      <w:r>
        <w:rPr>
          <w:rFonts w:hint="eastAsia"/>
        </w:rPr>
        <w:t>公示媒介：重庆市公共资源交易网</w:t>
      </w:r>
    </w:p>
    <w:p w14:paraId="0D32D1E2">
      <w:r>
        <w:rPr>
          <w:rFonts w:hint="eastAsia"/>
        </w:rPr>
        <w:t>公示期限： 3 日</w:t>
      </w:r>
    </w:p>
    <w:p w14:paraId="4A1B1209">
      <w:pPr>
        <w:pStyle w:val="3"/>
      </w:pPr>
      <w:r>
        <w:rPr>
          <w:rFonts w:hint="eastAsia"/>
        </w:rPr>
        <w:t xml:space="preserve">9. </w:t>
      </w:r>
      <w:bookmarkEnd w:id="37"/>
      <w:r>
        <w:rPr>
          <w:rFonts w:hint="eastAsia"/>
        </w:rPr>
        <w:t>确定成交供应商</w:t>
      </w:r>
    </w:p>
    <w:p w14:paraId="3FC0C6DA">
      <w:r>
        <w:rPr>
          <w:rFonts w:hint="eastAsia"/>
        </w:rPr>
        <w:t>9.1 确定成交供应商原则</w:t>
      </w:r>
    </w:p>
    <w:p w14:paraId="2FD36C37">
      <w:r>
        <w:rPr>
          <w:rFonts w:hint="eastAsia"/>
        </w:rPr>
        <w:t>采购人按照评审报告中排名顺序确定成交供应商，如成交供应商因自身原因不能履行合同的，由此带来的损失采购人有权通过没收响应保证金等方式进行追溯。采购人可以重新采购或顺延下一排名成为成交供应商。</w:t>
      </w:r>
    </w:p>
    <w:p w14:paraId="46C42B44">
      <w:r>
        <w:rPr>
          <w:rFonts w:hint="eastAsia"/>
        </w:rPr>
        <w:t>9.2 不承诺最低价格成交。</w:t>
      </w:r>
    </w:p>
    <w:p w14:paraId="4F449F25">
      <w:r>
        <w:rPr>
          <w:rFonts w:hint="eastAsia"/>
        </w:rPr>
        <w:t>9.3 若成交供应商响应材料出现造假、不实等与实际查询结果不符或无故弃选的情况，采购人有权选择重新询比或顺延下一排名成为成交供应商，由此带来的损失采购人有权通过没收响应保证金等方式进行追溯。</w:t>
      </w:r>
    </w:p>
    <w:p w14:paraId="0304BD8E">
      <w:pPr>
        <w:pStyle w:val="3"/>
      </w:pPr>
      <w:bookmarkStart w:id="39" w:name="_Toc57795906"/>
      <w:bookmarkStart w:id="40" w:name="_Toc13998"/>
      <w:bookmarkStart w:id="41" w:name="_Toc89675168"/>
      <w:bookmarkStart w:id="42" w:name="_Toc12245"/>
      <w:r>
        <w:rPr>
          <w:rFonts w:hint="eastAsia"/>
        </w:rPr>
        <w:t>10. 履约保证金</w:t>
      </w:r>
      <w:bookmarkEnd w:id="39"/>
      <w:bookmarkEnd w:id="40"/>
    </w:p>
    <w:p w14:paraId="2F9D52E9">
      <w:r>
        <w:rPr>
          <w:rFonts w:hint="eastAsia"/>
        </w:rPr>
        <w:t>10.1 成交供应商应按第五章规定的时间、形式、金额和询比文件第四章“合同条款及格式”规定的或事先经过采购人书面认可的履约保证金格式向采购人提交履约保证金。</w:t>
      </w:r>
    </w:p>
    <w:p w14:paraId="6799006D">
      <w:r>
        <w:rPr>
          <w:rFonts w:hint="eastAsia"/>
        </w:rPr>
        <w:t>10.2 成交供应商不能按本章第 10.1 条要求提交履约保证金的，视为放弃成交，其响应保证金以现金形式交纳的不予退还，以保函形式交纳的由保函开立人支付保函担保的与响应保证金等额的款项，给采购人造成的损失超过响应保证金数额的，成交供应商还应对超过部分予以赔偿。</w:t>
      </w:r>
    </w:p>
    <w:p w14:paraId="54D3E9BB">
      <w:pPr>
        <w:pStyle w:val="3"/>
      </w:pPr>
      <w:r>
        <w:rPr>
          <w:rFonts w:hint="eastAsia"/>
        </w:rPr>
        <w:t>11. 签订合同</w:t>
      </w:r>
      <w:bookmarkEnd w:id="41"/>
      <w:bookmarkEnd w:id="42"/>
    </w:p>
    <w:p w14:paraId="58F84C66">
      <w:r>
        <w:rPr>
          <w:rFonts w:hint="eastAsia"/>
        </w:rPr>
        <w:t>11.1 采购人指定的使用单位将在自成交通知发出之日起，依据询比文件和成交供应商响应文件的约定，按照采购人内部流程与成交供应商签订书面合同。所签订的合同不得对询比文件和成交供应商响应文件作实质性修改。</w:t>
      </w:r>
    </w:p>
    <w:p w14:paraId="171E9038">
      <w:r>
        <w:rPr>
          <w:rFonts w:hint="eastAsia"/>
        </w:rPr>
        <w:t>11.2 成交供应商在领取成交通知书后，应根据第一章中“联系方式”内容，及时与项目联系人对接，并按采购人要求在规定时间完成合同的签订。如未在规定时间内签订合同，且经采购人书面通知后仍不按照通知要求签订合同的，可视为成交供应商无故弃选。</w:t>
      </w:r>
    </w:p>
    <w:p w14:paraId="72794253">
      <w:r>
        <w:rPr>
          <w:rFonts w:hint="eastAsia"/>
        </w:rPr>
        <w:t>11.3 询比文件、成交供应商的响应文件及澄清文件等，均为签订合同的依据。</w:t>
      </w:r>
    </w:p>
    <w:p w14:paraId="282CD913">
      <w:r>
        <w:rPr>
          <w:rFonts w:hint="eastAsia"/>
        </w:rPr>
        <w:t>11.4 合同生效条款由供需双方约定，法律、行政法规规定应当办理批准、登记等手续后生效的合同，依照其规定。</w:t>
      </w:r>
    </w:p>
    <w:p w14:paraId="5EF6EFB6">
      <w:r>
        <w:rPr>
          <w:rFonts w:hint="eastAsia"/>
        </w:rPr>
        <w:t>11.5 若成交供应商无法按要求履约或成交单位提供的产品测试不合格或与响应文件中的产品不一致，采购人可以废除成交供应商资格，并可选择按照排名顺序，确定下一排名成为成交供应商并签订合同。</w:t>
      </w:r>
    </w:p>
    <w:p w14:paraId="073CF2FD">
      <w:r>
        <w:rPr>
          <w:rFonts w:hint="eastAsia"/>
        </w:rPr>
        <w:t>11.6 该项目不允许任何形式的转包。</w:t>
      </w:r>
    </w:p>
    <w:p w14:paraId="72AF3F05">
      <w:pPr>
        <w:pStyle w:val="3"/>
      </w:pPr>
      <w:r>
        <w:rPr>
          <w:rFonts w:hint="eastAsia"/>
        </w:rPr>
        <w:t>12. 纪律与要求</w:t>
      </w:r>
    </w:p>
    <w:p w14:paraId="2DEECCAC">
      <w:r>
        <w:rPr>
          <w:rFonts w:hint="eastAsia"/>
        </w:rPr>
        <w:t>响应人不得相互串通响应或者与采购人串通响应，不得向采购人行贿谋取成交，不得以他人名义响应或者以其他方式弄虚作假骗取成交；响应人不得以任何方式干扰、影响评审工作。</w:t>
      </w:r>
    </w:p>
    <w:p w14:paraId="20387F74">
      <w:r>
        <w:rPr>
          <w:rFonts w:hint="eastAsia"/>
        </w:rPr>
        <w:t>12.1 有下列情形之一的，属于响应人相互串通响应：</w:t>
      </w:r>
    </w:p>
    <w:p w14:paraId="6469F350">
      <w:pPr>
        <w:tabs>
          <w:tab w:val="left" w:pos="464"/>
        </w:tabs>
      </w:pPr>
      <w:r>
        <w:rPr>
          <w:rFonts w:hint="eastAsia"/>
        </w:rPr>
        <w:t>12.1.1 响应人之间协商响应报价等响应文件的实质性内容；</w:t>
      </w:r>
    </w:p>
    <w:p w14:paraId="79BECDB7">
      <w:r>
        <w:rPr>
          <w:rFonts w:hint="eastAsia"/>
        </w:rPr>
        <w:t>12.1.2 响应人之间约定成交供应商；</w:t>
      </w:r>
    </w:p>
    <w:p w14:paraId="6EB7E5F6">
      <w:r>
        <w:rPr>
          <w:rFonts w:hint="eastAsia"/>
        </w:rPr>
        <w:t>12.1.3 响应人之间约定部分响应人放弃响应或者成交；</w:t>
      </w:r>
    </w:p>
    <w:p w14:paraId="5E476F1E">
      <w:r>
        <w:rPr>
          <w:rFonts w:hint="eastAsia"/>
        </w:rPr>
        <w:t>12.1.4 属于同一集团、协会、商会等组织成员的响应人按照该组织要求协同响应；</w:t>
      </w:r>
    </w:p>
    <w:p w14:paraId="3A59C196">
      <w:r>
        <w:rPr>
          <w:rFonts w:hint="eastAsia"/>
        </w:rPr>
        <w:t>12.1.5 响应人之间为谋取成交或者排斥特定响应人而采取的其他联合行动。</w:t>
      </w:r>
    </w:p>
    <w:p w14:paraId="54C2B6EB">
      <w:r>
        <w:rPr>
          <w:rFonts w:hint="eastAsia"/>
        </w:rPr>
        <w:t>12.2 有下列情形之一的，视为响应人相互串通响应：</w:t>
      </w:r>
    </w:p>
    <w:p w14:paraId="3116D71B">
      <w:r>
        <w:rPr>
          <w:rFonts w:hint="eastAsia"/>
        </w:rPr>
        <w:t>12.2.1 不同响应人的响应文件由同一单位或者个人编制；</w:t>
      </w:r>
    </w:p>
    <w:p w14:paraId="281790C4">
      <w:r>
        <w:rPr>
          <w:rFonts w:hint="eastAsia"/>
        </w:rPr>
        <w:t>12.2.2 不同响应人委托同一单位或者个人办理响应事宜；</w:t>
      </w:r>
    </w:p>
    <w:p w14:paraId="350BB25F">
      <w:r>
        <w:rPr>
          <w:rFonts w:hint="eastAsia"/>
        </w:rPr>
        <w:t>12.2.3 不同响应人的响应文件载明的项目管理成员为同一人；</w:t>
      </w:r>
    </w:p>
    <w:p w14:paraId="4B53B0EF">
      <w:r>
        <w:rPr>
          <w:rFonts w:hint="eastAsia"/>
        </w:rPr>
        <w:t>12.2.4 不同响应人的响应文件相互混装；</w:t>
      </w:r>
    </w:p>
    <w:p w14:paraId="51692CA3">
      <w:r>
        <w:rPr>
          <w:rFonts w:hint="eastAsia"/>
        </w:rPr>
        <w:t>12.2.5 不同响应人的响应保证金从同一单位或者个人的账户转出。</w:t>
      </w:r>
    </w:p>
    <w:p w14:paraId="09CA52D3">
      <w:r>
        <w:rPr>
          <w:rFonts w:hint="eastAsia"/>
        </w:rPr>
        <w:t>12.3 使用通过受让或者租借等方式获取的资格、资质证书响应的，属于以他人名义响应。</w:t>
      </w:r>
    </w:p>
    <w:p w14:paraId="72F98D1D">
      <w:r>
        <w:rPr>
          <w:rFonts w:hint="eastAsia"/>
        </w:rPr>
        <w:t>12.4 响应人有下列情形之一的，属于弄虚作假的行为：</w:t>
      </w:r>
    </w:p>
    <w:p w14:paraId="549334AF">
      <w:r>
        <w:rPr>
          <w:rFonts w:hint="eastAsia"/>
        </w:rPr>
        <w:t>12.4.1 使用伪造、变造的许可证件；</w:t>
      </w:r>
    </w:p>
    <w:p w14:paraId="301B9871">
      <w:r>
        <w:rPr>
          <w:rFonts w:hint="eastAsia"/>
        </w:rPr>
        <w:t>12.4.2 提供虚假的财务状况或者虚假业绩；</w:t>
      </w:r>
    </w:p>
    <w:p w14:paraId="2B6F4D21">
      <w:r>
        <w:rPr>
          <w:rFonts w:hint="eastAsia"/>
        </w:rPr>
        <w:t>12.4.3 提供虚假的项目负责人或者主要技术人员简历、劳动关系证明；</w:t>
      </w:r>
    </w:p>
    <w:p w14:paraId="56D1D9A5">
      <w:r>
        <w:rPr>
          <w:rFonts w:hint="eastAsia"/>
        </w:rPr>
        <w:t>12.4.4 提供虚假的信用状况；</w:t>
      </w:r>
    </w:p>
    <w:p w14:paraId="50E7C7E0">
      <w:r>
        <w:rPr>
          <w:rFonts w:hint="eastAsia"/>
        </w:rPr>
        <w:t>12.4.5 其它弄虚作假的行为。</w:t>
      </w:r>
    </w:p>
    <w:p w14:paraId="7E1BF186">
      <w:r>
        <w:rPr>
          <w:rFonts w:hint="eastAsia"/>
        </w:rPr>
        <w:t>针对以上情况，采购人有权没收响应人的响应保证金，并保留进一步追究由此带来损失的权利。</w:t>
      </w:r>
    </w:p>
    <w:p w14:paraId="7544A007">
      <w:pPr>
        <w:pStyle w:val="3"/>
      </w:pPr>
      <w:bookmarkStart w:id="43" w:name="_Toc89675169"/>
      <w:r>
        <w:rPr>
          <w:rFonts w:hint="eastAsia"/>
        </w:rPr>
        <w:t>13. 异议、投诉</w:t>
      </w:r>
    </w:p>
    <w:p w14:paraId="5DE58628">
      <w:r>
        <w:rPr>
          <w:rFonts w:hint="eastAsia"/>
        </w:rPr>
        <w:t>13.1 澄清修改文件内容可能影响响应文件编制的，应相应延后响应截止时间。</w:t>
      </w:r>
    </w:p>
    <w:p w14:paraId="65626D79">
      <w:r>
        <w:rPr>
          <w:rFonts w:hint="eastAsia"/>
        </w:rPr>
        <w:t>13.2 响应人对询比文件和澄清修改文件有异议的，应当在响应截止时间3日前，以书面形式通知采购人。采购人认为有必要对响应人所提异议进行回复时，将以书面形式回复。</w:t>
      </w:r>
    </w:p>
    <w:p w14:paraId="649D4B40">
      <w:r>
        <w:rPr>
          <w:rFonts w:hint="eastAsia"/>
        </w:rPr>
        <w:t>13.3 响应人对公示的成交结果有异议，响应人需在公示期内以书面形式向采购人提出异议。采购人认为有必要对响应人所提异议进行回复时，将以书面形式进行回复。</w:t>
      </w:r>
    </w:p>
    <w:p w14:paraId="570DCF8D">
      <w:r>
        <w:rPr>
          <w:rFonts w:hint="eastAsia"/>
        </w:rPr>
        <w:t>13.4 响应人对采购人的澄清修改文件或回复不满意或者有异议，可向采购人纪检监察部投诉。</w:t>
      </w:r>
    </w:p>
    <w:p w14:paraId="164CD27F">
      <w:r>
        <w:rPr>
          <w:rFonts w:hint="eastAsia"/>
        </w:rPr>
        <w:t>采购异议邮箱：</w:t>
      </w:r>
      <w:r>
        <w:t>sx.jcb@ccqtgb.com</w:t>
      </w:r>
    </w:p>
    <w:p w14:paraId="655A30B6">
      <w:r>
        <w:rPr>
          <w:rFonts w:hint="eastAsia"/>
        </w:rPr>
        <w:t>采购投诉邮箱：</w:t>
      </w:r>
      <w:bookmarkStart w:id="44" w:name="_Hlk74215856"/>
      <w:r>
        <w:rPr>
          <w:rFonts w:hint="eastAsia"/>
        </w:rPr>
        <w:t>sxyhjjz@</w:t>
      </w:r>
      <w:r>
        <w:t>ccqtgb</w:t>
      </w:r>
      <w:r>
        <w:rPr>
          <w:rFonts w:hint="eastAsia"/>
        </w:rPr>
        <w:t>.com</w:t>
      </w:r>
      <w:bookmarkEnd w:id="44"/>
    </w:p>
    <w:p w14:paraId="720DF226">
      <w:pPr>
        <w:pStyle w:val="3"/>
      </w:pPr>
      <w:bookmarkStart w:id="45" w:name="_Toc11439"/>
      <w:bookmarkStart w:id="46" w:name="_Toc89675157"/>
      <w:bookmarkStart w:id="47" w:name="_Toc440628924"/>
      <w:bookmarkStart w:id="48" w:name="_Toc275199618"/>
      <w:bookmarkStart w:id="49" w:name="_Toc15059431"/>
      <w:r>
        <w:rPr>
          <w:rFonts w:hint="eastAsia"/>
        </w:rPr>
        <w:t>14. 无效响应条款</w:t>
      </w:r>
      <w:bookmarkEnd w:id="45"/>
      <w:bookmarkEnd w:id="46"/>
      <w:bookmarkEnd w:id="47"/>
      <w:bookmarkEnd w:id="48"/>
      <w:bookmarkEnd w:id="49"/>
    </w:p>
    <w:p w14:paraId="744121D2">
      <w:r>
        <w:rPr>
          <w:rFonts w:hint="eastAsia"/>
        </w:rPr>
        <w:t>响应人或其响应文件出现下列情况之一者，应为无效响应：</w:t>
      </w:r>
    </w:p>
    <w:p w14:paraId="679CC668">
      <w:r>
        <w:rPr>
          <w:rFonts w:hint="eastAsia"/>
        </w:rPr>
        <w:t>14.1 响应人</w:t>
      </w:r>
      <w:r>
        <w:t>未按</w:t>
      </w:r>
      <w:r>
        <w:rPr>
          <w:rFonts w:hint="eastAsia"/>
        </w:rPr>
        <w:t>询比文件</w:t>
      </w:r>
      <w:r>
        <w:t>规定</w:t>
      </w:r>
      <w:r>
        <w:rPr>
          <w:rFonts w:hint="eastAsia"/>
        </w:rPr>
        <w:t>在响应保证金递交截止时间内</w:t>
      </w:r>
      <w:r>
        <w:t>提交足额</w:t>
      </w:r>
      <w:r>
        <w:rPr>
          <w:rFonts w:hint="eastAsia"/>
        </w:rPr>
        <w:t>响应保证金</w:t>
      </w:r>
      <w:r>
        <w:t>的</w:t>
      </w:r>
      <w:r>
        <w:rPr>
          <w:rFonts w:hint="eastAsia"/>
        </w:rPr>
        <w:t>。</w:t>
      </w:r>
    </w:p>
    <w:p w14:paraId="3AADDDF9">
      <w:r>
        <w:rPr>
          <w:rFonts w:hint="eastAsia"/>
        </w:rPr>
        <w:t>14.2 响应人</w:t>
      </w:r>
      <w:r>
        <w:t>未通过</w:t>
      </w:r>
      <w:r>
        <w:rPr>
          <w:rFonts w:hint="eastAsia"/>
        </w:rPr>
        <w:t>资格评审、形式评审、响应性评审</w:t>
      </w:r>
      <w:r>
        <w:t>或</w:t>
      </w:r>
      <w:r>
        <w:rPr>
          <w:rFonts w:hint="eastAsia"/>
        </w:rPr>
        <w:t>响应文件</w:t>
      </w:r>
      <w:r>
        <w:t>经证实存在弄虚作假的</w:t>
      </w:r>
      <w:r>
        <w:rPr>
          <w:rFonts w:hint="eastAsia"/>
        </w:rPr>
        <w:t>。</w:t>
      </w:r>
    </w:p>
    <w:p w14:paraId="0D4E90A5">
      <w:r>
        <w:rPr>
          <w:rFonts w:hint="eastAsia"/>
        </w:rPr>
        <w:t>14.3 响应人超出其营业执照或事业单位法人证书上经营范围（业务范围）响应的。</w:t>
      </w:r>
    </w:p>
    <w:p w14:paraId="728BD0C6">
      <w:r>
        <w:rPr>
          <w:rFonts w:hint="eastAsia"/>
        </w:rPr>
        <w:t>14.4 单位负责人为同一人或者存在直接控股、管理关系的不同响应人，不得参加同一合同项下的采购活动。</w:t>
      </w:r>
    </w:p>
    <w:p w14:paraId="69616BE2">
      <w:r>
        <w:rPr>
          <w:rFonts w:hint="eastAsia"/>
        </w:rPr>
        <w:t xml:space="preserve">14.5 </w:t>
      </w:r>
      <w:r>
        <w:t>同一分包的软件，制造商参与</w:t>
      </w:r>
      <w:r>
        <w:rPr>
          <w:rFonts w:hint="eastAsia"/>
        </w:rPr>
        <w:t>响应</w:t>
      </w:r>
      <w:r>
        <w:t>，再委托代理商参与</w:t>
      </w:r>
      <w:r>
        <w:rPr>
          <w:rFonts w:hint="eastAsia"/>
        </w:rPr>
        <w:t>响应</w:t>
      </w:r>
      <w:r>
        <w:t>的</w:t>
      </w:r>
      <w:r>
        <w:rPr>
          <w:rFonts w:hint="eastAsia"/>
        </w:rPr>
        <w:t>。</w:t>
      </w:r>
    </w:p>
    <w:p w14:paraId="54717633">
      <w:r>
        <w:rPr>
          <w:rFonts w:hint="eastAsia"/>
        </w:rPr>
        <w:t>14.6 响应文件</w:t>
      </w:r>
      <w:r>
        <w:t>不满足</w:t>
      </w:r>
      <w:r>
        <w:rPr>
          <w:rFonts w:hint="eastAsia"/>
        </w:rPr>
        <w:t>询比文件</w:t>
      </w:r>
      <w:r>
        <w:t>第</w:t>
      </w:r>
      <w:r>
        <w:rPr>
          <w:rFonts w:hint="eastAsia"/>
        </w:rPr>
        <w:t>六</w:t>
      </w:r>
      <w:r>
        <w:t>章</w:t>
      </w:r>
      <w:r>
        <w:rPr>
          <w:rFonts w:hint="eastAsia"/>
        </w:rPr>
        <w:t>响应文件</w:t>
      </w:r>
      <w:r>
        <w:t>格式中所规定签字、盖章的</w:t>
      </w:r>
      <w:r>
        <w:rPr>
          <w:rFonts w:hint="eastAsia"/>
        </w:rPr>
        <w:t>。</w:t>
      </w:r>
    </w:p>
    <w:p w14:paraId="5A67250D">
      <w:r>
        <w:rPr>
          <w:rFonts w:hint="eastAsia"/>
        </w:rPr>
        <w:t>14.7 响应文件</w:t>
      </w:r>
      <w:r>
        <w:t>出现多个</w:t>
      </w:r>
      <w:r>
        <w:rPr>
          <w:rFonts w:hint="eastAsia"/>
        </w:rPr>
        <w:t>响应</w:t>
      </w:r>
      <w:r>
        <w:t>方案或</w:t>
      </w:r>
      <w:r>
        <w:rPr>
          <w:rFonts w:hint="eastAsia"/>
        </w:rPr>
        <w:t>响应报价</w:t>
      </w:r>
      <w:r>
        <w:t>的</w:t>
      </w:r>
      <w:r>
        <w:rPr>
          <w:rFonts w:hint="eastAsia"/>
        </w:rPr>
        <w:t>。</w:t>
      </w:r>
    </w:p>
    <w:p w14:paraId="6EDD1D79">
      <w:r>
        <w:rPr>
          <w:rFonts w:hint="eastAsia"/>
        </w:rPr>
        <w:t>14.8 响应报价</w:t>
      </w:r>
      <w:r>
        <w:t>超出最高限价的</w:t>
      </w:r>
      <w:r>
        <w:rPr>
          <w:rFonts w:hint="eastAsia"/>
        </w:rPr>
        <w:t>。</w:t>
      </w:r>
    </w:p>
    <w:p w14:paraId="4469AB06">
      <w:r>
        <w:rPr>
          <w:rFonts w:hint="eastAsia"/>
        </w:rPr>
        <w:t>14.9 响应文件</w:t>
      </w:r>
      <w:r>
        <w:t>含有违反国家法律、法规的内容，或附有</w:t>
      </w:r>
      <w:r>
        <w:rPr>
          <w:rFonts w:hint="eastAsia"/>
        </w:rPr>
        <w:t>采购人</w:t>
      </w:r>
      <w:r>
        <w:t>不能接受的条件的。</w:t>
      </w:r>
    </w:p>
    <w:p w14:paraId="1487C2C8">
      <w:r>
        <w:rPr>
          <w:rFonts w:hint="eastAsia"/>
        </w:rPr>
        <w:t>14.10 出现影响询比公正的违法、违规行为的。</w:t>
      </w:r>
    </w:p>
    <w:p w14:paraId="534FD33D">
      <w:r>
        <w:rPr>
          <w:rFonts w:hint="eastAsia"/>
        </w:rPr>
        <w:t>14.11 与采购人、评审专家、其他响应人恶意串通。</w:t>
      </w:r>
    </w:p>
    <w:p w14:paraId="59D5A295">
      <w:r>
        <w:rPr>
          <w:rFonts w:hint="eastAsia"/>
        </w:rPr>
        <w:t>14.12 参与响应的法人发生合并、分立、破产等重大变化后，不再具备询比要求的资格条件的。</w:t>
      </w:r>
    </w:p>
    <w:p w14:paraId="5321E67C">
      <w:r>
        <w:rPr>
          <w:rFonts w:hint="eastAsia"/>
        </w:rPr>
        <w:t>14.13 提供虚假材料谋取成交资格的。</w:t>
      </w:r>
    </w:p>
    <w:p w14:paraId="6DA30E13">
      <w:r>
        <w:rPr>
          <w:rFonts w:hint="eastAsia"/>
        </w:rPr>
        <w:t>14.14 响应文件含有采购人不能接受的附件条件的。</w:t>
      </w:r>
    </w:p>
    <w:p w14:paraId="67467C8E">
      <w:pPr>
        <w:pStyle w:val="3"/>
      </w:pPr>
      <w:r>
        <w:rPr>
          <w:rFonts w:hint="eastAsia"/>
        </w:rPr>
        <w:t>15. 询比失败情形</w:t>
      </w:r>
    </w:p>
    <w:p w14:paraId="56A44222">
      <w:r>
        <w:rPr>
          <w:rFonts w:hint="eastAsia"/>
        </w:rPr>
        <w:t>15.1 出现以下情形本次询比失败：</w:t>
      </w:r>
    </w:p>
    <w:p w14:paraId="0507B777">
      <w:r>
        <w:rPr>
          <w:rFonts w:hint="eastAsia"/>
        </w:rPr>
        <w:t>15.1.1 首次询比的项目，截至响应截止时间，响应人少于3个的。</w:t>
      </w:r>
    </w:p>
    <w:p w14:paraId="00FA3B56">
      <w:r>
        <w:rPr>
          <w:rFonts w:hint="eastAsia"/>
        </w:rPr>
        <w:t>15.1.2 经评审委员会评审后否决所有响应的。</w:t>
      </w:r>
    </w:p>
    <w:p w14:paraId="56F8D90E">
      <w:r>
        <w:rPr>
          <w:rFonts w:hint="eastAsia"/>
        </w:rPr>
        <w:t>15.1.3 法律法规规定的其他情形。</w:t>
      </w:r>
    </w:p>
    <w:p w14:paraId="306145FA">
      <w:r>
        <w:rPr>
          <w:rFonts w:hint="eastAsia"/>
        </w:rPr>
        <w:t>15.2 重新询比和不再询比</w:t>
      </w:r>
    </w:p>
    <w:p w14:paraId="3C49A61E">
      <w:r>
        <w:t>重新</w:t>
      </w:r>
      <w:r>
        <w:rPr>
          <w:rFonts w:hint="eastAsia"/>
        </w:rPr>
        <w:t>询比</w:t>
      </w:r>
      <w:r>
        <w:t>的</w:t>
      </w:r>
      <w:r>
        <w:rPr>
          <w:rFonts w:hint="eastAsia"/>
        </w:rPr>
        <w:t>响应人</w:t>
      </w:r>
      <w:r>
        <w:t>仍然少于三个的，按照有关规定的程序开标和评审。重新</w:t>
      </w:r>
      <w:r>
        <w:rPr>
          <w:rFonts w:hint="eastAsia"/>
        </w:rPr>
        <w:t>询比</w:t>
      </w:r>
      <w:r>
        <w:t>经评审有有效</w:t>
      </w:r>
      <w:r>
        <w:rPr>
          <w:rFonts w:hint="eastAsia"/>
        </w:rPr>
        <w:t>响应人</w:t>
      </w:r>
      <w:r>
        <w:t>的，应当确定</w:t>
      </w:r>
      <w:r>
        <w:rPr>
          <w:rFonts w:hint="eastAsia"/>
        </w:rPr>
        <w:t>排名与成交供应商</w:t>
      </w:r>
      <w:r>
        <w:t>；无有效</w:t>
      </w:r>
      <w:r>
        <w:rPr>
          <w:rFonts w:hint="eastAsia"/>
        </w:rPr>
        <w:t>响应人</w:t>
      </w:r>
      <w:r>
        <w:t>的，可以不再进行</w:t>
      </w:r>
      <w:r>
        <w:rPr>
          <w:rFonts w:hint="eastAsia"/>
        </w:rPr>
        <w:t>询比</w:t>
      </w:r>
      <w:r>
        <w:t>。</w:t>
      </w:r>
    </w:p>
    <w:p w14:paraId="720FEF12">
      <w:pPr>
        <w:pStyle w:val="3"/>
      </w:pPr>
      <w:r>
        <w:rPr>
          <w:rFonts w:hint="eastAsia"/>
        </w:rPr>
        <w:t>16. 终止</w:t>
      </w:r>
      <w:bookmarkEnd w:id="43"/>
      <w:r>
        <w:rPr>
          <w:rFonts w:hint="eastAsia"/>
        </w:rPr>
        <w:t>询比</w:t>
      </w:r>
    </w:p>
    <w:p w14:paraId="14676FBB">
      <w:r>
        <w:rPr>
          <w:rFonts w:hint="eastAsia"/>
        </w:rPr>
        <w:t>16.1 因情况发生变化或其他原因造成该项目取消的，本次询比自动终止，双方互不承担责任，采购人有息退还响应保证金。</w:t>
      </w:r>
    </w:p>
    <w:p w14:paraId="35D4558A">
      <w:r>
        <w:rPr>
          <w:rFonts w:hint="eastAsia"/>
        </w:rPr>
        <w:t>16.2 签订合同之前，采购人发现成交供应商经营、财务状况发生较大变化或存在违法行为，采购人认为可能影响其履约能力的，采购人可废除成交供应商资格。</w:t>
      </w:r>
    </w:p>
    <w:p w14:paraId="2400B8E9">
      <w:pPr>
        <w:pStyle w:val="3"/>
      </w:pPr>
      <w:r>
        <w:rPr>
          <w:rFonts w:hint="eastAsia"/>
        </w:rPr>
        <w:t>17. 参与项目费用</w:t>
      </w:r>
    </w:p>
    <w:p w14:paraId="06AC811E">
      <w:r>
        <w:rPr>
          <w:rFonts w:hint="eastAsia"/>
        </w:rPr>
        <w:t>响应人参与本询比项目时，一切与响应有关的费用均由响应人自理。</w:t>
      </w:r>
    </w:p>
    <w:p w14:paraId="70D97C51">
      <w:r>
        <w:rPr>
          <w:rFonts w:hint="eastAsia"/>
        </w:rPr>
        <w:t xml:space="preserve">本项目平台服务费为 </w:t>
      </w:r>
      <w:r>
        <w:rPr>
          <w:rFonts w:hint="eastAsia"/>
          <w:szCs w:val="21"/>
        </w:rPr>
        <w:t>15000</w:t>
      </w:r>
      <w:r>
        <w:rPr>
          <w:rFonts w:hint="eastAsia"/>
        </w:rPr>
        <w:t xml:space="preserve"> 元，由成交供应商向重庆联合产权交易所集团股份有限公司支付。成交供应商应在领取成交通知书时一次性缴纳，请各响应人综合考虑进行报价。</w:t>
      </w:r>
    </w:p>
    <w:p w14:paraId="27E87898"/>
    <w:p w14:paraId="1A00E67A">
      <w:r>
        <w:br w:type="page"/>
      </w:r>
    </w:p>
    <w:p w14:paraId="71D95A0A">
      <w:pPr>
        <w:pStyle w:val="2"/>
      </w:pPr>
      <w:bookmarkStart w:id="50" w:name="_Toc7159"/>
      <w:bookmarkStart w:id="51" w:name="_Toc29189"/>
      <w:bookmarkStart w:id="52" w:name="_Toc27323"/>
      <w:r>
        <w:rPr>
          <w:rFonts w:hint="eastAsia"/>
        </w:rPr>
        <w:t>第三章 评审办法（综合评估法）</w:t>
      </w:r>
      <w:bookmarkEnd w:id="50"/>
      <w:bookmarkEnd w:id="51"/>
      <w:bookmarkEnd w:id="52"/>
    </w:p>
    <w:p w14:paraId="22008ACC">
      <w:pPr>
        <w:pStyle w:val="3"/>
      </w:pPr>
      <w:bookmarkStart w:id="53" w:name="_Toc14810"/>
      <w:bookmarkStart w:id="54" w:name="_Toc2028"/>
      <w:bookmarkStart w:id="55" w:name="_Toc11471"/>
      <w:bookmarkStart w:id="56" w:name="_Toc27076"/>
      <w:r>
        <w:rPr>
          <w:rFonts w:hint="eastAsia"/>
        </w:rPr>
        <w:t>评审办法前附表</w:t>
      </w:r>
      <w:bookmarkEnd w:id="53"/>
      <w:bookmarkEnd w:id="54"/>
      <w:bookmarkEnd w:id="55"/>
      <w:bookmarkEnd w:id="56"/>
    </w:p>
    <w:p w14:paraId="5B762E63">
      <w:r>
        <w:t>若</w:t>
      </w:r>
      <w:r>
        <w:rPr>
          <w:rFonts w:hint="eastAsia"/>
        </w:rPr>
        <w:t>评审办法前附表</w:t>
      </w:r>
      <w:r>
        <w:t>与正文不一致的地方，以</w:t>
      </w:r>
      <w:r>
        <w:rPr>
          <w:rFonts w:hint="eastAsia"/>
        </w:rPr>
        <w:t>评审办法前附表</w:t>
      </w:r>
      <w:r>
        <w:t>为准。</w:t>
      </w:r>
    </w:p>
    <w:tbl>
      <w:tblPr>
        <w:tblStyle w:val="19"/>
        <w:tblW w:w="94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0"/>
        <w:gridCol w:w="1482"/>
        <w:gridCol w:w="1511"/>
        <w:gridCol w:w="175"/>
        <w:gridCol w:w="5476"/>
      </w:tblGrid>
      <w:tr w14:paraId="50713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20" w:type="dxa"/>
            <w:vAlign w:val="center"/>
          </w:tcPr>
          <w:p w14:paraId="456F81AC">
            <w:pPr>
              <w:pStyle w:val="35"/>
            </w:pPr>
            <w:bookmarkStart w:id="57" w:name="CQZH1_07"/>
            <w:r>
              <w:rPr>
                <w:rFonts w:hint="eastAsia"/>
              </w:rPr>
              <w:t>条款号</w:t>
            </w:r>
          </w:p>
        </w:tc>
        <w:tc>
          <w:tcPr>
            <w:tcW w:w="1482" w:type="dxa"/>
            <w:vAlign w:val="center"/>
          </w:tcPr>
          <w:p w14:paraId="1822540D">
            <w:pPr>
              <w:pStyle w:val="35"/>
            </w:pPr>
            <w:r>
              <w:rPr>
                <w:rFonts w:hint="eastAsia"/>
              </w:rPr>
              <w:t>评审因素</w:t>
            </w:r>
          </w:p>
        </w:tc>
        <w:tc>
          <w:tcPr>
            <w:tcW w:w="7162" w:type="dxa"/>
            <w:gridSpan w:val="3"/>
            <w:vAlign w:val="center"/>
          </w:tcPr>
          <w:p w14:paraId="545F80AA">
            <w:pPr>
              <w:pStyle w:val="35"/>
            </w:pPr>
            <w:r>
              <w:rPr>
                <w:rFonts w:hint="eastAsia"/>
              </w:rPr>
              <w:t>评审标准</w:t>
            </w:r>
          </w:p>
        </w:tc>
      </w:tr>
      <w:tr w14:paraId="735EC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20" w:type="dxa"/>
            <w:vAlign w:val="center"/>
          </w:tcPr>
          <w:p w14:paraId="494387DB">
            <w:pPr>
              <w:pStyle w:val="34"/>
            </w:pPr>
            <w:r>
              <w:rPr>
                <w:rFonts w:hint="eastAsia"/>
              </w:rPr>
              <w:t>1</w:t>
            </w:r>
          </w:p>
        </w:tc>
        <w:tc>
          <w:tcPr>
            <w:tcW w:w="1482" w:type="dxa"/>
            <w:tcBorders>
              <w:left w:val="single" w:color="auto" w:sz="4" w:space="0"/>
            </w:tcBorders>
            <w:vAlign w:val="center"/>
          </w:tcPr>
          <w:p w14:paraId="6C6D56DF">
            <w:pPr>
              <w:pStyle w:val="34"/>
            </w:pPr>
            <w:r>
              <w:rPr>
                <w:rFonts w:hint="eastAsia"/>
              </w:rPr>
              <w:t>评审办法</w:t>
            </w:r>
          </w:p>
        </w:tc>
        <w:tc>
          <w:tcPr>
            <w:tcW w:w="7162" w:type="dxa"/>
            <w:gridSpan w:val="3"/>
            <w:tcBorders>
              <w:left w:val="single" w:color="auto" w:sz="4" w:space="0"/>
            </w:tcBorders>
            <w:vAlign w:val="center"/>
          </w:tcPr>
          <w:p w14:paraId="4E621B63">
            <w:pPr>
              <w:pStyle w:val="34"/>
            </w:pPr>
            <w:r>
              <w:rPr>
                <w:rFonts w:hint="eastAsia"/>
              </w:rPr>
              <w:t>本次评审采用综合评估法。评审委员会按照评审办法前附表第2.1 条规定的标准进行初步评审，初步评审合格的响应人评审委员会按照评审办法前附表第2.2 条规定的评分标准进行打分，按得分由高到低顺序排序，但响应报价低于其成本的除外。综合评分相等时，以响应报价（含税）低的优先；响应报价也相等的，由评审委员会按照</w:t>
            </w:r>
            <w:r>
              <w:t>以下</w:t>
            </w:r>
            <w:r>
              <w:rPr>
                <w:rFonts w:hint="eastAsia"/>
              </w:rPr>
              <w:t>评审内容</w:t>
            </w:r>
            <w:r>
              <w:t>得分高</w:t>
            </w:r>
            <w:r>
              <w:rPr>
                <w:rFonts w:hint="eastAsia"/>
              </w:rPr>
              <w:t>的</w:t>
            </w:r>
            <w:r>
              <w:t>优先的</w:t>
            </w:r>
            <w:r>
              <w:rPr>
                <w:rFonts w:hint="eastAsia"/>
              </w:rPr>
              <w:t>原则确定排名</w:t>
            </w:r>
            <w:r>
              <w:t>：</w:t>
            </w:r>
            <w:r>
              <w:rPr>
                <w:rFonts w:hint="eastAsia"/>
              </w:rPr>
              <w:t>产品质量、资质证书、研发能力、异地灾备能力、空白卡及个人化服务合作案例的得分合计</w:t>
            </w:r>
            <w:r>
              <w:t>。</w:t>
            </w:r>
            <w:r>
              <w:rPr>
                <w:rFonts w:hint="eastAsia"/>
              </w:rPr>
              <w:t>根据项目所需成交供应商数量，按照排名顺序确定成交供应商。</w:t>
            </w:r>
          </w:p>
        </w:tc>
      </w:tr>
      <w:tr w14:paraId="2EDF8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20" w:type="dxa"/>
            <w:vAlign w:val="center"/>
          </w:tcPr>
          <w:p w14:paraId="0CF4FB56">
            <w:pPr>
              <w:pStyle w:val="34"/>
            </w:pPr>
            <w:r>
              <w:rPr>
                <w:rFonts w:hint="eastAsia"/>
              </w:rPr>
              <w:t>2.1</w:t>
            </w:r>
          </w:p>
        </w:tc>
        <w:tc>
          <w:tcPr>
            <w:tcW w:w="1482" w:type="dxa"/>
            <w:tcBorders>
              <w:left w:val="single" w:color="auto" w:sz="4" w:space="0"/>
            </w:tcBorders>
            <w:vAlign w:val="center"/>
          </w:tcPr>
          <w:p w14:paraId="38949CF7">
            <w:pPr>
              <w:pStyle w:val="34"/>
            </w:pPr>
            <w:r>
              <w:rPr>
                <w:rFonts w:hint="eastAsia"/>
              </w:rPr>
              <w:t>初步评审标准</w:t>
            </w:r>
          </w:p>
        </w:tc>
        <w:tc>
          <w:tcPr>
            <w:tcW w:w="7162" w:type="dxa"/>
            <w:gridSpan w:val="3"/>
            <w:tcBorders>
              <w:left w:val="single" w:color="auto" w:sz="4" w:space="0"/>
            </w:tcBorders>
            <w:vAlign w:val="center"/>
          </w:tcPr>
          <w:p w14:paraId="08AE8348">
            <w:pPr>
              <w:pStyle w:val="34"/>
            </w:pPr>
            <w:r>
              <w:rPr>
                <w:rFonts w:hint="eastAsia"/>
              </w:rPr>
              <w:t>所有响应单位进行初步评审。初步评审内容：形式评审、资格评审、响应性评审。</w:t>
            </w:r>
          </w:p>
        </w:tc>
      </w:tr>
      <w:tr w14:paraId="04D2F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restart"/>
            <w:vAlign w:val="center"/>
          </w:tcPr>
          <w:p w14:paraId="2C3C2B09">
            <w:pPr>
              <w:pStyle w:val="34"/>
            </w:pPr>
            <w:r>
              <w:rPr>
                <w:rFonts w:hint="eastAsia"/>
              </w:rPr>
              <w:t>2.1.1</w:t>
            </w:r>
          </w:p>
        </w:tc>
        <w:tc>
          <w:tcPr>
            <w:tcW w:w="1482" w:type="dxa"/>
            <w:vMerge w:val="restart"/>
            <w:tcBorders>
              <w:left w:val="single" w:color="auto" w:sz="4" w:space="0"/>
            </w:tcBorders>
            <w:vAlign w:val="center"/>
          </w:tcPr>
          <w:p w14:paraId="6A6519C5">
            <w:pPr>
              <w:pStyle w:val="34"/>
            </w:pPr>
            <w:r>
              <w:rPr>
                <w:rFonts w:hint="eastAsia"/>
              </w:rPr>
              <w:t>形式评审标准</w:t>
            </w:r>
          </w:p>
        </w:tc>
        <w:tc>
          <w:tcPr>
            <w:tcW w:w="1686" w:type="dxa"/>
            <w:gridSpan w:val="2"/>
            <w:tcBorders>
              <w:left w:val="single" w:color="auto" w:sz="4" w:space="0"/>
            </w:tcBorders>
            <w:vAlign w:val="center"/>
          </w:tcPr>
          <w:p w14:paraId="51A602AD">
            <w:pPr>
              <w:pStyle w:val="34"/>
            </w:pPr>
            <w:r>
              <w:rPr>
                <w:rFonts w:hint="eastAsia"/>
              </w:rPr>
              <w:t>响应人名称</w:t>
            </w:r>
          </w:p>
        </w:tc>
        <w:tc>
          <w:tcPr>
            <w:tcW w:w="5476" w:type="dxa"/>
            <w:tcBorders>
              <w:left w:val="single" w:color="auto" w:sz="4" w:space="0"/>
            </w:tcBorders>
            <w:vAlign w:val="center"/>
          </w:tcPr>
          <w:p w14:paraId="0B0ACFDF">
            <w:pPr>
              <w:pStyle w:val="34"/>
            </w:pPr>
            <w:r>
              <w:rPr>
                <w:rFonts w:hint="eastAsia"/>
              </w:rPr>
              <w:t>与营业执照、资格证明材料一致</w:t>
            </w:r>
          </w:p>
        </w:tc>
      </w:tr>
      <w:tr w14:paraId="12FC7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continue"/>
            <w:vAlign w:val="center"/>
          </w:tcPr>
          <w:p w14:paraId="6078B5CC"/>
        </w:tc>
        <w:tc>
          <w:tcPr>
            <w:tcW w:w="1482" w:type="dxa"/>
            <w:vMerge w:val="continue"/>
            <w:tcBorders>
              <w:left w:val="single" w:color="auto" w:sz="4" w:space="0"/>
            </w:tcBorders>
            <w:textDirection w:val="tbRlV"/>
            <w:vAlign w:val="center"/>
          </w:tcPr>
          <w:p w14:paraId="0D65D834"/>
        </w:tc>
        <w:tc>
          <w:tcPr>
            <w:tcW w:w="1686" w:type="dxa"/>
            <w:gridSpan w:val="2"/>
            <w:tcBorders>
              <w:left w:val="single" w:color="auto" w:sz="4" w:space="0"/>
            </w:tcBorders>
            <w:vAlign w:val="center"/>
          </w:tcPr>
          <w:p w14:paraId="58928120">
            <w:pPr>
              <w:pStyle w:val="34"/>
            </w:pPr>
            <w:r>
              <w:rPr>
                <w:rFonts w:hint="eastAsia"/>
              </w:rPr>
              <w:t>响应文件的签字盖章</w:t>
            </w:r>
          </w:p>
        </w:tc>
        <w:tc>
          <w:tcPr>
            <w:tcW w:w="5476" w:type="dxa"/>
            <w:tcBorders>
              <w:left w:val="single" w:color="auto" w:sz="4" w:space="0"/>
            </w:tcBorders>
            <w:vAlign w:val="center"/>
          </w:tcPr>
          <w:p w14:paraId="6A28D5F9">
            <w:pPr>
              <w:pStyle w:val="34"/>
            </w:pPr>
            <w:r>
              <w:rPr>
                <w:rFonts w:hint="eastAsia"/>
              </w:rPr>
              <w:t>符合第二章“响应人须知” 5.1 条规定</w:t>
            </w:r>
          </w:p>
        </w:tc>
      </w:tr>
      <w:tr w14:paraId="68CA2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continue"/>
            <w:vAlign w:val="center"/>
          </w:tcPr>
          <w:p w14:paraId="2C93E166"/>
        </w:tc>
        <w:tc>
          <w:tcPr>
            <w:tcW w:w="1482" w:type="dxa"/>
            <w:vMerge w:val="continue"/>
            <w:tcBorders>
              <w:left w:val="single" w:color="auto" w:sz="4" w:space="0"/>
            </w:tcBorders>
            <w:textDirection w:val="tbRlV"/>
            <w:vAlign w:val="center"/>
          </w:tcPr>
          <w:p w14:paraId="06F632E2"/>
        </w:tc>
        <w:tc>
          <w:tcPr>
            <w:tcW w:w="1686" w:type="dxa"/>
            <w:gridSpan w:val="2"/>
            <w:tcBorders>
              <w:left w:val="single" w:color="auto" w:sz="4" w:space="0"/>
            </w:tcBorders>
            <w:vAlign w:val="center"/>
          </w:tcPr>
          <w:p w14:paraId="4E061F38">
            <w:pPr>
              <w:pStyle w:val="34"/>
            </w:pPr>
            <w:r>
              <w:rPr>
                <w:rFonts w:hint="eastAsia"/>
              </w:rPr>
              <w:t>响应文件的密封</w:t>
            </w:r>
          </w:p>
        </w:tc>
        <w:tc>
          <w:tcPr>
            <w:tcW w:w="5476" w:type="dxa"/>
            <w:tcBorders>
              <w:left w:val="single" w:color="auto" w:sz="4" w:space="0"/>
            </w:tcBorders>
            <w:vAlign w:val="center"/>
          </w:tcPr>
          <w:p w14:paraId="534D7C63">
            <w:pPr>
              <w:pStyle w:val="34"/>
            </w:pPr>
            <w:r>
              <w:rPr>
                <w:rFonts w:hint="eastAsia"/>
              </w:rPr>
              <w:t>符合第二章“响应人须知” 5.2 条规定</w:t>
            </w:r>
          </w:p>
        </w:tc>
      </w:tr>
      <w:tr w14:paraId="63C80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continue"/>
            <w:vAlign w:val="center"/>
          </w:tcPr>
          <w:p w14:paraId="5D7C29E4"/>
        </w:tc>
        <w:tc>
          <w:tcPr>
            <w:tcW w:w="1482" w:type="dxa"/>
            <w:vMerge w:val="continue"/>
            <w:tcBorders>
              <w:left w:val="single" w:color="auto" w:sz="4" w:space="0"/>
            </w:tcBorders>
            <w:textDirection w:val="tbRlV"/>
            <w:vAlign w:val="center"/>
          </w:tcPr>
          <w:p w14:paraId="0DAB9F73"/>
        </w:tc>
        <w:tc>
          <w:tcPr>
            <w:tcW w:w="1686" w:type="dxa"/>
            <w:gridSpan w:val="2"/>
            <w:tcBorders>
              <w:left w:val="single" w:color="auto" w:sz="4" w:space="0"/>
            </w:tcBorders>
            <w:vAlign w:val="center"/>
          </w:tcPr>
          <w:p w14:paraId="1122FE1D">
            <w:pPr>
              <w:pStyle w:val="34"/>
            </w:pPr>
            <w:r>
              <w:rPr>
                <w:rFonts w:hint="eastAsia"/>
              </w:rPr>
              <w:t>响应文件格式</w:t>
            </w:r>
          </w:p>
        </w:tc>
        <w:tc>
          <w:tcPr>
            <w:tcW w:w="5476" w:type="dxa"/>
            <w:tcBorders>
              <w:left w:val="single" w:color="auto" w:sz="4" w:space="0"/>
            </w:tcBorders>
            <w:vAlign w:val="center"/>
          </w:tcPr>
          <w:p w14:paraId="6D849768">
            <w:pPr>
              <w:pStyle w:val="34"/>
            </w:pPr>
            <w:r>
              <w:rPr>
                <w:rFonts w:hint="eastAsia"/>
              </w:rPr>
              <w:t>符合第六章“响应文件格式”的要求；</w:t>
            </w:r>
          </w:p>
        </w:tc>
      </w:tr>
      <w:tr w14:paraId="48D94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continue"/>
            <w:vAlign w:val="center"/>
          </w:tcPr>
          <w:p w14:paraId="0623929D"/>
        </w:tc>
        <w:tc>
          <w:tcPr>
            <w:tcW w:w="1482" w:type="dxa"/>
            <w:vMerge w:val="continue"/>
            <w:tcBorders>
              <w:left w:val="single" w:color="auto" w:sz="4" w:space="0"/>
            </w:tcBorders>
            <w:textDirection w:val="tbRlV"/>
            <w:vAlign w:val="center"/>
          </w:tcPr>
          <w:p w14:paraId="43DB7F0A"/>
        </w:tc>
        <w:tc>
          <w:tcPr>
            <w:tcW w:w="1686" w:type="dxa"/>
            <w:gridSpan w:val="2"/>
            <w:tcBorders>
              <w:left w:val="single" w:color="auto" w:sz="4" w:space="0"/>
            </w:tcBorders>
            <w:vAlign w:val="center"/>
          </w:tcPr>
          <w:p w14:paraId="3A6222B0">
            <w:pPr>
              <w:pStyle w:val="34"/>
            </w:pPr>
            <w:r>
              <w:rPr>
                <w:rFonts w:hint="eastAsia"/>
              </w:rPr>
              <w:t>响应文件组成</w:t>
            </w:r>
          </w:p>
        </w:tc>
        <w:tc>
          <w:tcPr>
            <w:tcW w:w="5476" w:type="dxa"/>
            <w:tcBorders>
              <w:left w:val="single" w:color="auto" w:sz="4" w:space="0"/>
            </w:tcBorders>
            <w:vAlign w:val="center"/>
          </w:tcPr>
          <w:p w14:paraId="092CCDF6">
            <w:pPr>
              <w:pStyle w:val="34"/>
            </w:pPr>
            <w:r>
              <w:rPr>
                <w:rFonts w:hint="eastAsia"/>
              </w:rPr>
              <w:t>符合第二章“响应人须知” 4.1 条规定，内容齐全、无遗漏</w:t>
            </w:r>
          </w:p>
        </w:tc>
      </w:tr>
      <w:tr w14:paraId="19429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continue"/>
            <w:vAlign w:val="center"/>
          </w:tcPr>
          <w:p w14:paraId="647AFC16"/>
        </w:tc>
        <w:tc>
          <w:tcPr>
            <w:tcW w:w="1482" w:type="dxa"/>
            <w:vMerge w:val="continue"/>
            <w:tcBorders>
              <w:left w:val="single" w:color="auto" w:sz="4" w:space="0"/>
            </w:tcBorders>
            <w:textDirection w:val="tbRlV"/>
            <w:vAlign w:val="center"/>
          </w:tcPr>
          <w:p w14:paraId="70FA59ED"/>
        </w:tc>
        <w:tc>
          <w:tcPr>
            <w:tcW w:w="1686" w:type="dxa"/>
            <w:gridSpan w:val="2"/>
            <w:tcBorders>
              <w:left w:val="single" w:color="auto" w:sz="4" w:space="0"/>
            </w:tcBorders>
            <w:vAlign w:val="center"/>
          </w:tcPr>
          <w:p w14:paraId="2235D1AD">
            <w:pPr>
              <w:pStyle w:val="34"/>
            </w:pPr>
            <w:r>
              <w:rPr>
                <w:rFonts w:hint="eastAsia"/>
              </w:rPr>
              <w:t>联合体响应</w:t>
            </w:r>
          </w:p>
        </w:tc>
        <w:tc>
          <w:tcPr>
            <w:tcW w:w="5476" w:type="dxa"/>
            <w:tcBorders>
              <w:left w:val="single" w:color="auto" w:sz="4" w:space="0"/>
            </w:tcBorders>
            <w:vAlign w:val="center"/>
          </w:tcPr>
          <w:p w14:paraId="25E75C71">
            <w:pPr>
              <w:pStyle w:val="34"/>
            </w:pPr>
            <w:r>
              <w:rPr>
                <w:rFonts w:hint="eastAsia"/>
              </w:rPr>
              <w:t>符合第一章“2. 响应人资格要求” 2.1 条的要求</w:t>
            </w:r>
          </w:p>
        </w:tc>
      </w:tr>
      <w:tr w14:paraId="0A99A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Align w:val="center"/>
          </w:tcPr>
          <w:p w14:paraId="2E54AA39">
            <w:pPr>
              <w:pStyle w:val="34"/>
            </w:pPr>
            <w:r>
              <w:rPr>
                <w:rFonts w:hint="eastAsia"/>
              </w:rPr>
              <w:t>2.1.2</w:t>
            </w:r>
          </w:p>
        </w:tc>
        <w:tc>
          <w:tcPr>
            <w:tcW w:w="1482" w:type="dxa"/>
            <w:tcBorders>
              <w:left w:val="single" w:color="auto" w:sz="4" w:space="0"/>
            </w:tcBorders>
            <w:vAlign w:val="center"/>
          </w:tcPr>
          <w:p w14:paraId="68395671">
            <w:pPr>
              <w:pStyle w:val="34"/>
            </w:pPr>
            <w:r>
              <w:rPr>
                <w:rFonts w:hint="eastAsia"/>
              </w:rPr>
              <w:t>资格评审标准</w:t>
            </w:r>
          </w:p>
        </w:tc>
        <w:tc>
          <w:tcPr>
            <w:tcW w:w="1686" w:type="dxa"/>
            <w:gridSpan w:val="2"/>
            <w:tcBorders>
              <w:left w:val="single" w:color="auto" w:sz="4" w:space="0"/>
            </w:tcBorders>
            <w:vAlign w:val="center"/>
          </w:tcPr>
          <w:p w14:paraId="0C562F1C">
            <w:pPr>
              <w:pStyle w:val="34"/>
            </w:pPr>
            <w:r>
              <w:rPr>
                <w:rFonts w:hint="eastAsia"/>
              </w:rPr>
              <w:t>资格条件要求</w:t>
            </w:r>
          </w:p>
        </w:tc>
        <w:tc>
          <w:tcPr>
            <w:tcW w:w="5476" w:type="dxa"/>
            <w:tcBorders>
              <w:left w:val="single" w:color="auto" w:sz="4" w:space="0"/>
            </w:tcBorders>
            <w:vAlign w:val="center"/>
          </w:tcPr>
          <w:p w14:paraId="3973AC38">
            <w:pPr>
              <w:pStyle w:val="34"/>
            </w:pPr>
            <w:r>
              <w:rPr>
                <w:rFonts w:hint="eastAsia"/>
              </w:rPr>
              <w:t>符合第一章“2. 响应人资格要求”规定</w:t>
            </w:r>
          </w:p>
        </w:tc>
      </w:tr>
      <w:tr w14:paraId="518B7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5" w:hRule="atLeast"/>
          <w:jc w:val="center"/>
        </w:trPr>
        <w:tc>
          <w:tcPr>
            <w:tcW w:w="820" w:type="dxa"/>
            <w:vMerge w:val="restart"/>
            <w:vAlign w:val="center"/>
          </w:tcPr>
          <w:p w14:paraId="1EC5BE73">
            <w:pPr>
              <w:pStyle w:val="34"/>
            </w:pPr>
            <w:r>
              <w:rPr>
                <w:rFonts w:hint="eastAsia"/>
              </w:rPr>
              <w:t>2.1.3</w:t>
            </w:r>
          </w:p>
        </w:tc>
        <w:tc>
          <w:tcPr>
            <w:tcW w:w="1482" w:type="dxa"/>
            <w:vMerge w:val="restart"/>
            <w:tcBorders>
              <w:left w:val="single" w:color="auto" w:sz="4" w:space="0"/>
            </w:tcBorders>
            <w:vAlign w:val="center"/>
          </w:tcPr>
          <w:p w14:paraId="6DE1034F">
            <w:pPr>
              <w:pStyle w:val="34"/>
            </w:pPr>
            <w:r>
              <w:rPr>
                <w:rFonts w:hint="eastAsia"/>
              </w:rPr>
              <w:t>响应性评审标准</w:t>
            </w:r>
          </w:p>
        </w:tc>
        <w:tc>
          <w:tcPr>
            <w:tcW w:w="1686" w:type="dxa"/>
            <w:gridSpan w:val="2"/>
            <w:tcBorders>
              <w:left w:val="single" w:color="auto" w:sz="4" w:space="0"/>
            </w:tcBorders>
            <w:vAlign w:val="center"/>
          </w:tcPr>
          <w:p w14:paraId="04C5F247">
            <w:pPr>
              <w:pStyle w:val="34"/>
            </w:pPr>
            <w:r>
              <w:rPr>
                <w:rFonts w:hint="eastAsia"/>
              </w:rPr>
              <w:t>响应内容</w:t>
            </w:r>
          </w:p>
        </w:tc>
        <w:tc>
          <w:tcPr>
            <w:tcW w:w="5476" w:type="dxa"/>
            <w:tcBorders>
              <w:left w:val="single" w:color="auto" w:sz="4" w:space="0"/>
            </w:tcBorders>
            <w:vAlign w:val="center"/>
          </w:tcPr>
          <w:p w14:paraId="5C2FA714">
            <w:pPr>
              <w:pStyle w:val="34"/>
            </w:pPr>
            <w:r>
              <w:rPr>
                <w:rFonts w:hint="eastAsia"/>
              </w:rPr>
              <w:t>1. 在响应承诺函中对第五章“项目要求”内容做出整体承诺；</w:t>
            </w:r>
          </w:p>
          <w:p w14:paraId="034DC985">
            <w:pPr>
              <w:pStyle w:val="34"/>
            </w:pPr>
            <w:r>
              <w:rPr>
                <w:rFonts w:hint="eastAsia"/>
              </w:rPr>
              <w:t>2. 根据第一章“2. 响应人</w:t>
            </w:r>
            <w:r>
              <w:t>资格要求”和</w:t>
            </w:r>
            <w:r>
              <w:rPr>
                <w:rFonts w:hint="eastAsia"/>
              </w:rPr>
              <w:t>第五章</w:t>
            </w:r>
            <w:r>
              <w:t>“项目要求”的要求规定，提供对应</w:t>
            </w:r>
            <w:r>
              <w:rPr>
                <w:rFonts w:hint="eastAsia"/>
              </w:rPr>
              <w:t>资料</w:t>
            </w:r>
            <w:r>
              <w:t>，内容齐全、无遗漏。</w:t>
            </w:r>
          </w:p>
        </w:tc>
      </w:tr>
      <w:tr w14:paraId="7E501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vMerge w:val="continue"/>
          </w:tcPr>
          <w:p w14:paraId="7EBC0C6D"/>
        </w:tc>
        <w:tc>
          <w:tcPr>
            <w:tcW w:w="1482" w:type="dxa"/>
            <w:vMerge w:val="continue"/>
            <w:tcBorders>
              <w:left w:val="single" w:color="auto" w:sz="4" w:space="0"/>
            </w:tcBorders>
          </w:tcPr>
          <w:p w14:paraId="0F354D34"/>
        </w:tc>
        <w:tc>
          <w:tcPr>
            <w:tcW w:w="1686" w:type="dxa"/>
            <w:gridSpan w:val="2"/>
            <w:tcBorders>
              <w:left w:val="single" w:color="auto" w:sz="4" w:space="0"/>
            </w:tcBorders>
            <w:vAlign w:val="center"/>
          </w:tcPr>
          <w:p w14:paraId="524EA022">
            <w:pPr>
              <w:pStyle w:val="34"/>
            </w:pPr>
            <w:r>
              <w:rPr>
                <w:rFonts w:hint="eastAsia"/>
              </w:rPr>
              <w:t>响应文件份数</w:t>
            </w:r>
          </w:p>
        </w:tc>
        <w:tc>
          <w:tcPr>
            <w:tcW w:w="5476" w:type="dxa"/>
            <w:tcBorders>
              <w:left w:val="single" w:color="auto" w:sz="4" w:space="0"/>
            </w:tcBorders>
            <w:vAlign w:val="center"/>
          </w:tcPr>
          <w:p w14:paraId="74A2155D">
            <w:pPr>
              <w:pStyle w:val="34"/>
            </w:pPr>
            <w:r>
              <w:rPr>
                <w:rFonts w:hint="eastAsia"/>
              </w:rPr>
              <w:t>符合第二章“响应人须知” 5.1 条规定</w:t>
            </w:r>
          </w:p>
        </w:tc>
      </w:tr>
      <w:tr w14:paraId="3AC2C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vMerge w:val="continue"/>
          </w:tcPr>
          <w:p w14:paraId="7C4673D8"/>
        </w:tc>
        <w:tc>
          <w:tcPr>
            <w:tcW w:w="1482" w:type="dxa"/>
            <w:vMerge w:val="continue"/>
            <w:tcBorders>
              <w:left w:val="single" w:color="auto" w:sz="4" w:space="0"/>
            </w:tcBorders>
          </w:tcPr>
          <w:p w14:paraId="2F06ED24"/>
        </w:tc>
        <w:tc>
          <w:tcPr>
            <w:tcW w:w="1686" w:type="dxa"/>
            <w:gridSpan w:val="2"/>
            <w:tcBorders>
              <w:left w:val="single" w:color="auto" w:sz="4" w:space="0"/>
            </w:tcBorders>
            <w:vAlign w:val="center"/>
          </w:tcPr>
          <w:p w14:paraId="3155C97F">
            <w:pPr>
              <w:pStyle w:val="34"/>
            </w:pPr>
            <w:r>
              <w:rPr>
                <w:rFonts w:hint="eastAsia"/>
              </w:rPr>
              <w:t>响应方案唯一</w:t>
            </w:r>
          </w:p>
        </w:tc>
        <w:tc>
          <w:tcPr>
            <w:tcW w:w="5476" w:type="dxa"/>
            <w:tcBorders>
              <w:left w:val="single" w:color="auto" w:sz="4" w:space="0"/>
            </w:tcBorders>
            <w:vAlign w:val="center"/>
          </w:tcPr>
          <w:p w14:paraId="046BD2AB">
            <w:pPr>
              <w:pStyle w:val="34"/>
            </w:pPr>
            <w:r>
              <w:rPr>
                <w:rFonts w:hint="eastAsia"/>
              </w:rPr>
              <w:t>只能有一个方案响应。</w:t>
            </w:r>
          </w:p>
        </w:tc>
      </w:tr>
      <w:tr w14:paraId="339EF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vMerge w:val="continue"/>
          </w:tcPr>
          <w:p w14:paraId="53703356"/>
        </w:tc>
        <w:tc>
          <w:tcPr>
            <w:tcW w:w="1482" w:type="dxa"/>
            <w:vMerge w:val="continue"/>
            <w:tcBorders>
              <w:left w:val="single" w:color="auto" w:sz="4" w:space="0"/>
            </w:tcBorders>
          </w:tcPr>
          <w:p w14:paraId="1AF17121"/>
        </w:tc>
        <w:tc>
          <w:tcPr>
            <w:tcW w:w="1686" w:type="dxa"/>
            <w:gridSpan w:val="2"/>
            <w:tcBorders>
              <w:left w:val="single" w:color="auto" w:sz="4" w:space="0"/>
            </w:tcBorders>
            <w:vAlign w:val="center"/>
          </w:tcPr>
          <w:p w14:paraId="34C981D8">
            <w:pPr>
              <w:pStyle w:val="34"/>
            </w:pPr>
            <w:r>
              <w:rPr>
                <w:rFonts w:hint="eastAsia"/>
              </w:rPr>
              <w:t>响应报价</w:t>
            </w:r>
          </w:p>
        </w:tc>
        <w:tc>
          <w:tcPr>
            <w:tcW w:w="5476" w:type="dxa"/>
            <w:tcBorders>
              <w:left w:val="single" w:color="auto" w:sz="4" w:space="0"/>
            </w:tcBorders>
            <w:vAlign w:val="center"/>
          </w:tcPr>
          <w:p w14:paraId="7EB8267F">
            <w:pPr>
              <w:pStyle w:val="34"/>
            </w:pPr>
            <w:r>
              <w:rPr>
                <w:rFonts w:hint="eastAsia"/>
              </w:rPr>
              <w:t>符合第二章“响应人须知” 4.3 条规定</w:t>
            </w:r>
          </w:p>
        </w:tc>
      </w:tr>
      <w:tr w14:paraId="58D86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vMerge w:val="continue"/>
          </w:tcPr>
          <w:p w14:paraId="2FE9413C"/>
        </w:tc>
        <w:tc>
          <w:tcPr>
            <w:tcW w:w="1482" w:type="dxa"/>
            <w:vMerge w:val="continue"/>
            <w:tcBorders>
              <w:left w:val="single" w:color="auto" w:sz="4" w:space="0"/>
            </w:tcBorders>
          </w:tcPr>
          <w:p w14:paraId="2501A2D7"/>
        </w:tc>
        <w:tc>
          <w:tcPr>
            <w:tcW w:w="1686" w:type="dxa"/>
            <w:gridSpan w:val="2"/>
            <w:tcBorders>
              <w:left w:val="single" w:color="auto" w:sz="4" w:space="0"/>
            </w:tcBorders>
            <w:vAlign w:val="center"/>
          </w:tcPr>
          <w:p w14:paraId="7F5CC2ED">
            <w:pPr>
              <w:pStyle w:val="34"/>
            </w:pPr>
            <w:r>
              <w:rPr>
                <w:rFonts w:hint="eastAsia"/>
              </w:rPr>
              <w:t>响应有效期</w:t>
            </w:r>
          </w:p>
        </w:tc>
        <w:tc>
          <w:tcPr>
            <w:tcW w:w="5476" w:type="dxa"/>
            <w:tcBorders>
              <w:left w:val="single" w:color="auto" w:sz="4" w:space="0"/>
            </w:tcBorders>
          </w:tcPr>
          <w:p w14:paraId="2F6103D2">
            <w:pPr>
              <w:pStyle w:val="34"/>
            </w:pPr>
            <w:r>
              <w:rPr>
                <w:rFonts w:hint="eastAsia"/>
              </w:rPr>
              <w:t>符合第二章“响应人须知” 4.4 条规定</w:t>
            </w:r>
          </w:p>
        </w:tc>
      </w:tr>
      <w:tr w14:paraId="41B80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vMerge w:val="continue"/>
          </w:tcPr>
          <w:p w14:paraId="60B315D8"/>
        </w:tc>
        <w:tc>
          <w:tcPr>
            <w:tcW w:w="1482" w:type="dxa"/>
            <w:vMerge w:val="continue"/>
            <w:tcBorders>
              <w:left w:val="single" w:color="auto" w:sz="4" w:space="0"/>
            </w:tcBorders>
          </w:tcPr>
          <w:p w14:paraId="54E5071B"/>
        </w:tc>
        <w:tc>
          <w:tcPr>
            <w:tcW w:w="1686" w:type="dxa"/>
            <w:gridSpan w:val="2"/>
            <w:tcBorders>
              <w:left w:val="single" w:color="auto" w:sz="4" w:space="0"/>
            </w:tcBorders>
            <w:vAlign w:val="center"/>
          </w:tcPr>
          <w:p w14:paraId="14E52C6B">
            <w:pPr>
              <w:pStyle w:val="34"/>
            </w:pPr>
            <w:r>
              <w:rPr>
                <w:rFonts w:hint="eastAsia"/>
              </w:rPr>
              <w:t>响应保证金</w:t>
            </w:r>
          </w:p>
        </w:tc>
        <w:tc>
          <w:tcPr>
            <w:tcW w:w="5476" w:type="dxa"/>
            <w:tcBorders>
              <w:left w:val="single" w:color="auto" w:sz="4" w:space="0"/>
            </w:tcBorders>
          </w:tcPr>
          <w:p w14:paraId="2C6EC377">
            <w:pPr>
              <w:pStyle w:val="34"/>
            </w:pPr>
            <w:r>
              <w:rPr>
                <w:rFonts w:hint="eastAsia"/>
              </w:rPr>
              <w:t>按时足额缴纳响应保证金，以重庆市公共资源交易中心《投标保证金交纳情况一览表》为准。</w:t>
            </w:r>
          </w:p>
        </w:tc>
      </w:tr>
      <w:tr w14:paraId="5635D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820" w:type="dxa"/>
            <w:vAlign w:val="center"/>
          </w:tcPr>
          <w:p w14:paraId="6399DB26">
            <w:pPr>
              <w:pStyle w:val="34"/>
            </w:pPr>
            <w:r>
              <w:rPr>
                <w:rFonts w:hint="eastAsia"/>
              </w:rPr>
              <w:t>2.2</w:t>
            </w:r>
          </w:p>
        </w:tc>
        <w:tc>
          <w:tcPr>
            <w:tcW w:w="1482" w:type="dxa"/>
            <w:tcBorders>
              <w:left w:val="single" w:color="auto" w:sz="4" w:space="0"/>
            </w:tcBorders>
            <w:vAlign w:val="center"/>
          </w:tcPr>
          <w:p w14:paraId="01B1F4EB">
            <w:pPr>
              <w:pStyle w:val="34"/>
            </w:pPr>
            <w:r>
              <w:rPr>
                <w:rFonts w:hint="eastAsia"/>
              </w:rPr>
              <w:t>详细评审</w:t>
            </w:r>
          </w:p>
        </w:tc>
        <w:tc>
          <w:tcPr>
            <w:tcW w:w="1686" w:type="dxa"/>
            <w:gridSpan w:val="2"/>
            <w:tcBorders>
              <w:left w:val="single" w:color="auto" w:sz="4" w:space="0"/>
            </w:tcBorders>
            <w:vAlign w:val="center"/>
          </w:tcPr>
          <w:p w14:paraId="1E03FC35">
            <w:pPr>
              <w:pStyle w:val="34"/>
            </w:pPr>
            <w:r>
              <w:rPr>
                <w:rFonts w:hint="eastAsia"/>
              </w:rPr>
              <w:t>分值构成与评分标准</w:t>
            </w:r>
          </w:p>
          <w:p w14:paraId="3401BA1D">
            <w:pPr>
              <w:pStyle w:val="34"/>
            </w:pPr>
            <w:r>
              <w:rPr>
                <w:rFonts w:hint="eastAsia"/>
              </w:rPr>
              <w:t>(总分1OO分)</w:t>
            </w:r>
          </w:p>
        </w:tc>
        <w:tc>
          <w:tcPr>
            <w:tcW w:w="5476" w:type="dxa"/>
            <w:tcBorders>
              <w:left w:val="single" w:color="auto" w:sz="4" w:space="0"/>
            </w:tcBorders>
            <w:vAlign w:val="center"/>
          </w:tcPr>
          <w:p w14:paraId="67754EE3">
            <w:pPr>
              <w:pStyle w:val="34"/>
            </w:pPr>
            <w:r>
              <w:rPr>
                <w:rFonts w:hint="eastAsia"/>
              </w:rPr>
              <w:t>详见《详细评审评分表》</w:t>
            </w:r>
          </w:p>
        </w:tc>
      </w:tr>
      <w:tr w14:paraId="57092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35" w:hRule="atLeast"/>
          <w:jc w:val="center"/>
        </w:trPr>
        <w:tc>
          <w:tcPr>
            <w:tcW w:w="820" w:type="dxa"/>
            <w:vAlign w:val="center"/>
          </w:tcPr>
          <w:p w14:paraId="3811F90A">
            <w:pPr>
              <w:pStyle w:val="34"/>
            </w:pPr>
            <w:r>
              <w:rPr>
                <w:rFonts w:hint="eastAsia"/>
              </w:rPr>
              <w:t>3</w:t>
            </w:r>
          </w:p>
        </w:tc>
        <w:tc>
          <w:tcPr>
            <w:tcW w:w="1482" w:type="dxa"/>
            <w:tcBorders>
              <w:left w:val="single" w:color="auto" w:sz="4" w:space="0"/>
            </w:tcBorders>
            <w:vAlign w:val="center"/>
          </w:tcPr>
          <w:p w14:paraId="6B56A280">
            <w:pPr>
              <w:pStyle w:val="34"/>
            </w:pPr>
            <w:r>
              <w:rPr>
                <w:rFonts w:hint="eastAsia"/>
              </w:rPr>
              <w:t>评审程序</w:t>
            </w:r>
          </w:p>
        </w:tc>
        <w:tc>
          <w:tcPr>
            <w:tcW w:w="7162" w:type="dxa"/>
            <w:gridSpan w:val="3"/>
            <w:tcBorders>
              <w:left w:val="single" w:color="auto" w:sz="4" w:space="0"/>
            </w:tcBorders>
          </w:tcPr>
          <w:p w14:paraId="7ECB8048">
            <w:pPr>
              <w:pStyle w:val="34"/>
            </w:pPr>
            <w:r>
              <w:rPr>
                <w:rFonts w:hint="eastAsia"/>
              </w:rPr>
              <w:t>1.初步评审前，按本章第3.1.3项的规定对响应报价有算术性错误的进行算术性错误修正。</w:t>
            </w:r>
          </w:p>
          <w:p w14:paraId="26CF6742">
            <w:pPr>
              <w:pStyle w:val="34"/>
            </w:pPr>
            <w:r>
              <w:rPr>
                <w:rFonts w:hint="eastAsia"/>
              </w:rPr>
              <w:t>2.评审委员会对响应文件进行初步评审。</w:t>
            </w:r>
          </w:p>
          <w:p w14:paraId="30F61DF8">
            <w:pPr>
              <w:pStyle w:val="34"/>
            </w:pPr>
            <w:r>
              <w:rPr>
                <w:rFonts w:hint="eastAsia"/>
              </w:rPr>
              <w:t>3.初步评审合格的响应文件进行详细评审。主观评审部分由各专家独立评审打分，最后取平均得分，保留2位小数。</w:t>
            </w:r>
          </w:p>
          <w:p w14:paraId="624FA97D">
            <w:pPr>
              <w:pStyle w:val="34"/>
            </w:pPr>
            <w:r>
              <w:rPr>
                <w:rFonts w:hint="eastAsia"/>
              </w:rPr>
              <w:t>4.根据综合得分由高至低进行排名。</w:t>
            </w:r>
          </w:p>
        </w:tc>
      </w:tr>
      <w:tr w14:paraId="7BF7C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2" w:hRule="atLeast"/>
          <w:jc w:val="center"/>
        </w:trPr>
        <w:tc>
          <w:tcPr>
            <w:tcW w:w="2302" w:type="dxa"/>
            <w:gridSpan w:val="2"/>
            <w:vAlign w:val="center"/>
          </w:tcPr>
          <w:p w14:paraId="328321CB">
            <w:pPr>
              <w:pStyle w:val="34"/>
            </w:pPr>
            <w:r>
              <w:rPr>
                <w:rFonts w:hint="eastAsia"/>
              </w:rPr>
              <w:t>3.2.3</w:t>
            </w:r>
          </w:p>
        </w:tc>
        <w:tc>
          <w:tcPr>
            <w:tcW w:w="1511" w:type="dxa"/>
            <w:tcBorders>
              <w:left w:val="single" w:color="auto" w:sz="4" w:space="0"/>
            </w:tcBorders>
            <w:vAlign w:val="center"/>
          </w:tcPr>
          <w:p w14:paraId="0EC5427B">
            <w:pPr>
              <w:pStyle w:val="34"/>
            </w:pPr>
            <w:r>
              <w:rPr>
                <w:rFonts w:hint="eastAsia"/>
              </w:rPr>
              <w:t>响应人得分</w:t>
            </w:r>
          </w:p>
        </w:tc>
        <w:tc>
          <w:tcPr>
            <w:tcW w:w="5651" w:type="dxa"/>
            <w:gridSpan w:val="2"/>
            <w:tcBorders>
              <w:left w:val="single" w:color="auto" w:sz="4" w:space="0"/>
            </w:tcBorders>
            <w:vAlign w:val="center"/>
          </w:tcPr>
          <w:p w14:paraId="5EB954D9">
            <w:pPr>
              <w:pStyle w:val="34"/>
            </w:pPr>
            <w:r>
              <w:rPr>
                <w:rFonts w:hint="eastAsia"/>
              </w:rPr>
              <w:t>响应人得分=响应报价得分+商务部分得分+技术部分得分</w:t>
            </w:r>
          </w:p>
        </w:tc>
      </w:tr>
      <w:bookmarkEnd w:id="57"/>
    </w:tbl>
    <w:p w14:paraId="46A8CDD7">
      <w:pPr>
        <w:ind w:firstLine="0" w:firstLineChars="0"/>
        <w:rPr>
          <w:rFonts w:hint="eastAsia" w:ascii="宋体" w:hAnsi="宋体" w:cs="宋体"/>
          <w:snapToGrid w:val="0"/>
          <w:szCs w:val="21"/>
        </w:rPr>
      </w:pPr>
      <w:bookmarkStart w:id="58" w:name="_Toc636"/>
      <w:bookmarkStart w:id="59" w:name="_Toc21111"/>
    </w:p>
    <w:p w14:paraId="7F49D6DE">
      <w:pPr>
        <w:ind w:firstLine="0" w:firstLineChars="0"/>
        <w:rPr>
          <w:ins w:id="1" w:author="交易中心-罗" w:date="2025-09-25T16:11:00Z"/>
          <w:rFonts w:hint="eastAsia" w:ascii="宋体" w:hAnsi="宋体" w:cs="宋体"/>
          <w:snapToGrid w:val="0"/>
          <w:szCs w:val="21"/>
        </w:rPr>
        <w:sectPr>
          <w:pgSz w:w="11906" w:h="16838"/>
          <w:pgMar w:top="1440" w:right="1800" w:bottom="1440" w:left="1800" w:header="851" w:footer="992" w:gutter="0"/>
          <w:cols w:space="720" w:num="1"/>
          <w:docGrid w:type="lines" w:linePitch="312" w:charSpace="0"/>
        </w:sectPr>
      </w:pPr>
    </w:p>
    <w:p w14:paraId="40E88296">
      <w:pPr>
        <w:pStyle w:val="3"/>
      </w:pPr>
      <w:r>
        <w:rPr>
          <w:rFonts w:hint="eastAsia"/>
        </w:rPr>
        <w:t>《详细评审评分表》</w:t>
      </w:r>
    </w:p>
    <w:tbl>
      <w:tblPr>
        <w:tblStyle w:val="19"/>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77"/>
        <w:gridCol w:w="437"/>
        <w:gridCol w:w="1058"/>
        <w:gridCol w:w="6450"/>
      </w:tblGrid>
      <w:tr w14:paraId="043D46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39" w:type="pct"/>
            <w:tcBorders>
              <w:top w:val="single" w:color="auto" w:sz="4" w:space="0"/>
              <w:left w:val="single" w:color="auto" w:sz="4" w:space="0"/>
              <w:bottom w:val="single" w:color="auto" w:sz="4" w:space="0"/>
              <w:right w:val="single" w:color="auto" w:sz="4" w:space="0"/>
            </w:tcBorders>
            <w:noWrap/>
            <w:vAlign w:val="center"/>
          </w:tcPr>
          <w:p w14:paraId="59BB4A32">
            <w:pPr>
              <w:pStyle w:val="35"/>
            </w:pPr>
            <w:r>
              <w:rPr>
                <w:rFonts w:hint="eastAsia"/>
              </w:rPr>
              <w:t>序号</w:t>
            </w:r>
          </w:p>
        </w:tc>
        <w:tc>
          <w:tcPr>
            <w:tcW w:w="256" w:type="pct"/>
            <w:tcBorders>
              <w:top w:val="single" w:color="auto" w:sz="4" w:space="0"/>
              <w:left w:val="nil"/>
              <w:bottom w:val="single" w:color="auto" w:sz="4" w:space="0"/>
              <w:right w:val="single" w:color="auto" w:sz="4" w:space="0"/>
            </w:tcBorders>
            <w:noWrap/>
            <w:vAlign w:val="center"/>
          </w:tcPr>
          <w:p w14:paraId="75460F61">
            <w:pPr>
              <w:pStyle w:val="35"/>
            </w:pPr>
            <w:r>
              <w:rPr>
                <w:rFonts w:hint="eastAsia"/>
              </w:rPr>
              <w:t>评分指标</w:t>
            </w:r>
          </w:p>
        </w:tc>
        <w:tc>
          <w:tcPr>
            <w:tcW w:w="621" w:type="pct"/>
            <w:tcBorders>
              <w:top w:val="single" w:color="auto" w:sz="4" w:space="0"/>
              <w:left w:val="nil"/>
              <w:bottom w:val="single" w:color="auto" w:sz="4" w:space="0"/>
              <w:right w:val="single" w:color="auto" w:sz="4" w:space="0"/>
            </w:tcBorders>
            <w:noWrap/>
            <w:vAlign w:val="center"/>
          </w:tcPr>
          <w:p w14:paraId="0992BB01">
            <w:pPr>
              <w:pStyle w:val="35"/>
            </w:pPr>
            <w:r>
              <w:rPr>
                <w:rFonts w:hint="eastAsia"/>
              </w:rPr>
              <w:t>指标和分值</w:t>
            </w:r>
          </w:p>
        </w:tc>
        <w:tc>
          <w:tcPr>
            <w:tcW w:w="3783" w:type="pct"/>
            <w:tcBorders>
              <w:top w:val="single" w:color="auto" w:sz="4" w:space="0"/>
              <w:left w:val="nil"/>
              <w:bottom w:val="single" w:color="auto" w:sz="4" w:space="0"/>
              <w:right w:val="single" w:color="auto" w:sz="4" w:space="0"/>
            </w:tcBorders>
            <w:noWrap/>
            <w:vAlign w:val="center"/>
          </w:tcPr>
          <w:p w14:paraId="08C0C0EA">
            <w:pPr>
              <w:pStyle w:val="35"/>
            </w:pPr>
            <w:r>
              <w:rPr>
                <w:rFonts w:hint="eastAsia"/>
              </w:rPr>
              <w:t>评分标准</w:t>
            </w:r>
          </w:p>
        </w:tc>
      </w:tr>
      <w:tr w14:paraId="44F882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39" w:type="pct"/>
            <w:tcBorders>
              <w:top w:val="nil"/>
              <w:left w:val="single" w:color="auto" w:sz="4" w:space="0"/>
              <w:bottom w:val="single" w:color="auto" w:sz="4" w:space="0"/>
              <w:right w:val="single" w:color="auto" w:sz="4" w:space="0"/>
            </w:tcBorders>
            <w:noWrap/>
            <w:vAlign w:val="center"/>
          </w:tcPr>
          <w:p w14:paraId="6253D929">
            <w:pPr>
              <w:pStyle w:val="34"/>
            </w:pPr>
            <w:r>
              <w:t>1</w:t>
            </w:r>
          </w:p>
        </w:tc>
        <w:tc>
          <w:tcPr>
            <w:tcW w:w="256" w:type="pct"/>
            <w:vMerge w:val="restart"/>
            <w:tcBorders>
              <w:top w:val="nil"/>
              <w:left w:val="single" w:color="auto" w:sz="4" w:space="0"/>
              <w:right w:val="single" w:color="auto" w:sz="4" w:space="0"/>
            </w:tcBorders>
            <w:noWrap/>
            <w:vAlign w:val="center"/>
          </w:tcPr>
          <w:p w14:paraId="408C4D2F">
            <w:pPr>
              <w:pStyle w:val="34"/>
            </w:pPr>
            <w:r>
              <w:t>技术部分（29</w:t>
            </w:r>
            <w:r>
              <w:rPr>
                <w:rFonts w:hint="eastAsia"/>
              </w:rPr>
              <w:t>分）</w:t>
            </w:r>
          </w:p>
        </w:tc>
        <w:tc>
          <w:tcPr>
            <w:tcW w:w="621" w:type="pct"/>
            <w:tcBorders>
              <w:top w:val="nil"/>
              <w:left w:val="nil"/>
              <w:bottom w:val="single" w:color="auto" w:sz="4" w:space="0"/>
              <w:right w:val="single" w:color="auto" w:sz="4" w:space="0"/>
            </w:tcBorders>
            <w:noWrap/>
            <w:vAlign w:val="center"/>
          </w:tcPr>
          <w:p w14:paraId="0F6CFF7D">
            <w:pPr>
              <w:pStyle w:val="34"/>
            </w:pPr>
            <w:r>
              <w:rPr>
                <w:rFonts w:hint="eastAsia"/>
              </w:rPr>
              <w:t>厂商样卡展示册</w:t>
            </w:r>
          </w:p>
          <w:p w14:paraId="6C7045A6">
            <w:pPr>
              <w:pStyle w:val="34"/>
            </w:pPr>
            <w:r>
              <w:rPr>
                <w:rFonts w:hint="eastAsia"/>
              </w:rPr>
              <w:t>（2分）</w:t>
            </w:r>
          </w:p>
        </w:tc>
        <w:tc>
          <w:tcPr>
            <w:tcW w:w="3783" w:type="pct"/>
            <w:tcBorders>
              <w:top w:val="nil"/>
              <w:left w:val="nil"/>
              <w:bottom w:val="single" w:color="auto" w:sz="4" w:space="0"/>
              <w:right w:val="single" w:color="auto" w:sz="4" w:space="0"/>
            </w:tcBorders>
            <w:noWrap/>
            <w:vAlign w:val="center"/>
          </w:tcPr>
          <w:p w14:paraId="33F661D1">
            <w:r>
              <w:rPr>
                <w:rFonts w:hint="eastAsia"/>
              </w:rPr>
              <w:t>根据响应人样卡设计稿件的构图、美观程度及设计主题等进行评审，横向对比后进行排位</w:t>
            </w:r>
            <w:r>
              <w:t>。</w:t>
            </w:r>
            <w:r>
              <w:rPr>
                <w:rFonts w:hint="eastAsia"/>
              </w:rPr>
              <w:t>排名第一的得2分，其后按顺序依次扣减0.5分。排名第4名起的响应人，本项均为0分。</w:t>
            </w:r>
          </w:p>
        </w:tc>
      </w:tr>
      <w:tr w14:paraId="6E51A1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39" w:type="pct"/>
            <w:tcBorders>
              <w:top w:val="nil"/>
              <w:left w:val="single" w:color="auto" w:sz="4" w:space="0"/>
              <w:bottom w:val="single" w:color="auto" w:sz="4" w:space="0"/>
              <w:right w:val="single" w:color="auto" w:sz="4" w:space="0"/>
            </w:tcBorders>
            <w:noWrap/>
            <w:vAlign w:val="center"/>
          </w:tcPr>
          <w:p w14:paraId="50CD1C02">
            <w:pPr>
              <w:pStyle w:val="34"/>
            </w:pPr>
            <w:r>
              <w:t>2</w:t>
            </w:r>
          </w:p>
        </w:tc>
        <w:tc>
          <w:tcPr>
            <w:tcW w:w="256" w:type="pct"/>
            <w:vMerge w:val="continue"/>
            <w:tcBorders>
              <w:left w:val="single" w:color="auto" w:sz="4" w:space="0"/>
              <w:right w:val="single" w:color="auto" w:sz="4" w:space="0"/>
            </w:tcBorders>
            <w:noWrap/>
            <w:vAlign w:val="center"/>
          </w:tcPr>
          <w:p w14:paraId="1C609D7C"/>
        </w:tc>
        <w:tc>
          <w:tcPr>
            <w:tcW w:w="621" w:type="pct"/>
            <w:tcBorders>
              <w:top w:val="nil"/>
              <w:left w:val="nil"/>
              <w:bottom w:val="single" w:color="auto" w:sz="4" w:space="0"/>
              <w:right w:val="single" w:color="auto" w:sz="4" w:space="0"/>
            </w:tcBorders>
            <w:noWrap/>
            <w:vAlign w:val="center"/>
          </w:tcPr>
          <w:p w14:paraId="0CE185BA">
            <w:pPr>
              <w:pStyle w:val="34"/>
            </w:pPr>
            <w:r>
              <w:rPr>
                <w:rFonts w:hint="eastAsia"/>
              </w:rPr>
              <w:t>产品质量</w:t>
            </w:r>
          </w:p>
          <w:p w14:paraId="25004EB4">
            <w:pPr>
              <w:pStyle w:val="34"/>
            </w:pPr>
            <w:r>
              <w:rPr>
                <w:rFonts w:hint="eastAsia"/>
              </w:rPr>
              <w:t>（4分）</w:t>
            </w:r>
          </w:p>
        </w:tc>
        <w:tc>
          <w:tcPr>
            <w:tcW w:w="3783" w:type="pct"/>
            <w:tcBorders>
              <w:top w:val="nil"/>
              <w:left w:val="nil"/>
              <w:bottom w:val="single" w:color="auto" w:sz="4" w:space="0"/>
              <w:right w:val="single" w:color="auto" w:sz="4" w:space="0"/>
            </w:tcBorders>
            <w:noWrap/>
            <w:vAlign w:val="center"/>
          </w:tcPr>
          <w:p w14:paraId="65DDB157">
            <w:r>
              <w:rPr>
                <w:rFonts w:hint="eastAsia"/>
              </w:rPr>
              <w:t>根据响应人提供的</w:t>
            </w:r>
            <w:r>
              <w:t>认证证明文件</w:t>
            </w:r>
            <w:r>
              <w:rPr>
                <w:rFonts w:hint="eastAsia"/>
              </w:rPr>
              <w:t>进行评审，</w:t>
            </w:r>
            <w:r>
              <w:t>响应人具备中国银联卡生产线、VISA卡或万事达卡的生产资格认证外，每获得一个额外的卡组织（JCB、运通）认证得</w:t>
            </w:r>
            <w:r>
              <w:rPr>
                <w:rFonts w:hint="eastAsia"/>
              </w:rPr>
              <w:t>2</w:t>
            </w:r>
            <w:r>
              <w:t>分，最高</w:t>
            </w:r>
            <w:r>
              <w:rPr>
                <w:rFonts w:hint="eastAsia"/>
              </w:rPr>
              <w:t>4</w:t>
            </w:r>
            <w:r>
              <w:t>分。</w:t>
            </w:r>
          </w:p>
        </w:tc>
      </w:tr>
      <w:tr w14:paraId="7BD135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39" w:type="pct"/>
            <w:tcBorders>
              <w:top w:val="nil"/>
              <w:left w:val="single" w:color="auto" w:sz="4" w:space="0"/>
              <w:bottom w:val="single" w:color="auto" w:sz="4" w:space="0"/>
              <w:right w:val="single" w:color="auto" w:sz="4" w:space="0"/>
            </w:tcBorders>
            <w:noWrap/>
            <w:vAlign w:val="center"/>
          </w:tcPr>
          <w:p w14:paraId="013C7EE8">
            <w:pPr>
              <w:pStyle w:val="34"/>
            </w:pPr>
            <w:r>
              <w:rPr>
                <w:rFonts w:hint="eastAsia"/>
              </w:rPr>
              <w:t>3</w:t>
            </w:r>
          </w:p>
        </w:tc>
        <w:tc>
          <w:tcPr>
            <w:tcW w:w="256" w:type="pct"/>
            <w:vMerge w:val="continue"/>
            <w:tcBorders>
              <w:left w:val="single" w:color="auto" w:sz="4" w:space="0"/>
              <w:right w:val="single" w:color="auto" w:sz="4" w:space="0"/>
            </w:tcBorders>
            <w:noWrap/>
            <w:vAlign w:val="center"/>
          </w:tcPr>
          <w:p w14:paraId="137256A3"/>
        </w:tc>
        <w:tc>
          <w:tcPr>
            <w:tcW w:w="621" w:type="pct"/>
            <w:tcBorders>
              <w:top w:val="nil"/>
              <w:left w:val="nil"/>
              <w:bottom w:val="single" w:color="auto" w:sz="4" w:space="0"/>
              <w:right w:val="single" w:color="auto" w:sz="4" w:space="0"/>
            </w:tcBorders>
            <w:noWrap/>
            <w:vAlign w:val="center"/>
          </w:tcPr>
          <w:p w14:paraId="5636D696">
            <w:pPr>
              <w:pStyle w:val="34"/>
            </w:pPr>
            <w:r>
              <w:rPr>
                <w:rFonts w:hint="eastAsia"/>
              </w:rPr>
              <w:t>资质证书</w:t>
            </w:r>
          </w:p>
          <w:p w14:paraId="2949F5C8">
            <w:pPr>
              <w:pStyle w:val="34"/>
            </w:pPr>
            <w:r>
              <w:rPr>
                <w:rFonts w:hint="eastAsia"/>
              </w:rPr>
              <w:t>（6分）</w:t>
            </w:r>
          </w:p>
        </w:tc>
        <w:tc>
          <w:tcPr>
            <w:tcW w:w="3783" w:type="pct"/>
            <w:tcBorders>
              <w:top w:val="nil"/>
              <w:left w:val="nil"/>
              <w:bottom w:val="single" w:color="auto" w:sz="4" w:space="0"/>
              <w:right w:val="single" w:color="auto" w:sz="4" w:space="0"/>
            </w:tcBorders>
            <w:noWrap/>
            <w:vAlign w:val="center"/>
          </w:tcPr>
          <w:p w14:paraId="3AC0A3D5">
            <w:r>
              <w:rPr>
                <w:rFonts w:hint="eastAsia"/>
              </w:rPr>
              <w:t>3.1</w:t>
            </w:r>
            <w:r>
              <w:t xml:space="preserve"> </w:t>
            </w:r>
            <w:r>
              <w:rPr>
                <w:rFonts w:hint="eastAsia"/>
              </w:rPr>
              <w:t>具有ISO20000信息技术服务管理体系证书，得1.5分。</w:t>
            </w:r>
          </w:p>
          <w:p w14:paraId="37120958">
            <w:r>
              <w:rPr>
                <w:rFonts w:hint="eastAsia"/>
              </w:rPr>
              <w:t>3.2</w:t>
            </w:r>
            <w:r>
              <w:t xml:space="preserve"> </w:t>
            </w:r>
            <w:r>
              <w:rPr>
                <w:rFonts w:hint="eastAsia"/>
              </w:rPr>
              <w:t>具有ITSS信息技术服务标准符合性证书（三级或以上），得1.5分。</w:t>
            </w:r>
          </w:p>
          <w:p w14:paraId="6A0E5233">
            <w:r>
              <w:rPr>
                <w:rFonts w:hint="eastAsia"/>
              </w:rPr>
              <w:t>3.3</w:t>
            </w:r>
            <w:r>
              <w:t xml:space="preserve"> </w:t>
            </w:r>
            <w:r>
              <w:rPr>
                <w:rFonts w:hint="eastAsia"/>
              </w:rPr>
              <w:t>具有ISO50001能源管理体系认证证书</w:t>
            </w:r>
            <w:r>
              <w:t>或绿色工厂认证证书-5A级</w:t>
            </w:r>
            <w:r>
              <w:rPr>
                <w:rFonts w:hint="eastAsia"/>
              </w:rPr>
              <w:t>，得1分。</w:t>
            </w:r>
          </w:p>
          <w:p w14:paraId="6C8B2379">
            <w:r>
              <w:rPr>
                <w:rFonts w:hint="eastAsia"/>
              </w:rPr>
              <w:t>3.4 具有ISO28000供应链安全管理体系证书，得1分。</w:t>
            </w:r>
          </w:p>
          <w:p w14:paraId="6A6BC02E">
            <w:r>
              <w:rPr>
                <w:rFonts w:hint="eastAsia"/>
              </w:rPr>
              <w:t xml:space="preserve">3.5 </w:t>
            </w:r>
            <w:r>
              <w:t>具有中国网络安全审查技术与认证中心颁发的“IT产品信息安全认证证书”得1分。</w:t>
            </w:r>
          </w:p>
        </w:tc>
      </w:tr>
      <w:tr w14:paraId="57164A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39" w:type="pct"/>
            <w:tcBorders>
              <w:top w:val="nil"/>
              <w:left w:val="single" w:color="auto" w:sz="4" w:space="0"/>
              <w:bottom w:val="single" w:color="auto" w:sz="4" w:space="0"/>
              <w:right w:val="single" w:color="auto" w:sz="4" w:space="0"/>
            </w:tcBorders>
            <w:noWrap/>
            <w:vAlign w:val="center"/>
          </w:tcPr>
          <w:p w14:paraId="72D73D47">
            <w:pPr>
              <w:pStyle w:val="34"/>
            </w:pPr>
            <w:r>
              <w:rPr>
                <w:rFonts w:hint="eastAsia"/>
              </w:rPr>
              <w:t>4</w:t>
            </w:r>
          </w:p>
        </w:tc>
        <w:tc>
          <w:tcPr>
            <w:tcW w:w="256" w:type="pct"/>
            <w:vMerge w:val="continue"/>
            <w:tcBorders>
              <w:left w:val="single" w:color="auto" w:sz="4" w:space="0"/>
              <w:right w:val="single" w:color="auto" w:sz="4" w:space="0"/>
            </w:tcBorders>
            <w:noWrap/>
            <w:vAlign w:val="center"/>
          </w:tcPr>
          <w:p w14:paraId="40A6C99F"/>
        </w:tc>
        <w:tc>
          <w:tcPr>
            <w:tcW w:w="621" w:type="pct"/>
            <w:tcBorders>
              <w:top w:val="nil"/>
              <w:left w:val="nil"/>
              <w:bottom w:val="single" w:color="auto" w:sz="4" w:space="0"/>
              <w:right w:val="single" w:color="auto" w:sz="4" w:space="0"/>
            </w:tcBorders>
            <w:noWrap/>
            <w:vAlign w:val="center"/>
          </w:tcPr>
          <w:p w14:paraId="55078918">
            <w:pPr>
              <w:pStyle w:val="34"/>
            </w:pPr>
            <w:r>
              <w:t>设计能力</w:t>
            </w:r>
          </w:p>
          <w:p w14:paraId="7A6BA1E0">
            <w:pPr>
              <w:pStyle w:val="34"/>
            </w:pPr>
            <w:r>
              <w:rPr>
                <w:rFonts w:hint="eastAsia"/>
              </w:rPr>
              <w:t>（3分）</w:t>
            </w:r>
          </w:p>
        </w:tc>
        <w:tc>
          <w:tcPr>
            <w:tcW w:w="3783" w:type="pct"/>
            <w:tcBorders>
              <w:top w:val="nil"/>
              <w:left w:val="nil"/>
              <w:bottom w:val="single" w:color="auto" w:sz="4" w:space="0"/>
              <w:right w:val="single" w:color="auto" w:sz="4" w:space="0"/>
            </w:tcBorders>
            <w:noWrap/>
            <w:vAlign w:val="center"/>
          </w:tcPr>
          <w:p w14:paraId="6480C1E2">
            <w:r>
              <w:t>根据响应人提供的加盖</w:t>
            </w:r>
            <w:r>
              <w:rPr>
                <w:rFonts w:hint="eastAsia"/>
              </w:rPr>
              <w:t>响应人</w:t>
            </w:r>
            <w:r>
              <w:t>公章的获奖奖杯和对应获奖卡片复印件，</w:t>
            </w:r>
            <w:r>
              <w:rPr>
                <w:rFonts w:hint="eastAsia"/>
              </w:rPr>
              <w:t>2023年至今ICMA</w:t>
            </w:r>
            <w:r>
              <w:t xml:space="preserve"> e</w:t>
            </w:r>
            <w:r>
              <w:rPr>
                <w:rFonts w:hint="eastAsia"/>
              </w:rPr>
              <w:t>lan的获奖案例，每个案例加1分，最多得</w:t>
            </w:r>
            <w:r>
              <w:t>3</w:t>
            </w:r>
            <w:r>
              <w:rPr>
                <w:rFonts w:hint="eastAsia"/>
              </w:rPr>
              <w:t>分。</w:t>
            </w:r>
          </w:p>
        </w:tc>
      </w:tr>
      <w:tr w14:paraId="4D682A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39" w:type="pct"/>
            <w:tcBorders>
              <w:top w:val="nil"/>
              <w:left w:val="single" w:color="auto" w:sz="4" w:space="0"/>
              <w:bottom w:val="single" w:color="auto" w:sz="4" w:space="0"/>
              <w:right w:val="single" w:color="auto" w:sz="4" w:space="0"/>
            </w:tcBorders>
            <w:noWrap/>
            <w:vAlign w:val="center"/>
          </w:tcPr>
          <w:p w14:paraId="0FF80F95">
            <w:pPr>
              <w:pStyle w:val="34"/>
            </w:pPr>
            <w:r>
              <w:t>5</w:t>
            </w:r>
          </w:p>
        </w:tc>
        <w:tc>
          <w:tcPr>
            <w:tcW w:w="256" w:type="pct"/>
            <w:vMerge w:val="continue"/>
            <w:tcBorders>
              <w:left w:val="single" w:color="auto" w:sz="4" w:space="0"/>
              <w:right w:val="single" w:color="auto" w:sz="4" w:space="0"/>
            </w:tcBorders>
            <w:noWrap/>
            <w:vAlign w:val="center"/>
          </w:tcPr>
          <w:p w14:paraId="5769F31B"/>
        </w:tc>
        <w:tc>
          <w:tcPr>
            <w:tcW w:w="621" w:type="pct"/>
            <w:tcBorders>
              <w:top w:val="nil"/>
              <w:left w:val="nil"/>
              <w:bottom w:val="single" w:color="auto" w:sz="4" w:space="0"/>
              <w:right w:val="single" w:color="auto" w:sz="4" w:space="0"/>
            </w:tcBorders>
            <w:noWrap/>
            <w:vAlign w:val="center"/>
          </w:tcPr>
          <w:p w14:paraId="48FEF166">
            <w:pPr>
              <w:pStyle w:val="34"/>
            </w:pPr>
            <w:r>
              <w:rPr>
                <w:rFonts w:hint="eastAsia"/>
              </w:rPr>
              <w:t>研发能力</w:t>
            </w:r>
          </w:p>
          <w:p w14:paraId="25EC7306">
            <w:pPr>
              <w:pStyle w:val="34"/>
            </w:pPr>
            <w:r>
              <w:rPr>
                <w:rFonts w:hint="eastAsia"/>
              </w:rPr>
              <w:t>（6分）</w:t>
            </w:r>
          </w:p>
        </w:tc>
        <w:tc>
          <w:tcPr>
            <w:tcW w:w="3783" w:type="pct"/>
            <w:tcBorders>
              <w:top w:val="nil"/>
              <w:left w:val="nil"/>
              <w:bottom w:val="single" w:color="auto" w:sz="4" w:space="0"/>
              <w:right w:val="single" w:color="auto" w:sz="4" w:space="0"/>
            </w:tcBorders>
            <w:noWrap/>
            <w:vAlign w:val="center"/>
          </w:tcPr>
          <w:p w14:paraId="2BD5B812">
            <w:pPr>
              <w:rPr>
                <w:b/>
                <w:bCs/>
              </w:rPr>
            </w:pPr>
            <w:r>
              <w:rPr>
                <w:b/>
                <w:bCs/>
              </w:rPr>
              <w:t xml:space="preserve">5.1 </w:t>
            </w:r>
            <w:r>
              <w:rPr>
                <w:rFonts w:hint="eastAsia"/>
                <w:b/>
                <w:bCs/>
              </w:rPr>
              <w:t>响应人提供CMMIL认证证书进行评审，最高</w:t>
            </w:r>
            <w:r>
              <w:rPr>
                <w:rFonts w:hint="eastAsia"/>
                <w:b/>
                <w:bCs/>
                <w:lang w:val="en-US" w:eastAsia="zh-CN"/>
              </w:rPr>
              <w:t>得</w:t>
            </w:r>
            <w:r>
              <w:rPr>
                <w:rFonts w:hint="eastAsia"/>
                <w:b/>
                <w:bCs/>
              </w:rPr>
              <w:t>2分；</w:t>
            </w:r>
          </w:p>
          <w:p w14:paraId="57AFD751">
            <w:r>
              <w:t>5</w:t>
            </w:r>
            <w:r>
              <w:rPr>
                <w:rFonts w:hint="eastAsia"/>
              </w:rPr>
              <w:t>.1.1</w:t>
            </w:r>
            <w:r>
              <w:t xml:space="preserve"> </w:t>
            </w:r>
            <w:r>
              <w:rPr>
                <w:rFonts w:hint="eastAsia"/>
              </w:rPr>
              <w:t>CMMI L5的得2分；</w:t>
            </w:r>
          </w:p>
          <w:p w14:paraId="29FE2872">
            <w:r>
              <w:t>5</w:t>
            </w:r>
            <w:r>
              <w:rPr>
                <w:rFonts w:hint="eastAsia"/>
              </w:rPr>
              <w:t>.1.2</w:t>
            </w:r>
            <w:r>
              <w:t xml:space="preserve"> </w:t>
            </w:r>
            <w:r>
              <w:rPr>
                <w:rFonts w:hint="eastAsia"/>
              </w:rPr>
              <w:t>CMMI L3、CMMI L4的得1分；</w:t>
            </w:r>
          </w:p>
          <w:p w14:paraId="718AEA5F">
            <w:r>
              <w:rPr>
                <w:b/>
                <w:bCs/>
              </w:rPr>
              <w:t xml:space="preserve">5.2 </w:t>
            </w:r>
            <w:r>
              <w:rPr>
                <w:rFonts w:hint="eastAsia"/>
                <w:b/>
                <w:bCs/>
              </w:rPr>
              <w:t>对响应人提供技术研发团队人员证书进行评审，最高得4分</w:t>
            </w:r>
          </w:p>
          <w:p w14:paraId="32C22B88">
            <w:r>
              <w:t>5</w:t>
            </w:r>
            <w:r>
              <w:rPr>
                <w:rFonts w:hint="eastAsia"/>
              </w:rPr>
              <w:t>.2.1</w:t>
            </w:r>
            <w:r>
              <w:t xml:space="preserve"> </w:t>
            </w:r>
            <w:r>
              <w:rPr>
                <w:rFonts w:hint="eastAsia"/>
              </w:rPr>
              <w:t>享有国务院批准享受政府特殊津贴的高级工程师，</w:t>
            </w:r>
            <w:r>
              <w:t>提供加盖公章的证书复印件，</w:t>
            </w:r>
            <w:r>
              <w:rPr>
                <w:rFonts w:hint="eastAsia"/>
              </w:rPr>
              <w:t>每人得2分；</w:t>
            </w:r>
          </w:p>
          <w:p w14:paraId="4F8444FE">
            <w:r>
              <w:t>5</w:t>
            </w:r>
            <w:r>
              <w:rPr>
                <w:rFonts w:hint="eastAsia"/>
              </w:rPr>
              <w:t>.2.2</w:t>
            </w:r>
            <w:r>
              <w:t xml:space="preserve"> 具备计算机技术与软件专业技术资格（中/高级）的工程师，提供加盖公章的证书复印件，每人得1分。</w:t>
            </w:r>
          </w:p>
        </w:tc>
      </w:tr>
      <w:tr w14:paraId="3779AA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39" w:type="pct"/>
            <w:tcBorders>
              <w:top w:val="nil"/>
              <w:left w:val="single" w:color="auto" w:sz="4" w:space="0"/>
              <w:bottom w:val="single" w:color="auto" w:sz="4" w:space="0"/>
              <w:right w:val="single" w:color="auto" w:sz="4" w:space="0"/>
            </w:tcBorders>
            <w:noWrap/>
            <w:vAlign w:val="center"/>
          </w:tcPr>
          <w:p w14:paraId="6FAAD3D1">
            <w:pPr>
              <w:pStyle w:val="34"/>
            </w:pPr>
            <w:r>
              <w:t>6</w:t>
            </w:r>
          </w:p>
        </w:tc>
        <w:tc>
          <w:tcPr>
            <w:tcW w:w="256" w:type="pct"/>
            <w:vMerge w:val="continue"/>
            <w:tcBorders>
              <w:left w:val="single" w:color="auto" w:sz="4" w:space="0"/>
              <w:right w:val="single" w:color="auto" w:sz="4" w:space="0"/>
            </w:tcBorders>
            <w:noWrap/>
            <w:vAlign w:val="center"/>
          </w:tcPr>
          <w:p w14:paraId="45B1678C"/>
        </w:tc>
        <w:tc>
          <w:tcPr>
            <w:tcW w:w="621" w:type="pct"/>
            <w:tcBorders>
              <w:top w:val="single" w:color="auto" w:sz="4" w:space="0"/>
              <w:left w:val="nil"/>
              <w:bottom w:val="single" w:color="auto" w:sz="4" w:space="0"/>
              <w:right w:val="single" w:color="auto" w:sz="4" w:space="0"/>
            </w:tcBorders>
            <w:noWrap/>
            <w:vAlign w:val="center"/>
          </w:tcPr>
          <w:p w14:paraId="6559482B">
            <w:pPr>
              <w:pStyle w:val="34"/>
            </w:pPr>
            <w:r>
              <w:t>信息安全管理</w:t>
            </w:r>
            <w:r>
              <w:rPr>
                <w:rFonts w:hint="eastAsia"/>
              </w:rPr>
              <w:t>方案</w:t>
            </w:r>
          </w:p>
          <w:p w14:paraId="0A9DB0C2">
            <w:pPr>
              <w:pStyle w:val="34"/>
            </w:pPr>
            <w:r>
              <w:rPr>
                <w:rFonts w:hint="eastAsia"/>
              </w:rPr>
              <w:t>（4分）</w:t>
            </w:r>
          </w:p>
        </w:tc>
        <w:tc>
          <w:tcPr>
            <w:tcW w:w="3783" w:type="pct"/>
            <w:tcBorders>
              <w:top w:val="nil"/>
              <w:left w:val="nil"/>
              <w:bottom w:val="single" w:color="auto" w:sz="4" w:space="0"/>
              <w:right w:val="single" w:color="auto" w:sz="4" w:space="0"/>
            </w:tcBorders>
            <w:noWrap/>
            <w:vAlign w:val="center"/>
          </w:tcPr>
          <w:p w14:paraId="19A3D055">
            <w:r>
              <w:t>6</w:t>
            </w:r>
            <w:r>
              <w:rPr>
                <w:rFonts w:hint="eastAsia"/>
              </w:rPr>
              <w:t>.1</w:t>
            </w:r>
            <w:r>
              <w:t xml:space="preserve"> </w:t>
            </w:r>
            <w:r>
              <w:rPr>
                <w:rFonts w:hint="eastAsia"/>
              </w:rPr>
              <w:t>响应人提供企业信息安全管理方案，并从以下几方面进行评定：</w:t>
            </w:r>
          </w:p>
          <w:p w14:paraId="3218E17C">
            <w:r>
              <w:t>6</w:t>
            </w:r>
            <w:r>
              <w:rPr>
                <w:rFonts w:hint="eastAsia"/>
              </w:rPr>
              <w:t>.1.1</w:t>
            </w:r>
            <w:r>
              <w:t xml:space="preserve"> </w:t>
            </w:r>
            <w:r>
              <w:rPr>
                <w:rFonts w:hint="eastAsia"/>
              </w:rPr>
              <w:t>方案内容完善：</w:t>
            </w:r>
          </w:p>
          <w:p w14:paraId="5CC51CC2">
            <w:r>
              <w:rPr>
                <w:rFonts w:hint="eastAsia"/>
              </w:rPr>
              <w:t>①具备员工合规检查记录、安全培训与考核记录、员工保密协议、完备的员工信息管理体系（含在岗与离职人员）。</w:t>
            </w:r>
          </w:p>
          <w:p w14:paraId="609C8587">
            <w:r>
              <w:rPr>
                <w:rFonts w:hint="eastAsia"/>
              </w:rPr>
              <w:t>②具备安保人员清单及岗位配置清单、突发事件处理预案及历史记录、历史诉讼记录、内外部风险评估或风险审计报告、门禁系统记录、消防检查记录、用电检查记录等。</w:t>
            </w:r>
          </w:p>
          <w:p w14:paraId="1469E863">
            <w:r>
              <w:rPr>
                <w:rFonts w:hint="eastAsia"/>
              </w:rPr>
              <w:t>③具备信息安全管控能力及符合信息安全管理要求的运营方案，具体包括对网络拓扑图、IP地址分配表、网络设备配置（如交换机、路由器等）、防火墙安全策略、软件防病毒策略、日志服务器配置、日志分析报表、日志巡检报告、日志异常行为处理记录、灾难恢复策略、灾难恢复演练记录、安全配置基线、系统事故处理流程文档、业务系统配置信息清单的管理。</w:t>
            </w:r>
          </w:p>
          <w:p w14:paraId="7E70F257">
            <w:r>
              <w:t>6</w:t>
            </w:r>
            <w:r>
              <w:rPr>
                <w:rFonts w:hint="eastAsia"/>
              </w:rPr>
              <w:t>.1.2</w:t>
            </w:r>
            <w:r>
              <w:t xml:space="preserve"> </w:t>
            </w:r>
            <w:r>
              <w:rPr>
                <w:rFonts w:hint="eastAsia"/>
              </w:rPr>
              <w:t>在制卡数据管理方面，能对采购人的数据信息、卡片应与其他机构有明确、清晰的界限；具备自动化的数据处理信息系统保障个性化业务的稳定高效运作；具有完善数据留存、传输、处理及销毁的处理方案，具体包括数据备份记录、系统日常维护记录、主机报废处理记录、操作人员培训记录、电子资料及纸质材料销毁记录、敏感材料出入登记记录的管理。</w:t>
            </w:r>
          </w:p>
          <w:p w14:paraId="497D4E51">
            <w:r>
              <w:t>6</w:t>
            </w:r>
            <w:r>
              <w:rPr>
                <w:rFonts w:hint="eastAsia"/>
              </w:rPr>
              <w:t>.2</w:t>
            </w:r>
            <w:r>
              <w:t xml:space="preserve"> </w:t>
            </w:r>
            <w:r>
              <w:rPr>
                <w:rFonts w:hint="eastAsia"/>
              </w:rPr>
              <w:t>由评审委员会横向对比，酌情给分。优秀得4分，良好得2-3分，一般得0-1分。</w:t>
            </w:r>
          </w:p>
        </w:tc>
      </w:tr>
      <w:tr w14:paraId="1C3DB7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39" w:type="pct"/>
            <w:tcBorders>
              <w:top w:val="nil"/>
              <w:left w:val="single" w:color="auto" w:sz="4" w:space="0"/>
              <w:bottom w:val="single" w:color="auto" w:sz="4" w:space="0"/>
              <w:right w:val="single" w:color="auto" w:sz="4" w:space="0"/>
            </w:tcBorders>
            <w:noWrap/>
            <w:vAlign w:val="center"/>
          </w:tcPr>
          <w:p w14:paraId="7F836EBD">
            <w:pPr>
              <w:pStyle w:val="34"/>
            </w:pPr>
            <w:r>
              <w:t>7</w:t>
            </w:r>
          </w:p>
        </w:tc>
        <w:tc>
          <w:tcPr>
            <w:tcW w:w="256" w:type="pct"/>
            <w:vMerge w:val="continue"/>
            <w:tcBorders>
              <w:left w:val="single" w:color="auto" w:sz="4" w:space="0"/>
              <w:bottom w:val="single" w:color="auto" w:sz="4" w:space="0"/>
              <w:right w:val="single" w:color="auto" w:sz="4" w:space="0"/>
            </w:tcBorders>
            <w:noWrap/>
            <w:vAlign w:val="center"/>
          </w:tcPr>
          <w:p w14:paraId="79B95677"/>
        </w:tc>
        <w:tc>
          <w:tcPr>
            <w:tcW w:w="621" w:type="pct"/>
            <w:tcBorders>
              <w:top w:val="nil"/>
              <w:left w:val="nil"/>
              <w:bottom w:val="single" w:color="auto" w:sz="4" w:space="0"/>
              <w:right w:val="single" w:color="auto" w:sz="4" w:space="0"/>
            </w:tcBorders>
            <w:noWrap/>
            <w:vAlign w:val="center"/>
          </w:tcPr>
          <w:p w14:paraId="54E79735">
            <w:pPr>
              <w:pStyle w:val="34"/>
            </w:pPr>
            <w:r>
              <w:rPr>
                <w:rFonts w:hint="eastAsia"/>
              </w:rPr>
              <w:t>运营管理方案</w:t>
            </w:r>
          </w:p>
          <w:p w14:paraId="17594A5C">
            <w:pPr>
              <w:pStyle w:val="34"/>
            </w:pPr>
            <w:r>
              <w:rPr>
                <w:rFonts w:hint="eastAsia"/>
              </w:rPr>
              <w:t>（4分）</w:t>
            </w:r>
          </w:p>
        </w:tc>
        <w:tc>
          <w:tcPr>
            <w:tcW w:w="3783" w:type="pct"/>
            <w:tcBorders>
              <w:top w:val="nil"/>
              <w:left w:val="nil"/>
              <w:bottom w:val="single" w:color="auto" w:sz="4" w:space="0"/>
              <w:right w:val="single" w:color="auto" w:sz="4" w:space="0"/>
            </w:tcBorders>
            <w:noWrap/>
            <w:vAlign w:val="center"/>
          </w:tcPr>
          <w:p w14:paraId="1A418EEB">
            <w:r>
              <w:t>7</w:t>
            </w:r>
            <w:r>
              <w:rPr>
                <w:rFonts w:hint="eastAsia"/>
              </w:rPr>
              <w:t>.1</w:t>
            </w:r>
            <w:r>
              <w:t xml:space="preserve"> </w:t>
            </w:r>
            <w:r>
              <w:rPr>
                <w:rFonts w:hint="eastAsia"/>
              </w:rPr>
              <w:t>响应人提供生产运营服务应用方案，并从以下几方面进行评定：</w:t>
            </w:r>
          </w:p>
          <w:p w14:paraId="1B95F6C5">
            <w:r>
              <w:t>7</w:t>
            </w:r>
            <w:r>
              <w:rPr>
                <w:rFonts w:hint="eastAsia"/>
              </w:rPr>
              <w:t>.1.1</w:t>
            </w:r>
            <w:r>
              <w:t xml:space="preserve"> </w:t>
            </w:r>
            <w:r>
              <w:rPr>
                <w:rFonts w:hint="eastAsia"/>
              </w:rPr>
              <w:t>实现对整个制卡环节进行监控，能提供行方服务水平协议检测报告、外包服务质量自评价报告等。</w:t>
            </w:r>
          </w:p>
          <w:p w14:paraId="42EB330A">
            <w:r>
              <w:t>7</w:t>
            </w:r>
            <w:r>
              <w:rPr>
                <w:rFonts w:hint="eastAsia"/>
              </w:rPr>
              <w:t>.1.2</w:t>
            </w:r>
            <w:r>
              <w:t xml:space="preserve"> </w:t>
            </w:r>
            <w:r>
              <w:rPr>
                <w:rFonts w:hint="eastAsia"/>
              </w:rPr>
              <w:t>对空白卡递送到银行能有效跟踪监控，响应人提供合作物流的运输协议。</w:t>
            </w:r>
          </w:p>
          <w:p w14:paraId="77AE7FAA">
            <w:r>
              <w:t>7</w:t>
            </w:r>
            <w:r>
              <w:rPr>
                <w:rFonts w:hint="eastAsia"/>
              </w:rPr>
              <w:t>.1.3</w:t>
            </w:r>
            <w:r>
              <w:t xml:space="preserve"> </w:t>
            </w:r>
            <w:r>
              <w:rPr>
                <w:rFonts w:hint="eastAsia"/>
              </w:rPr>
              <w:t>有相应的业务连续性保障能力应急处置方案，具备包括业务连续性制度、组织架构、范围及策略计划、应急管理制度、应急组织构架、应急预案、突发事件报告记录、应急预案演练记录、应急演练整改报告、重要基础设施的切换演练报告、业务连续性评价及改进措施等内容。</w:t>
            </w:r>
          </w:p>
          <w:p w14:paraId="11621F09">
            <w:r>
              <w:t>7</w:t>
            </w:r>
            <w:r>
              <w:rPr>
                <w:rFonts w:hint="eastAsia"/>
              </w:rPr>
              <w:t>.1.4</w:t>
            </w:r>
            <w:r>
              <w:t xml:space="preserve"> </w:t>
            </w:r>
            <w:r>
              <w:rPr>
                <w:rFonts w:hint="eastAsia"/>
              </w:rPr>
              <w:t>实现对采购人各类卡片订购卡量形成标准化的运营报表</w:t>
            </w:r>
            <w:r>
              <w:t>，展示采购人空白卡和卡基的订购、库存、消耗明细数据和统计数据。</w:t>
            </w:r>
          </w:p>
          <w:p w14:paraId="167472D5">
            <w:r>
              <w:t>7</w:t>
            </w:r>
            <w:r>
              <w:rPr>
                <w:rFonts w:hint="eastAsia"/>
              </w:rPr>
              <w:t>.2</w:t>
            </w:r>
            <w:r>
              <w:t xml:space="preserve"> </w:t>
            </w:r>
            <w:r>
              <w:rPr>
                <w:rFonts w:hint="eastAsia"/>
              </w:rPr>
              <w:t>由评审委员会横向对比，酌情给分。优秀得4分，良好得2-3分，一般得0-1分。</w:t>
            </w:r>
          </w:p>
        </w:tc>
      </w:tr>
      <w:tr w14:paraId="74D672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39" w:type="pct"/>
            <w:tcBorders>
              <w:top w:val="single" w:color="auto" w:sz="4" w:space="0"/>
              <w:left w:val="single" w:color="auto" w:sz="4" w:space="0"/>
              <w:bottom w:val="single" w:color="auto" w:sz="4" w:space="0"/>
              <w:right w:val="single" w:color="auto" w:sz="4" w:space="0"/>
            </w:tcBorders>
            <w:noWrap/>
            <w:vAlign w:val="center"/>
          </w:tcPr>
          <w:p w14:paraId="243039BC">
            <w:pPr>
              <w:pStyle w:val="34"/>
            </w:pPr>
            <w:r>
              <w:t>8</w:t>
            </w:r>
          </w:p>
        </w:tc>
        <w:tc>
          <w:tcPr>
            <w:tcW w:w="256" w:type="pct"/>
            <w:vMerge w:val="restart"/>
            <w:tcBorders>
              <w:top w:val="single" w:color="auto" w:sz="4" w:space="0"/>
              <w:left w:val="single" w:color="auto" w:sz="4" w:space="0"/>
              <w:right w:val="single" w:color="auto" w:sz="4" w:space="0"/>
            </w:tcBorders>
            <w:noWrap/>
            <w:vAlign w:val="center"/>
          </w:tcPr>
          <w:p w14:paraId="67DB07EF">
            <w:pPr>
              <w:pStyle w:val="34"/>
            </w:pPr>
            <w:r>
              <w:t>商务部分（31分）</w:t>
            </w:r>
          </w:p>
        </w:tc>
        <w:tc>
          <w:tcPr>
            <w:tcW w:w="621" w:type="pct"/>
            <w:tcBorders>
              <w:top w:val="single" w:color="auto" w:sz="4" w:space="0"/>
              <w:left w:val="nil"/>
              <w:bottom w:val="single" w:color="auto" w:sz="4" w:space="0"/>
              <w:right w:val="single" w:color="auto" w:sz="4" w:space="0"/>
            </w:tcBorders>
            <w:noWrap/>
            <w:vAlign w:val="center"/>
          </w:tcPr>
          <w:p w14:paraId="357FC613">
            <w:pPr>
              <w:pStyle w:val="34"/>
            </w:pPr>
            <w:r>
              <w:rPr>
                <w:rFonts w:hint="eastAsia"/>
              </w:rPr>
              <w:t>异地灾备能力</w:t>
            </w:r>
          </w:p>
          <w:p w14:paraId="4302B734">
            <w:pPr>
              <w:pStyle w:val="34"/>
            </w:pPr>
            <w:r>
              <w:rPr>
                <w:rFonts w:hint="eastAsia"/>
              </w:rPr>
              <w:t>（5分）</w:t>
            </w:r>
          </w:p>
        </w:tc>
        <w:tc>
          <w:tcPr>
            <w:tcW w:w="3783" w:type="pct"/>
            <w:tcBorders>
              <w:top w:val="single" w:color="auto" w:sz="4" w:space="0"/>
              <w:left w:val="nil"/>
              <w:bottom w:val="single" w:color="auto" w:sz="4" w:space="0"/>
              <w:right w:val="single" w:color="auto" w:sz="4" w:space="0"/>
            </w:tcBorders>
            <w:noWrap/>
            <w:vAlign w:val="center"/>
          </w:tcPr>
          <w:p w14:paraId="1FF46414">
            <w:r>
              <w:t>8.1</w:t>
            </w:r>
            <w:r>
              <w:rPr>
                <w:rFonts w:hint="eastAsia"/>
              </w:rPr>
              <w:t>具有自有的异地个人化中心的，得</w:t>
            </w:r>
            <w:r>
              <w:t>5</w:t>
            </w:r>
            <w:r>
              <w:rPr>
                <w:rFonts w:hint="eastAsia"/>
              </w:rPr>
              <w:t>分</w:t>
            </w:r>
            <w:r>
              <w:t>；</w:t>
            </w:r>
          </w:p>
          <w:p w14:paraId="09DC2C20">
            <w:r>
              <w:t>8.2</w:t>
            </w:r>
            <w:r>
              <w:rPr>
                <w:rFonts w:hint="eastAsia"/>
              </w:rPr>
              <w:t>与其他卡厂互为灾备中心的</w:t>
            </w:r>
            <w:r>
              <w:t>（不同城市）</w:t>
            </w:r>
            <w:r>
              <w:rPr>
                <w:rFonts w:hint="eastAsia"/>
              </w:rPr>
              <w:t>，得2分。</w:t>
            </w:r>
          </w:p>
          <w:p w14:paraId="40087A4C">
            <w:r>
              <w:rPr>
                <w:rFonts w:hint="eastAsia"/>
              </w:rPr>
              <w:t>本项满分为</w:t>
            </w:r>
            <w:r>
              <w:t>5</w:t>
            </w:r>
            <w:r>
              <w:rPr>
                <w:rFonts w:hint="eastAsia"/>
              </w:rPr>
              <w:t>分，以上均没有，不得分。</w:t>
            </w:r>
          </w:p>
          <w:p w14:paraId="6CED59B6">
            <w:r>
              <w:rPr>
                <w:rFonts w:hint="eastAsia"/>
              </w:rPr>
              <w:t>注：自有异地个人化中心的，须提供银联批复（通过认证的种类必须包含“IC卡个人化”）；互为灾备的，须提供相应灾备协议复印件及灾备中心的银联批复（通过认证的种类必须包含“IC卡个人化”）等有效证明材料复印件作为评审依据。</w:t>
            </w:r>
          </w:p>
        </w:tc>
      </w:tr>
      <w:tr w14:paraId="6A3910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39" w:type="pct"/>
            <w:tcBorders>
              <w:top w:val="nil"/>
              <w:left w:val="single" w:color="auto" w:sz="4" w:space="0"/>
              <w:bottom w:val="single" w:color="auto" w:sz="4" w:space="0"/>
              <w:right w:val="single" w:color="auto" w:sz="4" w:space="0"/>
            </w:tcBorders>
            <w:noWrap/>
            <w:vAlign w:val="center"/>
          </w:tcPr>
          <w:p w14:paraId="2738F22F">
            <w:pPr>
              <w:pStyle w:val="34"/>
            </w:pPr>
            <w:r>
              <w:t>9</w:t>
            </w:r>
          </w:p>
        </w:tc>
        <w:tc>
          <w:tcPr>
            <w:tcW w:w="256" w:type="pct"/>
            <w:vMerge w:val="continue"/>
            <w:tcBorders>
              <w:left w:val="single" w:color="auto" w:sz="4" w:space="0"/>
              <w:bottom w:val="single" w:color="auto" w:sz="4" w:space="0"/>
              <w:right w:val="single" w:color="auto" w:sz="4" w:space="0"/>
            </w:tcBorders>
            <w:noWrap/>
            <w:vAlign w:val="center"/>
          </w:tcPr>
          <w:p w14:paraId="4247BEDA"/>
        </w:tc>
        <w:tc>
          <w:tcPr>
            <w:tcW w:w="621" w:type="pct"/>
            <w:tcBorders>
              <w:top w:val="nil"/>
              <w:left w:val="nil"/>
              <w:bottom w:val="single" w:color="auto" w:sz="4" w:space="0"/>
              <w:right w:val="single" w:color="auto" w:sz="4" w:space="0"/>
            </w:tcBorders>
            <w:noWrap/>
            <w:vAlign w:val="center"/>
          </w:tcPr>
          <w:p w14:paraId="1D916874">
            <w:pPr>
              <w:pStyle w:val="34"/>
            </w:pPr>
            <w:r>
              <w:rPr>
                <w:rFonts w:hint="eastAsia"/>
              </w:rPr>
              <w:t>库存断货应急预案</w:t>
            </w:r>
          </w:p>
          <w:p w14:paraId="0F867CC9">
            <w:pPr>
              <w:pStyle w:val="34"/>
            </w:pPr>
            <w:r>
              <w:rPr>
                <w:rFonts w:hint="eastAsia"/>
              </w:rPr>
              <w:t>（3分）</w:t>
            </w:r>
          </w:p>
        </w:tc>
        <w:tc>
          <w:tcPr>
            <w:tcW w:w="3783" w:type="pct"/>
            <w:tcBorders>
              <w:top w:val="nil"/>
              <w:left w:val="nil"/>
              <w:bottom w:val="single" w:color="auto" w:sz="4" w:space="0"/>
              <w:right w:val="single" w:color="auto" w:sz="4" w:space="0"/>
            </w:tcBorders>
            <w:noWrap/>
            <w:vAlign w:val="center"/>
          </w:tcPr>
          <w:p w14:paraId="0BF21FEC">
            <w:r>
              <w:rPr>
                <w:rFonts w:hint="eastAsia"/>
              </w:rPr>
              <w:t>根据响应人提供的</w:t>
            </w:r>
            <w:r>
              <w:t>加盖公章的服务承诺函</w:t>
            </w:r>
            <w:r>
              <w:rPr>
                <w:rFonts w:hint="eastAsia"/>
              </w:rPr>
              <w:t>进行评审，满分3分。</w:t>
            </w:r>
          </w:p>
          <w:p w14:paraId="28E36194">
            <w:r>
              <w:t xml:space="preserve">9.1 </w:t>
            </w:r>
            <w:r>
              <w:rPr>
                <w:rFonts w:hint="eastAsia"/>
              </w:rPr>
              <w:t>具有完善、可行的库存断货应急预案，支持在5个工作日内完成库存紧急备货者</w:t>
            </w:r>
            <w:r>
              <w:t>，</w:t>
            </w:r>
            <w:r>
              <w:rPr>
                <w:rFonts w:hint="eastAsia"/>
              </w:rPr>
              <w:t>由评审委员会横向对比，酌情给分得</w:t>
            </w:r>
            <w:r>
              <w:t>2-</w:t>
            </w:r>
            <w:r>
              <w:rPr>
                <w:rFonts w:hint="eastAsia"/>
              </w:rPr>
              <w:t>3分；</w:t>
            </w:r>
          </w:p>
          <w:p w14:paraId="5A596421">
            <w:r>
              <w:t xml:space="preserve">9.2 </w:t>
            </w:r>
            <w:r>
              <w:rPr>
                <w:rFonts w:hint="eastAsia"/>
              </w:rPr>
              <w:t>具有完善、可行的库存断货应急预案，支持在5-10个工作日内完成库存紧急备货者</w:t>
            </w:r>
            <w:r>
              <w:t>，</w:t>
            </w:r>
            <w:r>
              <w:rPr>
                <w:rFonts w:hint="eastAsia"/>
              </w:rPr>
              <w:t>由评审委员会横向对比，酌情给分得1</w:t>
            </w:r>
            <w:r>
              <w:t>-2</w:t>
            </w:r>
            <w:r>
              <w:rPr>
                <w:rFonts w:hint="eastAsia"/>
              </w:rPr>
              <w:t>分</w:t>
            </w:r>
            <w:r>
              <w:t>；</w:t>
            </w:r>
          </w:p>
          <w:p w14:paraId="11E8A668">
            <w:r>
              <w:t>9.3其余情况不得分。</w:t>
            </w:r>
          </w:p>
        </w:tc>
      </w:tr>
      <w:tr w14:paraId="77BA92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39" w:type="pct"/>
            <w:tcBorders>
              <w:top w:val="nil"/>
              <w:left w:val="single" w:color="auto" w:sz="4" w:space="0"/>
              <w:bottom w:val="single" w:color="auto" w:sz="4" w:space="0"/>
              <w:right w:val="single" w:color="auto" w:sz="4" w:space="0"/>
            </w:tcBorders>
            <w:noWrap/>
            <w:vAlign w:val="center"/>
          </w:tcPr>
          <w:p w14:paraId="73F1F88F">
            <w:pPr>
              <w:pStyle w:val="34"/>
            </w:pPr>
            <w:r>
              <w:t xml:space="preserve"> 10</w:t>
            </w:r>
          </w:p>
        </w:tc>
        <w:tc>
          <w:tcPr>
            <w:tcW w:w="256" w:type="pct"/>
            <w:vMerge w:val="continue"/>
            <w:tcBorders>
              <w:left w:val="single" w:color="auto" w:sz="4" w:space="0"/>
              <w:bottom w:val="single" w:color="auto" w:sz="4" w:space="0"/>
              <w:right w:val="single" w:color="auto" w:sz="4" w:space="0"/>
            </w:tcBorders>
            <w:noWrap/>
            <w:vAlign w:val="center"/>
          </w:tcPr>
          <w:p w14:paraId="43F40B46"/>
        </w:tc>
        <w:tc>
          <w:tcPr>
            <w:tcW w:w="621" w:type="pct"/>
            <w:tcBorders>
              <w:top w:val="nil"/>
              <w:left w:val="nil"/>
              <w:bottom w:val="single" w:color="auto" w:sz="4" w:space="0"/>
              <w:right w:val="single" w:color="auto" w:sz="4" w:space="0"/>
            </w:tcBorders>
            <w:noWrap/>
            <w:vAlign w:val="center"/>
          </w:tcPr>
          <w:p w14:paraId="666D9AC6">
            <w:pPr>
              <w:pStyle w:val="34"/>
            </w:pPr>
            <w:r>
              <w:t>空白卡及个人化服务</w:t>
            </w:r>
            <w:r>
              <w:rPr>
                <w:rFonts w:hint="eastAsia"/>
              </w:rPr>
              <w:t>合作案例</w:t>
            </w:r>
          </w:p>
          <w:p w14:paraId="691EBB64">
            <w:pPr>
              <w:pStyle w:val="34"/>
            </w:pPr>
            <w:r>
              <w:rPr>
                <w:rFonts w:hint="eastAsia"/>
              </w:rPr>
              <w:t>（10分）</w:t>
            </w:r>
          </w:p>
        </w:tc>
        <w:tc>
          <w:tcPr>
            <w:tcW w:w="3783" w:type="pct"/>
            <w:tcBorders>
              <w:top w:val="nil"/>
              <w:left w:val="nil"/>
              <w:bottom w:val="single" w:color="auto" w:sz="4" w:space="0"/>
              <w:right w:val="single" w:color="auto" w:sz="4" w:space="0"/>
            </w:tcBorders>
            <w:noWrap/>
            <w:vAlign w:val="center"/>
          </w:tcPr>
          <w:p w14:paraId="6B02D2E7">
            <w:r>
              <w:t>10</w:t>
            </w:r>
            <w:r>
              <w:rPr>
                <w:rFonts w:hint="eastAsia"/>
              </w:rPr>
              <w:t>.1 响应人提供合同生效在2023年1月1日以后且至今仍在合同期内</w:t>
            </w:r>
            <w:r>
              <w:t>的，</w:t>
            </w:r>
            <w:r>
              <w:rPr>
                <w:rFonts w:hint="eastAsia"/>
              </w:rPr>
              <w:t>在工、农、中、建、交、招商、浦发等18家全国性商业银行有总行级入围空白卡</w:t>
            </w:r>
            <w:r>
              <w:t>及个人化服务</w:t>
            </w:r>
            <w:r>
              <w:rPr>
                <w:rFonts w:hint="eastAsia"/>
              </w:rPr>
              <w:t>合作案例（不含金融社保卡）：</w:t>
            </w:r>
          </w:p>
          <w:p w14:paraId="0D5757E3">
            <w:r>
              <w:t>10</w:t>
            </w:r>
            <w:r>
              <w:rPr>
                <w:rFonts w:hint="eastAsia"/>
              </w:rPr>
              <w:t>.1.1</w:t>
            </w:r>
            <w:r>
              <w:t xml:space="preserve"> </w:t>
            </w:r>
            <w:r>
              <w:rPr>
                <w:rFonts w:hint="eastAsia"/>
              </w:rPr>
              <w:t>合作案例为工商银行、中国银行、农业银行、建设银行、交通银行的，每次入围次数可得</w:t>
            </w:r>
            <w:r>
              <w:t>2</w:t>
            </w:r>
            <w:r>
              <w:rPr>
                <w:rFonts w:hint="eastAsia"/>
              </w:rPr>
              <w:t>分，最多计</w:t>
            </w:r>
            <w:r>
              <w:t>10</w:t>
            </w:r>
            <w:r>
              <w:rPr>
                <w:rFonts w:hint="eastAsia"/>
              </w:rPr>
              <w:t>分；</w:t>
            </w:r>
          </w:p>
          <w:p w14:paraId="5DC4B3C1">
            <w:r>
              <w:t>10</w:t>
            </w:r>
            <w:r>
              <w:rPr>
                <w:rFonts w:hint="eastAsia"/>
              </w:rPr>
              <w:t>.1.2</w:t>
            </w:r>
            <w:r>
              <w:t xml:space="preserve"> </w:t>
            </w:r>
            <w:r>
              <w:rPr>
                <w:rFonts w:hint="eastAsia"/>
              </w:rPr>
              <w:t>合作案例为其他13家全国性商业银行的，每次入围次数可得</w:t>
            </w:r>
            <w:r>
              <w:t>1</w:t>
            </w:r>
            <w:r>
              <w:rPr>
                <w:rFonts w:hint="eastAsia"/>
              </w:rPr>
              <w:t>分，最多计</w:t>
            </w:r>
            <w:r>
              <w:t>8</w:t>
            </w:r>
            <w:r>
              <w:rPr>
                <w:rFonts w:hint="eastAsia"/>
              </w:rPr>
              <w:t>分。</w:t>
            </w:r>
          </w:p>
          <w:p w14:paraId="457F9837">
            <w:r>
              <w:rPr>
                <w:rFonts w:hint="eastAsia"/>
              </w:rPr>
              <w:t>资格要求所提供的案例纳入评审</w:t>
            </w:r>
          </w:p>
          <w:p w14:paraId="5406B724">
            <w:r>
              <w:rPr>
                <w:rFonts w:hint="eastAsia"/>
              </w:rPr>
              <w:t>案例提供：</w:t>
            </w:r>
            <w:r>
              <w:t>（</w:t>
            </w:r>
            <w:r>
              <w:rPr>
                <w:rFonts w:hint="eastAsia"/>
              </w:rPr>
              <w:t>1、合同关键页（合同关键页包含：甲乙双方名称、双方印章、项目名称、合同签订时间、合同有效期、服务范围。）；2、项目简介（格式自拟）；3、合同对应的发票之一（网上税务系统查询（https://inv-veri.chinatax.gov.cn/）该发票的截图，发票开具日期须晚于合同签订日期、发票购买方须与合同买方一致、发票销售方须与合同卖方（响应人）一致）。</w:t>
            </w:r>
          </w:p>
          <w:p w14:paraId="4E53B7D7">
            <w:r>
              <w:t>10</w:t>
            </w:r>
            <w:r>
              <w:rPr>
                <w:rFonts w:hint="eastAsia"/>
              </w:rPr>
              <w:t>.2</w:t>
            </w:r>
            <w:r>
              <w:t xml:space="preserve"> </w:t>
            </w:r>
            <w:r>
              <w:rPr>
                <w:rFonts w:hint="eastAsia"/>
              </w:rPr>
              <w:t>本款计分规则如下：</w:t>
            </w:r>
          </w:p>
          <w:p w14:paraId="0C8F4216">
            <w:r>
              <w:rPr>
                <w:rFonts w:hint="eastAsia"/>
              </w:rPr>
              <w:t>（1）同一总行/有多次入围的仅统计一次入围次数；无实际订单或发票的入围不纳入入围次数统计）。本项所有得分合计值最高不超过</w:t>
            </w:r>
            <w:r>
              <w:t>10</w:t>
            </w:r>
            <w:r>
              <w:rPr>
                <w:rFonts w:hint="eastAsia"/>
              </w:rPr>
              <w:t>分。</w:t>
            </w:r>
          </w:p>
          <w:p w14:paraId="1EE485D0">
            <w:r>
              <w:rPr>
                <w:rFonts w:hint="eastAsia"/>
              </w:rPr>
              <w:t>（2）采购人有权抽检响应人提供的合作案例证明资料。如某案例的证明资料未按询比文件要求完整提供，则该案例不纳入评分范围；如某案例的证明资料</w:t>
            </w:r>
            <w:r>
              <w:t>经</w:t>
            </w:r>
            <w:r>
              <w:rPr>
                <w:rFonts w:hint="eastAsia"/>
              </w:rPr>
              <w:t>核实为造假，将否决该响应人的响应。</w:t>
            </w:r>
          </w:p>
        </w:tc>
      </w:tr>
      <w:tr w14:paraId="049072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39" w:type="pct"/>
            <w:tcBorders>
              <w:top w:val="nil"/>
              <w:left w:val="single" w:color="auto" w:sz="4" w:space="0"/>
              <w:bottom w:val="single" w:color="auto" w:sz="4" w:space="0"/>
              <w:right w:val="single" w:color="auto" w:sz="4" w:space="0"/>
            </w:tcBorders>
            <w:noWrap/>
            <w:vAlign w:val="center"/>
          </w:tcPr>
          <w:p w14:paraId="73AE97F9">
            <w:pPr>
              <w:pStyle w:val="34"/>
            </w:pPr>
            <w:r>
              <w:rPr>
                <w:rFonts w:hint="eastAsia"/>
              </w:rPr>
              <w:t>1</w:t>
            </w:r>
            <w:r>
              <w:t>1</w:t>
            </w:r>
          </w:p>
        </w:tc>
        <w:tc>
          <w:tcPr>
            <w:tcW w:w="256" w:type="pct"/>
            <w:vMerge w:val="continue"/>
            <w:tcBorders>
              <w:left w:val="single" w:color="auto" w:sz="4" w:space="0"/>
              <w:bottom w:val="single" w:color="auto" w:sz="4" w:space="0"/>
              <w:right w:val="single" w:color="auto" w:sz="4" w:space="0"/>
            </w:tcBorders>
            <w:noWrap/>
            <w:vAlign w:val="center"/>
          </w:tcPr>
          <w:p w14:paraId="5159EA53"/>
        </w:tc>
        <w:tc>
          <w:tcPr>
            <w:tcW w:w="621" w:type="pct"/>
            <w:tcBorders>
              <w:top w:val="nil"/>
              <w:left w:val="nil"/>
              <w:bottom w:val="single" w:color="auto" w:sz="4" w:space="0"/>
              <w:right w:val="single" w:color="auto" w:sz="4" w:space="0"/>
            </w:tcBorders>
            <w:noWrap/>
            <w:vAlign w:val="center"/>
          </w:tcPr>
          <w:p w14:paraId="6D4DD13C">
            <w:pPr>
              <w:pStyle w:val="34"/>
            </w:pPr>
            <w:r>
              <w:rPr>
                <w:rFonts w:hint="eastAsia"/>
              </w:rPr>
              <w:t>售后服务方案</w:t>
            </w:r>
          </w:p>
          <w:p w14:paraId="71FC7E62">
            <w:pPr>
              <w:pStyle w:val="34"/>
            </w:pPr>
            <w:r>
              <w:rPr>
                <w:rFonts w:hint="eastAsia"/>
              </w:rPr>
              <w:t>（7分）</w:t>
            </w:r>
          </w:p>
        </w:tc>
        <w:tc>
          <w:tcPr>
            <w:tcW w:w="3783" w:type="pct"/>
            <w:tcBorders>
              <w:top w:val="nil"/>
              <w:left w:val="nil"/>
              <w:bottom w:val="single" w:color="auto" w:sz="4" w:space="0"/>
              <w:right w:val="single" w:color="auto" w:sz="4" w:space="0"/>
            </w:tcBorders>
            <w:noWrap/>
            <w:vAlign w:val="center"/>
          </w:tcPr>
          <w:p w14:paraId="495BC2CE">
            <w:r>
              <w:rPr>
                <w:rFonts w:hint="eastAsia"/>
              </w:rPr>
              <w:t>1</w:t>
            </w:r>
            <w:r>
              <w:t>1</w:t>
            </w:r>
            <w:r>
              <w:rPr>
                <w:rFonts w:hint="eastAsia"/>
              </w:rPr>
              <w:t>.1</w:t>
            </w:r>
            <w:r>
              <w:t xml:space="preserve"> </w:t>
            </w:r>
            <w:r>
              <w:rPr>
                <w:rFonts w:hint="eastAsia"/>
              </w:rPr>
              <w:t>根据响应人售后服务方案进行评审，从方案完整性、可行性和充分性（包括如售后服务体系、服务内容、培训计划、故障解决方案、服务网点机构以及投入本项目实施及服务团队人员、维保等方面）横向对比，酌情给分。</w:t>
            </w:r>
          </w:p>
          <w:p w14:paraId="6B79EF28">
            <w:r>
              <w:rPr>
                <w:rFonts w:hint="eastAsia"/>
              </w:rPr>
              <w:t>优秀，得</w:t>
            </w:r>
            <w:r>
              <w:t>5</w:t>
            </w:r>
            <w:r>
              <w:rPr>
                <w:rFonts w:hint="eastAsia"/>
              </w:rPr>
              <w:t>~</w:t>
            </w:r>
            <w:r>
              <w:t>6</w:t>
            </w:r>
            <w:r>
              <w:rPr>
                <w:rFonts w:hint="eastAsia"/>
              </w:rPr>
              <w:t>分；</w:t>
            </w:r>
          </w:p>
          <w:p w14:paraId="324B614C">
            <w:r>
              <w:rPr>
                <w:rFonts w:hint="eastAsia"/>
              </w:rPr>
              <w:t>良好，得</w:t>
            </w:r>
            <w:r>
              <w:t>3</w:t>
            </w:r>
            <w:r>
              <w:rPr>
                <w:rFonts w:hint="eastAsia"/>
              </w:rPr>
              <w:t>~</w:t>
            </w:r>
            <w:r>
              <w:t>4</w:t>
            </w:r>
            <w:r>
              <w:rPr>
                <w:rFonts w:hint="eastAsia"/>
              </w:rPr>
              <w:t>分；</w:t>
            </w:r>
          </w:p>
          <w:p w14:paraId="43E98379">
            <w:r>
              <w:rPr>
                <w:rFonts w:hint="eastAsia"/>
              </w:rPr>
              <w:t>一般，得</w:t>
            </w:r>
            <w:r>
              <w:t>1</w:t>
            </w:r>
            <w:r>
              <w:rPr>
                <w:rFonts w:hint="eastAsia"/>
              </w:rPr>
              <w:t>~</w:t>
            </w:r>
            <w:r>
              <w:t>2</w:t>
            </w:r>
            <w:r>
              <w:rPr>
                <w:rFonts w:hint="eastAsia"/>
              </w:rPr>
              <w:t>分；</w:t>
            </w:r>
          </w:p>
          <w:p w14:paraId="2C526FAE">
            <w:r>
              <w:rPr>
                <w:rFonts w:hint="eastAsia"/>
              </w:rPr>
              <w:t>未提供的不得分。</w:t>
            </w:r>
          </w:p>
          <w:p w14:paraId="3C8AB42B">
            <w:r>
              <w:rPr>
                <w:rFonts w:hint="eastAsia"/>
              </w:rPr>
              <w:t>1</w:t>
            </w:r>
            <w:r>
              <w:t>1</w:t>
            </w:r>
            <w:r>
              <w:rPr>
                <w:rFonts w:hint="eastAsia"/>
              </w:rPr>
              <w:t>.2</w:t>
            </w:r>
            <w:r>
              <w:t xml:space="preserve"> </w:t>
            </w:r>
            <w:r>
              <w:rPr>
                <w:rFonts w:hint="eastAsia"/>
              </w:rPr>
              <w:t>免费增值服务</w:t>
            </w:r>
          </w:p>
          <w:p w14:paraId="56B55D7D">
            <w:r>
              <w:rPr>
                <w:rFonts w:hint="eastAsia"/>
              </w:rPr>
              <w:t>根据响应人提供的增值服务承诺评分，每有一项免费增值服务，得0.1-0.2分，最多1分。</w:t>
            </w:r>
          </w:p>
        </w:tc>
      </w:tr>
      <w:tr w14:paraId="1B2602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39" w:type="pct"/>
            <w:tcBorders>
              <w:top w:val="single" w:color="auto" w:sz="4" w:space="0"/>
              <w:left w:val="single" w:color="auto" w:sz="4" w:space="0"/>
              <w:bottom w:val="single" w:color="auto" w:sz="4" w:space="0"/>
              <w:right w:val="single" w:color="auto" w:sz="4" w:space="0"/>
            </w:tcBorders>
            <w:noWrap/>
            <w:vAlign w:val="center"/>
          </w:tcPr>
          <w:p w14:paraId="463A8C6E">
            <w:pPr>
              <w:pStyle w:val="34"/>
            </w:pPr>
            <w:r>
              <w:rPr>
                <w:rFonts w:hint="eastAsia"/>
              </w:rPr>
              <w:t>1</w:t>
            </w:r>
            <w:r>
              <w:t>2</w:t>
            </w:r>
          </w:p>
        </w:tc>
        <w:tc>
          <w:tcPr>
            <w:tcW w:w="256" w:type="pct"/>
            <w:vMerge w:val="continue"/>
            <w:tcBorders>
              <w:left w:val="single" w:color="auto" w:sz="4" w:space="0"/>
              <w:bottom w:val="nil"/>
              <w:right w:val="single" w:color="auto" w:sz="4" w:space="0"/>
            </w:tcBorders>
            <w:noWrap/>
            <w:vAlign w:val="center"/>
          </w:tcPr>
          <w:p w14:paraId="5396375C"/>
        </w:tc>
        <w:tc>
          <w:tcPr>
            <w:tcW w:w="621" w:type="pct"/>
            <w:tcBorders>
              <w:top w:val="single" w:color="auto" w:sz="4" w:space="0"/>
              <w:left w:val="nil"/>
              <w:bottom w:val="single" w:color="auto" w:sz="4" w:space="0"/>
              <w:right w:val="single" w:color="auto" w:sz="4" w:space="0"/>
            </w:tcBorders>
            <w:noWrap/>
            <w:vAlign w:val="center"/>
          </w:tcPr>
          <w:p w14:paraId="04B7AA5B">
            <w:pPr>
              <w:pStyle w:val="34"/>
            </w:pPr>
            <w:r>
              <w:rPr>
                <w:rFonts w:hint="eastAsia"/>
              </w:rPr>
              <w:t>响应人本地服务能力</w:t>
            </w:r>
          </w:p>
          <w:p w14:paraId="302179ED">
            <w:pPr>
              <w:pStyle w:val="34"/>
            </w:pPr>
            <w:r>
              <w:rPr>
                <w:rFonts w:hint="eastAsia"/>
              </w:rPr>
              <w:t>（1分）</w:t>
            </w:r>
          </w:p>
        </w:tc>
        <w:tc>
          <w:tcPr>
            <w:tcW w:w="3783" w:type="pct"/>
            <w:tcBorders>
              <w:top w:val="single" w:color="auto" w:sz="4" w:space="0"/>
              <w:left w:val="nil"/>
              <w:bottom w:val="single" w:color="auto" w:sz="4" w:space="0"/>
              <w:right w:val="single" w:color="auto" w:sz="4" w:space="0"/>
            </w:tcBorders>
            <w:noWrap/>
            <w:vAlign w:val="center"/>
          </w:tcPr>
          <w:p w14:paraId="226507B4">
            <w:r>
              <w:rPr>
                <w:rFonts w:hint="eastAsia"/>
              </w:rPr>
              <w:t>1</w:t>
            </w:r>
            <w:r>
              <w:t>2</w:t>
            </w:r>
            <w:r>
              <w:rPr>
                <w:rFonts w:hint="eastAsia"/>
              </w:rPr>
              <w:t>.1</w:t>
            </w:r>
            <w:r>
              <w:t xml:space="preserve"> </w:t>
            </w:r>
            <w:r>
              <w:rPr>
                <w:rFonts w:hint="eastAsia"/>
              </w:rPr>
              <w:t>响应人在重庆本地设立</w:t>
            </w:r>
            <w:r>
              <w:t>分公司或</w:t>
            </w:r>
            <w:r>
              <w:rPr>
                <w:rFonts w:hint="eastAsia"/>
              </w:rPr>
              <w:t>办事机构的，得1分；</w:t>
            </w:r>
          </w:p>
          <w:p w14:paraId="4D2CE614">
            <w:r>
              <w:rPr>
                <w:rFonts w:hint="eastAsia"/>
              </w:rPr>
              <w:t>1</w:t>
            </w:r>
            <w:r>
              <w:t>2</w:t>
            </w:r>
            <w:r>
              <w:rPr>
                <w:rFonts w:hint="eastAsia"/>
              </w:rPr>
              <w:t>.2</w:t>
            </w:r>
            <w:r>
              <w:t xml:space="preserve"> </w:t>
            </w:r>
            <w:r>
              <w:rPr>
                <w:rFonts w:hint="eastAsia"/>
              </w:rPr>
              <w:t>响应人</w:t>
            </w:r>
            <w:r>
              <w:t>未在重庆本地设立分公司或</w:t>
            </w:r>
            <w:r>
              <w:rPr>
                <w:rFonts w:hint="eastAsia"/>
              </w:rPr>
              <w:t>未设立办事机构的，不得分</w:t>
            </w:r>
            <w:r>
              <w:t>；</w:t>
            </w:r>
          </w:p>
          <w:p w14:paraId="73A4FBF4">
            <w:r>
              <w:rPr>
                <w:rFonts w:hint="eastAsia"/>
              </w:rPr>
              <w:t>评审委员会根据响应人提供的相关佐证材料进行判断，如</w:t>
            </w:r>
            <w:r>
              <w:t>租赁合同</w:t>
            </w:r>
            <w:r>
              <w:rPr>
                <w:rFonts w:hint="eastAsia"/>
              </w:rPr>
              <w:t>等，如所提供材料无法判断是否设立</w:t>
            </w:r>
            <w:r>
              <w:t>分公司或</w:t>
            </w:r>
            <w:r>
              <w:rPr>
                <w:rFonts w:hint="eastAsia"/>
              </w:rPr>
              <w:t>办事机构的，则不得分。</w:t>
            </w:r>
          </w:p>
        </w:tc>
      </w:tr>
      <w:tr w14:paraId="210D17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339" w:type="pct"/>
            <w:tcBorders>
              <w:top w:val="nil"/>
              <w:left w:val="single" w:color="auto" w:sz="4" w:space="0"/>
              <w:bottom w:val="single" w:color="auto" w:sz="4" w:space="0"/>
              <w:right w:val="single" w:color="auto" w:sz="4" w:space="0"/>
            </w:tcBorders>
            <w:noWrap/>
            <w:vAlign w:val="center"/>
          </w:tcPr>
          <w:p w14:paraId="03902D24">
            <w:pPr>
              <w:pStyle w:val="34"/>
            </w:pPr>
            <w:r>
              <w:t>13</w:t>
            </w:r>
          </w:p>
        </w:tc>
        <w:tc>
          <w:tcPr>
            <w:tcW w:w="256" w:type="pct"/>
            <w:vMerge w:val="continue"/>
            <w:tcBorders>
              <w:left w:val="single" w:color="auto" w:sz="4" w:space="0"/>
              <w:bottom w:val="single" w:color="auto" w:sz="4" w:space="0"/>
              <w:right w:val="single" w:color="auto" w:sz="4" w:space="0"/>
            </w:tcBorders>
            <w:noWrap/>
            <w:vAlign w:val="center"/>
          </w:tcPr>
          <w:p w14:paraId="083D75C1"/>
        </w:tc>
        <w:tc>
          <w:tcPr>
            <w:tcW w:w="621" w:type="pct"/>
            <w:tcBorders>
              <w:top w:val="nil"/>
              <w:left w:val="nil"/>
              <w:bottom w:val="single" w:color="auto" w:sz="4" w:space="0"/>
              <w:right w:val="single" w:color="auto" w:sz="4" w:space="0"/>
            </w:tcBorders>
            <w:noWrap/>
            <w:vAlign w:val="center"/>
          </w:tcPr>
          <w:p w14:paraId="29BD61BA">
            <w:pPr>
              <w:pStyle w:val="34"/>
            </w:pPr>
            <w:r>
              <w:rPr>
                <w:rFonts w:hint="eastAsia"/>
              </w:rPr>
              <w:t>银行卡行业应用案例</w:t>
            </w:r>
          </w:p>
          <w:p w14:paraId="2F850C22">
            <w:pPr>
              <w:pStyle w:val="34"/>
            </w:pPr>
            <w:r>
              <w:rPr>
                <w:rFonts w:hint="eastAsia"/>
              </w:rPr>
              <w:t>（5分）</w:t>
            </w:r>
          </w:p>
        </w:tc>
        <w:tc>
          <w:tcPr>
            <w:tcW w:w="3783" w:type="pct"/>
            <w:tcBorders>
              <w:top w:val="nil"/>
              <w:left w:val="nil"/>
              <w:bottom w:val="single" w:color="auto" w:sz="4" w:space="0"/>
              <w:right w:val="single" w:color="auto" w:sz="4" w:space="0"/>
            </w:tcBorders>
            <w:noWrap/>
            <w:vAlign w:val="center"/>
          </w:tcPr>
          <w:p w14:paraId="709AF1F2">
            <w:r>
              <w:t>合同生效在202</w:t>
            </w:r>
            <w:r>
              <w:rPr>
                <w:rFonts w:hint="eastAsia"/>
              </w:rPr>
              <w:t>1</w:t>
            </w:r>
            <w:r>
              <w:t>年1月1日以后的，国内社保、ETC公安便民、公交地铁、石油石化、市民卡、医疗、校园/企业一卡通、社区、汽车消费等行业的金额IC卡应用案例。</w:t>
            </w:r>
            <w:r>
              <w:rPr>
                <w:rFonts w:hint="eastAsia"/>
              </w:rPr>
              <w:t>每一类应用最多仅统计一个案例，每个案例加0.5分，</w:t>
            </w:r>
            <w:r>
              <w:t>最</w:t>
            </w:r>
            <w:r>
              <w:rPr>
                <w:rFonts w:hint="eastAsia"/>
              </w:rPr>
              <w:t>多得</w:t>
            </w:r>
            <w:r>
              <w:t>5</w:t>
            </w:r>
            <w:r>
              <w:rPr>
                <w:rFonts w:hint="eastAsia"/>
              </w:rPr>
              <w:t>分</w:t>
            </w:r>
            <w:r>
              <w:t>。</w:t>
            </w:r>
          </w:p>
          <w:p w14:paraId="11E9724B">
            <w:r>
              <w:rPr>
                <w:rFonts w:hint="eastAsia"/>
              </w:rPr>
              <w:t>案例提供：</w:t>
            </w:r>
            <w:r>
              <w:t>提供加盖公章的合同</w:t>
            </w:r>
            <w:r>
              <w:rPr>
                <w:rFonts w:hint="eastAsia"/>
              </w:rPr>
              <w:t>，提供</w:t>
            </w:r>
            <w:r>
              <w:t>订购单</w:t>
            </w:r>
            <w:r>
              <w:rPr>
                <w:rFonts w:hint="eastAsia"/>
              </w:rPr>
              <w:t>或其他证明材料</w:t>
            </w:r>
            <w:r>
              <w:t>。</w:t>
            </w:r>
          </w:p>
        </w:tc>
      </w:tr>
      <w:tr w14:paraId="2028DB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339" w:type="pct"/>
            <w:vMerge w:val="restart"/>
            <w:tcBorders>
              <w:top w:val="single" w:color="auto" w:sz="4" w:space="0"/>
              <w:left w:val="single" w:color="auto" w:sz="4" w:space="0"/>
              <w:bottom w:val="nil"/>
              <w:right w:val="single" w:color="auto" w:sz="4" w:space="0"/>
            </w:tcBorders>
            <w:noWrap/>
            <w:vAlign w:val="center"/>
          </w:tcPr>
          <w:p w14:paraId="442F8917">
            <w:pPr>
              <w:pStyle w:val="34"/>
            </w:pPr>
            <w:r>
              <w:rPr>
                <w:rFonts w:hint="eastAsia"/>
              </w:rPr>
              <w:t>14</w:t>
            </w:r>
          </w:p>
        </w:tc>
        <w:tc>
          <w:tcPr>
            <w:tcW w:w="256" w:type="pct"/>
            <w:vMerge w:val="restart"/>
            <w:tcBorders>
              <w:top w:val="nil"/>
              <w:left w:val="single" w:color="auto" w:sz="4" w:space="0"/>
              <w:bottom w:val="single" w:color="auto" w:sz="4" w:space="0"/>
              <w:right w:val="single" w:color="auto" w:sz="4" w:space="0"/>
            </w:tcBorders>
            <w:noWrap/>
            <w:vAlign w:val="center"/>
          </w:tcPr>
          <w:p w14:paraId="57065788">
            <w:pPr>
              <w:pStyle w:val="34"/>
            </w:pPr>
            <w:r>
              <w:rPr>
                <w:rFonts w:hint="eastAsia"/>
              </w:rPr>
              <w:t>响应报价</w:t>
            </w:r>
            <w:r>
              <w:t>（</w:t>
            </w:r>
            <w:r>
              <w:rPr>
                <w:rFonts w:hint="eastAsia"/>
              </w:rPr>
              <w:t>40分）</w:t>
            </w:r>
          </w:p>
        </w:tc>
        <w:tc>
          <w:tcPr>
            <w:tcW w:w="621" w:type="pct"/>
            <w:vMerge w:val="restart"/>
            <w:tcBorders>
              <w:top w:val="single" w:color="auto" w:sz="4" w:space="0"/>
              <w:left w:val="nil"/>
              <w:right w:val="single" w:color="auto" w:sz="4" w:space="0"/>
            </w:tcBorders>
            <w:noWrap/>
            <w:vAlign w:val="center"/>
          </w:tcPr>
          <w:p w14:paraId="0CB59D46">
            <w:pPr>
              <w:pStyle w:val="34"/>
            </w:pPr>
            <w:r>
              <w:rPr>
                <w:rFonts w:hint="eastAsia"/>
              </w:rPr>
              <w:t>空白卡及个人化服务报价</w:t>
            </w:r>
          </w:p>
          <w:p w14:paraId="1041B18B">
            <w:pPr>
              <w:pStyle w:val="34"/>
            </w:pPr>
            <w:r>
              <w:rPr>
                <w:rFonts w:hint="eastAsia"/>
              </w:rPr>
              <w:t>（40分）</w:t>
            </w:r>
          </w:p>
        </w:tc>
        <w:tc>
          <w:tcPr>
            <w:tcW w:w="3783" w:type="pct"/>
            <w:vMerge w:val="restart"/>
            <w:tcBorders>
              <w:top w:val="single" w:color="auto" w:sz="4" w:space="0"/>
              <w:left w:val="nil"/>
              <w:right w:val="single" w:color="auto" w:sz="4" w:space="0"/>
            </w:tcBorders>
            <w:noWrap/>
            <w:vAlign w:val="center"/>
          </w:tcPr>
          <w:p w14:paraId="4CBD34A6">
            <w:r>
              <w:t xml:space="preserve">14.1 </w:t>
            </w:r>
            <w:r>
              <w:rPr>
                <w:rFonts w:hint="eastAsia"/>
              </w:rPr>
              <w:t>所有通过初步评审的响应人的响应报价（含税）的算术平均值作为响应报价</w:t>
            </w:r>
            <w:r>
              <w:t>的</w:t>
            </w:r>
            <w:r>
              <w:rPr>
                <w:rFonts w:hint="eastAsia"/>
              </w:rPr>
              <w:t>评审基准价。以上计算取小数点后两位，第三位四舍五入</w:t>
            </w:r>
            <w:r>
              <w:t>；</w:t>
            </w:r>
          </w:p>
          <w:p w14:paraId="340C1B32">
            <w:r>
              <w:t xml:space="preserve">14.2 </w:t>
            </w:r>
            <w:r>
              <w:rPr>
                <w:rFonts w:hint="eastAsia"/>
              </w:rPr>
              <w:t>偏差率= 100%×（响应报价—评审基准价）／评审基准价。以上计算结果取小数点后两位，第三位四舍五入</w:t>
            </w:r>
            <w:r>
              <w:t>；</w:t>
            </w:r>
          </w:p>
          <w:p w14:paraId="42E5DC30">
            <w:r>
              <w:t xml:space="preserve">14.2 </w:t>
            </w:r>
            <w:r>
              <w:rPr>
                <w:rFonts w:hint="eastAsia"/>
              </w:rPr>
              <w:t>评审基准分为</w:t>
            </w:r>
            <w:r>
              <w:t>35</w:t>
            </w:r>
            <w:r>
              <w:rPr>
                <w:rFonts w:hint="eastAsia"/>
              </w:rPr>
              <w:t>分</w:t>
            </w:r>
            <w:r>
              <w:t>，偏差率</w:t>
            </w:r>
            <w:r>
              <w:rPr>
                <w:rFonts w:hint="eastAsia"/>
              </w:rPr>
              <w:t>每高1%则在评审基准分基础上</w:t>
            </w:r>
            <w:r>
              <w:t>扣</w:t>
            </w:r>
            <w:r>
              <w:rPr>
                <w:rFonts w:hint="eastAsia"/>
              </w:rPr>
              <w:t>0.</w:t>
            </w:r>
            <w:r>
              <w:t>1</w:t>
            </w:r>
            <w:r>
              <w:rPr>
                <w:rFonts w:hint="eastAsia"/>
              </w:rPr>
              <w:t>分，以此类推</w:t>
            </w:r>
            <w:r>
              <w:t>，最多扣5分</w:t>
            </w:r>
            <w:r>
              <w:rPr>
                <w:rFonts w:hint="eastAsia"/>
              </w:rPr>
              <w:t>；</w:t>
            </w:r>
            <w:r>
              <w:t>偏差率</w:t>
            </w:r>
            <w:r>
              <w:rPr>
                <w:rFonts w:hint="eastAsia"/>
              </w:rPr>
              <w:t>每低1%则在评审基准分基础上</w:t>
            </w:r>
            <w:r>
              <w:t>加</w:t>
            </w:r>
            <w:r>
              <w:rPr>
                <w:rFonts w:hint="eastAsia"/>
              </w:rPr>
              <w:t>0.</w:t>
            </w:r>
            <w:r>
              <w:t>1</w:t>
            </w:r>
            <w:r>
              <w:rPr>
                <w:rFonts w:hint="eastAsia"/>
              </w:rPr>
              <w:t>分，以此类推</w:t>
            </w:r>
            <w:r>
              <w:t>，最多加5分</w:t>
            </w:r>
            <w:r>
              <w:rPr>
                <w:rFonts w:hint="eastAsia"/>
              </w:rPr>
              <w:t>。以上计算结果取小数点后两位，第三位四舍五入。不足1%的不扣分。</w:t>
            </w:r>
          </w:p>
        </w:tc>
      </w:tr>
      <w:tr w14:paraId="037CA2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8" w:hRule="atLeast"/>
          <w:jc w:val="center"/>
        </w:trPr>
        <w:tc>
          <w:tcPr>
            <w:tcW w:w="339" w:type="pct"/>
            <w:vMerge w:val="continue"/>
            <w:tcBorders>
              <w:left w:val="single" w:color="auto" w:sz="4" w:space="0"/>
              <w:bottom w:val="single" w:color="auto" w:sz="4" w:space="0"/>
              <w:right w:val="single" w:color="auto" w:sz="4" w:space="0"/>
            </w:tcBorders>
            <w:noWrap/>
            <w:vAlign w:val="center"/>
          </w:tcPr>
          <w:p w14:paraId="52321EF3"/>
        </w:tc>
        <w:tc>
          <w:tcPr>
            <w:tcW w:w="256" w:type="pct"/>
            <w:vMerge w:val="continue"/>
            <w:tcBorders>
              <w:top w:val="nil"/>
              <w:left w:val="single" w:color="auto" w:sz="4" w:space="0"/>
              <w:bottom w:val="single" w:color="auto" w:sz="4" w:space="0"/>
              <w:right w:val="single" w:color="auto" w:sz="4" w:space="0"/>
            </w:tcBorders>
            <w:noWrap/>
            <w:vAlign w:val="center"/>
          </w:tcPr>
          <w:p w14:paraId="3D7F9AC1"/>
        </w:tc>
        <w:tc>
          <w:tcPr>
            <w:tcW w:w="621" w:type="pct"/>
            <w:vMerge w:val="continue"/>
            <w:tcBorders>
              <w:left w:val="nil"/>
              <w:bottom w:val="single" w:color="auto" w:sz="4" w:space="0"/>
              <w:right w:val="single" w:color="auto" w:sz="4" w:space="0"/>
            </w:tcBorders>
            <w:noWrap/>
            <w:vAlign w:val="center"/>
          </w:tcPr>
          <w:p w14:paraId="638640A3"/>
        </w:tc>
        <w:tc>
          <w:tcPr>
            <w:tcW w:w="3783" w:type="pct"/>
            <w:vMerge w:val="continue"/>
            <w:tcBorders>
              <w:left w:val="nil"/>
              <w:bottom w:val="single" w:color="auto" w:sz="4" w:space="0"/>
              <w:right w:val="single" w:color="auto" w:sz="4" w:space="0"/>
            </w:tcBorders>
            <w:noWrap/>
            <w:vAlign w:val="center"/>
          </w:tcPr>
          <w:p w14:paraId="4C1C3C03"/>
        </w:tc>
      </w:tr>
    </w:tbl>
    <w:p w14:paraId="50CB0036">
      <w:pPr>
        <w:ind w:firstLine="0" w:firstLineChars="0"/>
        <w:rPr>
          <w:rFonts w:ascii="方正仿宋_GBK" w:eastAsia="方正仿宋_GBK" w:cs="宋体"/>
          <w:b/>
          <w:bCs/>
          <w:kern w:val="0"/>
          <w:szCs w:val="21"/>
        </w:rPr>
      </w:pPr>
      <w:r>
        <w:rPr>
          <w:rFonts w:hint="eastAsia" w:ascii="方正仿宋_GBK" w:eastAsia="方正仿宋_GBK" w:cs="宋体"/>
          <w:b/>
          <w:bCs/>
          <w:kern w:val="0"/>
          <w:szCs w:val="21"/>
        </w:rPr>
        <w:t>注：上述评分事项涉及的相关证明资料和资质认证证书均需提供有效期内复印件并加盖公章</w:t>
      </w:r>
    </w:p>
    <w:p w14:paraId="3E642EBF">
      <w:pPr>
        <w:pStyle w:val="10"/>
        <w:rPr>
          <w:rFonts w:hint="eastAsia" w:ascii="宋体" w:hAnsi="宋体" w:cs="宋体"/>
          <w:snapToGrid w:val="0"/>
          <w:szCs w:val="21"/>
        </w:rPr>
      </w:pPr>
    </w:p>
    <w:p w14:paraId="16983434">
      <w:pPr>
        <w:ind w:firstLine="0" w:firstLineChars="0"/>
        <w:rPr>
          <w:rFonts w:hint="eastAsia" w:ascii="宋体" w:hAnsi="宋体" w:cs="宋体"/>
          <w:snapToGrid w:val="0"/>
          <w:szCs w:val="21"/>
        </w:rPr>
        <w:sectPr>
          <w:pgSz w:w="11906" w:h="16838"/>
          <w:pgMar w:top="1440" w:right="1800" w:bottom="1440" w:left="1800" w:header="851" w:footer="992" w:gutter="0"/>
          <w:cols w:space="720" w:num="1"/>
          <w:docGrid w:type="lines" w:linePitch="312" w:charSpace="0"/>
        </w:sectPr>
      </w:pPr>
    </w:p>
    <w:p w14:paraId="2C80BD87">
      <w:pPr>
        <w:pStyle w:val="3"/>
      </w:pPr>
      <w:bookmarkStart w:id="60" w:name="_Toc27234"/>
      <w:bookmarkStart w:id="61" w:name="_Toc28684"/>
      <w:bookmarkStart w:id="62" w:name="_Toc18283"/>
      <w:r>
        <w:rPr>
          <w:rFonts w:hint="eastAsia"/>
        </w:rPr>
        <w:t>1. 评审方法</w:t>
      </w:r>
      <w:bookmarkEnd w:id="58"/>
      <w:bookmarkEnd w:id="59"/>
      <w:bookmarkEnd w:id="60"/>
      <w:bookmarkEnd w:id="61"/>
      <w:bookmarkEnd w:id="62"/>
    </w:p>
    <w:p w14:paraId="62CEC996">
      <w:bookmarkStart w:id="63" w:name="_Toc376114120"/>
      <w:bookmarkStart w:id="64" w:name="_Toc287620752"/>
      <w:bookmarkStart w:id="65" w:name="_Toc440022827"/>
      <w:bookmarkStart w:id="66" w:name="_Toc377115419"/>
      <w:bookmarkStart w:id="67" w:name="_Toc200513199"/>
      <w:bookmarkStart w:id="68" w:name="_Toc224103385"/>
      <w:bookmarkStart w:id="69" w:name="_Toc277082619"/>
      <w:bookmarkStart w:id="70" w:name="_Toc407195379"/>
      <w:bookmarkStart w:id="71" w:name="_Toc287607813"/>
      <w:bookmarkStart w:id="72" w:name="_Toc330569206"/>
      <w:bookmarkStart w:id="73" w:name="_Toc377067339"/>
      <w:r>
        <w:rPr>
          <w:rFonts w:hint="eastAsia"/>
        </w:rPr>
        <w:t>本次评审采用综合评估法。评审委员会按照本章第2.2 条规定的评分标准进行打分，按得分由高到低顺序排序，但响应报价低于其成本的除外。综合评分相等时，以响应报价低的优先；响应报价也相等的，由评审委员会随机抽取确定。</w:t>
      </w:r>
    </w:p>
    <w:p w14:paraId="2773EE88">
      <w:pPr>
        <w:pStyle w:val="3"/>
      </w:pPr>
      <w:bookmarkStart w:id="74" w:name="_Toc31615"/>
      <w:bookmarkStart w:id="75" w:name="_Toc5950"/>
      <w:bookmarkStart w:id="76" w:name="_Toc2274"/>
      <w:bookmarkStart w:id="77" w:name="_Toc444155968"/>
      <w:bookmarkStart w:id="78" w:name="_Toc16716"/>
      <w:bookmarkStart w:id="79" w:name="_Toc765"/>
      <w:bookmarkStart w:id="80" w:name="_Toc27406"/>
      <w:bookmarkStart w:id="81" w:name="_Toc27931"/>
      <w:bookmarkStart w:id="82" w:name="_Toc23969"/>
      <w:r>
        <w:rPr>
          <w:rFonts w:hint="eastAsia"/>
        </w:rPr>
        <w:t>2. 评审标准</w:t>
      </w:r>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p>
    <w:p w14:paraId="44216576">
      <w:pPr>
        <w:pStyle w:val="4"/>
      </w:pPr>
      <w:bookmarkStart w:id="83" w:name="_Toc23425"/>
      <w:bookmarkStart w:id="84" w:name="_Toc224103386"/>
      <w:bookmarkStart w:id="85" w:name="_Toc407195380"/>
      <w:bookmarkStart w:id="86" w:name="_Toc376114121"/>
      <w:bookmarkStart w:id="87" w:name="_Toc330569207"/>
      <w:bookmarkStart w:id="88" w:name="_Toc21593"/>
      <w:bookmarkStart w:id="89" w:name="_Toc377115420"/>
      <w:bookmarkStart w:id="90" w:name="_Toc287607814"/>
      <w:bookmarkStart w:id="91" w:name="_Toc200513200"/>
      <w:bookmarkStart w:id="92" w:name="_Toc444155969"/>
      <w:bookmarkStart w:id="93" w:name="_Toc11839"/>
      <w:bookmarkStart w:id="94" w:name="_Toc16537"/>
      <w:bookmarkStart w:id="95" w:name="_Toc287620753"/>
      <w:bookmarkStart w:id="96" w:name="_Toc7584"/>
      <w:bookmarkStart w:id="97" w:name="_Toc440022828"/>
      <w:bookmarkStart w:id="98" w:name="_Toc1358"/>
      <w:bookmarkStart w:id="99" w:name="_Toc10533"/>
      <w:bookmarkStart w:id="100" w:name="_Toc377067340"/>
      <w:bookmarkStart w:id="101" w:name="_Toc277082620"/>
      <w:r>
        <w:rPr>
          <w:rFonts w:hint="eastAsia"/>
        </w:rPr>
        <w:t>2.1 初步评审标准</w:t>
      </w:r>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p>
    <w:p w14:paraId="065AA49C">
      <w:r>
        <w:rPr>
          <w:rFonts w:hint="eastAsia"/>
        </w:rPr>
        <w:t>2.1.1 形式评审标准：见评审办法前附表。</w:t>
      </w:r>
    </w:p>
    <w:p w14:paraId="7565819C">
      <w:r>
        <w:rPr>
          <w:rFonts w:hint="eastAsia"/>
        </w:rPr>
        <w:t>2.1.2 资格评审标准：见评审办法前附表。</w:t>
      </w:r>
    </w:p>
    <w:p w14:paraId="0A27E794">
      <w:r>
        <w:rPr>
          <w:rFonts w:hint="eastAsia"/>
        </w:rPr>
        <w:t>2.1.3 响应性评审标准：见评审办法前附表。</w:t>
      </w:r>
    </w:p>
    <w:p w14:paraId="093B0110">
      <w:pPr>
        <w:pStyle w:val="4"/>
      </w:pPr>
      <w:bookmarkStart w:id="102" w:name="_Toc377067341"/>
      <w:bookmarkStart w:id="103" w:name="_Toc6503"/>
      <w:bookmarkStart w:id="104" w:name="_Toc224103387"/>
      <w:bookmarkStart w:id="105" w:name="_Toc376114122"/>
      <w:bookmarkStart w:id="106" w:name="_Toc9090"/>
      <w:bookmarkStart w:id="107" w:name="_Toc200513201"/>
      <w:bookmarkStart w:id="108" w:name="_Toc20840"/>
      <w:bookmarkStart w:id="109" w:name="_Toc440022829"/>
      <w:bookmarkStart w:id="110" w:name="_Toc377115421"/>
      <w:bookmarkStart w:id="111" w:name="_Toc330569208"/>
      <w:bookmarkStart w:id="112" w:name="_Toc2340"/>
      <w:bookmarkStart w:id="113" w:name="_Toc277082621"/>
      <w:bookmarkStart w:id="114" w:name="_Toc287607815"/>
      <w:bookmarkStart w:id="115" w:name="_Toc1387"/>
      <w:bookmarkStart w:id="116" w:name="_Toc23296"/>
      <w:bookmarkStart w:id="117" w:name="_Toc25129"/>
      <w:bookmarkStart w:id="118" w:name="_Toc444155970"/>
      <w:bookmarkStart w:id="119" w:name="_Toc287620754"/>
      <w:bookmarkStart w:id="120" w:name="_Toc407195381"/>
      <w:r>
        <w:rPr>
          <w:rFonts w:hint="eastAsia"/>
        </w:rPr>
        <w:t>2.2 分值构成与评分标准</w:t>
      </w:r>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p>
    <w:p w14:paraId="09ECCFA7">
      <w:r>
        <w:rPr>
          <w:rFonts w:hint="eastAsia"/>
        </w:rPr>
        <w:t xml:space="preserve">2.2.1 分值构成：见评审办法前附表。 </w:t>
      </w:r>
    </w:p>
    <w:p w14:paraId="142B04AE">
      <w:r>
        <w:rPr>
          <w:rFonts w:hint="eastAsia"/>
        </w:rPr>
        <w:t>2.2.2 评审基准价计算方法：见评审办法前附表。</w:t>
      </w:r>
    </w:p>
    <w:p w14:paraId="7B802306">
      <w:r>
        <w:rPr>
          <w:rFonts w:hint="eastAsia"/>
        </w:rPr>
        <w:t>2.2.3 评分标准： （1）响应报价评分标准：见评审办法前附表；</w:t>
      </w:r>
    </w:p>
    <w:p w14:paraId="551D9F8B">
      <w:pPr>
        <w:ind w:left="1680"/>
      </w:pPr>
      <w:r>
        <w:rPr>
          <w:rFonts w:hint="eastAsia"/>
        </w:rPr>
        <w:t>（2）商务部分评分标准：见评审办法前附表；</w:t>
      </w:r>
    </w:p>
    <w:p w14:paraId="03E2FF37">
      <w:pPr>
        <w:ind w:left="1680"/>
      </w:pPr>
      <w:r>
        <w:rPr>
          <w:rFonts w:hint="eastAsia"/>
        </w:rPr>
        <w:t>（3）技术部分评分标准：见评审办法前附表。</w:t>
      </w:r>
    </w:p>
    <w:p w14:paraId="613AED62">
      <w:pPr>
        <w:pStyle w:val="3"/>
      </w:pPr>
      <w:bookmarkStart w:id="121" w:name="_Toc440022830"/>
      <w:bookmarkStart w:id="122" w:name="_Toc287620755"/>
      <w:bookmarkStart w:id="123" w:name="_Toc8004"/>
      <w:bookmarkStart w:id="124" w:name="_Toc2982"/>
      <w:bookmarkStart w:id="125" w:name="_Toc376114123"/>
      <w:bookmarkStart w:id="126" w:name="_Toc12538"/>
      <w:bookmarkStart w:id="127" w:name="_Toc9488"/>
      <w:bookmarkStart w:id="128" w:name="_Toc224103388"/>
      <w:bookmarkStart w:id="129" w:name="_Toc5546"/>
      <w:bookmarkStart w:id="130" w:name="_Toc407195382"/>
      <w:bookmarkStart w:id="131" w:name="_Toc14353"/>
      <w:bookmarkStart w:id="132" w:name="_Toc15132"/>
      <w:bookmarkStart w:id="133" w:name="_Toc377067342"/>
      <w:bookmarkStart w:id="134" w:name="_Toc277082622"/>
      <w:bookmarkStart w:id="135" w:name="_Toc23633"/>
      <w:bookmarkStart w:id="136" w:name="_Toc287607816"/>
      <w:bookmarkStart w:id="137" w:name="_Toc200513202"/>
      <w:bookmarkStart w:id="138" w:name="_Toc377115422"/>
      <w:bookmarkStart w:id="139" w:name="_Toc444155971"/>
      <w:bookmarkStart w:id="140" w:name="_Toc330569209"/>
      <w:r>
        <w:rPr>
          <w:rFonts w:hint="eastAsia"/>
        </w:rPr>
        <w:t>3. 评审程序</w:t>
      </w:r>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p>
    <w:p w14:paraId="02BF5AAD">
      <w:pPr>
        <w:pStyle w:val="4"/>
      </w:pPr>
      <w:bookmarkStart w:id="141" w:name="_Toc287607817"/>
      <w:bookmarkStart w:id="142" w:name="_Toc377067343"/>
      <w:bookmarkStart w:id="143" w:name="_Toc440022831"/>
      <w:bookmarkStart w:id="144" w:name="_Toc5462"/>
      <w:bookmarkStart w:id="145" w:name="_Toc287620756"/>
      <w:bookmarkStart w:id="146" w:name="_Toc407195383"/>
      <w:bookmarkStart w:id="147" w:name="_Toc330569210"/>
      <w:bookmarkStart w:id="148" w:name="_Toc224103389"/>
      <w:bookmarkStart w:id="149" w:name="_Toc444155972"/>
      <w:bookmarkStart w:id="150" w:name="_Toc9683"/>
      <w:bookmarkStart w:id="151" w:name="_Toc376114124"/>
      <w:bookmarkStart w:id="152" w:name="_Toc19840"/>
      <w:bookmarkStart w:id="153" w:name="_Toc13851"/>
      <w:bookmarkStart w:id="154" w:name="_Toc377115423"/>
      <w:bookmarkStart w:id="155" w:name="_Toc6448"/>
      <w:bookmarkStart w:id="156" w:name="_Toc32002"/>
      <w:bookmarkStart w:id="157" w:name="_Toc277082623"/>
      <w:bookmarkStart w:id="158" w:name="_Toc200513203"/>
      <w:bookmarkStart w:id="159" w:name="_Toc22279"/>
      <w:r>
        <w:rPr>
          <w:rFonts w:hint="eastAsia"/>
        </w:rPr>
        <w:t>3.1 初步评审</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p>
    <w:p w14:paraId="787FCCBE">
      <w:bookmarkStart w:id="160" w:name="_Toc373172234"/>
      <w:bookmarkStart w:id="161" w:name="_Toc377067344"/>
      <w:bookmarkStart w:id="162" w:name="_Toc332015984"/>
      <w:bookmarkStart w:id="163" w:name="_Toc373264792"/>
      <w:bookmarkStart w:id="164" w:name="_Toc334002333"/>
      <w:bookmarkStart w:id="165" w:name="_Toc356484119"/>
      <w:bookmarkStart w:id="166" w:name="_Toc356243677"/>
      <w:bookmarkStart w:id="167" w:name="_Toc376114125"/>
      <w:bookmarkStart w:id="168" w:name="_Toc332380970"/>
      <w:bookmarkStart w:id="169" w:name="_Toc331232649"/>
      <w:bookmarkStart w:id="170" w:name="_Toc331232467"/>
      <w:bookmarkStart w:id="171" w:name="_Toc440022832"/>
      <w:bookmarkStart w:id="172" w:name="_Toc27164"/>
      <w:bookmarkStart w:id="173" w:name="_Toc444155973"/>
      <w:bookmarkStart w:id="174" w:name="_Toc354387014"/>
      <w:bookmarkStart w:id="175" w:name="_Toc377115424"/>
      <w:bookmarkStart w:id="176" w:name="_Toc332028970"/>
      <w:bookmarkStart w:id="177" w:name="_Toc330569211"/>
      <w:bookmarkStart w:id="178" w:name="_Toc407195384"/>
      <w:r>
        <w:rPr>
          <w:rFonts w:hint="eastAsia"/>
        </w:rPr>
        <w:t>3.1.1 评审委员会依据本章第2.1 条规定的标准对响应文件进行初步评审。有一项不符合评审标准的，作否决响应处理。</w:t>
      </w:r>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p>
    <w:p w14:paraId="094CDB3B">
      <w:r>
        <w:rPr>
          <w:rFonts w:hint="eastAsia"/>
        </w:rPr>
        <w:t>3.1.2 响应人有以下情形之一的，其响应作否决响应处理：</w:t>
      </w:r>
    </w:p>
    <w:p w14:paraId="118F8332">
      <w:r>
        <w:rPr>
          <w:rFonts w:hint="eastAsia"/>
        </w:rPr>
        <w:t>3.1.2.1 有第二章“响应人须知”第 12. 条以及第 14. 条规定的任何一种情形的；</w:t>
      </w:r>
    </w:p>
    <w:p w14:paraId="357E2151">
      <w:r>
        <w:rPr>
          <w:rFonts w:hint="eastAsia"/>
        </w:rPr>
        <w:t>3.1.2.2 有串通响应、弄虚作假等其他违反相关法律、法规行为的；</w:t>
      </w:r>
    </w:p>
    <w:p w14:paraId="5CA0E619">
      <w:r>
        <w:rPr>
          <w:rFonts w:hint="eastAsia"/>
        </w:rPr>
        <w:t>3.1.2.3 不按评审委员会要求澄清、说明或补正的。</w:t>
      </w:r>
    </w:p>
    <w:p w14:paraId="30AF2C93">
      <w:r>
        <w:rPr>
          <w:rFonts w:hint="eastAsia"/>
        </w:rPr>
        <w:t>3.1.2.4 本响应文件约定的其它情形。</w:t>
      </w:r>
    </w:p>
    <w:p w14:paraId="3381D168">
      <w:r>
        <w:rPr>
          <w:rFonts w:hint="eastAsia"/>
        </w:rPr>
        <w:t>3.1.3 响应报价有算术错误的，评审委员会按以下原则对响应报价进行修正，修正的价格经响应人书面确认后具有约束力。响应人不接受修正价格的，其响应作否决响应处理。</w:t>
      </w:r>
    </w:p>
    <w:p w14:paraId="4DD25ECB">
      <w:pPr>
        <w:pStyle w:val="4"/>
      </w:pPr>
      <w:r>
        <w:rPr>
          <w:rFonts w:hint="eastAsia"/>
        </w:rPr>
        <w:t>3.2 修正错误</w:t>
      </w:r>
    </w:p>
    <w:p w14:paraId="1614DF2A">
      <w:r>
        <w:rPr>
          <w:rFonts w:hint="eastAsia"/>
        </w:rPr>
        <w:t>若响应文件出现计算或表达上的错误，修正错误的原则如下：</w:t>
      </w:r>
    </w:p>
    <w:p w14:paraId="4FBD6B8B">
      <w:r>
        <w:rPr>
          <w:rFonts w:hint="eastAsia"/>
        </w:rPr>
        <w:t>3.2.1 响应文件的大写金额和小写金额不一致的，以大写金额为准；</w:t>
      </w:r>
    </w:p>
    <w:p w14:paraId="305D561E">
      <w:r>
        <w:rPr>
          <w:rFonts w:hint="eastAsia"/>
        </w:rPr>
        <w:t>3.2.2 总价金额与按单价汇总金额不一致的，以单价金额计算结果为准；</w:t>
      </w:r>
    </w:p>
    <w:p w14:paraId="362E0100">
      <w:r>
        <w:rPr>
          <w:rFonts w:hint="eastAsia"/>
        </w:rPr>
        <w:t>3.2.3 单价金额小数点有明显错位的，应以总价为准，并修正单价；</w:t>
      </w:r>
    </w:p>
    <w:p w14:paraId="088A5CAE">
      <w:r>
        <w:rPr>
          <w:rFonts w:hint="eastAsia"/>
        </w:rPr>
        <w:t>3.2.4 对不同文字文本响应文件的解释发生异议的，以中文文本为准。</w:t>
      </w:r>
    </w:p>
    <w:p w14:paraId="00AA94CE">
      <w:r>
        <w:rPr>
          <w:rFonts w:hint="eastAsia"/>
        </w:rPr>
        <w:t>3.2.5 含税金额与不含税金额不一致的，以含税金额为准。</w:t>
      </w:r>
    </w:p>
    <w:p w14:paraId="36CFDF3D">
      <w:r>
        <w:rPr>
          <w:rFonts w:hint="eastAsia"/>
        </w:rPr>
        <w:t>评审委员会按上述修正错误的原则及方法调整或修正响应人响应报价，如涉及多次修正，则按上述原则的顺序进行修正。响应人授权代表同意并签字确认后，调整后的响应报价对响应人具有约束作用。如果响应人不接受修正后的报价，则其响应将作为无效响应处理。</w:t>
      </w:r>
    </w:p>
    <w:p w14:paraId="06F40777">
      <w:pPr>
        <w:pStyle w:val="4"/>
      </w:pPr>
      <w:bookmarkStart w:id="179" w:name="_Toc22246"/>
      <w:bookmarkStart w:id="180" w:name="_Toc440022833"/>
      <w:bookmarkStart w:id="181" w:name="_Toc377067345"/>
      <w:bookmarkStart w:id="182" w:name="_Toc10847"/>
      <w:bookmarkStart w:id="183" w:name="_Toc224103390"/>
      <w:bookmarkStart w:id="184" w:name="_Toc29925"/>
      <w:bookmarkStart w:id="185" w:name="_Toc7832"/>
      <w:bookmarkStart w:id="186" w:name="_Toc287607818"/>
      <w:bookmarkStart w:id="187" w:name="_Toc287620757"/>
      <w:bookmarkStart w:id="188" w:name="_Toc377115425"/>
      <w:bookmarkStart w:id="189" w:name="_Toc11246"/>
      <w:bookmarkStart w:id="190" w:name="_Toc376114126"/>
      <w:bookmarkStart w:id="191" w:name="_Toc19604"/>
      <w:bookmarkStart w:id="192" w:name="_Toc22848"/>
      <w:bookmarkStart w:id="193" w:name="_Toc444155974"/>
      <w:bookmarkStart w:id="194" w:name="_Toc200513204"/>
      <w:bookmarkStart w:id="195" w:name="_Toc407195385"/>
      <w:bookmarkStart w:id="196" w:name="_Toc330569212"/>
      <w:bookmarkStart w:id="197" w:name="_Toc277082624"/>
      <w:r>
        <w:rPr>
          <w:rFonts w:hint="eastAsia"/>
        </w:rPr>
        <w:t>3.3 详细评审</w:t>
      </w:r>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p>
    <w:p w14:paraId="68506386">
      <w:r>
        <w:rPr>
          <w:rFonts w:hint="eastAsia"/>
        </w:rPr>
        <w:t>3.3.1 评审委员会按本章第2.2 条规定的量化因素和分值进行打分，并计算出综合评估得分。</w:t>
      </w:r>
    </w:p>
    <w:p w14:paraId="1B7FE32C">
      <w:r>
        <w:rPr>
          <w:rFonts w:hint="eastAsia"/>
        </w:rPr>
        <w:t>3.3.1.1 按本章第2.2 条规定的评审因素和分值对响应报价计算出得分；</w:t>
      </w:r>
    </w:p>
    <w:p w14:paraId="3865D62E">
      <w:r>
        <w:rPr>
          <w:rFonts w:hint="eastAsia"/>
        </w:rPr>
        <w:t>3.3.1.2 按本章第2.2 条规定的评审因素和分值对商务部分计算出得分（评审委员会统一打分）；</w:t>
      </w:r>
    </w:p>
    <w:p w14:paraId="5E53A0E3">
      <w:r>
        <w:rPr>
          <w:rFonts w:hint="eastAsia"/>
        </w:rPr>
        <w:t>3.3.2 评分分值计算保留小数点后两位，小数点后第三位“四舍五入”。</w:t>
      </w:r>
    </w:p>
    <w:p w14:paraId="6E1A3DF4">
      <w:r>
        <w:rPr>
          <w:rFonts w:hint="eastAsia"/>
        </w:rPr>
        <w:t>3.3.3 响应人得分=响应报价得分+商务部分得分+技术部分得分。</w:t>
      </w:r>
    </w:p>
    <w:p w14:paraId="2DB63018">
      <w:pPr>
        <w:pStyle w:val="4"/>
      </w:pPr>
      <w:bookmarkStart w:id="198" w:name="_Toc1080"/>
      <w:bookmarkStart w:id="199" w:name="_Toc377067346"/>
      <w:bookmarkStart w:id="200" w:name="_Toc440022834"/>
      <w:bookmarkStart w:id="201" w:name="_Toc277082625"/>
      <w:bookmarkStart w:id="202" w:name="_Toc330569213"/>
      <w:bookmarkStart w:id="203" w:name="_Toc20948"/>
      <w:bookmarkStart w:id="204" w:name="_Toc2542"/>
      <w:bookmarkStart w:id="205" w:name="_Toc200513205"/>
      <w:bookmarkStart w:id="206" w:name="_Toc407195386"/>
      <w:bookmarkStart w:id="207" w:name="_Toc444155975"/>
      <w:bookmarkStart w:id="208" w:name="_Toc287607819"/>
      <w:bookmarkStart w:id="209" w:name="_Toc287620758"/>
      <w:bookmarkStart w:id="210" w:name="_Toc224103391"/>
      <w:bookmarkStart w:id="211" w:name="_Toc32039"/>
      <w:bookmarkStart w:id="212" w:name="_Toc377115426"/>
      <w:bookmarkStart w:id="213" w:name="_Toc29261"/>
      <w:bookmarkStart w:id="214" w:name="_Toc18708"/>
      <w:bookmarkStart w:id="215" w:name="_Toc7176"/>
      <w:bookmarkStart w:id="216" w:name="_Toc376114127"/>
      <w:r>
        <w:rPr>
          <w:rFonts w:hint="eastAsia"/>
        </w:rPr>
        <w:t>3.4 响应文件的澄清和补正</w:t>
      </w:r>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p>
    <w:p w14:paraId="7A36C9FE">
      <w:r>
        <w:rPr>
          <w:rFonts w:hint="eastAsia"/>
        </w:rPr>
        <w:t>3.4.1 在评审过程中，评审委员会可以书面形式要求响应人对所提交响应文件中不明确的内容进行书面澄清或说明，或者对细微偏差进行补正。评审委员会不接受响应人主动提出的澄清、说明或补正。</w:t>
      </w:r>
    </w:p>
    <w:p w14:paraId="25252CB4">
      <w:r>
        <w:rPr>
          <w:rFonts w:hint="eastAsia"/>
        </w:rPr>
        <w:t>3.4.2 澄清、说明和补正不得改变响应文件的实质性内容（算术性错误修正的除外）。响应人的书面澄清、说明和补正属于响应文件的组成部分。</w:t>
      </w:r>
    </w:p>
    <w:p w14:paraId="101205C8">
      <w:r>
        <w:rPr>
          <w:rFonts w:hint="eastAsia"/>
        </w:rPr>
        <w:t>3.4.3 评审委员会对响应人提交的澄清、说明或补正有疑问的，可以要求响应人进一步澄清、说明或补正，直至满足评审委员会的要求。</w:t>
      </w:r>
    </w:p>
    <w:p w14:paraId="2656F5AD">
      <w:pPr>
        <w:pStyle w:val="4"/>
      </w:pPr>
      <w:bookmarkStart w:id="217" w:name="_Toc330569214"/>
      <w:bookmarkStart w:id="218" w:name="_Toc377067347"/>
      <w:bookmarkStart w:id="219" w:name="_Toc407195387"/>
      <w:bookmarkStart w:id="220" w:name="_Toc4814"/>
      <w:bookmarkStart w:id="221" w:name="_Toc200513206"/>
      <w:bookmarkStart w:id="222" w:name="_Toc287620759"/>
      <w:bookmarkStart w:id="223" w:name="_Toc30672"/>
      <w:bookmarkStart w:id="224" w:name="_Toc444155976"/>
      <w:bookmarkStart w:id="225" w:name="_Toc6310"/>
      <w:bookmarkStart w:id="226" w:name="_Toc14840"/>
      <w:bookmarkStart w:id="227" w:name="_Toc440022835"/>
      <w:bookmarkStart w:id="228" w:name="_Toc21450"/>
      <w:bookmarkStart w:id="229" w:name="_Toc287607820"/>
      <w:bookmarkStart w:id="230" w:name="_Toc376114128"/>
      <w:bookmarkStart w:id="231" w:name="_Toc19054"/>
      <w:bookmarkStart w:id="232" w:name="_Toc224103392"/>
      <w:bookmarkStart w:id="233" w:name="_Toc377115427"/>
      <w:bookmarkStart w:id="234" w:name="_Toc31270"/>
      <w:bookmarkStart w:id="235" w:name="_Toc277082626"/>
      <w:r>
        <w:rPr>
          <w:rFonts w:hint="eastAsia"/>
        </w:rPr>
        <w:t>3.5 评审结果</w:t>
      </w:r>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p>
    <w:p w14:paraId="17140EAB">
      <w:r>
        <w:rPr>
          <w:rFonts w:hint="eastAsia"/>
        </w:rPr>
        <w:t>3.5.1 评审委员会按照得分由高到低的顺序排序并确定排名。</w:t>
      </w:r>
    </w:p>
    <w:p w14:paraId="4A7F3AE6">
      <w:r>
        <w:rPr>
          <w:rFonts w:hint="eastAsia"/>
        </w:rPr>
        <w:t>3.5.2 评审委员会完成评审后，应当向采购人提交书面评审报告。</w:t>
      </w:r>
    </w:p>
    <w:p w14:paraId="69F1714B">
      <w:r>
        <w:rPr>
          <w:rFonts w:hint="eastAsia"/>
        </w:rPr>
        <w:t>3.5.3 有</w:t>
      </w:r>
      <w:r>
        <w:rPr>
          <w:rFonts w:hint="eastAsia" w:ascii="宋体" w:hAnsi="宋体" w:cs="宋体"/>
          <w:color w:val="000000"/>
        </w:rPr>
        <w:t>效响应人不足三个的，评审委员会应当对有效响应人是否仍具有竞争性进行论证。评审委员会认为有效响应人的经济、技术等指标仍然具有市场竞争力，能够满足询比文件要求的，可以继续评审并确定排名；评审委员会认为有效响应人的经济、技术等指标不具有市场竞争力，不能够满足询比文件要求的，评审委员会应出具竞争性论证情况说明并充分阐明不具有市场竞争力的理由。</w:t>
      </w:r>
    </w:p>
    <w:p w14:paraId="5EF22262">
      <w:r>
        <w:rPr>
          <w:rFonts w:hint="eastAsia"/>
        </w:rPr>
        <w:t>3.6 对评审委员会成员的纪律要求</w:t>
      </w:r>
    </w:p>
    <w:p w14:paraId="171BCA2A">
      <w:r>
        <w:rPr>
          <w:rFonts w:hint="eastAsia"/>
        </w:rPr>
        <w:t>评审委员会成员不得收受他人的财物或者其它好处，不得向他人透露对响应文件的评审和比较、排名情况以及评审有关的其他情况。在评审活动中，评审委员会成员不得擅离职守，影响评审程序正常进行，不得使用本询比文件没有规定的评审因素进行评审。</w:t>
      </w:r>
    </w:p>
    <w:p w14:paraId="64ED314A">
      <w:pPr>
        <w:pStyle w:val="4"/>
      </w:pPr>
      <w:r>
        <w:rPr>
          <w:rFonts w:hint="eastAsia"/>
        </w:rPr>
        <w:t>3.7 对与评审活动有关的工作人员的纪律要求</w:t>
      </w:r>
    </w:p>
    <w:p w14:paraId="41CB3E33">
      <w:r>
        <w:rPr>
          <w:rFonts w:hint="eastAsia"/>
        </w:rPr>
        <w:t>与评审活动有关的工作人员不得收受他人的财物或者其他好处，不得向他人透漏对响应文件的评审和比较、排名情况以及与评审有关的其他情况。在评审活动中，与评审活动有关的工作人员不得擅离职守，影响评审程序正常进行。</w:t>
      </w:r>
    </w:p>
    <w:p w14:paraId="7AF27CE3"/>
    <w:p w14:paraId="7D29F7C4">
      <w:pPr>
        <w:sectPr>
          <w:pgSz w:w="11906" w:h="16838"/>
          <w:pgMar w:top="1440" w:right="1800" w:bottom="1440" w:left="1800" w:header="851" w:footer="992" w:gutter="0"/>
          <w:cols w:space="720" w:num="1"/>
          <w:docGrid w:type="lines" w:linePitch="312" w:charSpace="0"/>
        </w:sectPr>
      </w:pPr>
    </w:p>
    <w:p w14:paraId="08C8F372">
      <w:pPr>
        <w:pStyle w:val="2"/>
      </w:pPr>
      <w:bookmarkStart w:id="236" w:name="_Toc15328"/>
      <w:bookmarkStart w:id="237" w:name="_Toc150953074"/>
      <w:bookmarkStart w:id="238" w:name="_Toc30882"/>
      <w:r>
        <w:rPr>
          <w:rFonts w:hint="eastAsia"/>
        </w:rPr>
        <w:t>第四章 合同</w:t>
      </w:r>
      <w:bookmarkEnd w:id="236"/>
      <w:bookmarkEnd w:id="237"/>
      <w:r>
        <w:rPr>
          <w:rFonts w:hint="eastAsia"/>
        </w:rPr>
        <w:t>条款及格式</w:t>
      </w:r>
      <w:bookmarkEnd w:id="238"/>
    </w:p>
    <w:p w14:paraId="03454887">
      <w:pPr>
        <w:ind w:firstLine="0" w:firstLineChars="0"/>
        <w:jc w:val="center"/>
      </w:pPr>
      <w:r>
        <w:rPr>
          <w:rFonts w:hint="eastAsia"/>
        </w:rPr>
        <w:t>（本章节的合同条款及格式仅供参考，具体以合同签订时为准）</w:t>
      </w:r>
    </w:p>
    <w:p w14:paraId="7D7905DA">
      <w:pPr>
        <w:pStyle w:val="40"/>
      </w:pPr>
      <w:r>
        <w:t>重庆三峡银行金融借记IC卡空白卡</w:t>
      </w:r>
    </w:p>
    <w:p w14:paraId="74776DAD">
      <w:pPr>
        <w:pStyle w:val="40"/>
      </w:pPr>
      <w:r>
        <w:t>及卡片个人化服务采购合同</w:t>
      </w:r>
    </w:p>
    <w:p w14:paraId="60243305"/>
    <w:p w14:paraId="7B9DCBB1">
      <w:r>
        <w:rPr>
          <w:rFonts w:hint="eastAsia"/>
        </w:rPr>
        <w:t>甲方：</w:t>
      </w:r>
    </w:p>
    <w:p w14:paraId="407EC760">
      <w:r>
        <w:rPr>
          <w:rFonts w:hint="eastAsia"/>
        </w:rPr>
        <w:t>地址：</w:t>
      </w:r>
    </w:p>
    <w:p w14:paraId="610F64CA">
      <w:r>
        <w:rPr>
          <w:rFonts w:hint="eastAsia"/>
        </w:rPr>
        <w:t>邮编：</w:t>
      </w:r>
    </w:p>
    <w:p w14:paraId="4FBDE9F0">
      <w:r>
        <w:rPr>
          <w:rFonts w:hint="eastAsia"/>
        </w:rPr>
        <w:t>电话：</w:t>
      </w:r>
    </w:p>
    <w:p w14:paraId="5DC74649">
      <w:r>
        <w:rPr>
          <w:rFonts w:hint="eastAsia"/>
        </w:rPr>
        <w:t>传真：</w:t>
      </w:r>
    </w:p>
    <w:p w14:paraId="11D8F27E"/>
    <w:p w14:paraId="52C1318A">
      <w:r>
        <w:rPr>
          <w:rFonts w:hint="eastAsia"/>
        </w:rPr>
        <w:t>乙方：</w:t>
      </w:r>
    </w:p>
    <w:p w14:paraId="35EC1333">
      <w:r>
        <w:rPr>
          <w:rFonts w:hint="eastAsia"/>
        </w:rPr>
        <w:t>地址：</w:t>
      </w:r>
    </w:p>
    <w:p w14:paraId="0C0E9E41">
      <w:r>
        <w:rPr>
          <w:rFonts w:hint="eastAsia"/>
        </w:rPr>
        <w:t>邮编：</w:t>
      </w:r>
    </w:p>
    <w:p w14:paraId="3968D3AA">
      <w:r>
        <w:rPr>
          <w:rFonts w:hint="eastAsia"/>
        </w:rPr>
        <w:t>电话：</w:t>
      </w:r>
    </w:p>
    <w:p w14:paraId="16D27B9A">
      <w:r>
        <w:rPr>
          <w:rFonts w:hint="eastAsia"/>
        </w:rPr>
        <w:t>传真：</w:t>
      </w:r>
    </w:p>
    <w:p w14:paraId="3C1CB3FA">
      <w:r>
        <w:rPr>
          <w:rFonts w:hint="eastAsia"/>
        </w:rPr>
        <w:t>经双方友好协商，现就乙方向甲方提供借记IC卡空白卡及卡片个人化服务事宜订立如下合同条款，甲乙双方承诺共同遵守执行。</w:t>
      </w:r>
    </w:p>
    <w:p w14:paraId="29116869">
      <w:pPr>
        <w:pStyle w:val="36"/>
      </w:pPr>
      <w:r>
        <w:t>第一条  基本原则</w:t>
      </w:r>
    </w:p>
    <w:p w14:paraId="47368632">
      <w:r>
        <w:rPr>
          <w:rFonts w:hint="eastAsia"/>
        </w:rPr>
        <w:t>（一）本合同为甲乙双方签署的采购合同。在本合同约定的服务期内，凡由乙方向甲方提供借记IC卡空白卡制作或卡片个人化服务时，乙方均须遵照按本合同项下全部条款执行。</w:t>
      </w:r>
    </w:p>
    <w:p w14:paraId="7BB47602">
      <w:r>
        <w:rPr>
          <w:rFonts w:hint="eastAsia"/>
        </w:rPr>
        <w:t>（二）本合同的所有附件均为本合同的重要组成部分，具备同等法律效力。</w:t>
      </w:r>
    </w:p>
    <w:p w14:paraId="3ABF2BCA">
      <w:r>
        <w:rPr>
          <w:rFonts w:hint="eastAsia"/>
        </w:rPr>
        <w:t>（三）乙方应保证提供的借记IC卡空白卡(含芯片)均为全新状态、未曾被使用过。若乙方向甲方提供非全新的借记IC卡空白卡(含芯片)，乙方须承担由此产生的一切后果，且甲方保留解除本合同、不予支付任何费用的权利，并有权要求乙方赔偿由此给甲方造成的全部损失。</w:t>
      </w:r>
    </w:p>
    <w:p w14:paraId="5A8AC03C">
      <w:r>
        <w:rPr>
          <w:rFonts w:hint="eastAsia"/>
        </w:rPr>
        <w:t>（四）借记IC卡的卡样须经甲方总行确定，并由甲方专人签字确认予以确定。在未经甲方总行认可的情况下，乙方不得接受甲方所辖分行、支行私自提供的任何卡样。若乙方采用未经甲方总行认可的卡样进行产品制作，乙方须承担由此产生的一切后果，甲方保留随时解除本合同、不予支付任何费用的权利，并有权要求乙方赔偿由此给甲方造成的全部损失。</w:t>
      </w:r>
    </w:p>
    <w:p w14:paraId="31926943">
      <w:r>
        <w:rPr>
          <w:rFonts w:hint="eastAsia"/>
        </w:rPr>
        <w:t>（五）甲方借记IC卡的服务商标权和设计版权属于甲方，乙方原则上仅限在为甲方提供借记IC卡空白卡及个人化服务时使用，不得擅自印刷、使用、修改和转让。如乙方需在其余情况下使用甲方借记IC卡的服务商标或图样，应事先得到甲方的书面授权，并在授权范围内使用。</w:t>
      </w:r>
    </w:p>
    <w:p w14:paraId="131463C5">
      <w:r>
        <w:rPr>
          <w:rFonts w:hint="eastAsia"/>
        </w:rPr>
        <w:t>（六）乙方就制作甲方借记IC卡的菲林、网版、PS版及计算机存储的制版软件、软盘、光盘等应按中国银联、VISA、万事达等卡组织的安全规定妥善保管存档，</w:t>
      </w:r>
      <w:r>
        <w:rPr>
          <w:rFonts w:hint="eastAsia"/>
          <w:szCs w:val="21"/>
        </w:rPr>
        <w:t>乙方保留核查权利，有权对存档资料进行调阅查询</w:t>
      </w:r>
      <w:r>
        <w:rPr>
          <w:rFonts w:hint="eastAsia"/>
        </w:rPr>
        <w:t>。未经甲方书面同意，乙方不得向第三方提供上述资料。</w:t>
      </w:r>
    </w:p>
    <w:p w14:paraId="2F89A3EB">
      <w:r>
        <w:rPr>
          <w:rFonts w:hint="eastAsia"/>
        </w:rPr>
        <w:t>（七）乙方以甲方提供的《重庆三峡银行借记IC卡空白卡及个人化卡片订购单》（以下简称“订购单”，附件2），作为借记IC卡空白卡及个人化服务的生产依据。</w:t>
      </w:r>
    </w:p>
    <w:p w14:paraId="1EB4A9EB">
      <w:r>
        <w:rPr>
          <w:rFonts w:hint="eastAsia"/>
        </w:rPr>
        <w:t>1、订购单加盖甲方公章后生效，由甲方专人以电子邮箱提供给乙方指定联系人。如乙方采用未经甲方盖章的订购单生产，乙方须承担由此产生的一切后果，甲方保留随时解除本合同、不予支付任何费用的权利，并有权要求乙方赔偿由此给甲方造成的全部损失。</w:t>
      </w:r>
    </w:p>
    <w:p w14:paraId="463C8E9E">
      <w:r>
        <w:rPr>
          <w:rFonts w:hint="eastAsia"/>
        </w:rPr>
        <w:t>2、甲方负责提供借记IC卡个人化格式及数据资料。如甲方提供的个人化格式或数据资料错误，由此造成的空白卡及个人化成本由甲方承担。</w:t>
      </w:r>
    </w:p>
    <w:p w14:paraId="0D19B04E">
      <w:r>
        <w:rPr>
          <w:rFonts w:hint="eastAsia"/>
        </w:rPr>
        <w:t>3、甲方每次订购个人化服务时，应一并提供个人化数据资料。</w:t>
      </w:r>
    </w:p>
    <w:p w14:paraId="23AAE165">
      <w:r>
        <w:rPr>
          <w:rFonts w:hint="eastAsia"/>
        </w:rPr>
        <w:t>4、甲方每次订购数量以实际需求为准，无单次最低订购数量限制。</w:t>
      </w:r>
    </w:p>
    <w:p w14:paraId="388D20D6">
      <w:r>
        <w:rPr>
          <w:rFonts w:hint="eastAsia"/>
        </w:rPr>
        <w:t>（八）乙方负责保管甲方需其提供个人化服务的借记IC卡空白卡，待完成个人化后按要求及时发送至甲方，并建立完善的借记IC卡库存管理制度。</w:t>
      </w:r>
    </w:p>
    <w:p w14:paraId="07E04044">
      <w:r>
        <w:rPr>
          <w:rFonts w:hint="eastAsia"/>
        </w:rPr>
        <w:t>1、乙方应建立借记IC卡空白卡余额登记簿和使用台帐，定期盘库，不定期抽查，并按月与甲方专人核对余额，配合甲方进行调阅，供甲方监督、核查之用。</w:t>
      </w:r>
    </w:p>
    <w:p w14:paraId="323A4A07">
      <w:r>
        <w:rPr>
          <w:rFonts w:hint="eastAsia"/>
        </w:rPr>
        <w:t>2、乙方应定期向甲方报告借记IC卡空白卡余额，并根据甲方的要求保有一定量的库存。当借记IC卡空白卡余额低于甲方的要求时，应及时通知甲方订购借记IC卡空白卡，保证空白卡和个人化处理的连续性和及时性。</w:t>
      </w:r>
    </w:p>
    <w:p w14:paraId="47937D2A">
      <w:r>
        <w:rPr>
          <w:rFonts w:hint="eastAsia"/>
        </w:rPr>
        <w:t>3、乙方须建立废卡及其销毁报告制度。对由于各种原因产生的废卡，必须将废卡产生原因、批号、数量、卡号及时书面通知甲方</w:t>
      </w:r>
      <w:r>
        <w:rPr>
          <w:rFonts w:hint="eastAsia"/>
          <w:color w:val="000000"/>
        </w:rPr>
        <w:t>。</w:t>
      </w:r>
      <w:r>
        <w:rPr>
          <w:rFonts w:hint="eastAsia"/>
        </w:rPr>
        <w:t>废卡销毁时，必须将销毁废卡的批号、数量、卡号及时书面通知甲方。甲方保留核查权利。因乙方原因致使废卡流入市场造成损失的，甲方有权解除本合同，不予支付任何费用，且乙方应当承担赔偿责任。</w:t>
      </w:r>
    </w:p>
    <w:p w14:paraId="2FF854C3">
      <w:r>
        <w:rPr>
          <w:rFonts w:hint="eastAsia"/>
        </w:rPr>
        <w:t>4、在乙方进行的个人化生产过程中，因乙方原因产生的废卡由乙方承担所有损失。</w:t>
      </w:r>
    </w:p>
    <w:p w14:paraId="18385E55">
      <w:r>
        <w:rPr>
          <w:rFonts w:hint="eastAsia"/>
        </w:rPr>
        <w:t>（九）乙方对卡片的个人化数据处理必须具备严格的内部管理和安全保障体系（乙方的内部管理和安全保障体系需事先通过甲方审核），包括但不限于对数据的接收、解密、在生产过程中的传递、个人化后的数据删除、所有个人化信息的保密、应急处理方案等方面。若乙方在对数据的接收、解密、在生产过程中的传递、个人化后的数据删除、所有个人化信息的保密、应急处理方案等方面处理不当，给甲方或甲方客户造成损失的，甲方有权终止合同，不予支付任何费用，由乙方全额承担由此带来的经济损失、声誉损失等责任，且甲方可在承担赔偿责任后向乙方追偿。本条款的有效性不因本合同的解除或终止而解除。</w:t>
      </w:r>
    </w:p>
    <w:p w14:paraId="779FEAC9">
      <w:r>
        <w:rPr>
          <w:rFonts w:hint="eastAsia"/>
        </w:rPr>
        <w:t>1、乙方应在空白卡生产和个人化服务方面建立完善的生产工艺流程、严格的质量控制和安全保证体系，并遵照落实，且乙方应确保其从事空白卡生产和个人化服务的车间、人员完全独立。</w:t>
      </w:r>
    </w:p>
    <w:p w14:paraId="12E30C00">
      <w:r>
        <w:rPr>
          <w:rFonts w:hint="eastAsia"/>
        </w:rPr>
        <w:t>2、鉴于金融IC卡制卡对安全性要求极高，乙方必须建立严格的安全控制和保密机制，以防止个人化信息泄露、卡片被盗、操作失误等方面的风险。</w:t>
      </w:r>
    </w:p>
    <w:p w14:paraId="7FB38FA4">
      <w:r>
        <w:rPr>
          <w:rFonts w:hint="eastAsia"/>
        </w:rPr>
        <w:t>3、乙方必须制定针对紧急情况、灾难事件发生后的业务替代方案、重建方案、备援地点、设备、产能建置、备援计划启动时机与演练等。</w:t>
      </w:r>
    </w:p>
    <w:p w14:paraId="45EB4D0F">
      <w:r>
        <w:rPr>
          <w:rFonts w:hint="eastAsia"/>
        </w:rPr>
        <w:t>4.乙方向甲方免费提供系统对接服务，用于个人化数据资料的安全传输。</w:t>
      </w:r>
    </w:p>
    <w:p w14:paraId="7269D8B4">
      <w:r>
        <w:rPr>
          <w:rFonts w:hint="eastAsia"/>
        </w:rPr>
        <w:t>（十）甲方发现甲方借记IC卡存在重复卡交易时，乙方有责任动用其门禁系统资料、内部监控录像及发卡时的追踪资料查找并明确原因。如重复卡交易由乙方原因造成，甲方有权终止合同，不予支付任何费用，由乙方全额承担由此带来的经济损失、声誉损失等责任，且甲方可在承担赔偿责任后向乙方追偿。本条款的有效性不因本合同的解除或终止而解除。</w:t>
      </w:r>
    </w:p>
    <w:p w14:paraId="3D6E8BE1">
      <w:pPr>
        <w:pStyle w:val="36"/>
      </w:pPr>
      <w:r>
        <w:t>第二条 采购价格</w:t>
      </w:r>
    </w:p>
    <w:p w14:paraId="77D5DD5B">
      <w:pPr>
        <w:pStyle w:val="35"/>
      </w:pPr>
      <w:r>
        <w:rPr>
          <w:rFonts w:hint="eastAsia"/>
        </w:rPr>
        <w:t>表1重庆三峡银行借记IC卡空白卡及个人化采购价格表</w:t>
      </w:r>
    </w:p>
    <w:tbl>
      <w:tblPr>
        <w:tblStyle w:val="19"/>
        <w:tblW w:w="9894" w:type="dxa"/>
        <w:tblInd w:w="-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28"/>
        <w:gridCol w:w="1108"/>
        <w:gridCol w:w="1246"/>
        <w:gridCol w:w="1108"/>
        <w:gridCol w:w="1131"/>
        <w:gridCol w:w="2596"/>
        <w:gridCol w:w="1577"/>
      </w:tblGrid>
      <w:tr w14:paraId="4F3B73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9" w:hRule="atLeast"/>
        </w:trPr>
        <w:tc>
          <w:tcPr>
            <w:tcW w:w="1128" w:type="dxa"/>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098B1D84">
            <w:pPr>
              <w:pStyle w:val="35"/>
            </w:pPr>
            <w:r>
              <w:rPr>
                <w:rFonts w:hint="eastAsia"/>
              </w:rPr>
              <w:t>产品名称</w:t>
            </w:r>
          </w:p>
        </w:tc>
        <w:tc>
          <w:tcPr>
            <w:tcW w:w="1108" w:type="dxa"/>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28693B02">
            <w:pPr>
              <w:pStyle w:val="35"/>
            </w:pPr>
            <w:r>
              <w:rPr>
                <w:rFonts w:hint="eastAsia"/>
              </w:rPr>
              <w:t>芯片技术操作平台</w:t>
            </w:r>
          </w:p>
        </w:tc>
        <w:tc>
          <w:tcPr>
            <w:tcW w:w="1246" w:type="dxa"/>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0F34A8CA">
            <w:pPr>
              <w:pStyle w:val="35"/>
            </w:pPr>
            <w:r>
              <w:rPr>
                <w:rFonts w:hint="eastAsia"/>
              </w:rPr>
              <w:t>芯片品牌</w:t>
            </w:r>
          </w:p>
        </w:tc>
        <w:tc>
          <w:tcPr>
            <w:tcW w:w="1108" w:type="dxa"/>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30ED11CF">
            <w:pPr>
              <w:pStyle w:val="35"/>
            </w:pPr>
            <w:r>
              <w:rPr>
                <w:rFonts w:hint="eastAsia"/>
              </w:rPr>
              <w:t>芯片型号</w:t>
            </w:r>
          </w:p>
        </w:tc>
        <w:tc>
          <w:tcPr>
            <w:tcW w:w="1131" w:type="dxa"/>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743F9DD4">
            <w:pPr>
              <w:pStyle w:val="35"/>
            </w:pPr>
            <w:r>
              <w:rPr>
                <w:rFonts w:hint="eastAsia"/>
              </w:rPr>
              <w:t>芯片容量</w:t>
            </w:r>
          </w:p>
        </w:tc>
        <w:tc>
          <w:tcPr>
            <w:tcW w:w="2596" w:type="dxa"/>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71925C43">
            <w:pPr>
              <w:pStyle w:val="35"/>
            </w:pPr>
            <w:r>
              <w:rPr>
                <w:rFonts w:hint="eastAsia"/>
              </w:rPr>
              <w:t>空白卡及个人化服务内容</w:t>
            </w:r>
          </w:p>
        </w:tc>
        <w:tc>
          <w:tcPr>
            <w:tcW w:w="1577" w:type="dxa"/>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1C1ACC8C">
            <w:pPr>
              <w:pStyle w:val="35"/>
            </w:pPr>
            <w:r>
              <w:rPr>
                <w:rFonts w:hint="eastAsia"/>
              </w:rPr>
              <w:t>单价</w:t>
            </w:r>
          </w:p>
        </w:tc>
      </w:tr>
      <w:tr w14:paraId="7A74F5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79" w:hRule="atLeast"/>
        </w:trPr>
        <w:tc>
          <w:tcPr>
            <w:tcW w:w="1128" w:type="dxa"/>
            <w:vMerge w:val="restart"/>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41A5D4E2">
            <w:pPr>
              <w:pStyle w:val="34"/>
            </w:pPr>
            <w:r>
              <w:rPr>
                <w:rFonts w:hint="eastAsia"/>
              </w:rPr>
              <w:t>金融借记IC普卡/金卡等空白卡及个人化服务</w:t>
            </w:r>
          </w:p>
        </w:tc>
        <w:tc>
          <w:tcPr>
            <w:tcW w:w="1108" w:type="dxa"/>
            <w:vMerge w:val="restart"/>
            <w:tcBorders>
              <w:top w:val="single" w:color="000000" w:sz="4" w:space="0"/>
              <w:left w:val="single" w:color="000000" w:sz="4" w:space="0"/>
              <w:bottom w:val="single" w:color="000000" w:sz="4" w:space="0"/>
              <w:right w:val="single" w:color="000000" w:sz="4" w:space="0"/>
            </w:tcBorders>
            <w:noWrap/>
            <w:vAlign w:val="center"/>
          </w:tcPr>
          <w:p w14:paraId="080C9075">
            <w:pPr>
              <w:pStyle w:val="34"/>
            </w:pPr>
          </w:p>
        </w:tc>
        <w:tc>
          <w:tcPr>
            <w:tcW w:w="1246" w:type="dxa"/>
            <w:tcBorders>
              <w:top w:val="single" w:color="000000" w:sz="4" w:space="0"/>
              <w:left w:val="single" w:color="000000" w:sz="4" w:space="0"/>
              <w:bottom w:val="single" w:color="000000" w:sz="4" w:space="0"/>
              <w:right w:val="single" w:color="000000" w:sz="4" w:space="0"/>
            </w:tcBorders>
            <w:noWrap/>
            <w:vAlign w:val="center"/>
          </w:tcPr>
          <w:p w14:paraId="1C99D333">
            <w:pPr>
              <w:pStyle w:val="34"/>
            </w:pPr>
          </w:p>
        </w:tc>
        <w:tc>
          <w:tcPr>
            <w:tcW w:w="1108" w:type="dxa"/>
            <w:tcBorders>
              <w:top w:val="single" w:color="000000" w:sz="4" w:space="0"/>
              <w:left w:val="single" w:color="000000" w:sz="4" w:space="0"/>
              <w:bottom w:val="single" w:color="000000" w:sz="4" w:space="0"/>
              <w:right w:val="single" w:color="000000" w:sz="4" w:space="0"/>
            </w:tcBorders>
            <w:noWrap/>
            <w:vAlign w:val="center"/>
          </w:tcPr>
          <w:p w14:paraId="2F299107">
            <w:pPr>
              <w:pStyle w:val="34"/>
            </w:pPr>
          </w:p>
        </w:tc>
        <w:tc>
          <w:tcPr>
            <w:tcW w:w="1131" w:type="dxa"/>
            <w:vMerge w:val="restart"/>
            <w:tcBorders>
              <w:top w:val="single" w:color="000000" w:sz="4" w:space="0"/>
              <w:left w:val="single" w:color="000000" w:sz="4" w:space="0"/>
              <w:bottom w:val="single" w:color="000000" w:sz="4" w:space="0"/>
              <w:right w:val="single" w:color="000000" w:sz="4" w:space="0"/>
            </w:tcBorders>
            <w:noWrap/>
            <w:vAlign w:val="center"/>
          </w:tcPr>
          <w:p w14:paraId="72E8565F">
            <w:pPr>
              <w:pStyle w:val="34"/>
            </w:pPr>
            <w:r>
              <w:rPr>
                <w:rFonts w:hint="eastAsia"/>
              </w:rPr>
              <w:t>80K</w:t>
            </w:r>
          </w:p>
        </w:tc>
        <w:tc>
          <w:tcPr>
            <w:tcW w:w="2596" w:type="dxa"/>
            <w:vMerge w:val="restart"/>
            <w:tcBorders>
              <w:top w:val="single" w:color="000000" w:sz="4" w:space="0"/>
              <w:left w:val="single" w:color="000000" w:sz="4" w:space="0"/>
              <w:bottom w:val="single" w:color="000000" w:sz="4" w:space="0"/>
              <w:right w:val="single" w:color="000000" w:sz="4" w:space="0"/>
            </w:tcBorders>
            <w:noWrap/>
            <w:vAlign w:val="center"/>
          </w:tcPr>
          <w:p w14:paraId="5DC1182A">
            <w:pPr>
              <w:pStyle w:val="34"/>
            </w:pPr>
            <w:r>
              <w:rPr>
                <w:rFonts w:hint="eastAsia"/>
              </w:rPr>
              <w:t>空白卡：双界面IC、显性磁条复合卡，优质PVC材料，卡体厚度为0.82+0.02mm、高抗磁条，金/银粉+光面+珠光，中国银联有关规定印制标识、甲方要求印制的标识、磁条加载；</w:t>
            </w:r>
          </w:p>
          <w:p w14:paraId="236323FD">
            <w:pPr>
              <w:pStyle w:val="34"/>
            </w:pPr>
            <w:r>
              <w:rPr>
                <w:rFonts w:hint="eastAsia"/>
              </w:rPr>
              <w:t>个人化：卡号/有效期/个人化姓名凸码打印（烫金/银）、CVN2凹码打印、写磁、写芯片</w:t>
            </w:r>
          </w:p>
        </w:tc>
        <w:tc>
          <w:tcPr>
            <w:tcW w:w="1577" w:type="dxa"/>
            <w:vMerge w:val="restart"/>
            <w:tcBorders>
              <w:top w:val="single" w:color="000000" w:sz="4" w:space="0"/>
              <w:left w:val="single" w:color="000000" w:sz="4" w:space="0"/>
              <w:bottom w:val="single" w:color="000000" w:sz="4" w:space="0"/>
              <w:right w:val="single" w:color="000000" w:sz="4" w:space="0"/>
            </w:tcBorders>
            <w:noWrap/>
            <w:vAlign w:val="center"/>
          </w:tcPr>
          <w:p w14:paraId="36495497">
            <w:pPr>
              <w:pStyle w:val="34"/>
            </w:pPr>
            <w:r>
              <w:rPr>
                <w:rFonts w:hint="eastAsia"/>
              </w:rPr>
              <w:t>空白卡：元/张</w:t>
            </w:r>
          </w:p>
          <w:p w14:paraId="619C4932">
            <w:pPr>
              <w:pStyle w:val="34"/>
            </w:pPr>
            <w:r>
              <w:rPr>
                <w:rFonts w:hint="eastAsia"/>
              </w:rPr>
              <w:t>个人化：元/张</w:t>
            </w:r>
          </w:p>
        </w:tc>
      </w:tr>
      <w:tr w14:paraId="4E596B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5" w:hRule="atLeast"/>
        </w:trPr>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3FFAD2EE"/>
        </w:tc>
        <w:tc>
          <w:tcPr>
            <w:tcW w:w="1108" w:type="dxa"/>
            <w:vMerge w:val="continue"/>
            <w:tcBorders>
              <w:top w:val="single" w:color="000000" w:sz="4" w:space="0"/>
              <w:left w:val="single" w:color="000000" w:sz="4" w:space="0"/>
              <w:bottom w:val="single" w:color="000000" w:sz="4" w:space="0"/>
              <w:right w:val="single" w:color="000000" w:sz="4" w:space="0"/>
            </w:tcBorders>
            <w:noWrap/>
            <w:vAlign w:val="center"/>
          </w:tcPr>
          <w:p w14:paraId="105C734E"/>
        </w:tc>
        <w:tc>
          <w:tcPr>
            <w:tcW w:w="1246" w:type="dxa"/>
            <w:tcBorders>
              <w:top w:val="single" w:color="000000" w:sz="4" w:space="0"/>
              <w:left w:val="single" w:color="000000" w:sz="4" w:space="0"/>
              <w:bottom w:val="single" w:color="000000" w:sz="4" w:space="0"/>
              <w:right w:val="single" w:color="000000" w:sz="4" w:space="0"/>
            </w:tcBorders>
            <w:noWrap/>
            <w:vAlign w:val="center"/>
          </w:tcPr>
          <w:p w14:paraId="29725F82">
            <w:pPr>
              <w:pStyle w:val="34"/>
            </w:pPr>
          </w:p>
        </w:tc>
        <w:tc>
          <w:tcPr>
            <w:tcW w:w="1108" w:type="dxa"/>
            <w:tcBorders>
              <w:top w:val="single" w:color="000000" w:sz="4" w:space="0"/>
              <w:left w:val="single" w:color="000000" w:sz="4" w:space="0"/>
              <w:bottom w:val="single" w:color="000000" w:sz="4" w:space="0"/>
              <w:right w:val="single" w:color="000000" w:sz="4" w:space="0"/>
            </w:tcBorders>
            <w:noWrap/>
            <w:vAlign w:val="center"/>
          </w:tcPr>
          <w:p w14:paraId="523EB629">
            <w:pPr>
              <w:pStyle w:val="34"/>
            </w:pPr>
          </w:p>
        </w:tc>
        <w:tc>
          <w:tcPr>
            <w:tcW w:w="1131" w:type="dxa"/>
            <w:vMerge w:val="continue"/>
            <w:tcBorders>
              <w:top w:val="single" w:color="000000" w:sz="4" w:space="0"/>
              <w:left w:val="single" w:color="000000" w:sz="4" w:space="0"/>
              <w:bottom w:val="single" w:color="000000" w:sz="4" w:space="0"/>
              <w:right w:val="single" w:color="000000" w:sz="4" w:space="0"/>
            </w:tcBorders>
            <w:noWrap/>
            <w:vAlign w:val="center"/>
          </w:tcPr>
          <w:p w14:paraId="286FBFBF"/>
        </w:tc>
        <w:tc>
          <w:tcPr>
            <w:tcW w:w="2596" w:type="dxa"/>
            <w:vMerge w:val="continue"/>
            <w:tcBorders>
              <w:top w:val="single" w:color="000000" w:sz="4" w:space="0"/>
              <w:left w:val="single" w:color="000000" w:sz="4" w:space="0"/>
              <w:bottom w:val="single" w:color="000000" w:sz="4" w:space="0"/>
              <w:right w:val="single" w:color="000000" w:sz="4" w:space="0"/>
            </w:tcBorders>
            <w:noWrap/>
            <w:vAlign w:val="center"/>
          </w:tcPr>
          <w:p w14:paraId="0091DE4A"/>
        </w:tc>
        <w:tc>
          <w:tcPr>
            <w:tcW w:w="1577" w:type="dxa"/>
            <w:vMerge w:val="continue"/>
            <w:tcBorders>
              <w:top w:val="single" w:color="000000" w:sz="4" w:space="0"/>
              <w:left w:val="single" w:color="000000" w:sz="4" w:space="0"/>
              <w:bottom w:val="single" w:color="000000" w:sz="4" w:space="0"/>
              <w:right w:val="single" w:color="000000" w:sz="4" w:space="0"/>
            </w:tcBorders>
            <w:noWrap/>
            <w:vAlign w:val="center"/>
          </w:tcPr>
          <w:p w14:paraId="4AE1186E"/>
        </w:tc>
      </w:tr>
      <w:tr w14:paraId="217C66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9" w:hRule="atLeast"/>
        </w:trPr>
        <w:tc>
          <w:tcPr>
            <w:tcW w:w="1128" w:type="dxa"/>
            <w:tcBorders>
              <w:top w:val="single" w:color="auto" w:sz="4" w:space="0"/>
              <w:left w:val="single" w:color="auto" w:sz="4" w:space="0"/>
              <w:bottom w:val="single" w:color="auto" w:sz="4" w:space="0"/>
              <w:right w:val="single" w:color="auto" w:sz="4" w:space="0"/>
            </w:tcBorders>
            <w:shd w:val="clear" w:color="auto" w:fill="D9D9D9"/>
            <w:noWrap/>
          </w:tcPr>
          <w:p w14:paraId="123E1C5F">
            <w:pPr>
              <w:pStyle w:val="34"/>
            </w:pPr>
            <w:r>
              <w:rPr>
                <w:rFonts w:hint="eastAsia"/>
              </w:rPr>
              <w:t>其他新增借记IC卡空白卡及个人化服务</w:t>
            </w:r>
          </w:p>
        </w:tc>
        <w:tc>
          <w:tcPr>
            <w:tcW w:w="8766" w:type="dxa"/>
            <w:gridSpan w:val="6"/>
            <w:tcBorders>
              <w:top w:val="single" w:color="auto" w:sz="4" w:space="0"/>
              <w:left w:val="single" w:color="auto" w:sz="4" w:space="0"/>
              <w:bottom w:val="single" w:color="auto" w:sz="4" w:space="0"/>
              <w:right w:val="single" w:color="auto" w:sz="4" w:space="0"/>
            </w:tcBorders>
            <w:noWrap/>
          </w:tcPr>
          <w:p w14:paraId="67505042">
            <w:pPr>
              <w:pStyle w:val="34"/>
            </w:pPr>
          </w:p>
          <w:p w14:paraId="2CBC57CD">
            <w:pPr>
              <w:pStyle w:val="34"/>
            </w:pPr>
            <w:r>
              <w:rPr>
                <w:rFonts w:hint="eastAsia"/>
              </w:rPr>
              <w:t>以甲方提供的卡片设计为准，原则上采用亚光面、珠光、烫金/银、平印、黑色高抗磁条、优质进口PVC材料等工艺。参照金融IC普卡/金卡等配置。以甲方实际需求为准。</w:t>
            </w:r>
          </w:p>
        </w:tc>
      </w:tr>
    </w:tbl>
    <w:p w14:paraId="6E4724C3">
      <w:r>
        <w:rPr>
          <w:rFonts w:hint="eastAsia"/>
        </w:rPr>
        <w:t>（一）《重庆三峡银行借记IC卡空白卡及个人化采购价格表》中所列单价为最终付款单价，该单价已包含借记IC卡空白卡的制造（含辅料）、数据处理、空白卡管理、防伪工艺、个人化服务、包装、运输、保险、测试、技术支持、银联标识使用、售后服务、培训服务、税金、卡样送检等费用。</w:t>
      </w:r>
    </w:p>
    <w:p w14:paraId="7301B234">
      <w:r>
        <w:rPr>
          <w:rFonts w:hint="eastAsia"/>
        </w:rPr>
        <w:t>（二）后续增加卡种需增加特殊工艺的，由双方协商决定，并由乙方出具银行卡工艺确认书，根据甲方确认的特殊工艺种类、工艺单价、计价方式最终确定付款价格。</w:t>
      </w:r>
    </w:p>
    <w:p w14:paraId="7F1E686F">
      <w:r>
        <w:rPr>
          <w:rFonts w:hint="eastAsia"/>
        </w:rPr>
        <w:t>（三）以上产品使用芯片均满足M1功能，能够兼容各行业应用的加载。</w:t>
      </w:r>
    </w:p>
    <w:p w14:paraId="138C274D">
      <w:r>
        <w:rPr>
          <w:rFonts w:hint="eastAsia"/>
        </w:rPr>
        <w:t>（四）借记IC卡空白卡全部使用优质PVC材料、高抗磁条，相关质量参数及个人化结果应符合国家、银联有关标准及甲方《重庆三峡银行2026—2028年借记IC卡空白卡及卡片个人化服务采购项目比选文件》、乙方《重庆三峡银行2026—2028年借记IC卡空白卡及卡片个人化服务采购项目参选文件》及《重庆三峡银行借记IC卡质量及技术标准》（附件1）的要求。</w:t>
      </w:r>
    </w:p>
    <w:p w14:paraId="41F45187">
      <w:r>
        <w:rPr>
          <w:rFonts w:hint="eastAsia"/>
        </w:rPr>
        <w:t>（五）本合同有效期内，经甲方书面同意，乙方可采用新工艺材料或变更个人化内容，付款单价由双方另行协商，其他内容按本合同相关条款执行。</w:t>
      </w:r>
    </w:p>
    <w:p w14:paraId="12B59CDB">
      <w:r>
        <w:rPr>
          <w:rFonts w:hint="eastAsia"/>
        </w:rPr>
        <w:t>（六）甲方根据业务需要新增加借记IC卡品种时，如采用新材质或制作工艺，付款单价由双方另行协商。</w:t>
      </w:r>
    </w:p>
    <w:p w14:paraId="08DC3623">
      <w:r>
        <w:rPr>
          <w:rFonts w:hint="eastAsia"/>
        </w:rPr>
        <w:t>（七）本合同有效期内，如中标市价有下调，则乙方应同幅下调付款单价，具体下调比例由甲乙双方另行协商。</w:t>
      </w:r>
    </w:p>
    <w:p w14:paraId="751DC773">
      <w:pPr>
        <w:pStyle w:val="36"/>
      </w:pPr>
      <w:r>
        <w:t>第三条 银行卡质量标准、技术要求及制作要求</w:t>
      </w:r>
    </w:p>
    <w:p w14:paraId="7D41638F">
      <w:r>
        <w:rPr>
          <w:rFonts w:hint="eastAsia"/>
        </w:rPr>
        <w:t>（一）卡片的质量和技术必须符合《重庆三峡银行借记IC卡质量及技术标准》（附件1）的要求。甲方在提前30日通知乙方的前提下，有权对银行卡质量和技术标准进行变更，乙方应按甲方变更后的要求生产及制作卡片，且甲方无需另行向乙方支付费用。</w:t>
      </w:r>
    </w:p>
    <w:p w14:paraId="115D3531">
      <w:r>
        <w:rPr>
          <w:rFonts w:hint="eastAsia"/>
        </w:rPr>
        <w:t>（二）卡片的制作要求：以甲方要求为准。</w:t>
      </w:r>
    </w:p>
    <w:p w14:paraId="4DF3E0DE">
      <w:pPr>
        <w:pStyle w:val="36"/>
      </w:pPr>
      <w:r>
        <w:t>第四条 卡面设计及样卡管理</w:t>
      </w:r>
    </w:p>
    <w:p w14:paraId="162C8ABA">
      <w:r>
        <w:rPr>
          <w:rFonts w:hint="eastAsia"/>
        </w:rPr>
        <w:t>（一）卡面设计提供方式</w:t>
      </w:r>
    </w:p>
    <w:p w14:paraId="522B6D3A">
      <w:r>
        <w:rPr>
          <w:rFonts w:hint="eastAsia"/>
        </w:rPr>
        <w:t>借记IC卡卡面设计可由甲方自行提供或乙方免费为甲方提供。</w:t>
      </w:r>
    </w:p>
    <w:p w14:paraId="4362B75D">
      <w:r>
        <w:rPr>
          <w:rFonts w:hint="eastAsia"/>
        </w:rPr>
        <w:t>1、甲方提供卡面设计模式</w:t>
      </w:r>
    </w:p>
    <w:p w14:paraId="4535ECEF">
      <w:r>
        <w:rPr>
          <w:rFonts w:hint="eastAsia"/>
        </w:rPr>
        <w:t>甲方负责向乙方提供借记IC卡卡面设计电子文件及有关标准。借记IC卡卡面设计的版权和知识产权归甲方所有。</w:t>
      </w:r>
    </w:p>
    <w:p w14:paraId="1AF158F6">
      <w:r>
        <w:rPr>
          <w:rFonts w:hint="eastAsia"/>
        </w:rPr>
        <w:t>2、乙方提供卡面设计模式</w:t>
      </w:r>
    </w:p>
    <w:p w14:paraId="1D9EC2D4">
      <w:r>
        <w:rPr>
          <w:rFonts w:hint="eastAsia"/>
        </w:rPr>
        <w:t>（1）乙方根据甲方要求，可免费为甲方提供卡面设计、制作卡片设计规格书，并承诺其设计成果不侵犯任何第三方权益，否则应承担因版权问题而产生的全部责任。</w:t>
      </w:r>
    </w:p>
    <w:p w14:paraId="13B91523">
      <w:r>
        <w:rPr>
          <w:rFonts w:hint="eastAsia"/>
        </w:rPr>
        <w:t>（2）乙方提供的卡面设计一旦被甲方采用，其版权和知识产权归甲方所有，甲方可自主使用或修改相关设计成果。</w:t>
      </w:r>
    </w:p>
    <w:p w14:paraId="74268B8E">
      <w:r>
        <w:rPr>
          <w:rFonts w:hint="eastAsia"/>
        </w:rPr>
        <w:t>（3）在接到甲方关于卡样设计的需求后，乙方应在3个工作日内完成设计并提供相应的详细设计思路说明。</w:t>
      </w:r>
    </w:p>
    <w:p w14:paraId="2679D783">
      <w:r>
        <w:rPr>
          <w:rFonts w:hint="eastAsia"/>
        </w:rPr>
        <w:t>（二）样卡生产及确认</w:t>
      </w:r>
    </w:p>
    <w:p w14:paraId="07B0CCA3">
      <w:r>
        <w:rPr>
          <w:rFonts w:hint="eastAsia"/>
        </w:rPr>
        <w:t>在接到甲方关于卡面设计的确认结果后，乙方应在7个工作日内制作样卡、移交甲方评审，并免费配合按甲方要求进行修改及重新生产样卡（不限样卡生产次数）。</w:t>
      </w:r>
    </w:p>
    <w:p w14:paraId="3E1D8EAC">
      <w:r>
        <w:rPr>
          <w:rFonts w:hint="eastAsia"/>
        </w:rPr>
        <w:t>（三）样卡送审</w:t>
      </w:r>
    </w:p>
    <w:p w14:paraId="144D4D02">
      <w:r>
        <w:rPr>
          <w:rFonts w:hint="eastAsia"/>
        </w:rPr>
        <w:t>乙方向银行卡组织申报卡确认卡面设计及样卡期间，甲方积极协助乙方提供申报所需的全部资料，并配合按银行卡组织要求无偿修改卡样及样卡。</w:t>
      </w:r>
    </w:p>
    <w:p w14:paraId="4355E353">
      <w:r>
        <w:rPr>
          <w:rFonts w:hint="eastAsia"/>
        </w:rPr>
        <w:t>（四）额外样卡制作</w:t>
      </w:r>
    </w:p>
    <w:p w14:paraId="52023C41">
      <w:r>
        <w:rPr>
          <w:rFonts w:hint="eastAsia"/>
        </w:rPr>
        <w:t>乙方根据甲方要求，在正式批量生产前免费提供额外样卡制作服务。</w:t>
      </w:r>
    </w:p>
    <w:p w14:paraId="1AADDBCF">
      <w:pPr>
        <w:pStyle w:val="34"/>
        <w:ind w:firstLine="420" w:firstLineChars="200"/>
        <w:rPr>
          <w:szCs w:val="21"/>
        </w:rPr>
      </w:pPr>
      <w:r>
        <w:rPr>
          <w:rFonts w:hint="eastAsia"/>
          <w:szCs w:val="21"/>
        </w:rPr>
        <w:t>（五）测试卡指定机构出具的检测结果存档</w:t>
      </w:r>
    </w:p>
    <w:p w14:paraId="5BF4AA35">
      <w:pPr>
        <w:pStyle w:val="34"/>
        <w:ind w:firstLine="420" w:firstLineChars="200"/>
        <w:rPr>
          <w:szCs w:val="21"/>
        </w:rPr>
      </w:pPr>
      <w:r>
        <w:rPr>
          <w:rFonts w:hint="eastAsia"/>
          <w:szCs w:val="21"/>
        </w:rPr>
        <w:t>乙方借记IC卡通过银行卡组织指定机构的个人化检测并通过后，甲乙双方应完成该卡的指定机构出具的个人化检测通过结果存档。</w:t>
      </w:r>
    </w:p>
    <w:p w14:paraId="29AFE98C">
      <w:pPr>
        <w:pStyle w:val="34"/>
        <w:ind w:firstLine="420" w:firstLineChars="200"/>
        <w:rPr>
          <w:szCs w:val="21"/>
        </w:rPr>
      </w:pPr>
      <w:r>
        <w:rPr>
          <w:rFonts w:hint="eastAsia"/>
          <w:szCs w:val="21"/>
        </w:rPr>
        <w:t>（六）卡面设计资料存档</w:t>
      </w:r>
    </w:p>
    <w:p w14:paraId="67941345">
      <w:r>
        <w:rPr>
          <w:rFonts w:hint="eastAsia"/>
        </w:rPr>
        <w:t>待甲方确认卡面设计及样卡无误后，乙方应将该卡样及辅料的卡样设计规格书、设计原始文档（PSD格式、CDR格式或AI格式）、样卡存档。甲方保留核查权利，有权对存档资料进行查阅。</w:t>
      </w:r>
    </w:p>
    <w:p w14:paraId="18B49108">
      <w:r>
        <w:rPr>
          <w:rFonts w:hint="eastAsia"/>
        </w:rPr>
        <w:t>（六）卡样资料及样稿销毁</w:t>
      </w:r>
    </w:p>
    <w:p w14:paraId="011B26CC">
      <w:r>
        <w:rPr>
          <w:rFonts w:hint="eastAsia"/>
        </w:rPr>
        <w:t>1、针对甲方停止发行的借记IC卡品种，乙方应在接到甲方书面通知后的5个工作日内，销毁该借记IC卡品种的卡样资料及样稿。</w:t>
      </w:r>
    </w:p>
    <w:p w14:paraId="354C6F46">
      <w:r>
        <w:rPr>
          <w:rFonts w:hint="eastAsia"/>
        </w:rPr>
        <w:t>2、本合同终止或乙方的服务期限届满后，乙方应在5个工作日内销毁合作期间甲方提供及乙方为甲方设计的卡样资料及样稿。</w:t>
      </w:r>
    </w:p>
    <w:p w14:paraId="1977670F">
      <w:r>
        <w:rPr>
          <w:rFonts w:hint="eastAsia"/>
        </w:rPr>
        <w:t>3、如因乙方原因致使甲方卡样或样稿流入市场，甲方保留向乙方追偿的权利。</w:t>
      </w:r>
    </w:p>
    <w:p w14:paraId="1570BAC1">
      <w:pPr>
        <w:pStyle w:val="36"/>
      </w:pPr>
      <w:r>
        <w:t>第五条 个人化数据确认及管理</w:t>
      </w:r>
    </w:p>
    <w:p w14:paraId="6D7F6C8E">
      <w:r>
        <w:rPr>
          <w:rFonts w:hint="eastAsia"/>
        </w:rPr>
        <w:t>（一）个人化服务准备</w:t>
      </w:r>
    </w:p>
    <w:p w14:paraId="16C8A4F2">
      <w:r>
        <w:rPr>
          <w:rFonts w:hint="eastAsia"/>
        </w:rPr>
        <w:t>1、乙方应配合甲方对各类借记IC卡的个人化数据及格式等制卡规范进行内部测试，并提出优化建议。</w:t>
      </w:r>
    </w:p>
    <w:p w14:paraId="1B47A91F">
      <w:r>
        <w:rPr>
          <w:rFonts w:hint="eastAsia"/>
        </w:rPr>
        <w:t>2、自收到甲方提供的个人化数据及格式等资料之日起，乙方应在7个工作日内制作测试卡、移交甲方，并在14日内完成个人化数据标准处理程序的开发及测试工作。</w:t>
      </w:r>
    </w:p>
    <w:p w14:paraId="32112CAC">
      <w:r>
        <w:rPr>
          <w:rFonts w:hint="eastAsia"/>
        </w:rPr>
        <w:t>（二）个人化数据确认流程</w:t>
      </w:r>
    </w:p>
    <w:p w14:paraId="53DE2A02">
      <w:r>
        <w:rPr>
          <w:rFonts w:hint="eastAsia"/>
        </w:rPr>
        <w:t>1、甲方专人将加密后的个人化数据资料传送给乙方。</w:t>
      </w:r>
    </w:p>
    <w:p w14:paraId="0DF6B16A">
      <w:r>
        <w:rPr>
          <w:rFonts w:hint="eastAsia"/>
        </w:rPr>
        <w:t>2、乙方数据专管人员收到数据后，</w:t>
      </w:r>
      <w:r>
        <w:rPr>
          <w:rFonts w:hint="eastAsia"/>
          <w:szCs w:val="21"/>
        </w:rPr>
        <w:t>应在1个工作日内完成个人化数据确认并将确认结果正确与否反馈采购人。响应人应对个人化数据确认包括但不限于个人化数据解密、格式核对、重复卡检查等。</w:t>
      </w:r>
    </w:p>
    <w:p w14:paraId="3EBBD035">
      <w:r>
        <w:rPr>
          <w:rFonts w:hint="eastAsia"/>
        </w:rPr>
        <w:t>3、如确认有误，乙方数据专管人员应配合查询有误原因并及时解决。</w:t>
      </w:r>
    </w:p>
    <w:p w14:paraId="471223EC">
      <w:r>
        <w:rPr>
          <w:rFonts w:hint="eastAsia"/>
        </w:rPr>
        <w:t>4、如确认无误，立即正式进行卡片个人化处理。</w:t>
      </w:r>
    </w:p>
    <w:p w14:paraId="0A3368D7">
      <w:r>
        <w:rPr>
          <w:rFonts w:hint="eastAsia"/>
        </w:rPr>
        <w:t>5、个人化完成后，乙方应按监管机构及中国银联、VISA、MASTERCARD等银行卡组织的标准及要求，在保障数据安全的前提下对数据进行定期销毁，并做好销毁记录，以便甲方查验。</w:t>
      </w:r>
    </w:p>
    <w:p w14:paraId="7FAD6F4D">
      <w:r>
        <w:rPr>
          <w:rFonts w:hint="eastAsia"/>
        </w:rPr>
        <w:t>（三）乙方应严格按甲方提供的个人化数据资料及其他个人化处理指引进行个人化处理。</w:t>
      </w:r>
    </w:p>
    <w:p w14:paraId="170283FC">
      <w:r>
        <w:rPr>
          <w:rFonts w:hint="eastAsia"/>
        </w:rPr>
        <w:t>（四）如乙方使用未经甲方确认个人化数据资料进行个人化服务，乙方须承担由此产生的一切后果，并赔偿由此给甲方造成的全部损失。</w:t>
      </w:r>
    </w:p>
    <w:p w14:paraId="05F79988">
      <w:r>
        <w:rPr>
          <w:rFonts w:hint="eastAsia"/>
        </w:rPr>
        <w:t>（五）乙方数据专管人员必须相对稳定，如更换必须及时提前书面通知甲方。</w:t>
      </w:r>
    </w:p>
    <w:p w14:paraId="6A471154">
      <w:r>
        <w:rPr>
          <w:rFonts w:hint="eastAsia"/>
        </w:rPr>
        <w:t>（六）乙方有责任提供日常管理报表给甲方，报表周期按日、月、年打印，报表种类和格式由双方协商确定。</w:t>
      </w:r>
    </w:p>
    <w:p w14:paraId="15C4DDBC">
      <w:pPr>
        <w:pStyle w:val="36"/>
      </w:pPr>
      <w:r>
        <w:t>第六条 产品包装及运输要求</w:t>
      </w:r>
    </w:p>
    <w:p w14:paraId="1FF76284">
      <w:pPr>
        <w:pStyle w:val="44"/>
        <w:numPr>
          <w:ilvl w:val="0"/>
          <w:numId w:val="1"/>
        </w:numPr>
        <w:ind w:firstLineChars="0"/>
        <w:rPr>
          <w:rFonts w:hint="eastAsia"/>
        </w:rPr>
      </w:pPr>
      <w:r>
        <w:rPr>
          <w:rFonts w:hint="eastAsia"/>
        </w:rPr>
        <w:t>包装规格</w:t>
      </w:r>
    </w:p>
    <w:p w14:paraId="7A0D9841">
      <w:r>
        <w:rPr>
          <w:rFonts w:hint="eastAsia"/>
        </w:rPr>
        <w:t>1、空白卡包装规格</w:t>
      </w:r>
    </w:p>
    <w:p w14:paraId="0BC2E8AD">
      <w:r>
        <w:rPr>
          <w:rFonts w:hint="eastAsia"/>
        </w:rPr>
        <w:t>（1）内盒规格：250张/盒；</w:t>
      </w:r>
    </w:p>
    <w:p w14:paraId="71081007">
      <w:r>
        <w:rPr>
          <w:rFonts w:hint="eastAsia"/>
        </w:rPr>
        <w:t>（2）外箱规格：2000张/箱。</w:t>
      </w:r>
    </w:p>
    <w:p w14:paraId="184476DF">
      <w:r>
        <w:rPr>
          <w:rFonts w:hint="eastAsia"/>
        </w:rPr>
        <w:t>2、已完成个人化的批量成品卡包装规格</w:t>
      </w:r>
    </w:p>
    <w:p w14:paraId="2DAF5A0C">
      <w:r>
        <w:rPr>
          <w:rFonts w:hint="eastAsia"/>
        </w:rPr>
        <w:t>（1）内盒规格：200张/盒；</w:t>
      </w:r>
    </w:p>
    <w:p w14:paraId="10505614">
      <w:r>
        <w:rPr>
          <w:rFonts w:hint="eastAsia"/>
        </w:rPr>
        <w:t>（2）外箱规格：2000张/箱。</w:t>
      </w:r>
    </w:p>
    <w:p w14:paraId="2475AD47">
      <w:pPr>
        <w:rPr>
          <w:szCs w:val="21"/>
        </w:rPr>
      </w:pPr>
      <w:r>
        <w:rPr>
          <w:rFonts w:hint="eastAsia"/>
        </w:rPr>
        <w:t>3.</w:t>
      </w:r>
      <w:r>
        <w:rPr>
          <w:rFonts w:hint="eastAsia"/>
          <w:szCs w:val="21"/>
        </w:rPr>
        <w:t xml:space="preserve"> 零散代发卡包装规格</w:t>
      </w:r>
    </w:p>
    <w:p w14:paraId="25465E67">
      <w:pPr>
        <w:rPr>
          <w:szCs w:val="21"/>
        </w:rPr>
      </w:pPr>
      <w:r>
        <w:rPr>
          <w:rFonts w:hint="eastAsia"/>
          <w:szCs w:val="21"/>
        </w:rPr>
        <w:t>（1）内包装：以信封形式包装；</w:t>
      </w:r>
    </w:p>
    <w:p w14:paraId="31BDFFD7">
      <w:pPr>
        <w:rPr>
          <w:rFonts w:hint="eastAsia"/>
          <w:szCs w:val="21"/>
        </w:rPr>
      </w:pPr>
      <w:r>
        <w:rPr>
          <w:rFonts w:hint="eastAsia"/>
          <w:szCs w:val="21"/>
        </w:rPr>
        <w:t>（2）外包装：使用安全可靠的包装材料。</w:t>
      </w:r>
    </w:p>
    <w:p w14:paraId="52392261">
      <w:r>
        <w:rPr>
          <w:rFonts w:hint="eastAsia"/>
        </w:rPr>
        <w:t>（二）乙方应确保借记IC卡产品的外箱包装材料采用安全纸箱或木箱，配有能确保成品卡在长途运输过程中的安全、防潮、防损，并配置防止中途拆包的措施。包装物乙方不予回收。</w:t>
      </w:r>
    </w:p>
    <w:p w14:paraId="5CCF00C3">
      <w:r>
        <w:rPr>
          <w:rFonts w:hint="eastAsia"/>
        </w:rPr>
        <w:t>（三）乙方应在借记IC卡产品的外箱、外包装及内盒、内包装上按甲方要求标注包装标识，包括但不限于卡名称、数量、起始卡号（空白卡无需填写此项）等。乙方应在大运输包装件上清楚注明印刷件号、尺码、毛重、净重和注意事项，对卡号等外包装关键要素作掩码处理。</w:t>
      </w:r>
    </w:p>
    <w:p w14:paraId="670853BB">
      <w:r>
        <w:rPr>
          <w:rFonts w:hint="eastAsia"/>
        </w:rPr>
        <w:t>（四）乙方应在借记IC卡产品的外箱内、外包装内或内盒内、内包装应附有该批次成品卡的交接清单。交接清单格式由甲方指定，包括但不限于乙方名称、卡名称、数量、归属机构（空白卡无需填写此项）、起始卡号（空白卡无需填写此项）等。</w:t>
      </w:r>
    </w:p>
    <w:p w14:paraId="75031C51">
      <w:r>
        <w:rPr>
          <w:rFonts w:hint="eastAsia"/>
        </w:rPr>
        <w:t>（五）凡因采取不充分或不妥善的包装而造成的损失，由乙方承担由此产生的全部损失费用，由此导致逾期交货的，乙方还应承担逾期交货违约责任。</w:t>
      </w:r>
    </w:p>
    <w:p w14:paraId="7090322F">
      <w:r>
        <w:rPr>
          <w:rFonts w:hint="eastAsia"/>
        </w:rPr>
        <w:t>（六）乙方应确保借记IC卡产品的运输符合监管机构及中国银联、VISA、MasterCard等银行卡组织的规范，一律采用航空运输或保安押运的方式，不允许进行铁路运输。乙应与合作物流的签订运输协议。如后续相关规范调整，乙方应及时更改运输方式并书面通知甲方。</w:t>
      </w:r>
    </w:p>
    <w:p w14:paraId="35760F9C">
      <w:r>
        <w:rPr>
          <w:rFonts w:hint="eastAsia"/>
        </w:rPr>
        <w:t>（七）针对乙方采取的各类代理运输方式，乙方应与代理方签订严格的银行卡产品运输安全保密协议，并为货物购买保险。相关费用由乙方自行支付。</w:t>
      </w:r>
    </w:p>
    <w:p w14:paraId="10C0A0A1">
      <w:pPr>
        <w:pStyle w:val="36"/>
      </w:pPr>
      <w:r>
        <w:t>第七条 交货时间、交货地点、交货方式</w:t>
      </w:r>
    </w:p>
    <w:p w14:paraId="52FC181E">
      <w:r>
        <w:rPr>
          <w:rFonts w:hint="eastAsia"/>
        </w:rPr>
        <w:t>（一）交货时间</w:t>
      </w:r>
    </w:p>
    <w:p w14:paraId="6A91D31A">
      <w:r>
        <w:rPr>
          <w:rFonts w:hint="eastAsia"/>
        </w:rPr>
        <w:t>1、空白卡正常交货时间</w:t>
      </w:r>
    </w:p>
    <w:p w14:paraId="7AC528FB">
      <w:r>
        <w:rPr>
          <w:rFonts w:hint="eastAsia"/>
        </w:rPr>
        <w:t>自甲方提供订购单之日起，乙方应在</w:t>
      </w:r>
      <w:r>
        <w:rPr>
          <w:rFonts w:hint="eastAsia"/>
          <w:szCs w:val="21"/>
        </w:rPr>
        <w:t>10-20</w:t>
      </w:r>
      <w:r>
        <w:rPr>
          <w:rFonts w:hint="eastAsia"/>
        </w:rPr>
        <w:t>日内完成空白卡生产。</w:t>
      </w:r>
    </w:p>
    <w:p w14:paraId="66DA3A35">
      <w:r>
        <w:rPr>
          <w:rFonts w:hint="eastAsia"/>
        </w:rPr>
        <w:t>2、个人化服务正常交货时间</w:t>
      </w:r>
    </w:p>
    <w:p w14:paraId="7126F722">
      <w:pPr>
        <w:pStyle w:val="34"/>
        <w:ind w:firstLine="420" w:firstLineChars="200"/>
        <w:rPr>
          <w:szCs w:val="21"/>
        </w:rPr>
      </w:pPr>
      <w:r>
        <w:rPr>
          <w:rFonts w:hint="eastAsia"/>
          <w:szCs w:val="21"/>
        </w:rPr>
        <w:t>批量预制卡：自采购人传送制卡数据并完成确认之日起，响应人应在5日内完成个人化服务并免费寄送至采购人指定地点。</w:t>
      </w:r>
    </w:p>
    <w:p w14:paraId="202F5EDA">
      <w:pPr>
        <w:pStyle w:val="34"/>
        <w:ind w:firstLine="420" w:firstLineChars="200"/>
        <w:rPr>
          <w:szCs w:val="21"/>
        </w:rPr>
      </w:pPr>
      <w:r>
        <w:rPr>
          <w:rFonts w:hint="eastAsia"/>
          <w:szCs w:val="21"/>
        </w:rPr>
        <w:t>零散待发卡：自采购人传送制卡数据并完成确认之日起，响应人应在次日（遇节假日顺延至节后第一天）寄送出卡片，4日内寄送至采购人指定地点。</w:t>
      </w:r>
    </w:p>
    <w:p w14:paraId="656105B6">
      <w:r>
        <w:rPr>
          <w:rFonts w:hint="eastAsia"/>
        </w:rPr>
        <w:t>3、延期交货</w:t>
      </w:r>
    </w:p>
    <w:p w14:paraId="19EC0AE8">
      <w:r>
        <w:rPr>
          <w:rFonts w:hint="eastAsia"/>
        </w:rPr>
        <w:t>如遇新借记IC卡品种或特殊情况，经甲乙双方协调一致，可适当放宽交货时间，但原则上延期时间不超过5个工作日。且乙方至少应提前5个工作日将延期交货的需求书面通知甲方。</w:t>
      </w:r>
    </w:p>
    <w:p w14:paraId="48484E06">
      <w:r>
        <w:rPr>
          <w:rFonts w:hint="eastAsia"/>
        </w:rPr>
        <w:t>4、提前交货</w:t>
      </w:r>
    </w:p>
    <w:p w14:paraId="0D09A017">
      <w:r>
        <w:rPr>
          <w:rFonts w:hint="eastAsia"/>
        </w:rPr>
        <w:t>若甲方有紧急特殊需求，乙方应配合进行加急处理，原则上10日内完成空白卡片生产、5日内完成个人化服务并寄送至甲方指定地点。</w:t>
      </w:r>
    </w:p>
    <w:p w14:paraId="5C24761D">
      <w:r>
        <w:rPr>
          <w:rFonts w:hint="eastAsia"/>
        </w:rPr>
        <w:t>5.断货的应急处理</w:t>
      </w:r>
    </w:p>
    <w:p w14:paraId="7D21DEA9">
      <w:r>
        <w:rPr>
          <w:rFonts w:hint="eastAsia"/>
        </w:rPr>
        <w:t>乙方应制定完善、可行的库存断货应急预案，支持在5-10个工作日内完成库存补充，3日内寄送至甲方指定地点，以保证产品供应需求。</w:t>
      </w:r>
    </w:p>
    <w:p w14:paraId="08F678E2">
      <w:r>
        <w:rPr>
          <w:rFonts w:hint="eastAsia"/>
        </w:rPr>
        <w:t>（二）交货地点及方式</w:t>
      </w:r>
    </w:p>
    <w:p w14:paraId="63571EAE">
      <w:r>
        <w:rPr>
          <w:rFonts w:hint="eastAsia"/>
        </w:rPr>
        <w:t>1、交货地点为甲方总、分行及其分支机构，具体以订购单形式予以明确。</w:t>
      </w:r>
    </w:p>
    <w:p w14:paraId="6A81AE09">
      <w:r>
        <w:rPr>
          <w:rFonts w:hint="eastAsia"/>
        </w:rPr>
        <w:t>2、甲方对交货时间有特殊要求的(特殊项目)，乙方应根据具体情况提供快递服务。</w:t>
      </w:r>
    </w:p>
    <w:p w14:paraId="5E98682B">
      <w:r>
        <w:rPr>
          <w:rFonts w:hint="eastAsia"/>
        </w:rPr>
        <w:t>3、乙方应按交货地点及时完成空白卡及完成个人化服务的成品卡的寄送，并确保寄送全程安全，否则乙方将承担由此产生的全部损失的赔偿责任。</w:t>
      </w:r>
    </w:p>
    <w:p w14:paraId="474CE40C">
      <w:r>
        <w:rPr>
          <w:rFonts w:hint="eastAsia"/>
        </w:rPr>
        <w:t>4、货物到达指定地点并通过甲方验收之前的安全及其他所有风险由乙方承担，货物通过甲方验收后的安全保管责任由甲方承担。</w:t>
      </w:r>
    </w:p>
    <w:p w14:paraId="0A49042A">
      <w:r>
        <w:rPr>
          <w:rFonts w:hint="eastAsia"/>
        </w:rPr>
        <w:t>（三）发货通知</w:t>
      </w:r>
    </w:p>
    <w:p w14:paraId="2AEBC905">
      <w:r>
        <w:rPr>
          <w:rFonts w:hint="eastAsia"/>
        </w:rPr>
        <w:t>乙方每次发货前，</w:t>
      </w:r>
      <w:r>
        <w:t>需将发货清单随银行卡一并寄送，清单内容注明数据内容段、卡种、甲方提供订购单日期、箱数，以便甲方核对收到的实物。清单需乙方签字、盖章</w:t>
      </w:r>
      <w:r>
        <w:rPr>
          <w:rFonts w:hint="eastAsia"/>
        </w:rPr>
        <w:t>。甲方的订购单、乙方的发货清单均不作为双方最终结算依据，最终结算金额以经甲方验收的卡片数量对应结算单价计算得出。</w:t>
      </w:r>
    </w:p>
    <w:p w14:paraId="5E804042">
      <w:pPr>
        <w:pStyle w:val="36"/>
      </w:pPr>
      <w:r>
        <w:t>第八条 产品交接、抽样验收、未合格卡处理</w:t>
      </w:r>
    </w:p>
    <w:p w14:paraId="61629E0D">
      <w:r>
        <w:rPr>
          <w:rFonts w:hint="eastAsia"/>
        </w:rPr>
        <w:t>（一）产品交接验收</w:t>
      </w:r>
    </w:p>
    <w:p w14:paraId="2A8D8C05">
      <w:r>
        <w:rPr>
          <w:rFonts w:hint="eastAsia"/>
        </w:rPr>
        <w:t>甲方收到乙方产品后，对产品的外包装和箱数进行当场清点，清点无误后在乙方或乙方代理运送方的签收单上签字，即完成交接。如乙方产品存在外包装破损、外包装信息与乙方发货通知不符、箱数错误等情况，甲方有权当场拒绝交接、签署签收单，并将相关情况通知乙方专人。</w:t>
      </w:r>
    </w:p>
    <w:p w14:paraId="6C242ADC">
      <w:r>
        <w:rPr>
          <w:rFonts w:hint="eastAsia"/>
        </w:rPr>
        <w:t>（二）抽检验收</w:t>
      </w:r>
    </w:p>
    <w:p w14:paraId="1C7DFD6E">
      <w:r>
        <w:rPr>
          <w:rFonts w:hint="eastAsia"/>
        </w:rPr>
        <w:t>自甲方指定的收货单位接收卡产品之日起，甲方应在15个工作日内进行抽样验收。抽样验收仅针对卡片外观情况、数量和品种。</w:t>
      </w:r>
    </w:p>
    <w:p w14:paraId="6665FF5E">
      <w:r>
        <w:rPr>
          <w:rFonts w:hint="eastAsia"/>
        </w:rPr>
        <w:t>1、如交付的卡产品抽样不符率（即抽样中不合格产品数量与抽样产品数量之比）达到10%以上则甲方有权将该批次货物整批退回乙方，由乙方免费重新制作，并由乙方承担全部退回费用、给甲方造成的损失及逾期交货违约责任。</w:t>
      </w:r>
    </w:p>
    <w:p w14:paraId="1F824EC8">
      <w:r>
        <w:rPr>
          <w:rFonts w:hint="eastAsia"/>
        </w:rPr>
        <w:t>2、如抽样验收未查出问题，但在后续使用时甲方发现乙方交付的产品中存在不合格产品（含芯片或磁条不能正常使用），乙方同样应承担无偿修复或无偿更换责任，并由乙方承担全部退回费用、给甲方造成的损失及逾期交货违约责任。</w:t>
      </w:r>
    </w:p>
    <w:p w14:paraId="135FE4CE">
      <w:r>
        <w:rPr>
          <w:rFonts w:hint="eastAsia"/>
        </w:rPr>
        <w:t>（三）验收标准</w:t>
      </w:r>
    </w:p>
    <w:p w14:paraId="47F0908F">
      <w:r>
        <w:rPr>
          <w:rFonts w:hint="eastAsia"/>
        </w:rPr>
        <w:t>以甲方确认的卡面设计、样卡和《重庆三峡银行借记IC卡质量标准》（附件1）作为验收标准以及以订单数量、个人化数据作为验收标准。</w:t>
      </w:r>
    </w:p>
    <w:p w14:paraId="38FEC987">
      <w:r>
        <w:rPr>
          <w:rFonts w:hint="eastAsia"/>
        </w:rPr>
        <w:t>（四）未合格卡处理</w:t>
      </w:r>
    </w:p>
    <w:p w14:paraId="29E66644">
      <w:r>
        <w:rPr>
          <w:rFonts w:hint="eastAsia"/>
        </w:rPr>
        <w:t>1、针对交接验收和抽样验收不合格的情况，经双方确认后，甲方有权要求乙方免费更换为合格产品，由此造成的逾期交货，乙方承担相应责任。期间发生的费用（如检测费、维修费、退货费、保险费、运输费、逾期交货导致的甲方损失等）均由乙方承担。如乙方在接到索赔通知一个月内，未作出任何答复，乙方将被视为接受索赔要求。</w:t>
      </w:r>
    </w:p>
    <w:p w14:paraId="51B73A90">
      <w:r>
        <w:rPr>
          <w:rFonts w:hint="eastAsia"/>
        </w:rPr>
        <w:t>2、若乙方提供的卡片中，不符合验收标准的未合格卡片比率（未合格卡片数量与乙方提供的该批次卡片数量之比超过0.1％（包含0.1％），乙方除承诺无条件更换新卡外，还应按照未合格卡片价值的500％对甲方进行赔偿。但由于持卡人非正常使用条件下造成的质量损坏不包含在0.1%损坏率内。</w:t>
      </w:r>
    </w:p>
    <w:p w14:paraId="1A5AF5BC">
      <w:r>
        <w:rPr>
          <w:rFonts w:hint="eastAsia"/>
        </w:rPr>
        <w:t>3、如甲乙双方在借记IC卡产品质量方面存在争议时，甲方有权将未合格卡交由国内有关质检单位进行检测，期间发生的费用（如检测费、维修费、退货费、保险费、运输费等）均由乙方承担。如根据国内有关质检单位检测证明确认属于质量问题的不合格产品，乙方须免费更换，于10个工作日做出质量调查说明交予甲方并做出整改及处理承诺。同时甲方有权与乙方解除本合同、不再支付任何费用并索赔。</w:t>
      </w:r>
    </w:p>
    <w:p w14:paraId="6C5E381D">
      <w:pPr>
        <w:pStyle w:val="36"/>
      </w:pPr>
      <w:r>
        <w:t>第九条 付款方式</w:t>
      </w:r>
    </w:p>
    <w:p w14:paraId="787042AB">
      <w:r>
        <w:rPr>
          <w:rFonts w:hint="eastAsia"/>
        </w:rPr>
        <w:t>（一）采购费用根据甲方验收合格的货物数量结算。乙方每半年提供一次付款申请，并根据双方核实无误的货物金额开具税率为13%的增值税专用发票。</w:t>
      </w:r>
    </w:p>
    <w:p w14:paraId="5FA24B91">
      <w:r>
        <w:rPr>
          <w:rFonts w:hint="eastAsia"/>
        </w:rPr>
        <w:t>（二）甲方收到乙方开具和提供的符合财务制度的发票后，原则上在30个工作日内将款项电汇到乙方指定账户。若特殊情况因甲方相关领导或财务人员外出学习、考察等原因导致甲方不能在前述时间办理完毕付款手续的，由甲乙双方协商处理。若乙方未如约提供发票，甲方有权拒绝付款且不承担逾期付款违约责任。</w:t>
      </w:r>
    </w:p>
    <w:p w14:paraId="47E647B4">
      <w:r>
        <w:rPr>
          <w:rFonts w:hint="eastAsia"/>
        </w:rPr>
        <w:t>（三）乙方指定的收款账户为：</w:t>
      </w:r>
    </w:p>
    <w:p w14:paraId="6CE95AB5">
      <w:r>
        <w:rPr>
          <w:rFonts w:hint="eastAsia"/>
        </w:rPr>
        <w:t>账户名称：</w:t>
      </w:r>
    </w:p>
    <w:p w14:paraId="50F2F460">
      <w:r>
        <w:rPr>
          <w:rFonts w:hint="eastAsia"/>
        </w:rPr>
        <w:t>开户行：</w:t>
      </w:r>
    </w:p>
    <w:p w14:paraId="6AE7874C">
      <w:r>
        <w:rPr>
          <w:rFonts w:hint="eastAsia"/>
        </w:rPr>
        <w:t>账号：</w:t>
      </w:r>
    </w:p>
    <w:p w14:paraId="17348D26">
      <w:pPr>
        <w:pStyle w:val="36"/>
      </w:pPr>
      <w:r>
        <w:t>第十条 产品维护、培训、其它服务</w:t>
      </w:r>
    </w:p>
    <w:p w14:paraId="3CDD828D">
      <w:r>
        <w:rPr>
          <w:rFonts w:hint="eastAsia"/>
        </w:rPr>
        <w:t>（一）产品维护</w:t>
      </w:r>
    </w:p>
    <w:p w14:paraId="6E3BB0C1">
      <w:r>
        <w:rPr>
          <w:rFonts w:hint="eastAsia"/>
        </w:rPr>
        <w:t>1、乙方提供7*24小时服务热线，解决借记卡产品使用和维护服务过程中的各种需求、意见、建议、投诉。乙方应设有西南区或重庆办事处，配备常驻人员及技术人员，并指定专门联系人做好售后服务和技术支持。</w:t>
      </w:r>
    </w:p>
    <w:p w14:paraId="696B3504">
      <w:r>
        <w:rPr>
          <w:rFonts w:hint="eastAsia"/>
        </w:rPr>
        <w:t>技术专员：</w:t>
      </w:r>
    </w:p>
    <w:p w14:paraId="0E6D1378">
      <w:r>
        <w:rPr>
          <w:rFonts w:hint="eastAsia"/>
        </w:rPr>
        <w:t xml:space="preserve">电话： </w:t>
      </w:r>
    </w:p>
    <w:p w14:paraId="3E7DCDA0">
      <w:r>
        <w:rPr>
          <w:rFonts w:hint="eastAsia"/>
        </w:rPr>
        <w:t>邮箱：</w:t>
      </w:r>
    </w:p>
    <w:p w14:paraId="2FE3D33E">
      <w:r>
        <w:rPr>
          <w:rFonts w:hint="eastAsia"/>
        </w:rPr>
        <w:t>2、乙方提供紧急现场响应服务。如借记卡产品在正常使用中出现问题，乙方应在接到甲方投诉2小时内做出响应，并在48小时内对出现问题的产品进行全面的测试、分析，并在此期间向甲方提交正式的测试结果报告，同时做出妥善处理。</w:t>
      </w:r>
    </w:p>
    <w:p w14:paraId="2687C2DB">
      <w:r>
        <w:rPr>
          <w:rFonts w:hint="eastAsia"/>
        </w:rPr>
        <w:t>联系人：</w:t>
      </w:r>
    </w:p>
    <w:p w14:paraId="3882CCEC">
      <w:r>
        <w:rPr>
          <w:rFonts w:hint="eastAsia"/>
        </w:rPr>
        <w:t>电话：</w:t>
      </w:r>
    </w:p>
    <w:p w14:paraId="012DA1CC">
      <w:r>
        <w:rPr>
          <w:rFonts w:hint="eastAsia"/>
        </w:rPr>
        <w:t>传真：</w:t>
      </w:r>
    </w:p>
    <w:p w14:paraId="671E9CE7">
      <w:r>
        <w:rPr>
          <w:rFonts w:hint="eastAsia"/>
        </w:rPr>
        <w:t>邮箱地址：</w:t>
      </w:r>
    </w:p>
    <w:p w14:paraId="1995C33F">
      <w:r>
        <w:rPr>
          <w:rFonts w:hint="eastAsia"/>
        </w:rPr>
        <w:t>3、乙方应设有专人配合甲方进行制卡数据核对、订购单核实、订购单处理进度跟进、订购单查询、空白卡管理、库存预警、费用结算、开票等服务。</w:t>
      </w:r>
    </w:p>
    <w:p w14:paraId="38B8540C">
      <w:r>
        <w:rPr>
          <w:rFonts w:hint="eastAsia"/>
        </w:rPr>
        <w:t>联系人：</w:t>
      </w:r>
    </w:p>
    <w:p w14:paraId="72A6E53A">
      <w:r>
        <w:rPr>
          <w:rFonts w:hint="eastAsia"/>
        </w:rPr>
        <w:t>电话：</w:t>
      </w:r>
    </w:p>
    <w:p w14:paraId="25F1D3E7">
      <w:r>
        <w:rPr>
          <w:rFonts w:hint="eastAsia"/>
        </w:rPr>
        <w:t>传真：</w:t>
      </w:r>
    </w:p>
    <w:p w14:paraId="7167D997">
      <w:r>
        <w:rPr>
          <w:rFonts w:hint="eastAsia"/>
        </w:rPr>
        <w:t>邮箱地址：</w:t>
      </w:r>
    </w:p>
    <w:p w14:paraId="7EF73872">
      <w:r>
        <w:rPr>
          <w:rFonts w:hint="eastAsia"/>
        </w:rPr>
        <w:t>（二）</w:t>
      </w:r>
      <w:bookmarkStart w:id="239" w:name="_Toc322887764"/>
      <w:r>
        <w:rPr>
          <w:rFonts w:hint="eastAsia"/>
        </w:rPr>
        <w:t>业务和产品培训</w:t>
      </w:r>
    </w:p>
    <w:p w14:paraId="7C4A3DBD">
      <w:r>
        <w:rPr>
          <w:rFonts w:hint="eastAsia"/>
        </w:rPr>
        <w:t>乙方每年须安排工程师为甲方技术人员提供卡片结构、行业应用结构、卡片个人化以及各种工具程序使用的技术培训，培训内容包括但不限于卡片结构、行业应用规范、卡片个人化以及各种工具程序使用等方面。乙方免费为甲方提供咨询培训服务，包括全方位的技术和市场咨询，IC卡技术发展趋势、防伪及新产品新工艺、IC卡行业应用方向及趋势等方面的相关技术交流和培训</w:t>
      </w:r>
      <w:bookmarkEnd w:id="239"/>
      <w:r>
        <w:rPr>
          <w:rFonts w:hint="eastAsia"/>
        </w:rPr>
        <w:t>等。</w:t>
      </w:r>
    </w:p>
    <w:p w14:paraId="0F271DA2">
      <w:r>
        <w:rPr>
          <w:rFonts w:hint="eastAsia"/>
        </w:rPr>
        <w:t>（三）其他服务</w:t>
      </w:r>
    </w:p>
    <w:p w14:paraId="0F1CA570">
      <w:r>
        <w:rPr>
          <w:rFonts w:hint="eastAsia"/>
        </w:rPr>
        <w:t>1、乙方安排现场工程师配合甲方技术人员进行制卡方面的开发、调试工作，提供相应的数据准备与个人化仿真软件和交易验证工具等，协助制卡过程中以及卡片功能与使用环境的测试工作。甲方配合乙方完成相关组织对卡片的检测认证工作。</w:t>
      </w:r>
    </w:p>
    <w:p w14:paraId="51B1B2D5">
      <w:r>
        <w:rPr>
          <w:rFonts w:hint="eastAsia"/>
        </w:rPr>
        <w:t>2、乙方应根据甲方需要，提供全职常驻测试人员配合甲方完成卡片相关测试，乙方测试人员要求专人专岗配合卡片测试工作，不可随意调换。原则上同一自然年内常驻测试人员不超出1个月时间常驻甲方办公场所，差旅食宿等费用由乙方承担。</w:t>
      </w:r>
    </w:p>
    <w:p w14:paraId="2E313EB2">
      <w:r>
        <w:rPr>
          <w:rFonts w:hint="eastAsia"/>
        </w:rPr>
        <w:t>3、乙方应根据甲方需要，乙方保证寄出至甲方的卡片均做好消毒工作，保证卡片安全。</w:t>
      </w:r>
    </w:p>
    <w:p w14:paraId="654FBBD3">
      <w:r>
        <w:rPr>
          <w:rFonts w:hint="eastAsia"/>
        </w:rPr>
        <w:t>4、乙方应具有完善的异地灾备方案及供应连续性应急预案，具有异地灾备能力，确保甲方的卡片生产不受外界影响。</w:t>
      </w:r>
    </w:p>
    <w:p w14:paraId="5C58D790">
      <w:r>
        <w:rPr>
          <w:rFonts w:hint="eastAsia"/>
        </w:rPr>
        <w:t>5.乙方应为甲方在重庆（主城九区）提供免费银行卡销毁服务。</w:t>
      </w:r>
    </w:p>
    <w:p w14:paraId="2CBBC811">
      <w:pPr>
        <w:pStyle w:val="36"/>
      </w:pPr>
      <w:r>
        <w:t>第十一条 卡片检测</w:t>
      </w:r>
    </w:p>
    <w:p w14:paraId="1C6F5110">
      <w:r>
        <w:rPr>
          <w:rFonts w:hint="eastAsia"/>
        </w:rPr>
        <w:t>（一）针对本合同第二条《重庆三峡银行借记IC卡空白卡及个人化采购价格表》中所列借记IC卡品种，由乙方向银行卡检测中心提交手续完成卡片送检工作。在本合同期间，首次送检或因乙方原因需再次送检时，乙方承担银行卡检测中心卡片检测费用；后续甲方发行新卡、卡片更换芯片或变更个人化格式需送银行卡检测中心时，对应的检测费用由甲方承担。</w:t>
      </w:r>
    </w:p>
    <w:p w14:paraId="043AA573">
      <w:r>
        <w:rPr>
          <w:rFonts w:hint="eastAsia"/>
        </w:rPr>
        <w:t>（二）自银行卡组织指定机构出具卡检报告之日起，乙方应在7个工作日内制作测试确认卡并移交甲方。测试确认卡一式两套，甲乙双方各留存一套，作为双方验收成品卡的标准之一。</w:t>
      </w:r>
    </w:p>
    <w:p w14:paraId="2C713BF8">
      <w:r>
        <w:rPr>
          <w:rFonts w:hint="eastAsia"/>
        </w:rPr>
        <w:t>（三）自银行卡组织指定机构出具卡检报告之日起，乙方应在5个工作日内将测试卡的卡结构文件、卡指令流等个人化文档交甲方留存。</w:t>
      </w:r>
    </w:p>
    <w:p w14:paraId="51BE954B">
      <w:pPr>
        <w:pStyle w:val="36"/>
      </w:pPr>
      <w:r>
        <w:t>第十二条 双方的权利与义务</w:t>
      </w:r>
    </w:p>
    <w:p w14:paraId="60770CC9">
      <w:r>
        <w:rPr>
          <w:rFonts w:hint="eastAsia"/>
        </w:rPr>
        <w:t>（一）甲方的权利与义务</w:t>
      </w:r>
    </w:p>
    <w:p w14:paraId="4AC982B2">
      <w:r>
        <w:rPr>
          <w:rFonts w:hint="eastAsia"/>
        </w:rPr>
        <w:t>1、甲方有义务向乙方提供正确的个人化格式及相关数据资料，因甲方原因造成错误制卡而产生的费用由甲方承担。</w:t>
      </w:r>
    </w:p>
    <w:p w14:paraId="3E3723C1">
      <w:r>
        <w:rPr>
          <w:rFonts w:hint="eastAsia"/>
        </w:rPr>
        <w:t>2、甲方需要变更产品要求应提前10个工作日书面通知乙方。在乙方生产的过程中，甲方可以变更合同，但甲方承担由此产生的产品成本费用。</w:t>
      </w:r>
    </w:p>
    <w:p w14:paraId="40D5AD92">
      <w:r>
        <w:rPr>
          <w:rFonts w:hint="eastAsia"/>
        </w:rPr>
        <w:t>3、甲方收到乙方开具的发票及提供的金额确认清单核实无误后，应按本合同约定时间和金额向乙方支付货款。</w:t>
      </w:r>
    </w:p>
    <w:p w14:paraId="7D9A092E">
      <w:r>
        <w:rPr>
          <w:rFonts w:hint="eastAsia"/>
        </w:rPr>
        <w:t>4、甲方应遵守本合同中规定的保密条款。</w:t>
      </w:r>
    </w:p>
    <w:p w14:paraId="69CAC75D">
      <w:r>
        <w:rPr>
          <w:rFonts w:hint="eastAsia"/>
        </w:rPr>
        <w:t>5、甲方有权派员工到乙方工作场所对乙方数据处理、卡片个人化处理、封存、派送、空白卡和成品卡管理的质量以及全过程进行监督，抽查乙方生产产品的质量情况，乙方应积极配合并指定专人对质量问题进行跟踪及解决。</w:t>
      </w:r>
    </w:p>
    <w:p w14:paraId="4B95B37A">
      <w:r>
        <w:rPr>
          <w:rFonts w:hint="eastAsia"/>
        </w:rPr>
        <w:t>6. 因乙方违反合同或者不可抗力原因造成甲方服务中断，甲方有权启用备用供应商保证凭证供应的连续性。</w:t>
      </w:r>
    </w:p>
    <w:p w14:paraId="2DC42522">
      <w:r>
        <w:rPr>
          <w:rFonts w:hint="eastAsia"/>
        </w:rPr>
        <w:t>（二）乙方的权利与义务</w:t>
      </w:r>
    </w:p>
    <w:p w14:paraId="26EC2478">
      <w:r>
        <w:rPr>
          <w:rFonts w:hint="eastAsia"/>
        </w:rPr>
        <w:t>1、乙方应指定专人负责甲方卡片个人化的数据接收，并承担因迟误造成的一切损失。</w:t>
      </w:r>
    </w:p>
    <w:p w14:paraId="43074A86">
      <w:r>
        <w:rPr>
          <w:rFonts w:hint="eastAsia"/>
        </w:rPr>
        <w:t>2、乙方在收到数据后应按质按量按期完成并及时交货，因乙方原因造成生产错误或迟延交付的，给甲方造成直接或间接损失的，甲方有权要求乙方赔偿损失。若在本合同履行期间，乙方生产错误或迟延交付达3次，甲方有权解除本合同，不予支付任何费用，且乙方应赔偿给甲方造成的损失。</w:t>
      </w:r>
    </w:p>
    <w:p w14:paraId="78C11B1D">
      <w:r>
        <w:rPr>
          <w:rFonts w:hint="eastAsia"/>
        </w:rPr>
        <w:t>3、乙方负责对甲方提供的测试卡资料及个人化数据保密，不得故意或疏忽泄露、复印保留或向任何第三者提交、转让甲方测试卡及个人化资料，如乙方不遵守本合同，泄露甲方测试卡及个人化资料的，甲方保留追究权利，如果造成甲方或甲方客户损失的，由乙方承担由此引起的全部责任。</w:t>
      </w:r>
    </w:p>
    <w:p w14:paraId="38EC9D1A">
      <w:r>
        <w:rPr>
          <w:rFonts w:hint="eastAsia"/>
        </w:rPr>
        <w:t>4、在任何情况下，乙方都不能将甲方委托乙方的业务之一部分或全部转委托给第三方，否则甲方有权单方解除本合同，并追究乙方的违约责任。</w:t>
      </w:r>
    </w:p>
    <w:p w14:paraId="77CC5B27">
      <w:pPr>
        <w:pStyle w:val="36"/>
      </w:pPr>
      <w:r>
        <w:t>第十三条 数据传输及保密要求</w:t>
      </w:r>
    </w:p>
    <w:p w14:paraId="40AF3E7D">
      <w:r>
        <w:rPr>
          <w:rFonts w:hint="eastAsia"/>
        </w:rPr>
        <w:t>（一）乙方不得向第三方泄露合作内容及甲方有关技术秘密，特别是涉及卡片的密钥、卡片数据结构、甲方有关芯片卡的标准以及合作应用的技术方案、实现方案等相关信息。</w:t>
      </w:r>
    </w:p>
    <w:p w14:paraId="743B0400">
      <w:r>
        <w:rPr>
          <w:rFonts w:hint="eastAsia"/>
        </w:rPr>
        <w:t>（二）乙方应确保已按中国银联及万事达、维萨等国际卡组织的安全规定，建立了严格的对卡片个人化数据信息管理和使用的安全控制体系，并在双方合作中有效落实。因乙方管理不善而发生重复卡造成的损失由乙方承担。</w:t>
      </w:r>
    </w:p>
    <w:p w14:paraId="62175810">
      <w:r>
        <w:rPr>
          <w:rFonts w:hint="eastAsia"/>
        </w:rPr>
        <w:t>（三）乙方应确保制卡数据的安全性和保密性，不得向第三方泄露任何数据信息。因乙方泄密造成的损失，由乙方承担。</w:t>
      </w:r>
    </w:p>
    <w:p w14:paraId="7F2F9626">
      <w:r>
        <w:rPr>
          <w:rFonts w:hint="eastAsia"/>
        </w:rPr>
        <w:t>（四）乙方设立专人对接收的数据进行检核，并就数据的完整性、准确性与甲方通过数据确认单进行确认。</w:t>
      </w:r>
    </w:p>
    <w:p w14:paraId="166C273D">
      <w:r>
        <w:rPr>
          <w:rFonts w:hint="eastAsia"/>
        </w:rPr>
        <w:t>（五）乙方应严格按甲方订购的数量生产和发运货物，多余的产品及生产过程中产生的废品按本合同约定方式清点、销毁。</w:t>
      </w:r>
    </w:p>
    <w:p w14:paraId="1308C695">
      <w:r>
        <w:rPr>
          <w:rFonts w:hint="eastAsia"/>
        </w:rPr>
        <w:t>（六）乙方在生产过程中要保证个人化数据的安全，配合甲方进行生产安全检查并按甲方的检查意见整改。</w:t>
      </w:r>
    </w:p>
    <w:p w14:paraId="6F505000">
      <w:pPr>
        <w:pStyle w:val="36"/>
      </w:pPr>
      <w:r>
        <w:t>第十四条 不可抗力</w:t>
      </w:r>
    </w:p>
    <w:p w14:paraId="64FCC3CD">
      <w:r>
        <w:rPr>
          <w:rFonts w:hint="eastAsia"/>
        </w:rPr>
        <w:t>（一）由于不可抗力（如战争、火灾、洪水、台风、地震或政府禁令等）事件的发生，造成本合同不能按期执行，则由甲乙双方共同商定延期执行本合同的相关事宜。</w:t>
      </w:r>
    </w:p>
    <w:p w14:paraId="546729B5">
      <w:r>
        <w:rPr>
          <w:rFonts w:hint="eastAsia"/>
        </w:rPr>
        <w:t>（二）从不可抗力事件发生起，受不可抗力事件影响的一方须在最短时间内口头通知另一方，并于7日内以快递或传真方式书面通知对方，并提供关于不可抗力事件的相关证明材料。</w:t>
      </w:r>
    </w:p>
    <w:p w14:paraId="52051F61">
      <w:r>
        <w:rPr>
          <w:rFonts w:hint="eastAsia"/>
        </w:rPr>
        <w:t>（三）如不可抗力持续2周以上，甲方有权向乙方取消已提交且尚未交货的订单，甲乙双方互不承担责任。</w:t>
      </w:r>
    </w:p>
    <w:p w14:paraId="62AD7B2D">
      <w:pPr>
        <w:pStyle w:val="36"/>
      </w:pPr>
      <w:r>
        <w:t>第十五条 保密条款</w:t>
      </w:r>
    </w:p>
    <w:p w14:paraId="5A605B69">
      <w:r>
        <w:rPr>
          <w:rFonts w:hint="eastAsia"/>
        </w:rPr>
        <w:t>（一）甲乙双方在签订和履行本合同过程中获知双方的技术资料、商业信息、经营策略等商业秘密，另一方不得以任何方式向第三方、其他组织或个人泄密、转让、许可使用及交换，更不能利用相关保密信息进行任何商业活动。国家司法机关、执行机关依法要求披露的除外。</w:t>
      </w:r>
    </w:p>
    <w:p w14:paraId="5B8AB62A">
      <w:r>
        <w:rPr>
          <w:rFonts w:hint="eastAsia"/>
        </w:rPr>
        <w:t>（二）乙方在履行本合同过程中所知悉的甲方及甲方客户的资料、数据资料如姓名、卡号等均有保密的义务，并应建立相应的保密制度。乙方必须确保在完成制卡工作后将所获得的所有电子文档以及与甲方客户资料有关的一切数据、文档等(包括编译后的打印文档)立即全部销毁。因乙方违反保密义务造成甲方及甲方客户资料外泄，甲方保留一切追究权利，造成甲方或甲方客户的损失，乙方应承担由此引起的全部责任。</w:t>
      </w:r>
    </w:p>
    <w:p w14:paraId="678F024B">
      <w:r>
        <w:rPr>
          <w:rFonts w:hint="eastAsia"/>
        </w:rPr>
        <w:t>（三）乙方应妥善保管甲方提供的数据资料、专线设备，并保证除参与甲方委托事项的工作人员外，乙方单位其他人员不得翻阅、使用，不得获知其中内容。由于乙方的过失，导致甲方数据资料散落或商业秘密间接扩散，甲方保留一切追究权利，造成甲方或甲方用户损失的，由乙方承担全部责任。</w:t>
      </w:r>
    </w:p>
    <w:p w14:paraId="23D761EA">
      <w:r>
        <w:rPr>
          <w:rFonts w:hint="eastAsia"/>
        </w:rPr>
        <w:t>（四）甲、乙任何一方无论事前书面通知与否，在未获得另一方书面授权的前提下，均不得向第三方泄露本合同内容及在本合同履行过程中所获知的对方的商业秘密或客户资料。</w:t>
      </w:r>
    </w:p>
    <w:p w14:paraId="4BA13A6C">
      <w:r>
        <w:rPr>
          <w:rFonts w:hint="eastAsia"/>
        </w:rPr>
        <w:t>（五）任何一方违反本合同中的保密条款，应赔偿由此给对方造成的所有损失。</w:t>
      </w:r>
    </w:p>
    <w:p w14:paraId="54CAE447">
      <w:r>
        <w:rPr>
          <w:rFonts w:hint="eastAsia"/>
        </w:rPr>
        <w:t>（六）本合同中的所有保密责任不因本合同的解除或终止而解除，但因法律、法规或政府强制命令要求其中任意一方公开或披露的除外。</w:t>
      </w:r>
    </w:p>
    <w:p w14:paraId="44C901A1">
      <w:pPr>
        <w:pStyle w:val="36"/>
      </w:pPr>
      <w:r>
        <w:t>第十六条 违约责任</w:t>
      </w:r>
    </w:p>
    <w:p w14:paraId="25FD37E6">
      <w:r>
        <w:rPr>
          <w:rFonts w:hint="eastAsia"/>
        </w:rPr>
        <w:t>（一）延期交货的处理：除由于本合同第十四条款中提到不可抗拒力原因外，如乙方不能按甲、乙双方确定的交货日期交货，每延期交货一天，则支付违约金人民币2000元。如迟交货超过原定期限10天以上，甲方单方有权终止本合同，不再支付任何费用，且乙方应赔偿给甲方造成的损失。乙方向甲方支付违约金、赔偿金并不免除其向甲方交货责任。</w:t>
      </w:r>
    </w:p>
    <w:p w14:paraId="0122D68B">
      <w:r>
        <w:rPr>
          <w:rFonts w:hint="eastAsia"/>
        </w:rPr>
        <w:t>（二）卡片发生短损的处理：无论是因为乙方交货不足，还是因为卡片质量、数量或包装等问题致使甲方拒收的，乙方应首先予以纠正，补充所有短损，并同时向甲方支付短损部分价款的20%作为违约金。若在本合同履行过程中，前述情形出现达3次，甲方有权解除本合同，不再支付任何费用，且乙方应赔偿给甲方造成的损失。</w:t>
      </w:r>
    </w:p>
    <w:p w14:paraId="528AA645">
      <w:r>
        <w:rPr>
          <w:rFonts w:hint="eastAsia"/>
        </w:rPr>
        <w:t>（三）卡片出现质量问题的处理：个人化卡片不符合《重庆三峡银行借记IC卡质量及技术标准》、监管机构及中国银联的最新要求，乙方应承担因此导致的一切责任，承担甲方及甲方客户因此受到的全部损失。个人化卡片出现3次质量问题或给甲方造成不良社会影响的，甲方有权立即解除本合同, 不再支付任何费用，且乙方要向甲方赔偿由此造成的一切损失。</w:t>
      </w:r>
    </w:p>
    <w:p w14:paraId="68F6247F">
      <w:r>
        <w:rPr>
          <w:rFonts w:hint="eastAsia"/>
        </w:rPr>
        <w:t>（四）卡片丢失的处理：由于乙方运输、保管不善或其他非甲方原因，造成甲方空白卡或个人化后的卡片在乙方厂内（含库房）、运输途中丢失、被盗，乙方应立即报告甲方和当地公安机关，承担由此给甲方造成的损失及逾期交货违约责任。因非甲方或乙方原因导致上述情形发生的，乙方在向甲方先行赔偿后，有权直接向有关责任方追偿。</w:t>
      </w:r>
    </w:p>
    <w:p w14:paraId="21E11869">
      <w:r>
        <w:rPr>
          <w:rFonts w:hint="eastAsia"/>
        </w:rPr>
        <w:t>（五）甲乙双方如有其他违约行为，均应向对方承担违约责任并赔偿损失。</w:t>
      </w:r>
    </w:p>
    <w:p w14:paraId="7ED6DA5C">
      <w:r>
        <w:rPr>
          <w:rFonts w:hint="eastAsia"/>
        </w:rPr>
        <w:t>（六）在本合同履行期间，除另有约定外，甲方希望提前解除本合同的，自解除通知书到达乙方之日本合同解除，甲方不承担违约责任，双方据实结算费用。</w:t>
      </w:r>
    </w:p>
    <w:p w14:paraId="5116463E">
      <w:pPr>
        <w:pStyle w:val="36"/>
      </w:pPr>
      <w:r>
        <w:t>第十七条 知识产权问题</w:t>
      </w:r>
    </w:p>
    <w:p w14:paraId="15C38B04">
      <w:r>
        <w:rPr>
          <w:rFonts w:hint="eastAsia"/>
        </w:rPr>
        <w:t>因履行本合同而产生的任何性质的信息、数据、报告、研究、目标模块、可执行物、源代码、流程图、图表、图画和其他有形或无形资料(统称“资料”)以及所有上述资料的副本，除乙方已取得的知识产权除外，由甲方享有知识产权或甲方对知识产权负责，乙方在本合同规定的服务范围和期限内享有使用权。</w:t>
      </w:r>
    </w:p>
    <w:p w14:paraId="16BD1A04">
      <w:pPr>
        <w:pStyle w:val="36"/>
      </w:pPr>
      <w:r>
        <w:t>第十八条 无代理关系及反商业贿赂条款</w:t>
      </w:r>
    </w:p>
    <w:p w14:paraId="5A30D859">
      <w:r>
        <w:rPr>
          <w:rFonts w:hint="eastAsia"/>
        </w:rPr>
        <w:t>（一）乙方对其雇员、代理人、转包商及分包商在进行本合同下的活动时应具有完全控制权，并应被视为独立的签约方。无论出于何种目的，乙方都未被指定为甲方的代理人，并被明确禁止进行确实会或可能会造成乙方是甲方代理人的印象或引起乙方是甲方代理人的推断的任何举动。此外，乙方也未被授予任何权利或权力，使其可以任何方式代表甲方或以甲方的名义产生任何明示的或默示的义务或责任。</w:t>
      </w:r>
    </w:p>
    <w:p w14:paraId="10A7988A">
      <w:r>
        <w:rPr>
          <w:rFonts w:hint="eastAsia"/>
        </w:rPr>
        <w:t>（二）甲乙双方都清楚并愿意严格遵守中华人民共和国反商业贿赂的法律规定，双方都清楚任何形式的贿赂和贪渎行为都将触犯法律，并将受到法律的严惩。</w:t>
      </w:r>
    </w:p>
    <w:p w14:paraId="390BF473">
      <w:pPr>
        <w:pStyle w:val="36"/>
      </w:pPr>
      <w:r>
        <w:t>第十九条 非排他性</w:t>
      </w:r>
    </w:p>
    <w:p w14:paraId="5A6BCC2D">
      <w:r>
        <w:rPr>
          <w:rFonts w:hint="eastAsia"/>
        </w:rPr>
        <w:t>乙方非为甲方独占性的银行卡供应商，除乙方外，甲方可自由选择其认为适当的银行卡供应商。</w:t>
      </w:r>
    </w:p>
    <w:p w14:paraId="0846C321">
      <w:pPr>
        <w:pStyle w:val="36"/>
      </w:pPr>
      <w:r>
        <w:t>第二十条 合同的终止</w:t>
      </w:r>
    </w:p>
    <w:p w14:paraId="794F9343">
      <w:r>
        <w:rPr>
          <w:rFonts w:hint="eastAsia"/>
        </w:rPr>
        <w:t>（一）经双方协商可终止本合同。</w:t>
      </w:r>
    </w:p>
    <w:p w14:paraId="2EEDC7E0">
      <w:r>
        <w:rPr>
          <w:rFonts w:hint="eastAsia"/>
        </w:rPr>
        <w:t>（二）因一方的违约而导致本合同无法继续履行或无继续履行的必要时，本合同自守约方向违约方发出解除合同通知书之日起终止。</w:t>
      </w:r>
    </w:p>
    <w:p w14:paraId="663917CE">
      <w:r>
        <w:rPr>
          <w:rFonts w:hint="eastAsia"/>
        </w:rPr>
        <w:t>（三）当乙方出现以下任意一种情况时，甲方有权单方面终止本合同：</w:t>
      </w:r>
    </w:p>
    <w:p w14:paraId="3622B0F8">
      <w:r>
        <w:rPr>
          <w:rFonts w:hint="eastAsia"/>
        </w:rPr>
        <w:t>1、甲方收到产品后，发现有明显质量问题，经与乙方沟通仍不能解决。</w:t>
      </w:r>
    </w:p>
    <w:p w14:paraId="7C5772E1">
      <w:r>
        <w:rPr>
          <w:rFonts w:hint="eastAsia"/>
        </w:rPr>
        <w:t>2、乙方在收到甲方订单后，同一自然年内不能按期交货累计超过3次（含）。</w:t>
      </w:r>
    </w:p>
    <w:p w14:paraId="60F528EA">
      <w:r>
        <w:rPr>
          <w:rFonts w:hint="eastAsia"/>
        </w:rPr>
        <w:t>3、空白卡或完成个人化的成品卡在使用过程中，短期内出现明显非人为质量问题或甲方收到相关投诉累计超过3次（含）。</w:t>
      </w:r>
    </w:p>
    <w:p w14:paraId="71C1075D">
      <w:r>
        <w:rPr>
          <w:rFonts w:hint="eastAsia"/>
        </w:rPr>
        <w:t>4、乙方如在信息安全和保密措施方面出现较大事故，对甲方声誉造成负面影响，甲方有权单方面终止合同并追究其责任。</w:t>
      </w:r>
    </w:p>
    <w:p w14:paraId="2517888C">
      <w:r>
        <w:rPr>
          <w:rFonts w:hint="eastAsia"/>
        </w:rPr>
        <w:t>（四）本合同约定或法律规定的其他终止合同情形发生。</w:t>
      </w:r>
    </w:p>
    <w:p w14:paraId="644EC191">
      <w:r>
        <w:rPr>
          <w:rFonts w:hint="eastAsia"/>
        </w:rPr>
        <w:t>（五）本合同的终止不影响一方向对方主张因对方违约给自己造成损失的权利。</w:t>
      </w:r>
    </w:p>
    <w:p w14:paraId="4C852573">
      <w:pPr>
        <w:pStyle w:val="36"/>
      </w:pPr>
      <w:r>
        <w:t>第二十一条 通知与送达</w:t>
      </w:r>
    </w:p>
    <w:p w14:paraId="67E6FA09">
      <w:r>
        <w:rPr>
          <w:rFonts w:hint="eastAsia"/>
        </w:rPr>
        <w:t>除双方另有约定，本合同项下的所有通知均应通过书面形式，按本合同载明的住所/地址及联系方式以特快专递发送或专人发送。如任何一方通讯地址及联系方式发生变化，应在发生变化10日内有效通知对方。否则，向本合同所载明的住所/地址和联系方式发送有关文件，均视为送达。</w:t>
      </w:r>
    </w:p>
    <w:p w14:paraId="64F27BA3">
      <w:r>
        <w:rPr>
          <w:rFonts w:hint="eastAsia"/>
        </w:rPr>
        <w:t>发生纠纷的，本合同所载明的住所/地址为司法送达地址，法院、仲裁机构等有权机关依照前述地址邮寄的传票、证据、通知、裁定、判决等诉讼（仲裁）文书及执行阶段法律文书资料，无论是否签收，均视为送达，当事人承担法律责任。</w:t>
      </w:r>
      <w:r>
        <w:rPr>
          <w:rFonts w:hint="eastAsia"/>
        </w:rPr>
        <mc:AlternateContent>
          <mc:Choice Requires="wps">
            <w:drawing>
              <wp:anchor distT="0" distB="0" distL="113030" distR="113030" simplePos="0" relativeHeight="251659264" behindDoc="0" locked="0" layoutInCell="1" hidden="1" allowOverlap="1">
                <wp:simplePos x="0" y="0"/>
                <wp:positionH relativeFrom="column">
                  <wp:posOffset>-125095</wp:posOffset>
                </wp:positionH>
                <wp:positionV relativeFrom="paragraph">
                  <wp:posOffset>125730</wp:posOffset>
                </wp:positionV>
                <wp:extent cx="63500" cy="63500"/>
                <wp:effectExtent l="0" t="0" r="0" b="0"/>
                <wp:wrapNone/>
                <wp:docPr id="3" name="矩形 9" descr="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"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ln>
                      </wps:spPr>
                      <wps:bodyPr vert="horz" wrap="square" lIns="91440" tIns="45720" rIns="91440" bIns="45720" anchor="t" anchorCtr="0" upright="1">
                        <a:noAutofit/>
                      </wps:bodyPr>
                    </wps:wsp>
                  </a:graphicData>
                </a:graphic>
              </wp:anchor>
            </w:drawing>
          </mc:Choice>
          <mc:Fallback>
            <w:pict>
              <v:rect id="矩形 9" o:spid="_x0000_s1026" o:spt="1" alt="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" style="position:absolute;left:0pt;margin-left:-9.85pt;margin-top:9.9pt;height:5pt;width:5pt;visibility:hidden;z-index:251659264;mso-width-relative:page;mso-height-relative:page;" fillcolor="#FFFFFF" filled="t" stroked="t" coordsize="21600,21600" o:gfxdata="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">
                <v:fill on="t" focussize="0,0"/>
                <v:stroke color="#000000" joinstyle="miter"/>
                <v:imagedata o:title=""/>
                <o:lock v:ext="edit" aspectratio="f"/>
              </v:rect>
            </w:pict>
          </mc:Fallback>
        </mc:AlternateContent>
      </w:r>
    </w:p>
    <w:p w14:paraId="7D9EB0EE">
      <w:pPr>
        <w:pStyle w:val="36"/>
      </w:pPr>
      <w:r>
        <w:t>第二十二条 争议解决</w:t>
      </w:r>
    </w:p>
    <w:p w14:paraId="78BFB8C3">
      <w:r>
        <w:rPr>
          <w:rFonts w:hint="eastAsia"/>
        </w:rPr>
        <w:t>一切因执行本合同所发生或与本合同有关的争执，双方应友好协商解决。协商不成的，甲乙双方一致同意向甲方在本合同记载地址的人民法院提起诉讼的方式解决。</w:t>
      </w:r>
    </w:p>
    <w:p w14:paraId="3A6486FD">
      <w:pPr>
        <w:pStyle w:val="36"/>
      </w:pPr>
      <w:r>
        <w:t>第二十三条 合同有效期及其他</w:t>
      </w:r>
    </w:p>
    <w:p w14:paraId="309BF7C3">
      <w:r>
        <w:rPr>
          <w:rFonts w:hint="eastAsia"/>
        </w:rPr>
        <w:t>（一）本合同一式肆份，甲乙双方各执贰份，自甲乙双方加盖公章之日起生效。</w:t>
      </w:r>
    </w:p>
    <w:p w14:paraId="2B229FD7">
      <w:r>
        <w:rPr>
          <w:rFonts w:hint="eastAsia"/>
        </w:rPr>
        <w:t>（二）本合同项下乙方服务期限从  年  月  日至  年  月 日。如到期前双方均无异议且甲方未启动新一轮借记卡IC卡招投标，则乙方服务期顺延一年，至多顺延两次。</w:t>
      </w:r>
    </w:p>
    <w:p w14:paraId="4254DC90">
      <w:r>
        <w:rPr>
          <w:rFonts w:hint="eastAsia"/>
        </w:rPr>
        <w:t>（三）本合同中甲方专人是指：姓名：    ，接收邮箱：         ， 接收传真号：         。</w:t>
      </w:r>
    </w:p>
    <w:p w14:paraId="22DC8415">
      <w:r>
        <w:rPr>
          <w:rFonts w:hint="eastAsia"/>
        </w:rPr>
        <w:t>乙方联系人：      ，接收邮箱：       ，接收传真号：      。</w:t>
      </w:r>
    </w:p>
    <w:p w14:paraId="6E88B588">
      <w:r>
        <w:rPr>
          <w:rFonts w:hint="eastAsia"/>
        </w:rPr>
        <w:t>（四）本合同未尽事宜，须经双方共同协商、签订书面补充合同。补充合同与本合同具有同等法律效力。如补充合同与本合同规定不一致的，以补充合同规定为准，但甲乙双方另有约定的除外。</w:t>
      </w:r>
    </w:p>
    <w:p w14:paraId="1B6D01DF"/>
    <w:p w14:paraId="2A8A6297">
      <w:r>
        <w:rPr>
          <w:rFonts w:hint="eastAsia"/>
        </w:rPr>
        <w:t>附件：</w:t>
      </w:r>
    </w:p>
    <w:p w14:paraId="1F342E81">
      <w:r>
        <w:rPr>
          <w:rFonts w:hint="eastAsia"/>
        </w:rPr>
        <w:t>1、重庆三峡银行借记IC卡质量及技术标准；</w:t>
      </w:r>
    </w:p>
    <w:p w14:paraId="469C223F">
      <w:r>
        <w:rPr>
          <w:rFonts w:hint="eastAsia"/>
        </w:rPr>
        <w:t>2、重庆三峡银行借记IC卡空白卡及个人化卡片订购单。</w:t>
      </w:r>
    </w:p>
    <w:p w14:paraId="3A5373A9"/>
    <w:p w14:paraId="769A28B1"/>
    <w:p w14:paraId="42EBC397"/>
    <w:p w14:paraId="6BA52D49">
      <w:r>
        <w:rPr>
          <w:rFonts w:hint="eastAsia"/>
        </w:rPr>
        <w:t>甲方（公章）：　　　　　　　　　　      乙方（公章）：</w:t>
      </w:r>
      <w:r>
        <w:rPr>
          <w:rFonts w:hint="eastAsia"/>
        </w:rPr>
        <w:br w:type="textWrapping"/>
      </w:r>
      <w:r>
        <w:rPr>
          <w:rFonts w:hint="eastAsia"/>
        </w:rPr>
        <w:t>法定代表人（负责人）                     法定代表人（负责人）</w:t>
      </w:r>
    </w:p>
    <w:p w14:paraId="214C614F">
      <w:r>
        <w:rPr>
          <w:rFonts w:hint="eastAsia"/>
        </w:rPr>
        <w:t>或授权代理人（签字）：　　　             或授权代理人（签字）：</w:t>
      </w:r>
      <w:r>
        <w:rPr>
          <w:rFonts w:hint="eastAsia"/>
        </w:rPr>
        <w:br w:type="textWrapping"/>
      </w:r>
      <w:r>
        <w:rPr>
          <w:rFonts w:hint="eastAsia"/>
        </w:rPr>
        <w:t>签字日期：    年　  月  　日　　　　　　 签字日期：     年　  月</w:t>
      </w:r>
    </w:p>
    <w:p w14:paraId="5A3A0984"/>
    <w:p w14:paraId="1E417E9D">
      <w:pPr>
        <w:ind w:firstLine="0" w:firstLineChars="0"/>
        <w:sectPr>
          <w:headerReference r:id="rId6" w:type="default"/>
          <w:footerReference r:id="rId7" w:type="default"/>
          <w:footerReference r:id="rId8" w:type="even"/>
          <w:pgSz w:w="11906" w:h="16838"/>
          <w:pgMar w:top="1418" w:right="1418" w:bottom="1418" w:left="1418" w:header="720" w:footer="720" w:gutter="0"/>
          <w:cols w:space="720" w:num="1"/>
          <w:docGrid w:linePitch="312" w:charSpace="0"/>
        </w:sectPr>
      </w:pPr>
    </w:p>
    <w:p w14:paraId="7FBCB459">
      <w:pPr>
        <w:pStyle w:val="36"/>
      </w:pPr>
      <w:r>
        <w:t>附件1</w:t>
      </w:r>
    </w:p>
    <w:p w14:paraId="16FFB52D">
      <w:pPr>
        <w:pStyle w:val="40"/>
      </w:pPr>
      <w:r>
        <w:t>重庆三峡银行借记IC卡质量及技术标准</w:t>
      </w:r>
    </w:p>
    <w:p w14:paraId="1B44880E"/>
    <w:p w14:paraId="22754C2D">
      <w:r>
        <w:rPr>
          <w:rFonts w:hint="eastAsia"/>
        </w:rPr>
        <w:t>为重庆三峡银行提供借记IC卡空白卡及个人化服务的供应商，应满足本文要求的相关质量及技术标准，具体如下：</w:t>
      </w:r>
    </w:p>
    <w:p w14:paraId="40459EF4">
      <w:pPr>
        <w:pStyle w:val="36"/>
      </w:pPr>
      <w:r>
        <w:t>一、借记IC卡及个人化技术规格</w:t>
      </w:r>
    </w:p>
    <w:p w14:paraId="6908B884">
      <w:r>
        <w:rPr>
          <w:rFonts w:hint="eastAsia"/>
        </w:rPr>
        <w:t>重庆三峡银行采购的借记IC卡及个人化的规格和技术均应符合国际标准ISO/IEC7810、7811国际标准、VISA及MasterCard国际组织信用卡制作标准、</w:t>
      </w:r>
      <w:r>
        <w:rPr>
          <w:rFonts w:hint="eastAsia"/>
          <w:szCs w:val="21"/>
        </w:rPr>
        <w:t>GB/T 19584-</w:t>
      </w:r>
      <w:r>
        <w:rPr>
          <w:rFonts w:hint="eastAsia"/>
          <w:color w:val="000000"/>
          <w:szCs w:val="21"/>
        </w:rPr>
        <w:t>2010</w:t>
      </w:r>
      <w:r>
        <w:rPr>
          <w:rFonts w:hint="eastAsia"/>
        </w:rPr>
        <w:t>《银行卡磁条信息格式和使用规范》中国银联制作标准、《</w:t>
      </w:r>
      <w:r>
        <w:rPr>
          <w:color w:val="000000"/>
          <w:szCs w:val="21"/>
        </w:rPr>
        <w:t>JR/T 0025-2018</w:t>
      </w:r>
      <w:r>
        <w:rPr>
          <w:rFonts w:hint="eastAsia"/>
        </w:rPr>
        <w:t>中国金融集成电路IC卡规范》和行业及发卡行其他标准、规范的要求和规定，符合借、贷记卡的卡面要求及安全规格。</w:t>
      </w:r>
    </w:p>
    <w:p w14:paraId="2B69A042">
      <w:r>
        <w:rPr>
          <w:rFonts w:hint="eastAsia"/>
        </w:rPr>
        <w:t>（一）借记IC卡芯片技术指标要求</w:t>
      </w:r>
    </w:p>
    <w:p w14:paraId="452CE96C">
      <w:r>
        <w:rPr>
          <w:rFonts w:hint="eastAsia"/>
        </w:rPr>
        <w:t>重庆三峡银行采购的借记IC卡芯片应为符合中国人民银行PBOC标准的双界面IC卡芯片，其技术要求如下：</w:t>
      </w:r>
    </w:p>
    <w:p w14:paraId="50309F59">
      <w:r>
        <w:rPr>
          <w:rFonts w:hint="eastAsia"/>
        </w:rPr>
        <w:t>1.容量：80K芯片。</w:t>
      </w:r>
    </w:p>
    <w:p w14:paraId="1296654E">
      <w:r>
        <w:rPr>
          <w:rFonts w:hint="eastAsia"/>
        </w:rPr>
        <w:t>2.Java平台，符合Global Platform 2.1.1及JavaCard2.2.1规范。</w:t>
      </w:r>
    </w:p>
    <w:p w14:paraId="580F2F1F">
      <w:r>
        <w:rPr>
          <w:rFonts w:hint="eastAsia"/>
        </w:rPr>
        <w:t>3.借记/贷记（含小额支付）应用、非接支付应用支持PBOC及银联公布的最新规范。</w:t>
      </w:r>
    </w:p>
    <w:p w14:paraId="3AC325CD">
      <w:r>
        <w:rPr>
          <w:rFonts w:hint="eastAsia"/>
        </w:rPr>
        <w:t>4.支持SDA、DDA、CDA验证方法，以及其他PBOC安全规范中要求的加解密功能，包括脱机PIN验证，发卡行认证，脚本处理。</w:t>
      </w:r>
    </w:p>
    <w:p w14:paraId="7623A479">
      <w:r>
        <w:rPr>
          <w:rFonts w:hint="eastAsia"/>
        </w:rPr>
        <w:t>5.接触式界面符合ISO7816标准，非接触界面符合ISO14443标准。</w:t>
      </w:r>
    </w:p>
    <w:p w14:paraId="1B80AE07">
      <w:r>
        <w:rPr>
          <w:rFonts w:hint="eastAsia"/>
        </w:rPr>
        <w:t>6.芯片协处理器提供硬件加密算法和硬件随机数发生器，支持对称体系的DES、3DES算法，非对称体系的RSA算法。</w:t>
      </w:r>
    </w:p>
    <w:p w14:paraId="5EABDC54">
      <w:r>
        <w:rPr>
          <w:rFonts w:hint="eastAsia"/>
        </w:rPr>
        <w:t>7.卡片支持非对称密钥长度：512位～1984位且长度可变。</w:t>
      </w:r>
    </w:p>
    <w:p w14:paraId="591E88FA">
      <w:r>
        <w:rPr>
          <w:rFonts w:hint="eastAsia"/>
        </w:rPr>
        <w:t>8.卡片支持多应用，可以在卡片中加载PBOC应用外的其他金融或者非金融行业应用。新应用的加载可以在制卡时完成，也可以在发卡后通过脚本完成。</w:t>
      </w:r>
    </w:p>
    <w:p w14:paraId="7F749E42">
      <w:r>
        <w:rPr>
          <w:rFonts w:hint="eastAsia"/>
        </w:rPr>
        <w:t>9.数据保存年限不少于20年。</w:t>
      </w:r>
    </w:p>
    <w:p w14:paraId="7898D521">
      <w:r>
        <w:rPr>
          <w:rFonts w:hint="eastAsia"/>
        </w:rPr>
        <w:t>10.数据擦写次数不少于20万次。</w:t>
      </w:r>
    </w:p>
    <w:p w14:paraId="347666A6">
      <w:r>
        <w:rPr>
          <w:rFonts w:hint="eastAsia"/>
        </w:rPr>
        <w:t>11.通过银行卡检测中心借记/贷记（支持小额支付）IC卡检测。</w:t>
      </w:r>
    </w:p>
    <w:p w14:paraId="6D9AC8E6">
      <w:r>
        <w:rPr>
          <w:rFonts w:hint="eastAsia"/>
        </w:rPr>
        <w:t>12.通过银行卡检测中心非接触IC支付卡检测。</w:t>
      </w:r>
    </w:p>
    <w:p w14:paraId="25C7B2A5">
      <w:r>
        <w:rPr>
          <w:rFonts w:hint="eastAsia"/>
        </w:rPr>
        <w:t>13.通过银行卡检测中心基于非接触小额支付扩展应用卡检测。</w:t>
      </w:r>
    </w:p>
    <w:p w14:paraId="552080FE">
      <w:r>
        <w:rPr>
          <w:rFonts w:hint="eastAsia"/>
        </w:rPr>
        <w:t>14.带Mifare1卡功能。</w:t>
      </w:r>
    </w:p>
    <w:p w14:paraId="3E0E9C0C">
      <w:r>
        <w:rPr>
          <w:rFonts w:hint="eastAsia"/>
        </w:rPr>
        <w:t>15.支持二次个人化，能够二次个人化电子钱包或其它应用。</w:t>
      </w:r>
    </w:p>
    <w:p w14:paraId="0B9CDF42">
      <w:r>
        <w:rPr>
          <w:rFonts w:hint="eastAsia"/>
        </w:rPr>
        <w:t>16.芯片和嵌入式软件必须通过银联安全认证和检测。</w:t>
      </w:r>
    </w:p>
    <w:p w14:paraId="32B7392F">
      <w:r>
        <w:rPr>
          <w:rFonts w:hint="eastAsia"/>
        </w:rPr>
        <w:t>17.芯片为硬掩模。</w:t>
      </w:r>
    </w:p>
    <w:p w14:paraId="1F1BEA3F">
      <w:r>
        <w:rPr>
          <w:rFonts w:hint="eastAsia"/>
        </w:rPr>
        <w:t>18.通过银联IC卡个人化业务数据验证测试。</w:t>
      </w:r>
    </w:p>
    <w:p w14:paraId="0A944927">
      <w:r>
        <w:rPr>
          <w:rFonts w:hint="eastAsia"/>
        </w:rPr>
        <w:t>（二）借记IC卡卡体技术指标要求</w:t>
      </w:r>
    </w:p>
    <w:p w14:paraId="320EEA32">
      <w:r>
        <w:rPr>
          <w:rFonts w:hint="eastAsia"/>
        </w:rPr>
        <w:t>1.卡体材质均要求采用优质PVC材料。</w:t>
      </w:r>
    </w:p>
    <w:p w14:paraId="74299BE3">
      <w:r>
        <w:rPr>
          <w:rFonts w:hint="eastAsia"/>
        </w:rPr>
        <w:t>2.卡体要求：</w:t>
      </w:r>
    </w:p>
    <w:p w14:paraId="63D66371">
      <w:r>
        <w:rPr>
          <w:rFonts w:hint="eastAsia"/>
        </w:rPr>
        <w:t>（1）符合ISO7816—1&amp;2的参考标准，卡体尺寸符合《</w:t>
      </w:r>
      <w:r>
        <w:rPr>
          <w:color w:val="000000"/>
          <w:szCs w:val="21"/>
        </w:rPr>
        <w:t>JR/T 0025-2018</w:t>
      </w:r>
      <w:r>
        <w:rPr>
          <w:rFonts w:hint="eastAsia"/>
        </w:rPr>
        <w:t xml:space="preserve">中国金融集成电路(IC)卡规范》所规定的尺寸。 </w:t>
      </w:r>
    </w:p>
    <w:p w14:paraId="3A6B1317">
      <w:r>
        <w:rPr>
          <w:rFonts w:hint="eastAsia"/>
        </w:rPr>
        <w:t>（2）片基85.47mm≤长度≤85.72mm，53.92mm≤宽度≤54.03mm。</w:t>
      </w:r>
    </w:p>
    <w:p w14:paraId="1C360521">
      <w:r>
        <w:rPr>
          <w:rFonts w:hint="eastAsia"/>
        </w:rPr>
        <w:t>（3）导角：3.18mm的圆弧。</w:t>
      </w:r>
    </w:p>
    <w:p w14:paraId="51F034D0">
      <w:r>
        <w:rPr>
          <w:rFonts w:hint="eastAsia"/>
        </w:rPr>
        <w:t>（4）厚度：0.76mm≤厚度≤0.84mm。</w:t>
      </w:r>
    </w:p>
    <w:p w14:paraId="50D1FB8D">
      <w:r>
        <w:rPr>
          <w:rFonts w:hint="eastAsia"/>
        </w:rPr>
        <w:t>（5）卡体边沿：卡体的边沿光滑，毛刺小于0.08mm。</w:t>
      </w:r>
    </w:p>
    <w:p w14:paraId="1AA67E4C">
      <w:r>
        <w:rPr>
          <w:rFonts w:hint="eastAsia"/>
        </w:rPr>
        <w:t>（6）卡体表面透明覆膜。</w:t>
      </w:r>
    </w:p>
    <w:p w14:paraId="62709147">
      <w:r>
        <w:rPr>
          <w:rFonts w:hint="eastAsia"/>
        </w:rPr>
        <w:t>（7）卡体复合强度：卡片的卡基、热合透明膜应复合良好，卡片没有起层、气泡、剥离等现象。</w:t>
      </w:r>
    </w:p>
    <w:p w14:paraId="41D80663">
      <w:r>
        <w:rPr>
          <w:rFonts w:hint="eastAsia"/>
        </w:rPr>
        <w:t>（8）外观：卡片外观没有明显变形、凹凸不平，卡片上没有孔、坑、损伤、破裂、划伤、磨毛、热合亮斑等。</w:t>
      </w:r>
    </w:p>
    <w:p w14:paraId="2B280C57">
      <w:r>
        <w:rPr>
          <w:rFonts w:hint="eastAsia"/>
        </w:rPr>
        <w:t>（9）卡片没有3个以上尘点、墨点、气泡、杂质等异常斑点或异物。</w:t>
      </w:r>
    </w:p>
    <w:p w14:paraId="2DD01DF5">
      <w:r>
        <w:rPr>
          <w:rFonts w:hint="eastAsia"/>
        </w:rPr>
        <w:t>（10）卡片凸码烫金、银牢固不掉色。</w:t>
      </w:r>
    </w:p>
    <w:p w14:paraId="2950FDBF">
      <w:r>
        <w:rPr>
          <w:rFonts w:hint="eastAsia"/>
        </w:rPr>
        <w:t>（11）卡片平直。</w:t>
      </w:r>
    </w:p>
    <w:p w14:paraId="452F08F5">
      <w:r>
        <w:rPr>
          <w:rFonts w:hint="eastAsia"/>
        </w:rPr>
        <w:t>（12）外观要求如下：</w:t>
      </w:r>
    </w:p>
    <w:tbl>
      <w:tblPr>
        <w:tblStyle w:val="19"/>
        <w:tblW w:w="80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8"/>
        <w:gridCol w:w="6792"/>
      </w:tblGrid>
      <w:tr w14:paraId="73E26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1228" w:type="dxa"/>
            <w:tcBorders>
              <w:top w:val="single" w:color="auto" w:sz="4" w:space="0"/>
              <w:left w:val="single" w:color="auto" w:sz="4" w:space="0"/>
              <w:bottom w:val="single" w:color="auto" w:sz="4" w:space="0"/>
              <w:right w:val="single" w:color="auto" w:sz="4" w:space="0"/>
            </w:tcBorders>
            <w:noWrap/>
            <w:vAlign w:val="center"/>
          </w:tcPr>
          <w:p w14:paraId="7122497B">
            <w:pPr>
              <w:pStyle w:val="35"/>
            </w:pPr>
            <w:r>
              <w:rPr>
                <w:rFonts w:hint="eastAsia"/>
              </w:rPr>
              <w:t>项目</w:t>
            </w:r>
          </w:p>
        </w:tc>
        <w:tc>
          <w:tcPr>
            <w:tcW w:w="6792" w:type="dxa"/>
            <w:tcBorders>
              <w:top w:val="single" w:color="auto" w:sz="4" w:space="0"/>
              <w:left w:val="single" w:color="auto" w:sz="4" w:space="0"/>
              <w:bottom w:val="single" w:color="auto" w:sz="4" w:space="0"/>
              <w:right w:val="single" w:color="auto" w:sz="4" w:space="0"/>
            </w:tcBorders>
            <w:noWrap/>
            <w:vAlign w:val="center"/>
          </w:tcPr>
          <w:p w14:paraId="0384BFC1">
            <w:pPr>
              <w:pStyle w:val="35"/>
            </w:pPr>
            <w:r>
              <w:rPr>
                <w:rFonts w:hint="eastAsia"/>
              </w:rPr>
              <w:t>标   准</w:t>
            </w:r>
          </w:p>
        </w:tc>
      </w:tr>
      <w:tr w14:paraId="0982F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8" w:type="dxa"/>
            <w:tcBorders>
              <w:top w:val="single" w:color="auto" w:sz="4" w:space="0"/>
              <w:left w:val="single" w:color="auto" w:sz="4" w:space="0"/>
              <w:bottom w:val="single" w:color="auto" w:sz="4" w:space="0"/>
              <w:right w:val="single" w:color="auto" w:sz="4" w:space="0"/>
            </w:tcBorders>
            <w:noWrap/>
            <w:vAlign w:val="center"/>
          </w:tcPr>
          <w:p w14:paraId="1350DF3F">
            <w:pPr>
              <w:pStyle w:val="34"/>
            </w:pPr>
            <w:r>
              <w:rPr>
                <w:rFonts w:hint="eastAsia"/>
              </w:rPr>
              <w:t>光洁</w:t>
            </w:r>
          </w:p>
        </w:tc>
        <w:tc>
          <w:tcPr>
            <w:tcW w:w="6792" w:type="dxa"/>
            <w:tcBorders>
              <w:top w:val="single" w:color="auto" w:sz="4" w:space="0"/>
              <w:left w:val="single" w:color="auto" w:sz="4" w:space="0"/>
              <w:bottom w:val="single" w:color="auto" w:sz="4" w:space="0"/>
              <w:right w:val="single" w:color="auto" w:sz="4" w:space="0"/>
            </w:tcBorders>
            <w:noWrap/>
            <w:vAlign w:val="center"/>
          </w:tcPr>
          <w:p w14:paraId="1A18869E">
            <w:pPr>
              <w:pStyle w:val="34"/>
            </w:pPr>
            <w:r>
              <w:rPr>
                <w:rFonts w:hint="eastAsia"/>
              </w:rPr>
              <w:t>无气泡、凹凸点及脏污</w:t>
            </w:r>
          </w:p>
        </w:tc>
      </w:tr>
      <w:tr w14:paraId="6DD13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8" w:type="dxa"/>
            <w:tcBorders>
              <w:top w:val="single" w:color="auto" w:sz="4" w:space="0"/>
              <w:left w:val="single" w:color="auto" w:sz="4" w:space="0"/>
              <w:bottom w:val="single" w:color="auto" w:sz="4" w:space="0"/>
              <w:right w:val="single" w:color="auto" w:sz="4" w:space="0"/>
            </w:tcBorders>
            <w:noWrap/>
            <w:vAlign w:val="center"/>
          </w:tcPr>
          <w:p w14:paraId="737C601E">
            <w:pPr>
              <w:pStyle w:val="34"/>
            </w:pPr>
            <w:r>
              <w:rPr>
                <w:rFonts w:hint="eastAsia"/>
              </w:rPr>
              <w:t>黑点</w:t>
            </w:r>
          </w:p>
        </w:tc>
        <w:tc>
          <w:tcPr>
            <w:tcW w:w="6792" w:type="dxa"/>
            <w:tcBorders>
              <w:top w:val="single" w:color="auto" w:sz="4" w:space="0"/>
              <w:left w:val="single" w:color="auto" w:sz="4" w:space="0"/>
              <w:bottom w:val="single" w:color="auto" w:sz="4" w:space="0"/>
              <w:right w:val="single" w:color="auto" w:sz="4" w:space="0"/>
            </w:tcBorders>
            <w:noWrap/>
            <w:vAlign w:val="center"/>
          </w:tcPr>
          <w:p w14:paraId="4BDF9142">
            <w:pPr>
              <w:pStyle w:val="34"/>
            </w:pPr>
            <w:r>
              <w:rPr>
                <w:rFonts w:hint="eastAsia"/>
              </w:rPr>
              <w:t>直径＞0.2㎜的不明显黑点：正面不超过1个；反面不超过2个</w:t>
            </w:r>
          </w:p>
        </w:tc>
      </w:tr>
      <w:tr w14:paraId="4C642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8" w:type="dxa"/>
            <w:tcBorders>
              <w:top w:val="single" w:color="auto" w:sz="4" w:space="0"/>
              <w:left w:val="single" w:color="auto" w:sz="4" w:space="0"/>
              <w:bottom w:val="single" w:color="auto" w:sz="4" w:space="0"/>
              <w:right w:val="single" w:color="auto" w:sz="4" w:space="0"/>
            </w:tcBorders>
            <w:noWrap/>
            <w:vAlign w:val="center"/>
          </w:tcPr>
          <w:p w14:paraId="4FE64061">
            <w:pPr>
              <w:pStyle w:val="34"/>
            </w:pPr>
            <w:r>
              <w:rPr>
                <w:rFonts w:hint="eastAsia"/>
              </w:rPr>
              <w:t>杂物</w:t>
            </w:r>
          </w:p>
        </w:tc>
        <w:tc>
          <w:tcPr>
            <w:tcW w:w="6792" w:type="dxa"/>
            <w:tcBorders>
              <w:top w:val="single" w:color="auto" w:sz="4" w:space="0"/>
              <w:left w:val="single" w:color="auto" w:sz="4" w:space="0"/>
              <w:bottom w:val="single" w:color="auto" w:sz="4" w:space="0"/>
              <w:right w:val="single" w:color="auto" w:sz="4" w:space="0"/>
            </w:tcBorders>
            <w:noWrap/>
            <w:vAlign w:val="center"/>
          </w:tcPr>
          <w:p w14:paraId="3B842881">
            <w:pPr>
              <w:pStyle w:val="34"/>
            </w:pPr>
            <w:r>
              <w:rPr>
                <w:rFonts w:hint="eastAsia"/>
              </w:rPr>
              <w:t>长度＞0.5㎜的细小杂质纤维：正面不超过1个；反面不超过2个</w:t>
            </w:r>
          </w:p>
        </w:tc>
      </w:tr>
      <w:tr w14:paraId="2BB31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8" w:type="dxa"/>
            <w:tcBorders>
              <w:top w:val="single" w:color="auto" w:sz="4" w:space="0"/>
              <w:left w:val="single" w:color="auto" w:sz="4" w:space="0"/>
              <w:bottom w:val="single" w:color="auto" w:sz="4" w:space="0"/>
              <w:right w:val="single" w:color="auto" w:sz="4" w:space="0"/>
            </w:tcBorders>
            <w:noWrap/>
            <w:vAlign w:val="center"/>
          </w:tcPr>
          <w:p w14:paraId="78C7020E">
            <w:pPr>
              <w:pStyle w:val="34"/>
            </w:pPr>
            <w:r>
              <w:rPr>
                <w:rFonts w:hint="eastAsia"/>
              </w:rPr>
              <w:t>色斑</w:t>
            </w:r>
          </w:p>
        </w:tc>
        <w:tc>
          <w:tcPr>
            <w:tcW w:w="6792" w:type="dxa"/>
            <w:tcBorders>
              <w:top w:val="single" w:color="auto" w:sz="4" w:space="0"/>
              <w:left w:val="single" w:color="auto" w:sz="4" w:space="0"/>
              <w:bottom w:val="single" w:color="auto" w:sz="4" w:space="0"/>
              <w:right w:val="single" w:color="auto" w:sz="4" w:space="0"/>
            </w:tcBorders>
            <w:noWrap/>
            <w:vAlign w:val="center"/>
          </w:tcPr>
          <w:p w14:paraId="60213939">
            <w:pPr>
              <w:pStyle w:val="34"/>
            </w:pPr>
            <w:r>
              <w:rPr>
                <w:rFonts w:hint="eastAsia"/>
              </w:rPr>
              <w:t>直径＞0.5㎜杂色斑：正反面不允许</w:t>
            </w:r>
          </w:p>
        </w:tc>
      </w:tr>
      <w:tr w14:paraId="7E660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8" w:type="dxa"/>
            <w:tcBorders>
              <w:top w:val="single" w:color="auto" w:sz="4" w:space="0"/>
              <w:left w:val="single" w:color="auto" w:sz="4" w:space="0"/>
              <w:bottom w:val="single" w:color="auto" w:sz="4" w:space="0"/>
              <w:right w:val="single" w:color="auto" w:sz="4" w:space="0"/>
            </w:tcBorders>
            <w:noWrap/>
            <w:vAlign w:val="center"/>
          </w:tcPr>
          <w:p w14:paraId="09134BB6">
            <w:pPr>
              <w:pStyle w:val="34"/>
            </w:pPr>
            <w:r>
              <w:rPr>
                <w:rFonts w:hint="eastAsia"/>
              </w:rPr>
              <w:t>划痕</w:t>
            </w:r>
          </w:p>
        </w:tc>
        <w:tc>
          <w:tcPr>
            <w:tcW w:w="6792" w:type="dxa"/>
            <w:tcBorders>
              <w:top w:val="single" w:color="auto" w:sz="4" w:space="0"/>
              <w:left w:val="single" w:color="auto" w:sz="4" w:space="0"/>
              <w:bottom w:val="single" w:color="auto" w:sz="4" w:space="0"/>
              <w:right w:val="single" w:color="auto" w:sz="4" w:space="0"/>
            </w:tcBorders>
            <w:noWrap/>
            <w:vAlign w:val="center"/>
          </w:tcPr>
          <w:p w14:paraId="143807E6">
            <w:pPr>
              <w:pStyle w:val="34"/>
            </w:pPr>
            <w:r>
              <w:rPr>
                <w:rFonts w:hint="eastAsia"/>
              </w:rPr>
              <w:t>长度＞5㎜的细划痕：不超过2条</w:t>
            </w:r>
          </w:p>
        </w:tc>
      </w:tr>
    </w:tbl>
    <w:p w14:paraId="7B74B483">
      <w:r>
        <w:rPr>
          <w:rFonts w:hint="eastAsia"/>
        </w:rPr>
        <w:t>3.借记IC卡卡体印刷要求</w:t>
      </w:r>
    </w:p>
    <w:p w14:paraId="2F92D644">
      <w:r>
        <w:rPr>
          <w:rFonts w:hint="eastAsia"/>
        </w:rPr>
        <w:t>（1）色彩：卡片的图案和颜色应以设计原稿样卡为准，复制真实、自然，且同一产品不同批次生产的卡片，差值小于3.5ΔE*ab单位。</w:t>
      </w:r>
    </w:p>
    <w:p w14:paraId="4FA0B9FB">
      <w:r>
        <w:rPr>
          <w:rFonts w:hint="eastAsia"/>
        </w:rPr>
        <w:t>（2）印刷：印刷没有内容错误、漏印刷、印刷图案或字符方向错误、印刷位置错误的问题；印刷表面没有明显色斑、条纹，图案或字符有明显重影、毛刺或缺损；卡片的图案和文字符号及印刷式样可根据客户要求设计；卡经覆膜处理后，图案精美、色泽鲜艳、表面耐磨，在正常应用情况下，图案不褪色、不剥落。</w:t>
      </w:r>
    </w:p>
    <w:p w14:paraId="5BB98502">
      <w:r>
        <w:rPr>
          <w:rFonts w:hint="eastAsia"/>
        </w:rPr>
        <w:t>4.插卡最高次数、使用最长年限和正常坏损率符合行业常规要求。</w:t>
      </w:r>
    </w:p>
    <w:p w14:paraId="747196B0">
      <w:r>
        <w:rPr>
          <w:rFonts w:hint="eastAsia"/>
        </w:rPr>
        <w:t>5.卡片机电特性要求</w:t>
      </w:r>
    </w:p>
    <w:p w14:paraId="35580AD3">
      <w:r>
        <w:rPr>
          <w:rFonts w:hint="eastAsia"/>
        </w:rPr>
        <w:t>卡片的机械特性、电气特性要符合《中国金融集成电路(IC)卡规范 》，遵从ISO/IEC7816系列标准。卡的弯曲翘曲符合国家标准，抗弯折和扭曲性能：符合ISO14443的测试标准，卡片动态扭曲达到1000次，卡片动态弯曲达到1000次，卡片的层间剥离强度符合国家标准。主要指标如下：</w:t>
      </w:r>
    </w:p>
    <w:p w14:paraId="71432CAB">
      <w:r>
        <w:rPr>
          <w:rFonts w:hint="eastAsia"/>
        </w:rPr>
        <w:t>（1）模块高度：</w:t>
      </w:r>
    </w:p>
    <w:p w14:paraId="4E8D5089">
      <w:r>
        <w:rPr>
          <w:rFonts w:hint="eastAsia"/>
        </w:rPr>
        <w:t>IC模块表面的最高点不应高于卡表面平面0.05mm；</w:t>
      </w:r>
    </w:p>
    <w:p w14:paraId="7AF4F278">
      <w:r>
        <w:rPr>
          <w:rFonts w:hint="eastAsia"/>
        </w:rPr>
        <w:t>IC模块表面的最低点不应低于卡表面平面0.05mm。</w:t>
      </w:r>
    </w:p>
    <w:p w14:paraId="2C78D78F">
      <w:r>
        <w:rPr>
          <w:rFonts w:hint="eastAsia"/>
        </w:rPr>
        <w:t>（2）整卡翘曲度：</w:t>
      </w:r>
    </w:p>
    <w:p w14:paraId="7ABC5A55">
      <w:r>
        <w:rPr>
          <w:rFonts w:hint="eastAsia"/>
        </w:rPr>
        <w:t>翘曲最大值应不大于1.5mm；</w:t>
      </w:r>
    </w:p>
    <w:p w14:paraId="4049EB86">
      <w:r>
        <w:rPr>
          <w:rFonts w:hint="eastAsia"/>
        </w:rPr>
        <w:t>卡片切边毛刺长度：＜0.08mm。</w:t>
      </w:r>
    </w:p>
    <w:p w14:paraId="1B24F28F">
      <w:r>
        <w:rPr>
          <w:rFonts w:hint="eastAsia"/>
        </w:rPr>
        <w:t>（3）弯曲刚度：</w:t>
      </w:r>
    </w:p>
    <w:p w14:paraId="260E2DA7">
      <w:r>
        <w:rPr>
          <w:rFonts w:hint="eastAsia"/>
        </w:rPr>
        <w:t>弹性变形量应在3mm与35mm之间；</w:t>
      </w:r>
    </w:p>
    <w:p w14:paraId="0CE6C456">
      <w:r>
        <w:rPr>
          <w:rFonts w:hint="eastAsia"/>
        </w:rPr>
        <w:t>塑性变形量应小于1.5mm。</w:t>
      </w:r>
    </w:p>
    <w:p w14:paraId="730DDCC3">
      <w:r>
        <w:rPr>
          <w:rFonts w:hint="eastAsia"/>
        </w:rPr>
        <w:t>（4）表层剥离强度：≥3.5N/cm。</w:t>
      </w:r>
    </w:p>
    <w:p w14:paraId="28D71D81">
      <w:r>
        <w:rPr>
          <w:rFonts w:hint="eastAsia"/>
        </w:rPr>
        <w:t>（5）温、湿度条件下的卡尺寸稳定性和翘曲：</w:t>
      </w:r>
    </w:p>
    <w:p w14:paraId="29BE7C7B">
      <w:r>
        <w:rPr>
          <w:rFonts w:hint="eastAsia"/>
        </w:rPr>
        <w:t>将卡依次置于下列环境下各60分钟（a）—35°C±3°C；（b）50°C±3°C，相对湿度95%±5%将卡取出，放在实验室环境条件下保持24小时，再测卡片尺寸及卡片翘曲，要求卡片尺寸值和最大翘曲值的测量的结果应与原测量值一致。</w:t>
      </w:r>
    </w:p>
    <w:p w14:paraId="6274AA23">
      <w:r>
        <w:rPr>
          <w:rFonts w:hint="eastAsia"/>
        </w:rPr>
        <w:t>（6）粘结性能</w:t>
      </w:r>
    </w:p>
    <w:p w14:paraId="584F162D">
      <w:r>
        <w:rPr>
          <w:rFonts w:hint="eastAsia"/>
        </w:rPr>
        <w:t>将未打过凸字的卡5个一组叠在一起放入40℃±3℃，相对湿度设定为40%—60%的箱内，使卡背面朝下，其上加以2.5Kpa的均匀压力。48小时之后取出，可以用手很容易地将单张卡分开。将卡拿到实验室环境温度下立刻观察，应无下列变化：脱层；变色或色转移；表面磨光变化；卡上没有物质转移现象；外观形变。</w:t>
      </w:r>
    </w:p>
    <w:p w14:paraId="3D57A8B9">
      <w:r>
        <w:rPr>
          <w:rFonts w:hint="eastAsia"/>
        </w:rPr>
        <w:t>（7）弯曲特性</w:t>
      </w:r>
    </w:p>
    <w:p w14:paraId="4FD99BF9">
      <w:r>
        <w:rPr>
          <w:rFonts w:hint="eastAsia"/>
        </w:rPr>
        <w:fldChar w:fldCharType="begin"/>
      </w:r>
      <w:r>
        <w:rPr>
          <w:rFonts w:hint="eastAsia"/>
        </w:rPr>
        <w:instrText xml:space="preserve"> = 1 \* GB3 </w:instrText>
      </w:r>
      <w:r>
        <w:rPr>
          <w:rFonts w:hint="eastAsia"/>
        </w:rPr>
        <w:fldChar w:fldCharType="separate"/>
      </w:r>
      <w:r>
        <w:rPr>
          <w:rFonts w:hint="eastAsia"/>
        </w:rPr>
        <w:t>①</w:t>
      </w:r>
      <w:r>
        <w:rPr>
          <w:rFonts w:hint="eastAsia"/>
        </w:rPr>
        <w:fldChar w:fldCharType="end"/>
      </w:r>
      <w:r>
        <w:rPr>
          <w:rFonts w:hint="eastAsia"/>
        </w:rPr>
        <w:t>裁制完成之卡必须平直，其曲度、垂直间隙必须在1.27MM以下；</w:t>
      </w:r>
    </w:p>
    <w:p w14:paraId="08BC3BEA">
      <w:r>
        <w:rPr>
          <w:rFonts w:hint="eastAsia"/>
        </w:rPr>
        <w:fldChar w:fldCharType="begin"/>
      </w:r>
      <w:r>
        <w:rPr>
          <w:rFonts w:hint="eastAsia"/>
        </w:rPr>
        <w:instrText xml:space="preserve"> = 2 \* GB3 </w:instrText>
      </w:r>
      <w:r>
        <w:rPr>
          <w:rFonts w:hint="eastAsia"/>
        </w:rPr>
        <w:fldChar w:fldCharType="separate"/>
      </w:r>
      <w:r>
        <w:rPr>
          <w:rFonts w:hint="eastAsia"/>
        </w:rPr>
        <w:t>②</w:t>
      </w:r>
      <w:r>
        <w:rPr>
          <w:rFonts w:hint="eastAsia"/>
        </w:rPr>
        <w:fldChar w:fldCharType="end"/>
      </w:r>
      <w:r>
        <w:rPr>
          <w:rFonts w:hint="eastAsia"/>
        </w:rPr>
        <w:t>凸字后其曲度垂直间隙必须在2.03MM以下，叠合层不得剥离或脱落；</w:t>
      </w:r>
    </w:p>
    <w:p w14:paraId="2205AA9D">
      <w:r>
        <w:rPr>
          <w:rFonts w:hint="eastAsia"/>
        </w:rPr>
        <w:t>（8）防磁、防水、耐温、耐潮湿、耐其他化学物质腐蚀等方面，符合国家标准要求。</w:t>
      </w:r>
    </w:p>
    <w:p w14:paraId="32FD480E">
      <w:r>
        <w:rPr>
          <w:rFonts w:hint="eastAsia"/>
        </w:rPr>
        <w:t>（三）借记IC卡卡面制版要求</w:t>
      </w:r>
    </w:p>
    <w:p w14:paraId="21352581">
      <w:r>
        <w:rPr>
          <w:rFonts w:hint="eastAsia"/>
        </w:rPr>
        <w:t>底纹文字、防伪标志及其他要素必须按照银联有关规范实施。卡片正、反面还应按规范印刷“银联”图案。</w:t>
      </w:r>
    </w:p>
    <w:p w14:paraId="79599091">
      <w:r>
        <w:rPr>
          <w:rFonts w:hint="eastAsia"/>
        </w:rPr>
        <w:t>卡片正背面印刷按用户指定的图样和文字，卡号由用户自行定义及处理。</w:t>
      </w:r>
    </w:p>
    <w:p w14:paraId="7187FB63">
      <w:pPr>
        <w:pStyle w:val="36"/>
      </w:pPr>
      <w:r>
        <w:t>二、借记IC卡生产要求</w:t>
      </w:r>
    </w:p>
    <w:p w14:paraId="01264070">
      <w:r>
        <w:rPr>
          <w:rFonts w:hint="eastAsia"/>
        </w:rPr>
        <w:t>（一）借记IC卡生产的基本要求</w:t>
      </w:r>
    </w:p>
    <w:p w14:paraId="26F6F0E1">
      <w:r>
        <w:rPr>
          <w:rFonts w:hint="eastAsia"/>
        </w:rPr>
        <w:t>生产能满足本项目功能、性能、质量要求的借记IC卡。该卡片符合相关规范技术要求，并通过相应检测认证，具备接触式和双界面卡片生产能力；卡片生产过程符合ISO9001质量体系要求；卡片质量符合相关行业标准；卡片生产提供数量符合项目建设计划要求。</w:t>
      </w:r>
    </w:p>
    <w:p w14:paraId="61CF08DD">
      <w:r>
        <w:rPr>
          <w:rFonts w:hint="eastAsia"/>
        </w:rPr>
        <w:t>（二）供应商支持提供测试卡和正式样卡。</w:t>
      </w:r>
    </w:p>
    <w:p w14:paraId="6572C7CE">
      <w:r>
        <w:rPr>
          <w:rFonts w:hint="eastAsia"/>
        </w:rPr>
        <w:t>1.在卡应用开发调试阶段，为配合卡应用开发，必须及时提供测试卡。</w:t>
      </w:r>
    </w:p>
    <w:p w14:paraId="040E3518">
      <w:r>
        <w:rPr>
          <w:rFonts w:hint="eastAsia"/>
        </w:rPr>
        <w:t>2.按照重庆三峡银行指定的制版提供正式样卡。正式发卡后每次更新卡种或个人化格式前提供测试确认卡，该卡片应与本批正式批量之卡片的配置基本一致，提交招标人测试、确认、备案。</w:t>
      </w:r>
    </w:p>
    <w:p w14:paraId="1F342BEC">
      <w:r>
        <w:rPr>
          <w:rFonts w:hint="eastAsia"/>
        </w:rPr>
        <w:t>3.配合重庆三峡银行，将正式样卡提交人民银行、银行卡组织指定机构等相关单位检测。</w:t>
      </w:r>
    </w:p>
    <w:p w14:paraId="274A5A74">
      <w:r>
        <w:rPr>
          <w:rFonts w:hint="eastAsia"/>
        </w:rPr>
        <w:t>（三）卡制作过程中的安全管理要求</w:t>
      </w:r>
    </w:p>
    <w:p w14:paraId="62096A59">
      <w:r>
        <w:rPr>
          <w:rFonts w:hint="eastAsia"/>
        </w:rPr>
        <w:t>在卡的生产过程中必须对生产人员、生产环境，以及各种生产要素进行严格的安全管理和控制，保证卡片和制卡数据的安全和保密。</w:t>
      </w:r>
    </w:p>
    <w:p w14:paraId="1D9A7BB0">
      <w:r>
        <w:rPr>
          <w:rFonts w:hint="eastAsia"/>
        </w:rPr>
        <w:t>（四）供应商应保证所生产的成品卡在交货2年内不发生非人为因素的故障，若发生则供应商需负责免费解决以及免费更换卡片。</w:t>
      </w:r>
    </w:p>
    <w:p w14:paraId="3365098E">
      <w:pPr>
        <w:pStyle w:val="36"/>
      </w:pPr>
      <w:r>
        <w:t>三、借记IC卡个人化要求</w:t>
      </w:r>
    </w:p>
    <w:p w14:paraId="3F3F03A2">
      <w:r>
        <w:rPr>
          <w:rFonts w:hint="eastAsia"/>
        </w:rPr>
        <w:t>供应商必须按照监管机构，中国银联、VISA、万事达等银行卡组织的相关要求，制定严格的数字管理制度，对业务、设计、制版、工艺等部门的生产流程进行严格的规定。供应商各工序制作人员应严格按照该制度执行。</w:t>
      </w:r>
    </w:p>
    <w:p w14:paraId="38FE4C25">
      <w:r>
        <w:rPr>
          <w:rFonts w:hint="eastAsia"/>
        </w:rPr>
        <w:t>（一）数据保管与使用流程</w:t>
      </w:r>
    </w:p>
    <w:p w14:paraId="0AF72E41">
      <w:r>
        <w:rPr>
          <w:rFonts w:hint="eastAsia"/>
        </w:rPr>
        <w:t>供应商必须具有严密的数据和信息安全管理、数据传输安全管理、数据存储介质管理和生产加工过程安全管理制度。双方数据交换必须通过数据加密系统来进行数据加解密，并采用安全可靠的网络连接方式进行传输，同时采用硬件防火墙进行隔离；并为重庆三峡银行提供独立的访问权限、存储空间。</w:t>
      </w:r>
    </w:p>
    <w:p w14:paraId="1BF5C394">
      <w:r>
        <w:rPr>
          <w:rFonts w:hint="eastAsia"/>
        </w:rPr>
        <w:t>（二）空白卡及个人化成品卡检测</w:t>
      </w:r>
    </w:p>
    <w:p w14:paraId="261E5148">
      <w:r>
        <w:rPr>
          <w:rFonts w:hint="eastAsia"/>
        </w:rPr>
        <w:t>完成空白卡或个人化成品卡制作后，供应商将每张卡进行读写检测，全部通过后才能出厂；每批卡完成后，由供应商工程师</w:t>
      </w:r>
      <w:r>
        <w:rPr>
          <w:rFonts w:hint="eastAsia"/>
          <w:szCs w:val="21"/>
        </w:rPr>
        <w:t>人工抽检不低于0.5%（不满1张最少抽1张）</w:t>
      </w:r>
      <w:r>
        <w:rPr>
          <w:rFonts w:hint="eastAsia"/>
        </w:rPr>
        <w:t>，内容包括但不限于：磁信号、强度、磁道格式、位置等。待全部合格后再封装、入库。</w:t>
      </w:r>
    </w:p>
    <w:p w14:paraId="1DBFB617">
      <w:r>
        <w:rPr>
          <w:rFonts w:hint="eastAsia"/>
        </w:rPr>
        <w:t>（三）安全措施</w:t>
      </w:r>
    </w:p>
    <w:p w14:paraId="293EC874">
      <w:r>
        <w:rPr>
          <w:rFonts w:hint="eastAsia"/>
        </w:rPr>
        <w:t>1、供应商打卡工人必须是在黑屏状态下工作，不支持查看个人化数据。</w:t>
      </w:r>
    </w:p>
    <w:p w14:paraId="0998564E">
      <w:r>
        <w:rPr>
          <w:rFonts w:hint="eastAsia"/>
        </w:rPr>
        <w:t>2、供应商个人化车间每道工序之间必须隔绝，非本工序作业人员不得入内。</w:t>
      </w:r>
    </w:p>
    <w:p w14:paraId="0F33CC12">
      <w:r>
        <w:rPr>
          <w:rFonts w:hint="eastAsia"/>
        </w:rPr>
        <w:t>3、根据重庆三峡银行要求，供应商在专用电脑上定期销毁个人化数据。</w:t>
      </w:r>
    </w:p>
    <w:p w14:paraId="2F0FEF24">
      <w:r>
        <w:rPr>
          <w:rFonts w:hint="eastAsia"/>
        </w:rPr>
        <w:t>（四）生产监控</w:t>
      </w:r>
    </w:p>
    <w:p w14:paraId="626CDEBA">
      <w:r>
        <w:rPr>
          <w:rFonts w:hint="eastAsia"/>
        </w:rPr>
        <w:t>供应商在接到生产任务后，生产过程由监控中心全程监控录像，原材料、半成品、成品、废品均实施数字管理，废品在保安部监控下销毁。</w:t>
      </w:r>
    </w:p>
    <w:p w14:paraId="5BF654DB">
      <w:pPr>
        <w:pStyle w:val="36"/>
      </w:pPr>
      <w:r>
        <w:t>四、软件开发要求</w:t>
      </w:r>
    </w:p>
    <w:p w14:paraId="1EB191AF">
      <w:r>
        <w:rPr>
          <w:rFonts w:hint="eastAsia"/>
        </w:rPr>
        <w:t>供应商应拥有标准PBOC金融应用、第三方行业应用开发能力，并向重庆三峡银行提供金融应用和行业应用的接口说明、卡片个人化脚本和个人化例程、Applet源代码、测试用例等全部项目资料；对于需要POS机具或读卡器配合完成行业应用功能的，需提供POS机具或读卡器程序开发支持。对于卡片中的COS及虚拟机等有关功能软件，需要说明来源并给出不涉及软件产权问题的书面承诺。</w:t>
      </w:r>
    </w:p>
    <w:p w14:paraId="7E0BE180">
      <w:r>
        <w:rPr>
          <w:rFonts w:hint="eastAsia"/>
        </w:rPr>
        <w:t>同时供应商具备独立COS开发能力且确保COS完全符合GP组织、VISA等制定的卡片安全规范，包括但不限于GP Specification, Visa GP Specification等，且卡片操作系统不含危及金融安全的漏洞、后门。对于因预留后门导致的安全问题，由供应商负责召回、赔偿重庆三峡银行及其客户的损失。</w:t>
      </w:r>
    </w:p>
    <w:p w14:paraId="4501B239">
      <w:pPr>
        <w:pStyle w:val="36"/>
      </w:pPr>
      <w:r>
        <w:t>五、产品资质与认证，产品证书</w:t>
      </w:r>
    </w:p>
    <w:p w14:paraId="70159FB2">
      <w:r>
        <w:rPr>
          <w:rFonts w:hint="eastAsia"/>
        </w:rPr>
        <w:t>供应商为重庆三峡银行提供的所有类型的卡片型号必须通过权威认证机构（Visa、MasterCard和银行卡检测中心）的相关检测，获得权威认证机构所颁发的对应该卡片产品的证书，并指明是硬掩模还是软掩模产品。</w:t>
      </w:r>
    </w:p>
    <w:p w14:paraId="5188D92E">
      <w:r>
        <w:rPr>
          <w:rFonts w:hint="eastAsia"/>
        </w:rPr>
        <w:t>1、PBOC电子现金应用要求完全符合PBOC最新规范标准关于电子现金规范。需提供银行卡检测中心出具的相应证书。</w:t>
      </w:r>
    </w:p>
    <w:p w14:paraId="2086DC61">
      <w:r>
        <w:rPr>
          <w:rFonts w:hint="eastAsia"/>
        </w:rPr>
        <w:t>2、PBOC借贷记应用要求完全符合PBOC最新规范标准关于借贷记部分的规范和基于借贷记的小额支付规范，具有非接触式界面的卡片应在非接触界面下符合借贷记与非接触式快捷支付（QPBOC）规范。需提供银行卡检测中心出具的相应证书。</w:t>
      </w:r>
    </w:p>
    <w:p w14:paraId="27499C2C">
      <w:r>
        <w:rPr>
          <w:rFonts w:hint="eastAsia"/>
        </w:rPr>
        <w:t>3、MasterCard应用完全支持万事达组织的M/Chip 4及Paypass规范。需提供万事达出具的相应证书。</w:t>
      </w:r>
    </w:p>
    <w:p w14:paraId="1D760AAF">
      <w:r>
        <w:rPr>
          <w:rFonts w:hint="eastAsia"/>
        </w:rPr>
        <w:t>4、Visa应用完全支持维萨组织的VSDC 2.7.1规范。需提供维萨出具的相应证书。</w:t>
      </w:r>
    </w:p>
    <w:p w14:paraId="1DFAD2D7">
      <w:r>
        <w:rPr>
          <w:rFonts w:hint="eastAsia"/>
        </w:rPr>
        <w:t>5、行业应用产品证书。所有涉及的卡片型号必须通过权威认证机构关于相关行业（住建部，中石油，教育部，交通部,工信部，社保部，卫生部等）规范的检测，并获得权威认证机构所颁发的对应该卡片产品的证书/检测证书。</w:t>
      </w:r>
    </w:p>
    <w:p w14:paraId="39B8A80D">
      <w:r>
        <w:rPr>
          <w:rFonts w:hint="eastAsia"/>
        </w:rPr>
        <w:t>6、供应商必须按照中国人民银行、中国银联、VISA、MASTER等国际组织的相关要求，制定严格的数字管理制度，对业务、设计、制版、工艺等部门的生产流程进行严格的规定，各工序制作人员应严格按照该制度执行。</w:t>
      </w:r>
    </w:p>
    <w:p w14:paraId="4422F259">
      <w:pPr>
        <w:pStyle w:val="36"/>
      </w:pPr>
      <w:r>
        <w:t>六、其他</w:t>
      </w:r>
    </w:p>
    <w:p w14:paraId="5C10BAB5">
      <w:r>
        <w:rPr>
          <w:rFonts w:hint="eastAsia"/>
        </w:rPr>
        <w:t>如遇监管机构、卡组织的相关规范标准有更新的，重庆三峡银行借记IC卡相关质量及技术标准也随其更新，供应商应按照最新标准为重庆三峡银行提供借记卡空白卡及个性化服务。</w:t>
      </w:r>
    </w:p>
    <w:p w14:paraId="56B516D6">
      <w:pPr>
        <w:rPr>
          <w:rStyle w:val="37"/>
        </w:rPr>
      </w:pPr>
      <w:r>
        <w:rPr>
          <w:rFonts w:hint="eastAsia"/>
        </w:rPr>
        <w:br w:type="page"/>
      </w:r>
      <w:r>
        <w:rPr>
          <w:rStyle w:val="37"/>
        </w:rPr>
        <w:t>附件2</w:t>
      </w:r>
    </w:p>
    <w:p w14:paraId="24029F8D">
      <w:pPr>
        <w:pStyle w:val="40"/>
      </w:pPr>
      <w:r>
        <w:t>重庆三峡银行借记IC卡空白卡订购单</w:t>
      </w:r>
    </w:p>
    <w:p w14:paraId="139DCE8E">
      <w:r>
        <w:rPr>
          <w:rFonts w:hint="eastAsia"/>
        </w:rPr>
        <w:t xml:space="preserve">下单日期：                   </w:t>
      </w:r>
    </w:p>
    <w:tbl>
      <w:tblPr>
        <w:tblStyle w:val="19"/>
        <w:tblW w:w="92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8"/>
        <w:gridCol w:w="1408"/>
        <w:gridCol w:w="1569"/>
        <w:gridCol w:w="1457"/>
        <w:gridCol w:w="567"/>
        <w:gridCol w:w="1265"/>
        <w:gridCol w:w="1217"/>
      </w:tblGrid>
      <w:tr w14:paraId="7620C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221" w:type="dxa"/>
            <w:gridSpan w:val="7"/>
            <w:tcBorders>
              <w:top w:val="single" w:color="auto" w:sz="4" w:space="0"/>
              <w:left w:val="single" w:color="auto" w:sz="4" w:space="0"/>
              <w:bottom w:val="single" w:color="auto" w:sz="4" w:space="0"/>
              <w:right w:val="single" w:color="auto" w:sz="4" w:space="0"/>
            </w:tcBorders>
            <w:shd w:val="clear" w:color="auto" w:fill="E6E6E6"/>
            <w:noWrap/>
          </w:tcPr>
          <w:p w14:paraId="55FA60FC">
            <w:pPr>
              <w:pStyle w:val="34"/>
            </w:pPr>
            <w:r>
              <w:rPr>
                <w:rFonts w:hint="eastAsia"/>
              </w:rPr>
              <w:t>供应商名称：</w:t>
            </w:r>
          </w:p>
        </w:tc>
      </w:tr>
      <w:tr w14:paraId="5468A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1738" w:type="dxa"/>
            <w:tcBorders>
              <w:top w:val="single" w:color="auto" w:sz="4" w:space="0"/>
              <w:left w:val="single" w:color="auto" w:sz="4" w:space="0"/>
              <w:bottom w:val="single" w:color="auto" w:sz="4" w:space="0"/>
              <w:right w:val="single" w:color="auto" w:sz="4" w:space="0"/>
            </w:tcBorders>
            <w:noWrap/>
            <w:vAlign w:val="center"/>
          </w:tcPr>
          <w:p w14:paraId="29FB3DA5">
            <w:pPr>
              <w:pStyle w:val="34"/>
            </w:pPr>
            <w:r>
              <w:t xml:space="preserve">  </w:t>
            </w:r>
            <w:r>
              <w:rPr>
                <w:rFonts w:hint="eastAsia"/>
              </w:rPr>
              <w:t>产品名称</w:t>
            </w:r>
          </w:p>
        </w:tc>
        <w:tc>
          <w:tcPr>
            <w:tcW w:w="1408" w:type="dxa"/>
            <w:tcBorders>
              <w:top w:val="single" w:color="auto" w:sz="4" w:space="0"/>
              <w:left w:val="single" w:color="auto" w:sz="4" w:space="0"/>
              <w:bottom w:val="single" w:color="auto" w:sz="4" w:space="0"/>
              <w:right w:val="single" w:color="auto" w:sz="4" w:space="0"/>
            </w:tcBorders>
            <w:noWrap/>
            <w:vAlign w:val="center"/>
          </w:tcPr>
          <w:p w14:paraId="30EC3171">
            <w:pPr>
              <w:pStyle w:val="34"/>
            </w:pPr>
            <w:r>
              <w:t xml:space="preserve"> </w:t>
            </w:r>
            <w:r>
              <w:rPr>
                <w:rFonts w:hint="eastAsia"/>
              </w:rPr>
              <w:t>订购品种</w:t>
            </w:r>
          </w:p>
        </w:tc>
        <w:tc>
          <w:tcPr>
            <w:tcW w:w="1569" w:type="dxa"/>
            <w:tcBorders>
              <w:top w:val="single" w:color="auto" w:sz="4" w:space="0"/>
              <w:left w:val="single" w:color="auto" w:sz="4" w:space="0"/>
              <w:bottom w:val="single" w:color="auto" w:sz="4" w:space="0"/>
              <w:right w:val="single" w:color="auto" w:sz="4" w:space="0"/>
            </w:tcBorders>
            <w:noWrap/>
            <w:vAlign w:val="center"/>
          </w:tcPr>
          <w:p w14:paraId="6398FAD6">
            <w:pPr>
              <w:pStyle w:val="34"/>
            </w:pPr>
            <w:r>
              <w:rPr>
                <w:rFonts w:hint="eastAsia"/>
              </w:rPr>
              <w:t>单价（元/张）</w:t>
            </w:r>
          </w:p>
        </w:tc>
        <w:tc>
          <w:tcPr>
            <w:tcW w:w="1457" w:type="dxa"/>
            <w:tcBorders>
              <w:top w:val="single" w:color="auto" w:sz="4" w:space="0"/>
              <w:left w:val="single" w:color="auto" w:sz="4" w:space="0"/>
              <w:bottom w:val="single" w:color="auto" w:sz="4" w:space="0"/>
              <w:right w:val="single" w:color="auto" w:sz="4" w:space="0"/>
            </w:tcBorders>
            <w:noWrap/>
            <w:vAlign w:val="center"/>
          </w:tcPr>
          <w:p w14:paraId="0BE6696C">
            <w:pPr>
              <w:pStyle w:val="34"/>
            </w:pPr>
            <w:r>
              <w:rPr>
                <w:rFonts w:hint="eastAsia"/>
              </w:rPr>
              <w:t>数量（张）</w:t>
            </w:r>
          </w:p>
        </w:tc>
        <w:tc>
          <w:tcPr>
            <w:tcW w:w="1832" w:type="dxa"/>
            <w:gridSpan w:val="2"/>
            <w:tcBorders>
              <w:top w:val="single" w:color="auto" w:sz="4" w:space="0"/>
              <w:left w:val="single" w:color="auto" w:sz="4" w:space="0"/>
              <w:bottom w:val="single" w:color="auto" w:sz="4" w:space="0"/>
              <w:right w:val="single" w:color="auto" w:sz="4" w:space="0"/>
            </w:tcBorders>
            <w:noWrap/>
            <w:vAlign w:val="center"/>
          </w:tcPr>
          <w:p w14:paraId="3530B54C">
            <w:pPr>
              <w:pStyle w:val="34"/>
            </w:pPr>
            <w:r>
              <w:rPr>
                <w:rFonts w:hint="eastAsia"/>
              </w:rPr>
              <w:t>订购金额（元）</w:t>
            </w:r>
          </w:p>
        </w:tc>
        <w:tc>
          <w:tcPr>
            <w:tcW w:w="1217" w:type="dxa"/>
            <w:tcBorders>
              <w:top w:val="single" w:color="auto" w:sz="4" w:space="0"/>
              <w:left w:val="single" w:color="auto" w:sz="4" w:space="0"/>
              <w:bottom w:val="single" w:color="auto" w:sz="4" w:space="0"/>
              <w:right w:val="single" w:color="auto" w:sz="4" w:space="0"/>
            </w:tcBorders>
            <w:noWrap/>
            <w:vAlign w:val="center"/>
          </w:tcPr>
          <w:p w14:paraId="6B0EB269">
            <w:pPr>
              <w:pStyle w:val="34"/>
            </w:pPr>
            <w:r>
              <w:rPr>
                <w:rFonts w:hint="eastAsia"/>
              </w:rPr>
              <w:t>备注</w:t>
            </w:r>
          </w:p>
        </w:tc>
      </w:tr>
      <w:tr w14:paraId="50F2B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1738" w:type="dxa"/>
            <w:tcBorders>
              <w:top w:val="single" w:color="auto" w:sz="4" w:space="0"/>
              <w:left w:val="single" w:color="auto" w:sz="4" w:space="0"/>
              <w:bottom w:val="single" w:color="auto" w:sz="4" w:space="0"/>
              <w:right w:val="single" w:color="auto" w:sz="4" w:space="0"/>
            </w:tcBorders>
            <w:noWrap/>
          </w:tcPr>
          <w:p w14:paraId="27ACACE4">
            <w:pPr>
              <w:pStyle w:val="34"/>
            </w:pPr>
          </w:p>
        </w:tc>
        <w:tc>
          <w:tcPr>
            <w:tcW w:w="1408" w:type="dxa"/>
            <w:tcBorders>
              <w:top w:val="single" w:color="auto" w:sz="4" w:space="0"/>
              <w:left w:val="single" w:color="auto" w:sz="4" w:space="0"/>
              <w:bottom w:val="single" w:color="auto" w:sz="4" w:space="0"/>
              <w:right w:val="single" w:color="auto" w:sz="4" w:space="0"/>
            </w:tcBorders>
            <w:noWrap/>
          </w:tcPr>
          <w:p w14:paraId="53EEDA42">
            <w:pPr>
              <w:pStyle w:val="34"/>
            </w:pPr>
          </w:p>
        </w:tc>
        <w:tc>
          <w:tcPr>
            <w:tcW w:w="1569" w:type="dxa"/>
            <w:tcBorders>
              <w:top w:val="single" w:color="auto" w:sz="4" w:space="0"/>
              <w:left w:val="single" w:color="auto" w:sz="4" w:space="0"/>
              <w:bottom w:val="single" w:color="auto" w:sz="4" w:space="0"/>
              <w:right w:val="single" w:color="auto" w:sz="4" w:space="0"/>
            </w:tcBorders>
            <w:noWrap/>
          </w:tcPr>
          <w:p w14:paraId="6DA0BDF5">
            <w:pPr>
              <w:pStyle w:val="34"/>
            </w:pPr>
          </w:p>
        </w:tc>
        <w:tc>
          <w:tcPr>
            <w:tcW w:w="1457" w:type="dxa"/>
            <w:tcBorders>
              <w:top w:val="single" w:color="auto" w:sz="4" w:space="0"/>
              <w:left w:val="single" w:color="auto" w:sz="4" w:space="0"/>
              <w:bottom w:val="single" w:color="auto" w:sz="4" w:space="0"/>
              <w:right w:val="single" w:color="auto" w:sz="4" w:space="0"/>
            </w:tcBorders>
            <w:noWrap/>
          </w:tcPr>
          <w:p w14:paraId="72C5A28E">
            <w:pPr>
              <w:pStyle w:val="34"/>
            </w:pPr>
          </w:p>
        </w:tc>
        <w:tc>
          <w:tcPr>
            <w:tcW w:w="1832" w:type="dxa"/>
            <w:gridSpan w:val="2"/>
            <w:tcBorders>
              <w:top w:val="single" w:color="auto" w:sz="4" w:space="0"/>
              <w:left w:val="single" w:color="auto" w:sz="4" w:space="0"/>
              <w:bottom w:val="single" w:color="auto" w:sz="4" w:space="0"/>
              <w:right w:val="single" w:color="auto" w:sz="4" w:space="0"/>
            </w:tcBorders>
            <w:noWrap/>
          </w:tcPr>
          <w:p w14:paraId="64AA585E">
            <w:pPr>
              <w:pStyle w:val="34"/>
            </w:pPr>
          </w:p>
        </w:tc>
        <w:tc>
          <w:tcPr>
            <w:tcW w:w="1217" w:type="dxa"/>
            <w:tcBorders>
              <w:top w:val="single" w:color="auto" w:sz="4" w:space="0"/>
              <w:left w:val="single" w:color="auto" w:sz="4" w:space="0"/>
              <w:bottom w:val="single" w:color="auto" w:sz="4" w:space="0"/>
              <w:right w:val="single" w:color="auto" w:sz="4" w:space="0"/>
            </w:tcBorders>
            <w:noWrap/>
          </w:tcPr>
          <w:p w14:paraId="6EFA3573">
            <w:pPr>
              <w:pStyle w:val="34"/>
            </w:pPr>
          </w:p>
        </w:tc>
      </w:tr>
      <w:tr w14:paraId="37F08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1738" w:type="dxa"/>
            <w:tcBorders>
              <w:top w:val="single" w:color="auto" w:sz="4" w:space="0"/>
              <w:left w:val="single" w:color="auto" w:sz="4" w:space="0"/>
              <w:bottom w:val="single" w:color="auto" w:sz="4" w:space="0"/>
              <w:right w:val="single" w:color="auto" w:sz="4" w:space="0"/>
            </w:tcBorders>
            <w:noWrap/>
          </w:tcPr>
          <w:p w14:paraId="7E9D3A9F">
            <w:pPr>
              <w:pStyle w:val="34"/>
            </w:pPr>
          </w:p>
        </w:tc>
        <w:tc>
          <w:tcPr>
            <w:tcW w:w="1408" w:type="dxa"/>
            <w:tcBorders>
              <w:top w:val="single" w:color="auto" w:sz="4" w:space="0"/>
              <w:left w:val="single" w:color="auto" w:sz="4" w:space="0"/>
              <w:bottom w:val="single" w:color="auto" w:sz="4" w:space="0"/>
              <w:right w:val="single" w:color="auto" w:sz="4" w:space="0"/>
            </w:tcBorders>
            <w:noWrap/>
          </w:tcPr>
          <w:p w14:paraId="7662B648">
            <w:pPr>
              <w:pStyle w:val="34"/>
            </w:pPr>
          </w:p>
        </w:tc>
        <w:tc>
          <w:tcPr>
            <w:tcW w:w="1569" w:type="dxa"/>
            <w:tcBorders>
              <w:top w:val="single" w:color="auto" w:sz="4" w:space="0"/>
              <w:left w:val="single" w:color="auto" w:sz="4" w:space="0"/>
              <w:bottom w:val="single" w:color="auto" w:sz="4" w:space="0"/>
              <w:right w:val="single" w:color="auto" w:sz="4" w:space="0"/>
            </w:tcBorders>
            <w:noWrap/>
          </w:tcPr>
          <w:p w14:paraId="72A23A36">
            <w:pPr>
              <w:pStyle w:val="34"/>
            </w:pPr>
          </w:p>
        </w:tc>
        <w:tc>
          <w:tcPr>
            <w:tcW w:w="1457" w:type="dxa"/>
            <w:tcBorders>
              <w:top w:val="single" w:color="auto" w:sz="4" w:space="0"/>
              <w:left w:val="single" w:color="auto" w:sz="4" w:space="0"/>
              <w:bottom w:val="single" w:color="auto" w:sz="4" w:space="0"/>
              <w:right w:val="single" w:color="auto" w:sz="4" w:space="0"/>
            </w:tcBorders>
            <w:noWrap/>
          </w:tcPr>
          <w:p w14:paraId="5DBF563F">
            <w:pPr>
              <w:pStyle w:val="34"/>
            </w:pPr>
          </w:p>
        </w:tc>
        <w:tc>
          <w:tcPr>
            <w:tcW w:w="1832" w:type="dxa"/>
            <w:gridSpan w:val="2"/>
            <w:tcBorders>
              <w:top w:val="single" w:color="auto" w:sz="4" w:space="0"/>
              <w:left w:val="single" w:color="auto" w:sz="4" w:space="0"/>
              <w:bottom w:val="single" w:color="auto" w:sz="4" w:space="0"/>
              <w:right w:val="single" w:color="auto" w:sz="4" w:space="0"/>
            </w:tcBorders>
            <w:noWrap/>
          </w:tcPr>
          <w:p w14:paraId="120415AB">
            <w:pPr>
              <w:pStyle w:val="34"/>
            </w:pPr>
          </w:p>
        </w:tc>
        <w:tc>
          <w:tcPr>
            <w:tcW w:w="1217" w:type="dxa"/>
            <w:tcBorders>
              <w:top w:val="single" w:color="auto" w:sz="4" w:space="0"/>
              <w:left w:val="single" w:color="auto" w:sz="4" w:space="0"/>
              <w:bottom w:val="single" w:color="auto" w:sz="4" w:space="0"/>
              <w:right w:val="single" w:color="auto" w:sz="4" w:space="0"/>
            </w:tcBorders>
            <w:noWrap/>
          </w:tcPr>
          <w:p w14:paraId="50298DCB">
            <w:pPr>
              <w:pStyle w:val="34"/>
            </w:pPr>
          </w:p>
        </w:tc>
      </w:tr>
      <w:tr w14:paraId="0DFBA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1738" w:type="dxa"/>
            <w:tcBorders>
              <w:top w:val="single" w:color="auto" w:sz="4" w:space="0"/>
              <w:left w:val="single" w:color="auto" w:sz="4" w:space="0"/>
              <w:bottom w:val="single" w:color="auto" w:sz="4" w:space="0"/>
              <w:right w:val="single" w:color="auto" w:sz="4" w:space="0"/>
            </w:tcBorders>
            <w:noWrap/>
          </w:tcPr>
          <w:p w14:paraId="6D49B139">
            <w:pPr>
              <w:pStyle w:val="34"/>
            </w:pPr>
          </w:p>
        </w:tc>
        <w:tc>
          <w:tcPr>
            <w:tcW w:w="1408" w:type="dxa"/>
            <w:tcBorders>
              <w:top w:val="single" w:color="auto" w:sz="4" w:space="0"/>
              <w:left w:val="single" w:color="auto" w:sz="4" w:space="0"/>
              <w:bottom w:val="single" w:color="auto" w:sz="4" w:space="0"/>
              <w:right w:val="single" w:color="auto" w:sz="4" w:space="0"/>
            </w:tcBorders>
            <w:noWrap/>
          </w:tcPr>
          <w:p w14:paraId="1CE23CE1">
            <w:pPr>
              <w:pStyle w:val="34"/>
            </w:pPr>
          </w:p>
        </w:tc>
        <w:tc>
          <w:tcPr>
            <w:tcW w:w="1569" w:type="dxa"/>
            <w:tcBorders>
              <w:top w:val="single" w:color="auto" w:sz="4" w:space="0"/>
              <w:left w:val="single" w:color="auto" w:sz="4" w:space="0"/>
              <w:bottom w:val="single" w:color="auto" w:sz="4" w:space="0"/>
              <w:right w:val="single" w:color="auto" w:sz="4" w:space="0"/>
            </w:tcBorders>
            <w:noWrap/>
          </w:tcPr>
          <w:p w14:paraId="49FE4503">
            <w:pPr>
              <w:pStyle w:val="34"/>
            </w:pPr>
          </w:p>
        </w:tc>
        <w:tc>
          <w:tcPr>
            <w:tcW w:w="1457" w:type="dxa"/>
            <w:tcBorders>
              <w:top w:val="single" w:color="auto" w:sz="4" w:space="0"/>
              <w:left w:val="single" w:color="auto" w:sz="4" w:space="0"/>
              <w:bottom w:val="single" w:color="auto" w:sz="4" w:space="0"/>
              <w:right w:val="single" w:color="auto" w:sz="4" w:space="0"/>
            </w:tcBorders>
            <w:noWrap/>
          </w:tcPr>
          <w:p w14:paraId="4F24F63F">
            <w:pPr>
              <w:pStyle w:val="34"/>
            </w:pPr>
          </w:p>
        </w:tc>
        <w:tc>
          <w:tcPr>
            <w:tcW w:w="1832" w:type="dxa"/>
            <w:gridSpan w:val="2"/>
            <w:tcBorders>
              <w:top w:val="single" w:color="auto" w:sz="4" w:space="0"/>
              <w:left w:val="single" w:color="auto" w:sz="4" w:space="0"/>
              <w:bottom w:val="single" w:color="auto" w:sz="4" w:space="0"/>
              <w:right w:val="single" w:color="auto" w:sz="4" w:space="0"/>
            </w:tcBorders>
            <w:noWrap/>
          </w:tcPr>
          <w:p w14:paraId="08369878">
            <w:pPr>
              <w:pStyle w:val="34"/>
            </w:pPr>
          </w:p>
        </w:tc>
        <w:tc>
          <w:tcPr>
            <w:tcW w:w="1217" w:type="dxa"/>
            <w:tcBorders>
              <w:top w:val="single" w:color="auto" w:sz="4" w:space="0"/>
              <w:left w:val="single" w:color="auto" w:sz="4" w:space="0"/>
              <w:bottom w:val="single" w:color="auto" w:sz="4" w:space="0"/>
              <w:right w:val="single" w:color="auto" w:sz="4" w:space="0"/>
            </w:tcBorders>
            <w:noWrap/>
          </w:tcPr>
          <w:p w14:paraId="367F0830">
            <w:pPr>
              <w:pStyle w:val="34"/>
            </w:pPr>
          </w:p>
        </w:tc>
      </w:tr>
      <w:tr w14:paraId="56B24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9221" w:type="dxa"/>
            <w:gridSpan w:val="7"/>
            <w:tcBorders>
              <w:top w:val="single" w:color="auto" w:sz="4" w:space="0"/>
              <w:left w:val="single" w:color="auto" w:sz="4" w:space="0"/>
              <w:bottom w:val="single" w:color="auto" w:sz="4" w:space="0"/>
              <w:right w:val="single" w:color="auto" w:sz="4" w:space="0"/>
            </w:tcBorders>
            <w:noWrap/>
          </w:tcPr>
          <w:p w14:paraId="2642981C">
            <w:pPr>
              <w:pStyle w:val="34"/>
            </w:pPr>
            <w:r>
              <w:rPr>
                <w:rFonts w:hint="eastAsia"/>
              </w:rPr>
              <w:t>合计订单金额：</w:t>
            </w:r>
          </w:p>
          <w:p w14:paraId="17304D59">
            <w:pPr>
              <w:pStyle w:val="34"/>
            </w:pPr>
            <w:r>
              <w:rPr>
                <w:rFonts w:hint="eastAsia"/>
              </w:rPr>
              <w:t xml:space="preserve">（小写）                          （大写）                    </w:t>
            </w:r>
          </w:p>
        </w:tc>
      </w:tr>
      <w:tr w14:paraId="4673C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9221" w:type="dxa"/>
            <w:gridSpan w:val="7"/>
            <w:tcBorders>
              <w:top w:val="single" w:color="auto" w:sz="4" w:space="0"/>
              <w:left w:val="single" w:color="auto" w:sz="4" w:space="0"/>
              <w:bottom w:val="single" w:color="auto" w:sz="4" w:space="0"/>
              <w:right w:val="single" w:color="auto" w:sz="4" w:space="0"/>
            </w:tcBorders>
            <w:noWrap/>
          </w:tcPr>
          <w:p w14:paraId="50A010DC">
            <w:pPr>
              <w:pStyle w:val="34"/>
            </w:pPr>
            <w:r>
              <w:rPr>
                <w:rFonts w:hint="eastAsia"/>
              </w:rPr>
              <w:t>交货地点及联系人：</w:t>
            </w:r>
          </w:p>
          <w:p w14:paraId="1AA238AC">
            <w:pPr>
              <w:pStyle w:val="34"/>
            </w:pPr>
            <w:r>
              <w:rPr>
                <w:rFonts w:hint="eastAsia"/>
              </w:rPr>
              <w:t>交货地点：</w:t>
            </w:r>
          </w:p>
          <w:p w14:paraId="6941B668">
            <w:pPr>
              <w:pStyle w:val="34"/>
            </w:pPr>
            <w:r>
              <w:rPr>
                <w:rFonts w:hint="eastAsia"/>
              </w:rPr>
              <w:t>联系人：                                         联系电话：</w:t>
            </w:r>
          </w:p>
        </w:tc>
      </w:tr>
      <w:tr w14:paraId="5BCED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738" w:type="dxa"/>
            <w:tcBorders>
              <w:top w:val="single" w:color="auto" w:sz="4" w:space="0"/>
              <w:left w:val="single" w:color="auto" w:sz="4" w:space="0"/>
              <w:bottom w:val="single" w:color="auto" w:sz="4" w:space="0"/>
              <w:right w:val="single" w:color="auto" w:sz="4" w:space="0"/>
            </w:tcBorders>
            <w:noWrap/>
            <w:vAlign w:val="center"/>
          </w:tcPr>
          <w:p w14:paraId="23E31C8B">
            <w:pPr>
              <w:pStyle w:val="34"/>
            </w:pPr>
            <w:r>
              <w:rPr>
                <w:rFonts w:hint="eastAsia"/>
              </w:rPr>
              <w:t>下单人（签名）</w:t>
            </w:r>
          </w:p>
        </w:tc>
        <w:tc>
          <w:tcPr>
            <w:tcW w:w="2977" w:type="dxa"/>
            <w:gridSpan w:val="2"/>
            <w:tcBorders>
              <w:top w:val="single" w:color="auto" w:sz="4" w:space="0"/>
              <w:left w:val="single" w:color="auto" w:sz="4" w:space="0"/>
              <w:bottom w:val="single" w:color="auto" w:sz="4" w:space="0"/>
              <w:right w:val="single" w:color="auto" w:sz="4" w:space="0"/>
            </w:tcBorders>
            <w:noWrap/>
            <w:vAlign w:val="center"/>
          </w:tcPr>
          <w:p w14:paraId="76FEA6A6">
            <w:pPr>
              <w:pStyle w:val="34"/>
            </w:pPr>
          </w:p>
        </w:tc>
        <w:tc>
          <w:tcPr>
            <w:tcW w:w="2024" w:type="dxa"/>
            <w:gridSpan w:val="2"/>
            <w:tcBorders>
              <w:top w:val="single" w:color="auto" w:sz="4" w:space="0"/>
              <w:left w:val="single" w:color="auto" w:sz="4" w:space="0"/>
              <w:bottom w:val="single" w:color="auto" w:sz="4" w:space="0"/>
              <w:right w:val="single" w:color="auto" w:sz="4" w:space="0"/>
            </w:tcBorders>
            <w:noWrap/>
            <w:vAlign w:val="center"/>
          </w:tcPr>
          <w:p w14:paraId="44FF3C04">
            <w:pPr>
              <w:pStyle w:val="34"/>
            </w:pPr>
            <w:r>
              <w:rPr>
                <w:rFonts w:hint="eastAsia"/>
              </w:rPr>
              <w:t>下单人电话</w:t>
            </w:r>
          </w:p>
        </w:tc>
        <w:tc>
          <w:tcPr>
            <w:tcW w:w="2482" w:type="dxa"/>
            <w:gridSpan w:val="2"/>
            <w:tcBorders>
              <w:top w:val="single" w:color="auto" w:sz="4" w:space="0"/>
              <w:left w:val="single" w:color="auto" w:sz="4" w:space="0"/>
              <w:bottom w:val="single" w:color="auto" w:sz="4" w:space="0"/>
              <w:right w:val="single" w:color="auto" w:sz="4" w:space="0"/>
            </w:tcBorders>
            <w:noWrap/>
            <w:vAlign w:val="center"/>
          </w:tcPr>
          <w:p w14:paraId="0D71D4E8">
            <w:pPr>
              <w:pStyle w:val="34"/>
            </w:pPr>
          </w:p>
        </w:tc>
      </w:tr>
      <w:tr w14:paraId="3BE2D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738" w:type="dxa"/>
            <w:tcBorders>
              <w:top w:val="single" w:color="auto" w:sz="4" w:space="0"/>
              <w:left w:val="single" w:color="auto" w:sz="4" w:space="0"/>
              <w:bottom w:val="single" w:color="auto" w:sz="4" w:space="0"/>
              <w:right w:val="single" w:color="auto" w:sz="4" w:space="0"/>
            </w:tcBorders>
            <w:noWrap/>
            <w:vAlign w:val="center"/>
          </w:tcPr>
          <w:p w14:paraId="243AA612">
            <w:pPr>
              <w:pStyle w:val="34"/>
            </w:pPr>
            <w:r>
              <w:rPr>
                <w:rFonts w:hint="eastAsia"/>
              </w:rPr>
              <w:t>下单人传真</w:t>
            </w:r>
          </w:p>
        </w:tc>
        <w:tc>
          <w:tcPr>
            <w:tcW w:w="2977" w:type="dxa"/>
            <w:gridSpan w:val="2"/>
            <w:tcBorders>
              <w:top w:val="single" w:color="auto" w:sz="4" w:space="0"/>
              <w:left w:val="single" w:color="auto" w:sz="4" w:space="0"/>
              <w:bottom w:val="single" w:color="auto" w:sz="4" w:space="0"/>
              <w:right w:val="single" w:color="auto" w:sz="4" w:space="0"/>
            </w:tcBorders>
            <w:noWrap/>
            <w:vAlign w:val="center"/>
          </w:tcPr>
          <w:p w14:paraId="68B843B4">
            <w:pPr>
              <w:pStyle w:val="34"/>
            </w:pPr>
          </w:p>
        </w:tc>
        <w:tc>
          <w:tcPr>
            <w:tcW w:w="2024" w:type="dxa"/>
            <w:gridSpan w:val="2"/>
            <w:tcBorders>
              <w:top w:val="single" w:color="auto" w:sz="4" w:space="0"/>
              <w:left w:val="single" w:color="auto" w:sz="4" w:space="0"/>
              <w:bottom w:val="single" w:color="auto" w:sz="4" w:space="0"/>
              <w:right w:val="single" w:color="auto" w:sz="4" w:space="0"/>
            </w:tcBorders>
            <w:noWrap/>
            <w:vAlign w:val="center"/>
          </w:tcPr>
          <w:p w14:paraId="67234C95">
            <w:pPr>
              <w:pStyle w:val="34"/>
            </w:pPr>
            <w:r>
              <w:rPr>
                <w:rFonts w:hint="eastAsia"/>
              </w:rPr>
              <w:t>供应商接收传真</w:t>
            </w:r>
          </w:p>
        </w:tc>
        <w:tc>
          <w:tcPr>
            <w:tcW w:w="2482" w:type="dxa"/>
            <w:gridSpan w:val="2"/>
            <w:tcBorders>
              <w:top w:val="single" w:color="auto" w:sz="4" w:space="0"/>
              <w:left w:val="single" w:color="auto" w:sz="4" w:space="0"/>
              <w:bottom w:val="single" w:color="auto" w:sz="4" w:space="0"/>
              <w:right w:val="single" w:color="auto" w:sz="4" w:space="0"/>
            </w:tcBorders>
            <w:noWrap/>
            <w:vAlign w:val="center"/>
          </w:tcPr>
          <w:p w14:paraId="239530F1">
            <w:pPr>
              <w:pStyle w:val="34"/>
            </w:pPr>
          </w:p>
        </w:tc>
      </w:tr>
      <w:tr w14:paraId="27DF7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66" w:hRule="atLeast"/>
          <w:jc w:val="center"/>
        </w:trPr>
        <w:tc>
          <w:tcPr>
            <w:tcW w:w="9221" w:type="dxa"/>
            <w:gridSpan w:val="7"/>
            <w:tcBorders>
              <w:top w:val="single" w:color="auto" w:sz="4" w:space="0"/>
              <w:left w:val="single" w:color="auto" w:sz="4" w:space="0"/>
              <w:bottom w:val="single" w:color="auto" w:sz="4" w:space="0"/>
              <w:right w:val="single" w:color="auto" w:sz="4" w:space="0"/>
            </w:tcBorders>
            <w:noWrap/>
          </w:tcPr>
          <w:p w14:paraId="2F36DD9B">
            <w:pPr>
              <w:pStyle w:val="34"/>
            </w:pPr>
            <w:r>
              <w:rPr>
                <w:rFonts w:hint="eastAsia"/>
              </w:rPr>
              <w:t>备注（无特殊需求无需填写）：</w:t>
            </w:r>
          </w:p>
          <w:p w14:paraId="451DDA15">
            <w:pPr>
              <w:pStyle w:val="34"/>
            </w:pPr>
            <w:r>
              <w:t xml:space="preserve"> </w:t>
            </w:r>
          </w:p>
          <w:p w14:paraId="6DA2D64D">
            <w:pPr>
              <w:pStyle w:val="34"/>
            </w:pPr>
          </w:p>
          <w:p w14:paraId="13F3CE80">
            <w:pPr>
              <w:pStyle w:val="34"/>
            </w:pPr>
          </w:p>
          <w:p w14:paraId="17CA2944">
            <w:pPr>
              <w:pStyle w:val="34"/>
            </w:pPr>
            <w:r>
              <w:t xml:space="preserve">       </w:t>
            </w:r>
            <w:r>
              <w:rPr>
                <w:rFonts w:hint="eastAsia"/>
              </w:rPr>
              <w:t>重庆三峡银行</w:t>
            </w:r>
          </w:p>
          <w:p w14:paraId="0286748C">
            <w:pPr>
              <w:pStyle w:val="34"/>
            </w:pPr>
            <w:r>
              <w:rPr>
                <w:rFonts w:hint="eastAsia"/>
              </w:rPr>
              <w:t xml:space="preserve">                                                 （盖章）：</w:t>
            </w:r>
          </w:p>
          <w:p w14:paraId="698E1B63">
            <w:pPr>
              <w:pStyle w:val="34"/>
            </w:pPr>
            <w:r>
              <w:rPr>
                <w:rFonts w:hint="eastAsia"/>
              </w:rPr>
              <w:t xml:space="preserve">                                             年    月    日</w:t>
            </w:r>
          </w:p>
        </w:tc>
      </w:tr>
    </w:tbl>
    <w:p w14:paraId="508C4601">
      <w:r>
        <w:rPr>
          <w:rFonts w:hint="eastAsia"/>
        </w:rPr>
        <w:t>备注：“供应商接收传真”指下单人向供应商传真本订购单时所拨打的传真号码。</w:t>
      </w:r>
    </w:p>
    <w:p w14:paraId="6BC3BA13">
      <w:pPr>
        <w:tabs>
          <w:tab w:val="left" w:pos="3360"/>
        </w:tabs>
      </w:pPr>
    </w:p>
    <w:p w14:paraId="79B6EB4E">
      <w:pPr>
        <w:tabs>
          <w:tab w:val="left" w:pos="3360"/>
        </w:tabs>
        <w:rPr>
          <w:b/>
        </w:rPr>
        <w:sectPr>
          <w:pgSz w:w="11906" w:h="16838"/>
          <w:pgMar w:top="1440" w:right="1800" w:bottom="1440" w:left="1800" w:header="851" w:footer="992" w:gutter="0"/>
          <w:cols w:space="720" w:num="1"/>
          <w:docGrid w:type="lines" w:linePitch="312" w:charSpace="0"/>
        </w:sectPr>
      </w:pPr>
    </w:p>
    <w:p w14:paraId="2304F34E">
      <w:pPr>
        <w:ind w:firstLine="0" w:firstLineChars="0"/>
      </w:pPr>
      <w:r>
        <w:rPr>
          <w:rFonts w:hint="eastAsia"/>
        </w:rPr>
        <w:br w:type="page"/>
      </w:r>
    </w:p>
    <w:p w14:paraId="672FD63C">
      <w:pPr>
        <w:pStyle w:val="2"/>
      </w:pPr>
      <w:bookmarkStart w:id="240" w:name="_Toc8711"/>
      <w:bookmarkStart w:id="241" w:name="_Toc9049"/>
      <w:r>
        <w:rPr>
          <w:rFonts w:hint="eastAsia"/>
        </w:rPr>
        <w:t>第五章 项目要求</w:t>
      </w:r>
      <w:bookmarkEnd w:id="240"/>
      <w:bookmarkEnd w:id="241"/>
    </w:p>
    <w:p w14:paraId="6A4AEF68">
      <w:pPr>
        <w:pStyle w:val="3"/>
      </w:pPr>
      <w:r>
        <w:rPr>
          <w:rFonts w:hint="eastAsia"/>
        </w:rPr>
        <w:t>1.项目概况</w:t>
      </w:r>
    </w:p>
    <w:p w14:paraId="758A2655">
      <w:pPr>
        <w:rPr>
          <w:szCs w:val="21"/>
        </w:rPr>
      </w:pPr>
      <w:r>
        <w:rPr>
          <w:rFonts w:hint="eastAsia"/>
          <w:szCs w:val="21"/>
        </w:rPr>
        <w:t>以满足采购人业务发展、维护采购人利益、提升采购人形象和用户满意度，通过金融IC卡空白卡借记卡及个人化采购进行公开询比，确定未来一定时期内采购人金融IC卡空白卡借记卡及个人化供货商。</w:t>
      </w:r>
    </w:p>
    <w:p w14:paraId="5C843D3A">
      <w:pPr>
        <w:pStyle w:val="3"/>
      </w:pPr>
      <w:r>
        <w:rPr>
          <w:rFonts w:hint="eastAsia"/>
        </w:rPr>
        <w:t>2 项目目标</w:t>
      </w:r>
    </w:p>
    <w:p w14:paraId="73614742">
      <w:pPr>
        <w:rPr>
          <w:szCs w:val="21"/>
        </w:rPr>
      </w:pPr>
      <w:r>
        <w:rPr>
          <w:rFonts w:hint="eastAsia"/>
          <w:szCs w:val="21"/>
        </w:rPr>
        <w:t>本项目完成采购，成交两名供应商，按要求完成金融IC卡的空白卡制卡、个人化外包制作及配送。</w:t>
      </w:r>
      <w:r>
        <w:rPr>
          <w:rFonts w:hint="eastAsia"/>
        </w:rPr>
        <w:t>评审排名第一的将作为主供应商，排名第二的供应商为备用供应商。</w:t>
      </w:r>
    </w:p>
    <w:p w14:paraId="6FE25296">
      <w:pPr>
        <w:pStyle w:val="3"/>
      </w:pPr>
      <w:r>
        <w:rPr>
          <w:rFonts w:hint="eastAsia"/>
        </w:rPr>
        <w:t>3. 总体要求</w:t>
      </w:r>
    </w:p>
    <w:p w14:paraId="3E6E5019">
      <w:pPr>
        <w:rPr>
          <w:szCs w:val="21"/>
        </w:rPr>
      </w:pPr>
      <w:r>
        <w:rPr>
          <w:rFonts w:hint="eastAsia"/>
          <w:szCs w:val="21"/>
        </w:rPr>
        <w:t>下列要求是对本次对询比重要描述，响应人必须严格遵守：</w:t>
      </w:r>
    </w:p>
    <w:p w14:paraId="5E969B86">
      <w:pPr>
        <w:rPr>
          <w:szCs w:val="21"/>
        </w:rPr>
      </w:pPr>
      <w:r>
        <w:rPr>
          <w:rFonts w:hint="eastAsia"/>
          <w:szCs w:val="21"/>
        </w:rPr>
        <w:t>（1）采用业界先进的、主流技术为采购人提供服务。</w:t>
      </w:r>
    </w:p>
    <w:p w14:paraId="1A316073">
      <w:pPr>
        <w:rPr>
          <w:szCs w:val="21"/>
        </w:rPr>
      </w:pPr>
      <w:r>
        <w:rPr>
          <w:rFonts w:hint="eastAsia"/>
          <w:szCs w:val="21"/>
        </w:rPr>
        <w:t>（2）采用标准化、成熟化的设计流程、制作工艺、检测标准和管理模式，确保产品生产全流程的稳定性。</w:t>
      </w:r>
    </w:p>
    <w:p w14:paraId="134E2DC2">
      <w:pPr>
        <w:rPr>
          <w:szCs w:val="21"/>
        </w:rPr>
      </w:pPr>
      <w:r>
        <w:rPr>
          <w:rFonts w:hint="eastAsia"/>
          <w:szCs w:val="21"/>
        </w:rPr>
        <w:t>（3）采用经工程实践检验的成熟技术进行设计、生产，确保原材料质量，保障产品性能寿命的可靠性以及产品质量的稳定性和适应性。</w:t>
      </w:r>
    </w:p>
    <w:p w14:paraId="484088A5">
      <w:pPr>
        <w:rPr>
          <w:szCs w:val="21"/>
        </w:rPr>
      </w:pPr>
      <w:r>
        <w:rPr>
          <w:rFonts w:hint="eastAsia"/>
          <w:szCs w:val="21"/>
        </w:rPr>
        <w:t>（4）保障产品设计、生产供应、物流配送、售后服务、问题反馈与处置的连续性、时效性、有效性、稳妥性。</w:t>
      </w:r>
    </w:p>
    <w:p w14:paraId="0EE30C4A">
      <w:pPr>
        <w:rPr>
          <w:szCs w:val="21"/>
        </w:rPr>
      </w:pPr>
      <w:r>
        <w:rPr>
          <w:rFonts w:hint="eastAsia"/>
          <w:szCs w:val="21"/>
        </w:rPr>
        <w:t>（5）保障设计、生产、配送及信息数据交互全生产配送流程的安全性、可靠性。</w:t>
      </w:r>
    </w:p>
    <w:p w14:paraId="26466351">
      <w:pPr>
        <w:rPr>
          <w:szCs w:val="21"/>
        </w:rPr>
      </w:pPr>
      <w:r>
        <w:rPr>
          <w:rFonts w:hint="eastAsia"/>
          <w:szCs w:val="21"/>
        </w:rPr>
        <w:t>（6）充分考虑未来3年的发展，所提供的产品服务为将来扩展留有余地。</w:t>
      </w:r>
    </w:p>
    <w:p w14:paraId="140B79F8">
      <w:pPr>
        <w:rPr>
          <w:szCs w:val="21"/>
        </w:rPr>
      </w:pPr>
      <w:r>
        <w:rPr>
          <w:rFonts w:hint="eastAsia"/>
          <w:szCs w:val="21"/>
        </w:rPr>
        <w:t>（7）提供的产品不存在侵犯任何其他知识产权的情况。</w:t>
      </w:r>
    </w:p>
    <w:p w14:paraId="6D425D90">
      <w:pPr>
        <w:pStyle w:val="3"/>
      </w:pPr>
      <w:r>
        <w:rPr>
          <w:rFonts w:hint="eastAsia"/>
        </w:rPr>
        <w:t>4. 项目要求</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1"/>
        <w:gridCol w:w="1219"/>
        <w:gridCol w:w="6245"/>
      </w:tblGrid>
      <w:tr w14:paraId="385E4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31" w:type="dxa"/>
            <w:tcBorders>
              <w:top w:val="single" w:color="auto" w:sz="4" w:space="0"/>
              <w:left w:val="single" w:color="auto" w:sz="4" w:space="0"/>
              <w:bottom w:val="single" w:color="auto" w:sz="4" w:space="0"/>
              <w:right w:val="single" w:color="auto" w:sz="4" w:space="0"/>
            </w:tcBorders>
            <w:noWrap/>
            <w:vAlign w:val="center"/>
          </w:tcPr>
          <w:p w14:paraId="74222B56">
            <w:pPr>
              <w:pStyle w:val="35"/>
              <w:rPr>
                <w:szCs w:val="21"/>
              </w:rPr>
            </w:pPr>
            <w:r>
              <w:rPr>
                <w:rFonts w:hint="eastAsia"/>
                <w:szCs w:val="21"/>
              </w:rPr>
              <w:t>序号</w:t>
            </w:r>
          </w:p>
        </w:tc>
        <w:tc>
          <w:tcPr>
            <w:tcW w:w="1219" w:type="dxa"/>
            <w:tcBorders>
              <w:top w:val="single" w:color="auto" w:sz="4" w:space="0"/>
              <w:left w:val="single" w:color="auto" w:sz="4" w:space="0"/>
              <w:bottom w:val="single" w:color="auto" w:sz="4" w:space="0"/>
              <w:right w:val="single" w:color="auto" w:sz="4" w:space="0"/>
            </w:tcBorders>
            <w:noWrap/>
            <w:vAlign w:val="center"/>
          </w:tcPr>
          <w:p w14:paraId="5DD66C41">
            <w:pPr>
              <w:pStyle w:val="35"/>
              <w:rPr>
                <w:szCs w:val="21"/>
              </w:rPr>
            </w:pPr>
            <w:r>
              <w:rPr>
                <w:rFonts w:hint="eastAsia"/>
                <w:szCs w:val="21"/>
              </w:rPr>
              <w:t>条款名称</w:t>
            </w:r>
          </w:p>
        </w:tc>
        <w:tc>
          <w:tcPr>
            <w:tcW w:w="6245" w:type="dxa"/>
            <w:tcBorders>
              <w:top w:val="single" w:color="auto" w:sz="4" w:space="0"/>
              <w:left w:val="single" w:color="auto" w:sz="4" w:space="0"/>
              <w:bottom w:val="single" w:color="auto" w:sz="4" w:space="0"/>
              <w:right w:val="single" w:color="auto" w:sz="4" w:space="0"/>
            </w:tcBorders>
            <w:noWrap/>
            <w:vAlign w:val="center"/>
          </w:tcPr>
          <w:p w14:paraId="05C6A500">
            <w:pPr>
              <w:pStyle w:val="35"/>
              <w:rPr>
                <w:szCs w:val="21"/>
              </w:rPr>
            </w:pPr>
            <w:r>
              <w:rPr>
                <w:rFonts w:hint="eastAsia"/>
                <w:szCs w:val="21"/>
              </w:rPr>
              <w:t>条款内容</w:t>
            </w:r>
          </w:p>
        </w:tc>
      </w:tr>
      <w:tr w14:paraId="51EE4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31" w:type="dxa"/>
            <w:tcBorders>
              <w:top w:val="single" w:color="auto" w:sz="4" w:space="0"/>
              <w:left w:val="single" w:color="auto" w:sz="4" w:space="0"/>
              <w:bottom w:val="single" w:color="auto" w:sz="4" w:space="0"/>
              <w:right w:val="single" w:color="auto" w:sz="4" w:space="0"/>
            </w:tcBorders>
            <w:noWrap/>
            <w:vAlign w:val="center"/>
          </w:tcPr>
          <w:p w14:paraId="3F9D1DB2">
            <w:pPr>
              <w:pStyle w:val="34"/>
              <w:rPr>
                <w:szCs w:val="21"/>
              </w:rPr>
            </w:pPr>
            <w:r>
              <w:rPr>
                <w:rFonts w:hint="eastAsia"/>
                <w:szCs w:val="21"/>
              </w:rPr>
              <w:t>1</w:t>
            </w:r>
          </w:p>
        </w:tc>
        <w:tc>
          <w:tcPr>
            <w:tcW w:w="1219" w:type="dxa"/>
            <w:tcBorders>
              <w:top w:val="single" w:color="auto" w:sz="4" w:space="0"/>
              <w:left w:val="single" w:color="auto" w:sz="4" w:space="0"/>
              <w:bottom w:val="single" w:color="auto" w:sz="4" w:space="0"/>
              <w:right w:val="single" w:color="auto" w:sz="4" w:space="0"/>
            </w:tcBorders>
            <w:noWrap/>
            <w:vAlign w:val="center"/>
          </w:tcPr>
          <w:p w14:paraId="3B59CFC0">
            <w:pPr>
              <w:pStyle w:val="34"/>
              <w:rPr>
                <w:szCs w:val="21"/>
              </w:rPr>
            </w:pPr>
            <w:r>
              <w:rPr>
                <w:rFonts w:hint="eastAsia"/>
                <w:szCs w:val="21"/>
              </w:rPr>
              <w:t>卡样设计服务</w:t>
            </w:r>
          </w:p>
        </w:tc>
        <w:tc>
          <w:tcPr>
            <w:tcW w:w="6245" w:type="dxa"/>
            <w:tcBorders>
              <w:top w:val="single" w:color="auto" w:sz="4" w:space="0"/>
              <w:left w:val="single" w:color="auto" w:sz="4" w:space="0"/>
              <w:bottom w:val="single" w:color="auto" w:sz="4" w:space="0"/>
              <w:right w:val="single" w:color="auto" w:sz="4" w:space="0"/>
            </w:tcBorders>
            <w:noWrap/>
            <w:vAlign w:val="center"/>
          </w:tcPr>
          <w:p w14:paraId="405C7D72">
            <w:pPr>
              <w:pStyle w:val="34"/>
              <w:rPr>
                <w:szCs w:val="21"/>
              </w:rPr>
            </w:pPr>
            <w:r>
              <w:rPr>
                <w:rFonts w:hint="eastAsia"/>
                <w:szCs w:val="21"/>
              </w:rPr>
              <w:t>响应人根据采购人要求，免费提供银行卡版面设计、样卡制作及相关调整服务，不设置打样次数限制，且负责在约定时限内，按银行卡组织要求</w:t>
            </w:r>
            <w:r>
              <w:rPr>
                <w:szCs w:val="21"/>
              </w:rPr>
              <w:t>，</w:t>
            </w:r>
            <w:r>
              <w:rPr>
                <w:rFonts w:hint="eastAsia"/>
                <w:szCs w:val="21"/>
              </w:rPr>
              <w:t>办理卡片生产前的各项</w:t>
            </w:r>
            <w:r>
              <w:rPr>
                <w:szCs w:val="21"/>
              </w:rPr>
              <w:t>检测</w:t>
            </w:r>
            <w:r>
              <w:rPr>
                <w:rFonts w:hint="eastAsia"/>
                <w:szCs w:val="21"/>
              </w:rPr>
              <w:t>审批手续。</w:t>
            </w:r>
          </w:p>
          <w:p w14:paraId="62272EC9">
            <w:pPr>
              <w:pStyle w:val="34"/>
              <w:rPr>
                <w:szCs w:val="21"/>
              </w:rPr>
            </w:pPr>
            <w:r>
              <w:rPr>
                <w:rFonts w:hint="eastAsia"/>
                <w:szCs w:val="21"/>
              </w:rPr>
              <w:t>1.</w:t>
            </w:r>
            <w:r>
              <w:rPr>
                <w:szCs w:val="21"/>
              </w:rPr>
              <w:t>1 卡样设计。</w:t>
            </w:r>
            <w:r>
              <w:rPr>
                <w:rFonts w:hint="eastAsia"/>
                <w:szCs w:val="21"/>
              </w:rPr>
              <w:t>在接到采购人卡样设计需求后，响应人应在3个工作日内完成设计并提供相应详细设计思路说明。</w:t>
            </w:r>
          </w:p>
          <w:p w14:paraId="6E2BCDC3">
            <w:pPr>
              <w:pStyle w:val="34"/>
              <w:rPr>
                <w:szCs w:val="21"/>
              </w:rPr>
            </w:pPr>
            <w:r>
              <w:rPr>
                <w:rFonts w:hint="eastAsia"/>
                <w:szCs w:val="21"/>
              </w:rPr>
              <w:t>1.</w:t>
            </w:r>
            <w:r>
              <w:rPr>
                <w:szCs w:val="21"/>
              </w:rPr>
              <w:t>2 样卡生产。</w:t>
            </w:r>
            <w:r>
              <w:rPr>
                <w:rFonts w:hint="eastAsia"/>
                <w:szCs w:val="21"/>
              </w:rPr>
              <w:t>在接到采购人卡样设计确认</w:t>
            </w:r>
            <w:r>
              <w:rPr>
                <w:szCs w:val="21"/>
              </w:rPr>
              <w:t>意见</w:t>
            </w:r>
            <w:r>
              <w:rPr>
                <w:rFonts w:hint="eastAsia"/>
                <w:szCs w:val="21"/>
              </w:rPr>
              <w:t>后，响应人应制作样卡并在7个工作日内移交采购人评审，并免费提供修改及样卡重新生产服务。</w:t>
            </w:r>
          </w:p>
          <w:p w14:paraId="2E6EEB69">
            <w:pPr>
              <w:pStyle w:val="34"/>
              <w:rPr>
                <w:szCs w:val="21"/>
              </w:rPr>
            </w:pPr>
            <w:r>
              <w:rPr>
                <w:rFonts w:hint="eastAsia"/>
                <w:szCs w:val="21"/>
              </w:rPr>
              <w:t>1.</w:t>
            </w:r>
            <w:r>
              <w:rPr>
                <w:szCs w:val="21"/>
              </w:rPr>
              <w:t>3 样卡送审。</w:t>
            </w:r>
            <w:r>
              <w:rPr>
                <w:rFonts w:hint="eastAsia"/>
                <w:szCs w:val="21"/>
              </w:rPr>
              <w:t>采购人确认卡样及样卡无误后，响应人按银行卡组织要求</w:t>
            </w:r>
            <w:r>
              <w:rPr>
                <w:szCs w:val="21"/>
              </w:rPr>
              <w:t>对银行卡进行送检</w:t>
            </w:r>
            <w:r>
              <w:rPr>
                <w:rFonts w:hint="eastAsia"/>
                <w:szCs w:val="21"/>
              </w:rPr>
              <w:t>。期间，双方配合提供送</w:t>
            </w:r>
            <w:r>
              <w:rPr>
                <w:szCs w:val="21"/>
              </w:rPr>
              <w:t>检查</w:t>
            </w:r>
            <w:r>
              <w:rPr>
                <w:rFonts w:hint="eastAsia"/>
                <w:szCs w:val="21"/>
              </w:rPr>
              <w:t>所需的全部资料，并配合按银行卡组织要求修改卡样及样卡。</w:t>
            </w:r>
          </w:p>
          <w:p w14:paraId="37064021">
            <w:pPr>
              <w:pStyle w:val="34"/>
              <w:rPr>
                <w:szCs w:val="21"/>
              </w:rPr>
            </w:pPr>
            <w:r>
              <w:rPr>
                <w:rFonts w:hint="eastAsia"/>
                <w:szCs w:val="21"/>
              </w:rPr>
              <w:t>1.3.1</w:t>
            </w:r>
            <w:r>
              <w:rPr>
                <w:szCs w:val="21"/>
              </w:rPr>
              <w:t xml:space="preserve"> </w:t>
            </w:r>
            <w:r>
              <w:rPr>
                <w:rFonts w:hint="eastAsia"/>
                <w:szCs w:val="21"/>
              </w:rPr>
              <w:t>首次送检以及后续因响应人原因造成再次送检时，响应人承担银行卡检测中心卡片检测费用；</w:t>
            </w:r>
          </w:p>
          <w:p w14:paraId="67CAAA07">
            <w:pPr>
              <w:pStyle w:val="34"/>
              <w:rPr>
                <w:szCs w:val="21"/>
              </w:rPr>
            </w:pPr>
            <w:r>
              <w:rPr>
                <w:szCs w:val="21"/>
              </w:rPr>
              <w:t xml:space="preserve">1.3.2 </w:t>
            </w:r>
            <w:r>
              <w:rPr>
                <w:rFonts w:hint="eastAsia"/>
                <w:szCs w:val="21"/>
              </w:rPr>
              <w:t>后续因银行业制卡标准升级卡片更换芯片或变更个人化格式需送银行卡检测中心时，对应的检测费用由响应人承担。</w:t>
            </w:r>
          </w:p>
          <w:p w14:paraId="1C8CC4FA">
            <w:pPr>
              <w:pStyle w:val="34"/>
              <w:rPr>
                <w:szCs w:val="21"/>
              </w:rPr>
            </w:pPr>
            <w:r>
              <w:rPr>
                <w:rFonts w:hint="eastAsia"/>
                <w:szCs w:val="21"/>
              </w:rPr>
              <w:t>1.3.3</w:t>
            </w:r>
            <w:r>
              <w:rPr>
                <w:szCs w:val="21"/>
              </w:rPr>
              <w:t xml:space="preserve"> </w:t>
            </w:r>
            <w:r>
              <w:rPr>
                <w:rFonts w:hint="eastAsia"/>
                <w:szCs w:val="21"/>
              </w:rPr>
              <w:t>后续采购人发行新卡、卡片更换芯片或变更个人化格式需送银行卡检测中心时，对应的检测费用由采购人和响应人协商。</w:t>
            </w:r>
          </w:p>
          <w:p w14:paraId="06380D24">
            <w:pPr>
              <w:pStyle w:val="34"/>
              <w:rPr>
                <w:szCs w:val="21"/>
              </w:rPr>
            </w:pPr>
            <w:r>
              <w:rPr>
                <w:rFonts w:hint="eastAsia"/>
                <w:szCs w:val="21"/>
              </w:rPr>
              <w:t>1.</w:t>
            </w:r>
            <w:r>
              <w:rPr>
                <w:szCs w:val="21"/>
              </w:rPr>
              <w:t>4 额外样卡制作。</w:t>
            </w:r>
            <w:r>
              <w:rPr>
                <w:rFonts w:hint="eastAsia"/>
                <w:szCs w:val="21"/>
              </w:rPr>
              <w:t>响应人根据采购人要求，在正式投产前，免费提供额外的样卡制作服务。</w:t>
            </w:r>
          </w:p>
          <w:p w14:paraId="0571FAC3">
            <w:pPr>
              <w:pStyle w:val="34"/>
              <w:rPr>
                <w:szCs w:val="21"/>
              </w:rPr>
            </w:pPr>
            <w:r>
              <w:rPr>
                <w:rFonts w:hint="eastAsia"/>
                <w:szCs w:val="21"/>
              </w:rPr>
              <w:t>1.5 合作结束后，响应人应立即将采购人产品留档资料进行销毁。因响应人未及时销毁给采购人造成的负面影响，由响应人承担责任。</w:t>
            </w:r>
          </w:p>
        </w:tc>
      </w:tr>
      <w:tr w14:paraId="639AB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31" w:type="dxa"/>
            <w:tcBorders>
              <w:top w:val="single" w:color="auto" w:sz="4" w:space="0"/>
              <w:left w:val="single" w:color="auto" w:sz="4" w:space="0"/>
              <w:bottom w:val="single" w:color="auto" w:sz="4" w:space="0"/>
              <w:right w:val="single" w:color="auto" w:sz="4" w:space="0"/>
            </w:tcBorders>
            <w:noWrap/>
            <w:vAlign w:val="center"/>
          </w:tcPr>
          <w:p w14:paraId="0933549C">
            <w:pPr>
              <w:pStyle w:val="34"/>
              <w:rPr>
                <w:szCs w:val="21"/>
              </w:rPr>
            </w:pPr>
            <w:r>
              <w:rPr>
                <w:rFonts w:hint="eastAsia"/>
                <w:szCs w:val="21"/>
              </w:rPr>
              <w:t>2</w:t>
            </w:r>
          </w:p>
        </w:tc>
        <w:tc>
          <w:tcPr>
            <w:tcW w:w="1219" w:type="dxa"/>
            <w:tcBorders>
              <w:top w:val="single" w:color="auto" w:sz="4" w:space="0"/>
              <w:left w:val="single" w:color="auto" w:sz="4" w:space="0"/>
              <w:bottom w:val="single" w:color="auto" w:sz="4" w:space="0"/>
              <w:right w:val="single" w:color="auto" w:sz="4" w:space="0"/>
            </w:tcBorders>
            <w:noWrap/>
            <w:vAlign w:val="center"/>
          </w:tcPr>
          <w:p w14:paraId="40FBDE0A">
            <w:pPr>
              <w:pStyle w:val="34"/>
              <w:rPr>
                <w:szCs w:val="21"/>
              </w:rPr>
            </w:pPr>
            <w:r>
              <w:rPr>
                <w:rFonts w:hint="eastAsia"/>
                <w:szCs w:val="21"/>
              </w:rPr>
              <w:t>个人化服务准备</w:t>
            </w:r>
          </w:p>
        </w:tc>
        <w:tc>
          <w:tcPr>
            <w:tcW w:w="6245" w:type="dxa"/>
            <w:tcBorders>
              <w:top w:val="single" w:color="auto" w:sz="4" w:space="0"/>
              <w:left w:val="single" w:color="auto" w:sz="4" w:space="0"/>
              <w:bottom w:val="single" w:color="auto" w:sz="4" w:space="0"/>
              <w:right w:val="single" w:color="auto" w:sz="4" w:space="0"/>
            </w:tcBorders>
            <w:noWrap/>
            <w:vAlign w:val="center"/>
          </w:tcPr>
          <w:p w14:paraId="2AEAEB3B">
            <w:pPr>
              <w:pStyle w:val="34"/>
              <w:rPr>
                <w:szCs w:val="21"/>
              </w:rPr>
            </w:pPr>
            <w:r>
              <w:rPr>
                <w:rFonts w:hint="eastAsia"/>
                <w:szCs w:val="21"/>
              </w:rPr>
              <w:t>2.</w:t>
            </w:r>
            <w:r>
              <w:rPr>
                <w:szCs w:val="21"/>
              </w:rPr>
              <w:t>1</w:t>
            </w:r>
            <w:r>
              <w:rPr>
                <w:rFonts w:hint="eastAsia"/>
                <w:szCs w:val="21"/>
              </w:rPr>
              <w:t xml:space="preserve"> </w:t>
            </w:r>
            <w:r>
              <w:rPr>
                <w:szCs w:val="21"/>
              </w:rPr>
              <w:t>个人化准备</w:t>
            </w:r>
          </w:p>
          <w:p w14:paraId="31D2FA4B">
            <w:pPr>
              <w:pStyle w:val="34"/>
              <w:rPr>
                <w:szCs w:val="21"/>
              </w:rPr>
            </w:pPr>
            <w:r>
              <w:rPr>
                <w:szCs w:val="21"/>
              </w:rPr>
              <w:t xml:space="preserve">2.1.1 </w:t>
            </w:r>
            <w:r>
              <w:rPr>
                <w:rFonts w:hint="eastAsia"/>
                <w:szCs w:val="21"/>
              </w:rPr>
              <w:t>自收到采购人提供的个人化</w:t>
            </w:r>
            <w:r>
              <w:rPr>
                <w:szCs w:val="21"/>
              </w:rPr>
              <w:t>测试</w:t>
            </w:r>
            <w:r>
              <w:rPr>
                <w:rFonts w:hint="eastAsia"/>
                <w:szCs w:val="21"/>
              </w:rPr>
              <w:t>数据及格式等资料之日起，响应人应在7个工作日内制作测试卡，并在14日内完成个人化数据标准处理程序的开发及测试工作。</w:t>
            </w:r>
          </w:p>
          <w:p w14:paraId="17F1B54E">
            <w:pPr>
              <w:pStyle w:val="34"/>
              <w:rPr>
                <w:szCs w:val="21"/>
              </w:rPr>
            </w:pPr>
            <w:r>
              <w:rPr>
                <w:rFonts w:hint="eastAsia"/>
                <w:szCs w:val="21"/>
              </w:rPr>
              <w:t>2.</w:t>
            </w:r>
            <w:r>
              <w:rPr>
                <w:szCs w:val="21"/>
              </w:rPr>
              <w:t xml:space="preserve">1.2 </w:t>
            </w:r>
            <w:r>
              <w:rPr>
                <w:rFonts w:hint="eastAsia"/>
                <w:szCs w:val="21"/>
              </w:rPr>
              <w:t>响应人应配合采购人对各类借记IC卡的个人化数据及格式等制卡规范进行内部测试，并提出优化建议。</w:t>
            </w:r>
          </w:p>
          <w:p w14:paraId="02EAF628">
            <w:pPr>
              <w:pStyle w:val="34"/>
              <w:rPr>
                <w:szCs w:val="21"/>
              </w:rPr>
            </w:pPr>
            <w:r>
              <w:rPr>
                <w:rFonts w:hint="eastAsia"/>
                <w:szCs w:val="21"/>
              </w:rPr>
              <w:t>2.2.2响应人免费提供与采购人的系统对接服务，以实现采购人个人化服务数据的安全传输。</w:t>
            </w:r>
          </w:p>
          <w:p w14:paraId="37278A51">
            <w:pPr>
              <w:pStyle w:val="34"/>
              <w:rPr>
                <w:szCs w:val="21"/>
              </w:rPr>
            </w:pPr>
            <w:r>
              <w:rPr>
                <w:rFonts w:hint="eastAsia"/>
                <w:szCs w:val="21"/>
              </w:rPr>
              <w:t>2.</w:t>
            </w:r>
            <w:r>
              <w:rPr>
                <w:szCs w:val="21"/>
              </w:rPr>
              <w:t>2 卡检中心个人化准备</w:t>
            </w:r>
          </w:p>
          <w:p w14:paraId="69ADC7DA">
            <w:pPr>
              <w:pStyle w:val="34"/>
              <w:rPr>
                <w:szCs w:val="21"/>
              </w:rPr>
            </w:pPr>
            <w:r>
              <w:rPr>
                <w:szCs w:val="21"/>
              </w:rPr>
              <w:t>2.2.1</w:t>
            </w:r>
            <w:r>
              <w:rPr>
                <w:rFonts w:hint="eastAsia"/>
                <w:szCs w:val="21"/>
              </w:rPr>
              <w:t>在采购人正式采购前，响应人应完成相应准备，以确保拟采购借记IC卡通过银行卡组织指定机构的借记IC卡个人化检测。</w:t>
            </w:r>
          </w:p>
          <w:p w14:paraId="0FEB4DD4">
            <w:pPr>
              <w:pStyle w:val="34"/>
              <w:rPr>
                <w:szCs w:val="21"/>
              </w:rPr>
            </w:pPr>
            <w:r>
              <w:rPr>
                <w:rFonts w:hint="eastAsia"/>
                <w:szCs w:val="21"/>
              </w:rPr>
              <w:t>2.</w:t>
            </w:r>
            <w:r>
              <w:rPr>
                <w:szCs w:val="21"/>
              </w:rPr>
              <w:t xml:space="preserve">2.2 </w:t>
            </w:r>
            <w:r>
              <w:rPr>
                <w:rFonts w:hint="eastAsia"/>
                <w:szCs w:val="21"/>
              </w:rPr>
              <w:t>当采购人正式提出卡检需求后，响应人应在20日内向银行卡组织指定机构提交送检资料。</w:t>
            </w:r>
          </w:p>
          <w:p w14:paraId="61BCDFAE">
            <w:pPr>
              <w:pStyle w:val="34"/>
              <w:rPr>
                <w:szCs w:val="21"/>
              </w:rPr>
            </w:pPr>
            <w:r>
              <w:rPr>
                <w:rFonts w:hint="eastAsia"/>
                <w:szCs w:val="21"/>
              </w:rPr>
              <w:t>2.</w:t>
            </w:r>
            <w:r>
              <w:rPr>
                <w:szCs w:val="21"/>
              </w:rPr>
              <w:t xml:space="preserve">2.3 </w:t>
            </w:r>
            <w:r>
              <w:rPr>
                <w:rFonts w:hint="eastAsia"/>
                <w:szCs w:val="21"/>
              </w:rPr>
              <w:t>响应人向银行卡组织指定机构正式提交送检资料后，应最迟在30日内通过银行卡组织指定机构的借记IC卡个人化检测。</w:t>
            </w:r>
          </w:p>
          <w:p w14:paraId="1BB2FA09">
            <w:pPr>
              <w:pStyle w:val="34"/>
              <w:rPr>
                <w:szCs w:val="21"/>
              </w:rPr>
            </w:pPr>
            <w:r>
              <w:rPr>
                <w:rFonts w:hint="eastAsia"/>
                <w:szCs w:val="21"/>
              </w:rPr>
              <w:t>2.</w:t>
            </w:r>
            <w:r>
              <w:rPr>
                <w:szCs w:val="21"/>
              </w:rPr>
              <w:t>3</w:t>
            </w:r>
            <w:r>
              <w:rPr>
                <w:rFonts w:hint="eastAsia"/>
                <w:szCs w:val="21"/>
              </w:rPr>
              <w:t xml:space="preserve"> 测试卡指定机构出具的检测结果存档</w:t>
            </w:r>
          </w:p>
          <w:p w14:paraId="70C95555">
            <w:pPr>
              <w:pStyle w:val="34"/>
              <w:rPr>
                <w:szCs w:val="21"/>
              </w:rPr>
            </w:pPr>
            <w:r>
              <w:rPr>
                <w:rFonts w:hint="eastAsia"/>
                <w:szCs w:val="21"/>
              </w:rPr>
              <w:t>借记IC卡通过银行卡组织指定机构的个人化检测并通过后，响应人和采购人应完成该卡的指定机构出具的个人化检测通过结果存档。</w:t>
            </w:r>
          </w:p>
        </w:tc>
      </w:tr>
      <w:tr w14:paraId="173F4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31" w:type="dxa"/>
            <w:tcBorders>
              <w:top w:val="single" w:color="auto" w:sz="4" w:space="0"/>
              <w:left w:val="single" w:color="auto" w:sz="4" w:space="0"/>
              <w:bottom w:val="single" w:color="auto" w:sz="4" w:space="0"/>
              <w:right w:val="single" w:color="auto" w:sz="4" w:space="0"/>
            </w:tcBorders>
            <w:noWrap/>
            <w:vAlign w:val="center"/>
          </w:tcPr>
          <w:p w14:paraId="533870E5">
            <w:pPr>
              <w:pStyle w:val="34"/>
              <w:rPr>
                <w:szCs w:val="21"/>
              </w:rPr>
            </w:pPr>
            <w:r>
              <w:rPr>
                <w:rFonts w:hint="eastAsia"/>
                <w:szCs w:val="21"/>
              </w:rPr>
              <w:t>3</w:t>
            </w:r>
          </w:p>
        </w:tc>
        <w:tc>
          <w:tcPr>
            <w:tcW w:w="1219" w:type="dxa"/>
            <w:tcBorders>
              <w:top w:val="single" w:color="auto" w:sz="4" w:space="0"/>
              <w:left w:val="single" w:color="auto" w:sz="4" w:space="0"/>
              <w:bottom w:val="single" w:color="auto" w:sz="4" w:space="0"/>
              <w:right w:val="single" w:color="auto" w:sz="4" w:space="0"/>
            </w:tcBorders>
            <w:noWrap/>
            <w:vAlign w:val="center"/>
          </w:tcPr>
          <w:p w14:paraId="723437E2">
            <w:pPr>
              <w:pStyle w:val="34"/>
              <w:rPr>
                <w:szCs w:val="21"/>
              </w:rPr>
            </w:pPr>
            <w:r>
              <w:rPr>
                <w:rFonts w:hint="eastAsia"/>
                <w:szCs w:val="21"/>
              </w:rPr>
              <w:t>采购下单</w:t>
            </w:r>
          </w:p>
        </w:tc>
        <w:tc>
          <w:tcPr>
            <w:tcW w:w="6245" w:type="dxa"/>
            <w:tcBorders>
              <w:top w:val="single" w:color="auto" w:sz="4" w:space="0"/>
              <w:left w:val="single" w:color="auto" w:sz="4" w:space="0"/>
              <w:bottom w:val="single" w:color="auto" w:sz="4" w:space="0"/>
              <w:right w:val="single" w:color="auto" w:sz="4" w:space="0"/>
            </w:tcBorders>
            <w:noWrap/>
            <w:vAlign w:val="center"/>
          </w:tcPr>
          <w:p w14:paraId="0956A7A4">
            <w:pPr>
              <w:pStyle w:val="34"/>
              <w:rPr>
                <w:szCs w:val="21"/>
              </w:rPr>
            </w:pPr>
            <w:r>
              <w:rPr>
                <w:rFonts w:hint="eastAsia"/>
                <w:szCs w:val="21"/>
              </w:rPr>
              <w:t>3.1</w:t>
            </w:r>
            <w:r>
              <w:rPr>
                <w:szCs w:val="21"/>
              </w:rPr>
              <w:t xml:space="preserve"> </w:t>
            </w:r>
            <w:r>
              <w:rPr>
                <w:rFonts w:hint="eastAsia"/>
                <w:szCs w:val="21"/>
              </w:rPr>
              <w:t>响应人以采购人提供的采购订单作为空白卡及个人化服务的生产依据。响应人根据采购人</w:t>
            </w:r>
            <w:r>
              <w:rPr>
                <w:szCs w:val="21"/>
              </w:rPr>
              <w:t>采购</w:t>
            </w:r>
            <w:r>
              <w:rPr>
                <w:rFonts w:hint="eastAsia"/>
                <w:szCs w:val="21"/>
              </w:rPr>
              <w:t>订单，在采购人指定的时间内，完成卡片的卡基制作及个人化服务，并将成品卡片移交采购人。借记IC卡空白卡生产流程：空白卡制作和卡面印刷→空白卡个人化→成品卡片配送及移交。</w:t>
            </w:r>
          </w:p>
          <w:p w14:paraId="4BD2C4BC">
            <w:pPr>
              <w:pStyle w:val="34"/>
              <w:rPr>
                <w:color w:val="000000"/>
                <w:szCs w:val="21"/>
              </w:rPr>
            </w:pPr>
            <w:r>
              <w:rPr>
                <w:rFonts w:hint="eastAsia"/>
                <w:szCs w:val="21"/>
              </w:rPr>
              <w:t>3.</w:t>
            </w:r>
            <w:r>
              <w:rPr>
                <w:szCs w:val="21"/>
              </w:rPr>
              <w:t xml:space="preserve">2 </w:t>
            </w:r>
            <w:r>
              <w:rPr>
                <w:rFonts w:hint="eastAsia"/>
                <w:szCs w:val="21"/>
              </w:rPr>
              <w:t>借记IC卡个人化整个生产过程中，</w:t>
            </w:r>
            <w:r>
              <w:rPr>
                <w:rFonts w:hint="eastAsia"/>
                <w:color w:val="000000"/>
                <w:szCs w:val="21"/>
              </w:rPr>
              <w:t>响应人应注意数据保密并配置相应的加密措施。</w:t>
            </w:r>
          </w:p>
          <w:p w14:paraId="1E3D0634">
            <w:pPr>
              <w:pStyle w:val="34"/>
              <w:rPr>
                <w:szCs w:val="21"/>
              </w:rPr>
            </w:pPr>
            <w:r>
              <w:rPr>
                <w:rFonts w:hint="eastAsia"/>
                <w:szCs w:val="21"/>
              </w:rPr>
              <w:t>3.</w:t>
            </w:r>
            <w:r>
              <w:rPr>
                <w:szCs w:val="21"/>
              </w:rPr>
              <w:t xml:space="preserve">3 </w:t>
            </w:r>
            <w:r>
              <w:rPr>
                <w:rFonts w:hint="eastAsia"/>
                <w:szCs w:val="21"/>
              </w:rPr>
              <w:t>个人化数据由采购人提供。</w:t>
            </w:r>
          </w:p>
          <w:p w14:paraId="7B3E2EE7">
            <w:pPr>
              <w:pStyle w:val="34"/>
              <w:rPr>
                <w:szCs w:val="21"/>
              </w:rPr>
            </w:pPr>
            <w:r>
              <w:rPr>
                <w:rFonts w:hint="eastAsia"/>
                <w:szCs w:val="21"/>
              </w:rPr>
              <w:t>3.</w:t>
            </w:r>
            <w:r>
              <w:rPr>
                <w:szCs w:val="21"/>
              </w:rPr>
              <w:t xml:space="preserve">4 </w:t>
            </w:r>
            <w:r>
              <w:rPr>
                <w:rFonts w:hint="eastAsia"/>
                <w:szCs w:val="21"/>
              </w:rPr>
              <w:t>响应人提供由中国银联、VISA、万事达等银行卡组织认可的数据加密算法工具。采购人用该工具将个人化数据资料加密后，以双方商定的数据文件传输方式转交给响应人。</w:t>
            </w:r>
          </w:p>
          <w:p w14:paraId="0EB0329B">
            <w:pPr>
              <w:pStyle w:val="34"/>
              <w:rPr>
                <w:szCs w:val="21"/>
              </w:rPr>
            </w:pPr>
            <w:r>
              <w:rPr>
                <w:rFonts w:hint="eastAsia"/>
                <w:szCs w:val="21"/>
              </w:rPr>
              <w:t>3.</w:t>
            </w:r>
            <w:r>
              <w:rPr>
                <w:szCs w:val="21"/>
              </w:rPr>
              <w:t xml:space="preserve">5 </w:t>
            </w:r>
            <w:r>
              <w:rPr>
                <w:rFonts w:hint="eastAsia"/>
                <w:szCs w:val="21"/>
              </w:rPr>
              <w:t>响应人收到个人化数据后，应在1个工作日内完成个人化数据确认并将确认结果正确与否反馈采购人。响应人应对个人化数据确认包括但不限于个人化数据解密、格式核对、重复卡检查等。</w:t>
            </w:r>
          </w:p>
          <w:p w14:paraId="47848EA2">
            <w:pPr>
              <w:pStyle w:val="34"/>
              <w:rPr>
                <w:szCs w:val="21"/>
              </w:rPr>
            </w:pPr>
            <w:r>
              <w:rPr>
                <w:rFonts w:hint="eastAsia"/>
                <w:szCs w:val="21"/>
              </w:rPr>
              <w:t>3.</w:t>
            </w:r>
            <w:r>
              <w:rPr>
                <w:szCs w:val="21"/>
              </w:rPr>
              <w:t xml:space="preserve">6 </w:t>
            </w:r>
            <w:r>
              <w:rPr>
                <w:rFonts w:hint="eastAsia"/>
                <w:szCs w:val="21"/>
              </w:rPr>
              <w:t>个人化服务完成后，响应人应按监管机构及中国银联、VISA、万事达等银行卡组织的标准及要求，对个人化数据资料定期进行销毁，做好销毁记录。采购人保留核查权利，有权不定期对销毁记录进行抽检，响应人应配合采购人完成抽检工作，并向采购人出具销毁人员签字和响应人公章的销毁操作书面确认结果。</w:t>
            </w:r>
          </w:p>
          <w:p w14:paraId="3685EEF7">
            <w:pPr>
              <w:pStyle w:val="34"/>
              <w:rPr>
                <w:szCs w:val="21"/>
              </w:rPr>
            </w:pPr>
            <w:r>
              <w:rPr>
                <w:rFonts w:hint="eastAsia"/>
                <w:szCs w:val="21"/>
              </w:rPr>
              <w:t>3.</w:t>
            </w:r>
            <w:r>
              <w:rPr>
                <w:szCs w:val="21"/>
              </w:rPr>
              <w:t xml:space="preserve">7 </w:t>
            </w:r>
            <w:r>
              <w:rPr>
                <w:rFonts w:hint="eastAsia"/>
                <w:szCs w:val="21"/>
              </w:rPr>
              <w:t>所有借记IC卡卡样及个人化数据均由采购人确定。若响应人采用未经采购人书面认可的卡样或个人化数据进行产品生产，由此产生的一切后果由响应人承担，并赔偿因此给采购人造成的所有损失。</w:t>
            </w:r>
          </w:p>
          <w:p w14:paraId="3C68EEDF">
            <w:pPr>
              <w:pStyle w:val="34"/>
              <w:rPr>
                <w:szCs w:val="21"/>
              </w:rPr>
            </w:pPr>
            <w:r>
              <w:rPr>
                <w:rFonts w:hint="eastAsia"/>
                <w:szCs w:val="21"/>
              </w:rPr>
              <w:t>3.</w:t>
            </w:r>
            <w:r>
              <w:rPr>
                <w:szCs w:val="21"/>
              </w:rPr>
              <w:t>8</w:t>
            </w:r>
            <w:r>
              <w:rPr>
                <w:rFonts w:hint="eastAsia"/>
                <w:szCs w:val="21"/>
              </w:rPr>
              <w:t>响应人不得将本项目进行转包、分包、委托他人制作或贴牌加工。</w:t>
            </w:r>
          </w:p>
        </w:tc>
      </w:tr>
      <w:tr w14:paraId="54E94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31" w:type="dxa"/>
            <w:tcBorders>
              <w:top w:val="single" w:color="auto" w:sz="4" w:space="0"/>
              <w:left w:val="single" w:color="auto" w:sz="4" w:space="0"/>
              <w:bottom w:val="single" w:color="auto" w:sz="4" w:space="0"/>
              <w:right w:val="single" w:color="auto" w:sz="4" w:space="0"/>
            </w:tcBorders>
            <w:noWrap/>
            <w:vAlign w:val="center"/>
          </w:tcPr>
          <w:p w14:paraId="192ACAEF">
            <w:pPr>
              <w:pStyle w:val="34"/>
              <w:rPr>
                <w:szCs w:val="21"/>
              </w:rPr>
            </w:pPr>
            <w:r>
              <w:rPr>
                <w:szCs w:val="21"/>
              </w:rPr>
              <w:t>4</w:t>
            </w:r>
          </w:p>
        </w:tc>
        <w:tc>
          <w:tcPr>
            <w:tcW w:w="1219" w:type="dxa"/>
            <w:tcBorders>
              <w:top w:val="single" w:color="auto" w:sz="4" w:space="0"/>
              <w:left w:val="single" w:color="auto" w:sz="4" w:space="0"/>
              <w:bottom w:val="single" w:color="auto" w:sz="4" w:space="0"/>
              <w:right w:val="single" w:color="auto" w:sz="4" w:space="0"/>
            </w:tcBorders>
            <w:noWrap/>
            <w:vAlign w:val="center"/>
          </w:tcPr>
          <w:p w14:paraId="467D0339">
            <w:pPr>
              <w:pStyle w:val="34"/>
              <w:rPr>
                <w:szCs w:val="21"/>
              </w:rPr>
            </w:pPr>
            <w:r>
              <w:rPr>
                <w:rFonts w:hint="eastAsia"/>
                <w:szCs w:val="21"/>
              </w:rPr>
              <w:t>产品质量管理</w:t>
            </w:r>
          </w:p>
        </w:tc>
        <w:tc>
          <w:tcPr>
            <w:tcW w:w="6245" w:type="dxa"/>
            <w:tcBorders>
              <w:top w:val="single" w:color="auto" w:sz="4" w:space="0"/>
              <w:left w:val="single" w:color="auto" w:sz="4" w:space="0"/>
              <w:bottom w:val="single" w:color="auto" w:sz="4" w:space="0"/>
              <w:right w:val="single" w:color="auto" w:sz="4" w:space="0"/>
            </w:tcBorders>
            <w:noWrap/>
            <w:vAlign w:val="center"/>
          </w:tcPr>
          <w:p w14:paraId="462E1117">
            <w:pPr>
              <w:pStyle w:val="34"/>
              <w:rPr>
                <w:szCs w:val="21"/>
              </w:rPr>
            </w:pPr>
            <w:r>
              <w:rPr>
                <w:rFonts w:hint="eastAsia"/>
                <w:szCs w:val="21"/>
              </w:rPr>
              <w:t>4.1 产品名称及规格</w:t>
            </w:r>
          </w:p>
          <w:p w14:paraId="3A343DA9">
            <w:pPr>
              <w:pStyle w:val="34"/>
              <w:rPr>
                <w:szCs w:val="21"/>
              </w:rPr>
            </w:pPr>
            <w:r>
              <w:rPr>
                <w:rFonts w:hint="eastAsia"/>
                <w:szCs w:val="21"/>
              </w:rPr>
              <w:t>4.1.1 金融IC普卡/金卡空白卡及个人化服务</w:t>
            </w:r>
          </w:p>
          <w:p w14:paraId="018F7D38">
            <w:pPr>
              <w:pStyle w:val="34"/>
              <w:rPr>
                <w:szCs w:val="21"/>
              </w:rPr>
            </w:pPr>
            <w:r>
              <w:rPr>
                <w:rFonts w:hint="eastAsia"/>
                <w:szCs w:val="21"/>
              </w:rPr>
              <w:t>（1）空白卡卡体和磁条规格型号：双界面IC、显性磁条复合卡，优质进口PVC材料，卡体厚度为0.82±0.02mm、高抗磁条，金/银粉+光面+珠光，卡号/有效期/个人化姓名凸码打印（烫金/银），CVN2凹码打印，中国银联有关规定印制标识、采购人要求印制的标识。</w:t>
            </w:r>
          </w:p>
          <w:p w14:paraId="01995538">
            <w:pPr>
              <w:pStyle w:val="34"/>
              <w:rPr>
                <w:szCs w:val="21"/>
              </w:rPr>
            </w:pPr>
            <w:r>
              <w:rPr>
                <w:rFonts w:hint="eastAsia"/>
                <w:szCs w:val="21"/>
              </w:rPr>
              <w:t>（2）空白卡所用芯片的规格型号：复旦微电子FM1280或紫光同芯THD89。</w:t>
            </w:r>
          </w:p>
          <w:p w14:paraId="077172A2">
            <w:pPr>
              <w:pStyle w:val="34"/>
              <w:rPr>
                <w:szCs w:val="21"/>
              </w:rPr>
            </w:pPr>
            <w:r>
              <w:rPr>
                <w:rFonts w:hint="eastAsia"/>
                <w:szCs w:val="21"/>
              </w:rPr>
              <w:t>4.</w:t>
            </w:r>
            <w:r>
              <w:rPr>
                <w:szCs w:val="21"/>
              </w:rPr>
              <w:t>1.</w:t>
            </w:r>
            <w:r>
              <w:rPr>
                <w:rFonts w:hint="eastAsia"/>
                <w:szCs w:val="21"/>
              </w:rPr>
              <w:t>2 其他新增借记IC卡空白卡及个人化服务</w:t>
            </w:r>
          </w:p>
          <w:p w14:paraId="36183BB3">
            <w:pPr>
              <w:pStyle w:val="34"/>
              <w:rPr>
                <w:szCs w:val="21"/>
              </w:rPr>
            </w:pPr>
            <w:r>
              <w:rPr>
                <w:rFonts w:hint="eastAsia"/>
                <w:szCs w:val="21"/>
              </w:rPr>
              <w:t>（1）空白卡卡体和磁条规格型号：以卡片设计为准，原则上采用亚光面、珠光、烫金/银、平印、黑色高抗磁条、优质进口PVC材料等工艺。</w:t>
            </w:r>
          </w:p>
          <w:p w14:paraId="43211572">
            <w:pPr>
              <w:pStyle w:val="34"/>
              <w:rPr>
                <w:szCs w:val="21"/>
              </w:rPr>
            </w:pPr>
            <w:r>
              <w:rPr>
                <w:rFonts w:hint="eastAsia"/>
                <w:szCs w:val="21"/>
              </w:rPr>
              <w:t>（2）空白卡所用芯片的规格型号：参照金融IC普卡/金卡配置。</w:t>
            </w:r>
          </w:p>
          <w:p w14:paraId="158AE254">
            <w:pPr>
              <w:pStyle w:val="34"/>
              <w:rPr>
                <w:szCs w:val="21"/>
              </w:rPr>
            </w:pPr>
            <w:r>
              <w:rPr>
                <w:rFonts w:hint="eastAsia"/>
                <w:szCs w:val="21"/>
              </w:rPr>
              <w:t>注：“其他新增借记IC卡空白卡及个人化服务”本次暂不报价，待采购人有实际需求时，再与已成交的响应人通过商务谈判议价。</w:t>
            </w:r>
          </w:p>
          <w:p w14:paraId="331E678F">
            <w:pPr>
              <w:pStyle w:val="34"/>
              <w:rPr>
                <w:szCs w:val="21"/>
              </w:rPr>
            </w:pPr>
            <w:r>
              <w:rPr>
                <w:szCs w:val="21"/>
              </w:rPr>
              <w:t>4</w:t>
            </w:r>
            <w:r>
              <w:rPr>
                <w:rFonts w:hint="eastAsia"/>
                <w:szCs w:val="21"/>
              </w:rPr>
              <w:t>.</w:t>
            </w:r>
            <w:r>
              <w:rPr>
                <w:szCs w:val="21"/>
              </w:rPr>
              <w:t xml:space="preserve">2 </w:t>
            </w:r>
            <w:r>
              <w:rPr>
                <w:rFonts w:hint="eastAsia"/>
                <w:szCs w:val="21"/>
              </w:rPr>
              <w:t>产品质量需同时满足以下要求：</w:t>
            </w:r>
          </w:p>
          <w:p w14:paraId="53ADA00D">
            <w:pPr>
              <w:pStyle w:val="34"/>
              <w:rPr>
                <w:szCs w:val="21"/>
              </w:rPr>
            </w:pPr>
            <w:r>
              <w:rPr>
                <w:szCs w:val="21"/>
              </w:rPr>
              <w:t>4</w:t>
            </w:r>
            <w:r>
              <w:rPr>
                <w:rFonts w:hint="eastAsia"/>
                <w:szCs w:val="21"/>
              </w:rPr>
              <w:t>.</w:t>
            </w:r>
            <w:r>
              <w:rPr>
                <w:szCs w:val="21"/>
              </w:rPr>
              <w:t>2</w:t>
            </w:r>
            <w:r>
              <w:rPr>
                <w:rFonts w:hint="eastAsia"/>
                <w:szCs w:val="21"/>
              </w:rPr>
              <w:t>.1</w:t>
            </w:r>
            <w:r>
              <w:rPr>
                <w:szCs w:val="21"/>
              </w:rPr>
              <w:t xml:space="preserve"> </w:t>
            </w:r>
            <w:r>
              <w:rPr>
                <w:rFonts w:hint="eastAsia"/>
                <w:szCs w:val="21"/>
              </w:rPr>
              <w:t>成品卡应符合监管机构及中国银联、VISA、万事达等银行卡组织的质量要求和技术标准。</w:t>
            </w:r>
          </w:p>
          <w:p w14:paraId="033D5771">
            <w:pPr>
              <w:pStyle w:val="34"/>
              <w:rPr>
                <w:szCs w:val="21"/>
              </w:rPr>
            </w:pPr>
            <w:r>
              <w:rPr>
                <w:szCs w:val="21"/>
              </w:rPr>
              <w:t>4</w:t>
            </w:r>
            <w:r>
              <w:rPr>
                <w:rFonts w:hint="eastAsia"/>
                <w:szCs w:val="21"/>
              </w:rPr>
              <w:t>.</w:t>
            </w:r>
            <w:r>
              <w:rPr>
                <w:szCs w:val="21"/>
              </w:rPr>
              <w:t>2</w:t>
            </w:r>
            <w:r>
              <w:rPr>
                <w:rFonts w:hint="eastAsia"/>
                <w:szCs w:val="21"/>
              </w:rPr>
              <w:t>.2</w:t>
            </w:r>
            <w:r>
              <w:rPr>
                <w:szCs w:val="21"/>
              </w:rPr>
              <w:t xml:space="preserve"> </w:t>
            </w:r>
            <w:r>
              <w:rPr>
                <w:rFonts w:hint="eastAsia"/>
                <w:szCs w:val="21"/>
              </w:rPr>
              <w:t>成品卡应满足采购人个性需求，符合采购合同内“技术服务要求”。</w:t>
            </w:r>
          </w:p>
          <w:p w14:paraId="2306CB42">
            <w:pPr>
              <w:pStyle w:val="34"/>
              <w:rPr>
                <w:szCs w:val="21"/>
              </w:rPr>
            </w:pPr>
            <w:r>
              <w:rPr>
                <w:szCs w:val="21"/>
              </w:rPr>
              <w:t>4</w:t>
            </w:r>
            <w:r>
              <w:rPr>
                <w:rFonts w:hint="eastAsia"/>
                <w:szCs w:val="21"/>
              </w:rPr>
              <w:t>.</w:t>
            </w:r>
            <w:r>
              <w:rPr>
                <w:szCs w:val="21"/>
              </w:rPr>
              <w:t>2</w:t>
            </w:r>
            <w:r>
              <w:rPr>
                <w:rFonts w:hint="eastAsia"/>
                <w:szCs w:val="21"/>
              </w:rPr>
              <w:t>.3</w:t>
            </w:r>
            <w:r>
              <w:rPr>
                <w:szCs w:val="21"/>
              </w:rPr>
              <w:t xml:space="preserve"> </w:t>
            </w:r>
            <w:r>
              <w:rPr>
                <w:rFonts w:hint="eastAsia"/>
                <w:szCs w:val="21"/>
              </w:rPr>
              <w:t>成品卡质量不得低于测试确认卡（以指定机构出具的检测结果存档资料为准）质量。</w:t>
            </w:r>
          </w:p>
          <w:p w14:paraId="6331F281">
            <w:pPr>
              <w:pStyle w:val="34"/>
              <w:rPr>
                <w:szCs w:val="21"/>
              </w:rPr>
            </w:pPr>
            <w:r>
              <w:rPr>
                <w:szCs w:val="21"/>
              </w:rPr>
              <w:t>4</w:t>
            </w:r>
            <w:r>
              <w:rPr>
                <w:rFonts w:hint="eastAsia"/>
                <w:szCs w:val="21"/>
              </w:rPr>
              <w:t>.</w:t>
            </w:r>
            <w:r>
              <w:rPr>
                <w:szCs w:val="21"/>
              </w:rPr>
              <w:t>2</w:t>
            </w:r>
            <w:r>
              <w:rPr>
                <w:rFonts w:hint="eastAsia"/>
                <w:szCs w:val="21"/>
              </w:rPr>
              <w:t>.4</w:t>
            </w:r>
            <w:r>
              <w:rPr>
                <w:szCs w:val="21"/>
              </w:rPr>
              <w:t xml:space="preserve"> </w:t>
            </w:r>
            <w:r>
              <w:rPr>
                <w:rFonts w:hint="eastAsia"/>
                <w:szCs w:val="21"/>
              </w:rPr>
              <w:t>响应人应保证提供的空白卡和成品卡均为全新、未使用过的卡片。</w:t>
            </w:r>
          </w:p>
          <w:p w14:paraId="6B61C6BC">
            <w:pPr>
              <w:pStyle w:val="34"/>
              <w:rPr>
                <w:szCs w:val="21"/>
              </w:rPr>
            </w:pPr>
            <w:r>
              <w:rPr>
                <w:szCs w:val="21"/>
              </w:rPr>
              <w:t>4</w:t>
            </w:r>
            <w:r>
              <w:rPr>
                <w:rFonts w:hint="eastAsia"/>
                <w:szCs w:val="21"/>
              </w:rPr>
              <w:t>.</w:t>
            </w:r>
            <w:r>
              <w:rPr>
                <w:szCs w:val="21"/>
              </w:rPr>
              <w:t xml:space="preserve">3 </w:t>
            </w:r>
            <w:r>
              <w:rPr>
                <w:rFonts w:hint="eastAsia"/>
                <w:szCs w:val="21"/>
              </w:rPr>
              <w:t>废卡处理</w:t>
            </w:r>
          </w:p>
          <w:p w14:paraId="4AD15BC5">
            <w:pPr>
              <w:pStyle w:val="34"/>
              <w:rPr>
                <w:szCs w:val="21"/>
              </w:rPr>
            </w:pPr>
            <w:r>
              <w:rPr>
                <w:szCs w:val="21"/>
              </w:rPr>
              <w:t>4</w:t>
            </w:r>
            <w:r>
              <w:rPr>
                <w:rFonts w:hint="eastAsia"/>
                <w:szCs w:val="21"/>
              </w:rPr>
              <w:t>.</w:t>
            </w:r>
            <w:r>
              <w:rPr>
                <w:szCs w:val="21"/>
              </w:rPr>
              <w:t>3</w:t>
            </w:r>
            <w:r>
              <w:rPr>
                <w:rFonts w:hint="eastAsia"/>
                <w:szCs w:val="21"/>
              </w:rPr>
              <w:t>.1</w:t>
            </w:r>
            <w:r>
              <w:rPr>
                <w:szCs w:val="21"/>
              </w:rPr>
              <w:t xml:space="preserve"> </w:t>
            </w:r>
            <w:r>
              <w:rPr>
                <w:rFonts w:hint="eastAsia"/>
                <w:szCs w:val="21"/>
              </w:rPr>
              <w:t>响应人应建立废卡及其销毁报告制度。对由于各种原因产生的废卡，必须将废卡产生原因、批号、数量、卡号及时书面通知采购人。废卡销毁时，必须将销毁废卡的批号、数量、卡号及时书面通知采购人</w:t>
            </w:r>
            <w:r>
              <w:rPr>
                <w:szCs w:val="21"/>
              </w:rPr>
              <w:t>，</w:t>
            </w:r>
            <w:r>
              <w:rPr>
                <w:rFonts w:hint="eastAsia"/>
                <w:szCs w:val="21"/>
              </w:rPr>
              <w:t>采购人保留核查权利。</w:t>
            </w:r>
          </w:p>
          <w:p w14:paraId="77FFCA58">
            <w:pPr>
              <w:pStyle w:val="34"/>
              <w:rPr>
                <w:szCs w:val="21"/>
              </w:rPr>
            </w:pPr>
            <w:r>
              <w:rPr>
                <w:szCs w:val="21"/>
              </w:rPr>
              <w:t>4</w:t>
            </w:r>
            <w:r>
              <w:rPr>
                <w:rFonts w:hint="eastAsia"/>
                <w:szCs w:val="21"/>
              </w:rPr>
              <w:t>.</w:t>
            </w:r>
            <w:r>
              <w:rPr>
                <w:szCs w:val="21"/>
              </w:rPr>
              <w:t>3</w:t>
            </w:r>
            <w:r>
              <w:rPr>
                <w:rFonts w:hint="eastAsia"/>
                <w:szCs w:val="21"/>
              </w:rPr>
              <w:t>.2</w:t>
            </w:r>
            <w:r>
              <w:rPr>
                <w:szCs w:val="21"/>
              </w:rPr>
              <w:t xml:space="preserve"> </w:t>
            </w:r>
            <w:r>
              <w:rPr>
                <w:rFonts w:hint="eastAsia"/>
                <w:szCs w:val="21"/>
              </w:rPr>
              <w:t>在借记IC卡空白卡及个人化的生产过程中，因响应人原因产生的废卡由响应人承担所有损失。</w:t>
            </w:r>
          </w:p>
          <w:p w14:paraId="46D92CE0">
            <w:pPr>
              <w:pStyle w:val="34"/>
              <w:rPr>
                <w:szCs w:val="21"/>
              </w:rPr>
            </w:pPr>
            <w:r>
              <w:rPr>
                <w:szCs w:val="21"/>
              </w:rPr>
              <w:t>4</w:t>
            </w:r>
            <w:r>
              <w:rPr>
                <w:rFonts w:hint="eastAsia"/>
                <w:szCs w:val="21"/>
              </w:rPr>
              <w:t>.</w:t>
            </w:r>
            <w:r>
              <w:rPr>
                <w:szCs w:val="21"/>
              </w:rPr>
              <w:t>3</w:t>
            </w:r>
            <w:r>
              <w:rPr>
                <w:rFonts w:hint="eastAsia"/>
                <w:szCs w:val="21"/>
              </w:rPr>
              <w:t>.3</w:t>
            </w:r>
            <w:r>
              <w:rPr>
                <w:szCs w:val="21"/>
              </w:rPr>
              <w:t xml:space="preserve"> </w:t>
            </w:r>
            <w:r>
              <w:rPr>
                <w:rFonts w:hint="eastAsia"/>
                <w:szCs w:val="21"/>
              </w:rPr>
              <w:t>因响应人原因致使废卡流入市场给采购人造成损失的，响应人应当向采购人承担赔偿责任。</w:t>
            </w:r>
          </w:p>
          <w:p w14:paraId="43251A4C">
            <w:pPr>
              <w:pStyle w:val="34"/>
              <w:rPr>
                <w:szCs w:val="21"/>
              </w:rPr>
            </w:pPr>
            <w:r>
              <w:rPr>
                <w:szCs w:val="21"/>
              </w:rPr>
              <w:t>4</w:t>
            </w:r>
            <w:r>
              <w:rPr>
                <w:rFonts w:hint="eastAsia"/>
                <w:szCs w:val="21"/>
              </w:rPr>
              <w:t>.</w:t>
            </w:r>
            <w:r>
              <w:rPr>
                <w:szCs w:val="21"/>
              </w:rPr>
              <w:t xml:space="preserve">4 </w:t>
            </w:r>
            <w:r>
              <w:rPr>
                <w:rFonts w:hint="eastAsia"/>
                <w:szCs w:val="21"/>
              </w:rPr>
              <w:t>重复卡处理</w:t>
            </w:r>
          </w:p>
          <w:p w14:paraId="0D661E4E">
            <w:pPr>
              <w:pStyle w:val="34"/>
              <w:rPr>
                <w:szCs w:val="21"/>
              </w:rPr>
            </w:pPr>
            <w:r>
              <w:rPr>
                <w:szCs w:val="21"/>
              </w:rPr>
              <w:t>4</w:t>
            </w:r>
            <w:r>
              <w:rPr>
                <w:rFonts w:hint="eastAsia"/>
                <w:szCs w:val="21"/>
              </w:rPr>
              <w:t>.</w:t>
            </w:r>
            <w:r>
              <w:rPr>
                <w:szCs w:val="21"/>
              </w:rPr>
              <w:t>4</w:t>
            </w:r>
            <w:r>
              <w:rPr>
                <w:rFonts w:hint="eastAsia"/>
                <w:szCs w:val="21"/>
              </w:rPr>
              <w:t>.1</w:t>
            </w:r>
            <w:r>
              <w:rPr>
                <w:szCs w:val="21"/>
              </w:rPr>
              <w:t xml:space="preserve"> </w:t>
            </w:r>
            <w:r>
              <w:rPr>
                <w:rFonts w:hint="eastAsia"/>
                <w:szCs w:val="21"/>
              </w:rPr>
              <w:t>采购人发现出现重复卡或重复卡交易时，响应人有</w:t>
            </w:r>
            <w:r>
              <w:rPr>
                <w:szCs w:val="21"/>
              </w:rPr>
              <w:t>义务</w:t>
            </w:r>
            <w:r>
              <w:rPr>
                <w:rFonts w:hint="eastAsia"/>
                <w:szCs w:val="21"/>
              </w:rPr>
              <w:t>动用其门禁系统资料、内部监控录像及发卡记录等相关资料协助查找并明确原因。</w:t>
            </w:r>
          </w:p>
          <w:p w14:paraId="51A7368F">
            <w:pPr>
              <w:pStyle w:val="34"/>
              <w:rPr>
                <w:szCs w:val="21"/>
              </w:rPr>
            </w:pPr>
            <w:r>
              <w:rPr>
                <w:szCs w:val="21"/>
              </w:rPr>
              <w:t>4</w:t>
            </w:r>
            <w:r>
              <w:rPr>
                <w:rFonts w:hint="eastAsia"/>
                <w:szCs w:val="21"/>
              </w:rPr>
              <w:t>.</w:t>
            </w:r>
            <w:r>
              <w:rPr>
                <w:szCs w:val="21"/>
              </w:rPr>
              <w:t>4</w:t>
            </w:r>
            <w:r>
              <w:rPr>
                <w:rFonts w:hint="eastAsia"/>
                <w:szCs w:val="21"/>
              </w:rPr>
              <w:t>.2</w:t>
            </w:r>
            <w:r>
              <w:rPr>
                <w:szCs w:val="21"/>
              </w:rPr>
              <w:t xml:space="preserve"> </w:t>
            </w:r>
            <w:r>
              <w:rPr>
                <w:rFonts w:hint="eastAsia"/>
                <w:szCs w:val="21"/>
              </w:rPr>
              <w:t>如果由于响应人原因造成的</w:t>
            </w:r>
            <w:r>
              <w:rPr>
                <w:szCs w:val="21"/>
              </w:rPr>
              <w:t>重复卡或</w:t>
            </w:r>
            <w:r>
              <w:rPr>
                <w:rFonts w:hint="eastAsia"/>
                <w:szCs w:val="21"/>
              </w:rPr>
              <w:t>重复卡交易及由此对采购人声誉造成的负面影响，则由响应人全额承担由此带来的经济损失，采购人具有向响应人追偿权利。</w:t>
            </w:r>
          </w:p>
          <w:p w14:paraId="33605198">
            <w:pPr>
              <w:pStyle w:val="34"/>
              <w:rPr>
                <w:szCs w:val="21"/>
              </w:rPr>
            </w:pPr>
            <w:r>
              <w:rPr>
                <w:szCs w:val="21"/>
              </w:rPr>
              <w:t>4</w:t>
            </w:r>
            <w:r>
              <w:rPr>
                <w:rFonts w:hint="eastAsia"/>
                <w:szCs w:val="21"/>
              </w:rPr>
              <w:t>.</w:t>
            </w:r>
            <w:r>
              <w:rPr>
                <w:szCs w:val="21"/>
              </w:rPr>
              <w:t xml:space="preserve">5 </w:t>
            </w:r>
            <w:r>
              <w:rPr>
                <w:rFonts w:hint="eastAsia"/>
                <w:szCs w:val="21"/>
              </w:rPr>
              <w:t>成品卡保修</w:t>
            </w:r>
          </w:p>
          <w:p w14:paraId="0A93A931">
            <w:pPr>
              <w:pStyle w:val="34"/>
              <w:rPr>
                <w:szCs w:val="21"/>
              </w:rPr>
            </w:pPr>
            <w:r>
              <w:rPr>
                <w:rFonts w:hint="eastAsia"/>
                <w:szCs w:val="21"/>
              </w:rPr>
              <w:t>成品卡交接后，响应人对所售成品卡承担保修责任。如成品卡出现无法修复的质量问题，响应人负责免费更换为合格成品卡。但由于采购人使用和保管不当造成的损坏，响应人不承担保修及更换责任。</w:t>
            </w:r>
          </w:p>
          <w:p w14:paraId="2A8FC45C">
            <w:pPr>
              <w:pStyle w:val="34"/>
              <w:rPr>
                <w:szCs w:val="21"/>
              </w:rPr>
            </w:pPr>
            <w:r>
              <w:rPr>
                <w:szCs w:val="21"/>
              </w:rPr>
              <w:t>4</w:t>
            </w:r>
            <w:r>
              <w:rPr>
                <w:rFonts w:hint="eastAsia"/>
                <w:szCs w:val="21"/>
              </w:rPr>
              <w:t>.</w:t>
            </w:r>
            <w:r>
              <w:rPr>
                <w:szCs w:val="21"/>
              </w:rPr>
              <w:t xml:space="preserve">6 </w:t>
            </w:r>
            <w:r>
              <w:rPr>
                <w:rFonts w:hint="eastAsia"/>
                <w:szCs w:val="21"/>
              </w:rPr>
              <w:t>未达标成品卡更换</w:t>
            </w:r>
          </w:p>
          <w:p w14:paraId="27203347">
            <w:pPr>
              <w:pStyle w:val="34"/>
              <w:rPr>
                <w:szCs w:val="21"/>
              </w:rPr>
            </w:pPr>
            <w:r>
              <w:rPr>
                <w:rFonts w:hint="eastAsia"/>
                <w:szCs w:val="21"/>
              </w:rPr>
              <w:t>4.6.1 采购人可随时就未达到产品质量管理要求的卡片向响应人提出异议，并由响应人无条件免费更换新卡。</w:t>
            </w:r>
          </w:p>
          <w:p w14:paraId="285F4AD2">
            <w:pPr>
              <w:pStyle w:val="34"/>
              <w:rPr>
                <w:szCs w:val="21"/>
              </w:rPr>
            </w:pPr>
            <w:r>
              <w:rPr>
                <w:rFonts w:hint="eastAsia"/>
                <w:szCs w:val="21"/>
              </w:rPr>
              <w:t>4.6.2 若响应人提供的卡片中，产品质量管理未达标的卡片比率超过0.1％（包含0.1％），响应人除承诺无条件更换新卡外，还应按照问题卡片价值的500％对采购人进行赔偿。但由于持卡人非正常使用条件下造成的质量损坏不包含在0.1%损坏率内。</w:t>
            </w:r>
          </w:p>
          <w:p w14:paraId="70177B1D">
            <w:pPr>
              <w:pStyle w:val="34"/>
              <w:rPr>
                <w:szCs w:val="21"/>
              </w:rPr>
            </w:pPr>
            <w:r>
              <w:rPr>
                <w:szCs w:val="21"/>
              </w:rPr>
              <w:t>4</w:t>
            </w:r>
            <w:r>
              <w:rPr>
                <w:rFonts w:hint="eastAsia"/>
                <w:szCs w:val="21"/>
              </w:rPr>
              <w:t>.</w:t>
            </w:r>
            <w:r>
              <w:rPr>
                <w:szCs w:val="21"/>
              </w:rPr>
              <w:t>6</w:t>
            </w:r>
            <w:r>
              <w:rPr>
                <w:rFonts w:hint="eastAsia"/>
                <w:szCs w:val="21"/>
              </w:rPr>
              <w:t>.3</w:t>
            </w:r>
            <w:r>
              <w:rPr>
                <w:szCs w:val="21"/>
              </w:rPr>
              <w:t xml:space="preserve"> </w:t>
            </w:r>
            <w:r>
              <w:rPr>
                <w:rFonts w:hint="eastAsia"/>
                <w:szCs w:val="21"/>
              </w:rPr>
              <w:t>如采购人与响应人在成品卡质量方面存在争议，则以国内有关质检单位检测证明为准。</w:t>
            </w:r>
          </w:p>
        </w:tc>
      </w:tr>
      <w:tr w14:paraId="3ECAA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31" w:type="dxa"/>
            <w:tcBorders>
              <w:top w:val="single" w:color="auto" w:sz="4" w:space="0"/>
              <w:left w:val="single" w:color="auto" w:sz="4" w:space="0"/>
              <w:bottom w:val="single" w:color="auto" w:sz="4" w:space="0"/>
              <w:right w:val="single" w:color="auto" w:sz="4" w:space="0"/>
            </w:tcBorders>
            <w:noWrap/>
            <w:vAlign w:val="center"/>
          </w:tcPr>
          <w:p w14:paraId="01E557CD">
            <w:pPr>
              <w:pStyle w:val="34"/>
              <w:rPr>
                <w:szCs w:val="21"/>
              </w:rPr>
            </w:pPr>
            <w:r>
              <w:rPr>
                <w:szCs w:val="21"/>
              </w:rPr>
              <w:t>5.</w:t>
            </w:r>
          </w:p>
        </w:tc>
        <w:tc>
          <w:tcPr>
            <w:tcW w:w="1219" w:type="dxa"/>
            <w:tcBorders>
              <w:top w:val="single" w:color="auto" w:sz="4" w:space="0"/>
              <w:left w:val="single" w:color="auto" w:sz="4" w:space="0"/>
              <w:bottom w:val="single" w:color="auto" w:sz="4" w:space="0"/>
              <w:right w:val="single" w:color="auto" w:sz="4" w:space="0"/>
            </w:tcBorders>
            <w:noWrap/>
            <w:vAlign w:val="center"/>
          </w:tcPr>
          <w:p w14:paraId="3BC39E91">
            <w:pPr>
              <w:pStyle w:val="34"/>
              <w:rPr>
                <w:szCs w:val="21"/>
              </w:rPr>
            </w:pPr>
            <w:r>
              <w:rPr>
                <w:rFonts w:hint="eastAsia"/>
                <w:szCs w:val="21"/>
              </w:rPr>
              <w:t>保管服务</w:t>
            </w:r>
          </w:p>
        </w:tc>
        <w:tc>
          <w:tcPr>
            <w:tcW w:w="6245" w:type="dxa"/>
            <w:tcBorders>
              <w:top w:val="single" w:color="auto" w:sz="4" w:space="0"/>
              <w:left w:val="single" w:color="auto" w:sz="4" w:space="0"/>
              <w:bottom w:val="single" w:color="auto" w:sz="4" w:space="0"/>
              <w:right w:val="single" w:color="auto" w:sz="4" w:space="0"/>
            </w:tcBorders>
            <w:noWrap/>
            <w:vAlign w:val="center"/>
          </w:tcPr>
          <w:p w14:paraId="456D2025">
            <w:pPr>
              <w:pStyle w:val="34"/>
              <w:rPr>
                <w:szCs w:val="21"/>
              </w:rPr>
            </w:pPr>
            <w:r>
              <w:rPr>
                <w:szCs w:val="21"/>
              </w:rPr>
              <w:t>5</w:t>
            </w:r>
            <w:r>
              <w:rPr>
                <w:rFonts w:hint="eastAsia"/>
                <w:szCs w:val="21"/>
              </w:rPr>
              <w:t>.1</w:t>
            </w:r>
            <w:r>
              <w:rPr>
                <w:szCs w:val="21"/>
              </w:rPr>
              <w:t xml:space="preserve"> </w:t>
            </w:r>
            <w:r>
              <w:rPr>
                <w:rFonts w:hint="eastAsia"/>
                <w:szCs w:val="21"/>
              </w:rPr>
              <w:t>响应人应提供用于</w:t>
            </w:r>
            <w:r>
              <w:rPr>
                <w:szCs w:val="21"/>
              </w:rPr>
              <w:t>存放产品</w:t>
            </w:r>
            <w:r>
              <w:rPr>
                <w:rFonts w:hint="eastAsia"/>
                <w:szCs w:val="21"/>
              </w:rPr>
              <w:t>库房，并指定专人管理，做好防潮、防霉、防磁、防火、防震、防有害生物等防护，并配备安防、监控等设施，以保证</w:t>
            </w:r>
            <w:r>
              <w:rPr>
                <w:szCs w:val="21"/>
              </w:rPr>
              <w:t>产品</w:t>
            </w:r>
            <w:r>
              <w:rPr>
                <w:rFonts w:hint="eastAsia"/>
                <w:szCs w:val="21"/>
              </w:rPr>
              <w:t>质量的稳定</w:t>
            </w:r>
            <w:r>
              <w:rPr>
                <w:szCs w:val="21"/>
              </w:rPr>
              <w:t>和产品安全</w:t>
            </w:r>
            <w:r>
              <w:rPr>
                <w:rFonts w:hint="eastAsia"/>
                <w:szCs w:val="21"/>
              </w:rPr>
              <w:t xml:space="preserve">，不受外部环境影响。              </w:t>
            </w:r>
            <w:r>
              <w:rPr>
                <w:szCs w:val="21"/>
              </w:rPr>
              <w:t xml:space="preserve">         </w:t>
            </w:r>
            <w:r>
              <w:rPr>
                <w:rFonts w:hint="eastAsia"/>
                <w:szCs w:val="21"/>
              </w:rPr>
              <w:t xml:space="preserve">                                  </w:t>
            </w:r>
            <w:r>
              <w:rPr>
                <w:szCs w:val="21"/>
              </w:rPr>
              <w:t>5</w:t>
            </w:r>
            <w:r>
              <w:rPr>
                <w:rFonts w:hint="eastAsia"/>
                <w:szCs w:val="21"/>
              </w:rPr>
              <w:t>.2</w:t>
            </w:r>
            <w:r>
              <w:rPr>
                <w:szCs w:val="21"/>
              </w:rPr>
              <w:t xml:space="preserve"> 产品</w:t>
            </w:r>
            <w:r>
              <w:rPr>
                <w:rFonts w:hint="eastAsia"/>
                <w:szCs w:val="21"/>
              </w:rPr>
              <w:t>存放期间出现上述异常情况，响应人须立即书面通知采购人，响应人采取措施补救</w:t>
            </w:r>
            <w:r>
              <w:rPr>
                <w:szCs w:val="21"/>
              </w:rPr>
              <w:t>，由此造成的损失由</w:t>
            </w:r>
            <w:r>
              <w:rPr>
                <w:rFonts w:hint="eastAsia"/>
                <w:szCs w:val="21"/>
              </w:rPr>
              <w:t>响应人</w:t>
            </w:r>
            <w:r>
              <w:rPr>
                <w:szCs w:val="21"/>
              </w:rPr>
              <w:t>承担。</w:t>
            </w:r>
          </w:p>
        </w:tc>
      </w:tr>
      <w:tr w14:paraId="7EB14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31" w:type="dxa"/>
            <w:tcBorders>
              <w:top w:val="single" w:color="auto" w:sz="4" w:space="0"/>
              <w:left w:val="single" w:color="auto" w:sz="4" w:space="0"/>
              <w:bottom w:val="single" w:color="auto" w:sz="4" w:space="0"/>
              <w:right w:val="single" w:color="auto" w:sz="4" w:space="0"/>
            </w:tcBorders>
            <w:noWrap/>
            <w:vAlign w:val="center"/>
          </w:tcPr>
          <w:p w14:paraId="0E022F51">
            <w:pPr>
              <w:pStyle w:val="34"/>
              <w:rPr>
                <w:szCs w:val="21"/>
              </w:rPr>
            </w:pPr>
            <w:r>
              <w:rPr>
                <w:szCs w:val="21"/>
              </w:rPr>
              <w:t>6</w:t>
            </w:r>
          </w:p>
        </w:tc>
        <w:tc>
          <w:tcPr>
            <w:tcW w:w="1219" w:type="dxa"/>
            <w:tcBorders>
              <w:top w:val="single" w:color="auto" w:sz="4" w:space="0"/>
              <w:left w:val="single" w:color="auto" w:sz="4" w:space="0"/>
              <w:bottom w:val="single" w:color="auto" w:sz="4" w:space="0"/>
              <w:right w:val="single" w:color="auto" w:sz="4" w:space="0"/>
            </w:tcBorders>
            <w:noWrap/>
            <w:vAlign w:val="center"/>
          </w:tcPr>
          <w:p w14:paraId="71D00B28">
            <w:pPr>
              <w:pStyle w:val="34"/>
              <w:rPr>
                <w:szCs w:val="21"/>
              </w:rPr>
            </w:pPr>
            <w:r>
              <w:rPr>
                <w:szCs w:val="21"/>
              </w:rPr>
              <w:t>包装运输</w:t>
            </w:r>
          </w:p>
        </w:tc>
        <w:tc>
          <w:tcPr>
            <w:tcW w:w="6245" w:type="dxa"/>
            <w:tcBorders>
              <w:top w:val="single" w:color="auto" w:sz="4" w:space="0"/>
              <w:left w:val="single" w:color="auto" w:sz="4" w:space="0"/>
              <w:bottom w:val="single" w:color="auto" w:sz="4" w:space="0"/>
              <w:right w:val="single" w:color="auto" w:sz="4" w:space="0"/>
            </w:tcBorders>
            <w:noWrap/>
            <w:vAlign w:val="center"/>
          </w:tcPr>
          <w:p w14:paraId="0786F831">
            <w:pPr>
              <w:pStyle w:val="34"/>
              <w:rPr>
                <w:szCs w:val="21"/>
              </w:rPr>
            </w:pPr>
            <w:r>
              <w:rPr>
                <w:szCs w:val="21"/>
              </w:rPr>
              <w:t>6</w:t>
            </w:r>
            <w:r>
              <w:rPr>
                <w:rFonts w:hint="eastAsia"/>
                <w:szCs w:val="21"/>
              </w:rPr>
              <w:t>.1</w:t>
            </w:r>
            <w:r>
              <w:rPr>
                <w:szCs w:val="21"/>
              </w:rPr>
              <w:t xml:space="preserve"> </w:t>
            </w:r>
            <w:r>
              <w:rPr>
                <w:rFonts w:hint="eastAsia"/>
                <w:szCs w:val="21"/>
              </w:rPr>
              <w:t>成品卡包装规格</w:t>
            </w:r>
          </w:p>
          <w:p w14:paraId="625D39FD">
            <w:pPr>
              <w:pStyle w:val="34"/>
              <w:rPr>
                <w:szCs w:val="21"/>
              </w:rPr>
            </w:pPr>
            <w:r>
              <w:rPr>
                <w:szCs w:val="21"/>
              </w:rPr>
              <w:t>6</w:t>
            </w:r>
            <w:r>
              <w:rPr>
                <w:rFonts w:hint="eastAsia"/>
                <w:szCs w:val="21"/>
              </w:rPr>
              <w:t>.1.1 批量预制卡</w:t>
            </w:r>
          </w:p>
          <w:p w14:paraId="071B743F">
            <w:pPr>
              <w:pStyle w:val="34"/>
              <w:rPr>
                <w:szCs w:val="21"/>
              </w:rPr>
            </w:pPr>
            <w:r>
              <w:rPr>
                <w:rFonts w:hint="eastAsia"/>
                <w:szCs w:val="21"/>
              </w:rPr>
              <w:t>6.1.1.1 内盒规格：200张/盒，22.7*9.5*5.5cm；</w:t>
            </w:r>
          </w:p>
          <w:p w14:paraId="51B19DF5">
            <w:pPr>
              <w:pStyle w:val="34"/>
              <w:rPr>
                <w:szCs w:val="21"/>
              </w:rPr>
            </w:pPr>
            <w:r>
              <w:rPr>
                <w:szCs w:val="21"/>
              </w:rPr>
              <w:t>6</w:t>
            </w:r>
            <w:r>
              <w:rPr>
                <w:rFonts w:hint="eastAsia"/>
                <w:szCs w:val="21"/>
              </w:rPr>
              <w:t>.1.1.2</w:t>
            </w:r>
            <w:r>
              <w:rPr>
                <w:szCs w:val="21"/>
              </w:rPr>
              <w:t xml:space="preserve"> </w:t>
            </w:r>
            <w:r>
              <w:rPr>
                <w:rFonts w:hint="eastAsia"/>
                <w:szCs w:val="21"/>
              </w:rPr>
              <w:t>外箱规则：2000张/箱，29*50*13.3cm。</w:t>
            </w:r>
          </w:p>
          <w:p w14:paraId="63D89A57">
            <w:pPr>
              <w:pStyle w:val="34"/>
              <w:rPr>
                <w:szCs w:val="21"/>
              </w:rPr>
            </w:pPr>
            <w:r>
              <w:rPr>
                <w:rFonts w:hint="eastAsia"/>
                <w:szCs w:val="21"/>
              </w:rPr>
              <w:t>6.1.1.3 外箱及内盒包装均应按采购人要求标注包装标识，包括但不限于成品卡名称、数量、起始卡号等。</w:t>
            </w:r>
            <w:r>
              <w:rPr>
                <w:szCs w:val="21"/>
              </w:rPr>
              <w:t>外箱包装涉及起始卡号等关键信息字段，应按</w:t>
            </w:r>
            <w:r>
              <w:rPr>
                <w:rFonts w:hint="eastAsia"/>
                <w:szCs w:val="21"/>
              </w:rPr>
              <w:t>采购人</w:t>
            </w:r>
            <w:r>
              <w:rPr>
                <w:szCs w:val="21"/>
              </w:rPr>
              <w:t>要求掩码。</w:t>
            </w:r>
          </w:p>
          <w:p w14:paraId="72BD0BBD">
            <w:pPr>
              <w:pStyle w:val="34"/>
              <w:rPr>
                <w:szCs w:val="21"/>
              </w:rPr>
            </w:pPr>
            <w:r>
              <w:rPr>
                <w:rFonts w:hint="eastAsia"/>
                <w:szCs w:val="21"/>
              </w:rPr>
              <w:t>6.1.1.4 外箱内或内盒内应附有该批次成品卡的制卡清单。制卡清单格式由采购人指定，包括但不限于响应人名称、成品卡名称、数量、归属机构、起始卡号等。</w:t>
            </w:r>
          </w:p>
          <w:p w14:paraId="674B679D">
            <w:pPr>
              <w:pStyle w:val="34"/>
              <w:rPr>
                <w:szCs w:val="21"/>
              </w:rPr>
            </w:pPr>
            <w:r>
              <w:rPr>
                <w:rFonts w:hint="eastAsia"/>
                <w:szCs w:val="21"/>
              </w:rPr>
              <w:t>6.1.2 零散代发卡（补换卡、金卡等非批量卡）</w:t>
            </w:r>
          </w:p>
          <w:p w14:paraId="7B78E28D">
            <w:pPr>
              <w:pStyle w:val="34"/>
              <w:rPr>
                <w:szCs w:val="21"/>
              </w:rPr>
            </w:pPr>
            <w:r>
              <w:rPr>
                <w:rFonts w:hint="eastAsia"/>
                <w:szCs w:val="21"/>
              </w:rPr>
              <w:t>6.1.2.1 外包装：使用安全可靠的包装材料。</w:t>
            </w:r>
          </w:p>
          <w:p w14:paraId="76E1A471">
            <w:pPr>
              <w:pStyle w:val="34"/>
              <w:rPr>
                <w:szCs w:val="21"/>
              </w:rPr>
            </w:pPr>
            <w:r>
              <w:rPr>
                <w:rFonts w:hint="eastAsia"/>
                <w:szCs w:val="21"/>
              </w:rPr>
              <w:t>6.1.2.2 内包装：以信封形式包装，应注明卡号、数量及归属机构。6.1.3 批量预制卡和零散代发卡的外包装材料应采用安全纸箱或木箱等安全可靠材料，能确保在长途运输过程中的安全、防潮、防损，并配置防止中途拆包的措施。</w:t>
            </w:r>
          </w:p>
          <w:p w14:paraId="4B4F95AB">
            <w:pPr>
              <w:pStyle w:val="34"/>
              <w:rPr>
                <w:szCs w:val="21"/>
              </w:rPr>
            </w:pPr>
            <w:r>
              <w:rPr>
                <w:szCs w:val="21"/>
              </w:rPr>
              <w:t>6</w:t>
            </w:r>
            <w:r>
              <w:rPr>
                <w:rFonts w:hint="eastAsia"/>
                <w:szCs w:val="21"/>
              </w:rPr>
              <w:t>.1.4</w:t>
            </w:r>
            <w:r>
              <w:rPr>
                <w:szCs w:val="21"/>
              </w:rPr>
              <w:t xml:space="preserve"> </w:t>
            </w:r>
            <w:r>
              <w:rPr>
                <w:rFonts w:hint="eastAsia"/>
                <w:szCs w:val="21"/>
              </w:rPr>
              <w:t>凡因采取不充分或不妥善的包装而造成的损失，由响应人全额承担。</w:t>
            </w:r>
          </w:p>
          <w:p w14:paraId="260DC111">
            <w:pPr>
              <w:pStyle w:val="34"/>
              <w:rPr>
                <w:szCs w:val="21"/>
              </w:rPr>
            </w:pPr>
            <w:r>
              <w:rPr>
                <w:szCs w:val="21"/>
              </w:rPr>
              <w:t>6</w:t>
            </w:r>
            <w:r>
              <w:rPr>
                <w:rFonts w:hint="eastAsia"/>
                <w:szCs w:val="21"/>
              </w:rPr>
              <w:t>.2</w:t>
            </w:r>
            <w:r>
              <w:rPr>
                <w:szCs w:val="21"/>
              </w:rPr>
              <w:t xml:space="preserve"> </w:t>
            </w:r>
            <w:r>
              <w:rPr>
                <w:rFonts w:hint="eastAsia"/>
                <w:szCs w:val="21"/>
              </w:rPr>
              <w:t>成品卡的运输应符合监管机构及中国银联、VISA、万事达等银行卡组织的规范，目前短途使用运钞车运输，长途采用航空运输</w:t>
            </w:r>
            <w:r>
              <w:rPr>
                <w:szCs w:val="21"/>
              </w:rPr>
              <w:t>方式</w:t>
            </w:r>
            <w:r>
              <w:rPr>
                <w:rFonts w:hint="eastAsia"/>
                <w:szCs w:val="21"/>
              </w:rPr>
              <w:t>。如后续相关规范调整，响应人应及时更改运输方式。</w:t>
            </w:r>
          </w:p>
          <w:p w14:paraId="24D87AA4">
            <w:pPr>
              <w:pStyle w:val="34"/>
              <w:rPr>
                <w:szCs w:val="21"/>
              </w:rPr>
            </w:pPr>
            <w:r>
              <w:rPr>
                <w:szCs w:val="21"/>
              </w:rPr>
              <w:t>6</w:t>
            </w:r>
            <w:r>
              <w:rPr>
                <w:rFonts w:hint="eastAsia"/>
                <w:szCs w:val="21"/>
              </w:rPr>
              <w:t>.3</w:t>
            </w:r>
            <w:r>
              <w:rPr>
                <w:szCs w:val="21"/>
              </w:rPr>
              <w:t xml:space="preserve"> </w:t>
            </w:r>
            <w:r>
              <w:rPr>
                <w:rFonts w:hint="eastAsia"/>
                <w:szCs w:val="21"/>
              </w:rPr>
              <w:t>响应人</w:t>
            </w:r>
            <w:r>
              <w:rPr>
                <w:szCs w:val="21"/>
              </w:rPr>
              <w:t>应购买运输保险，保险费及</w:t>
            </w:r>
            <w:r>
              <w:rPr>
                <w:rFonts w:hint="eastAsia"/>
                <w:szCs w:val="21"/>
              </w:rPr>
              <w:t>产品运输相关费用由响应人自行承担。</w:t>
            </w:r>
          </w:p>
          <w:p w14:paraId="47BB8F64">
            <w:pPr>
              <w:pStyle w:val="34"/>
              <w:rPr>
                <w:szCs w:val="21"/>
              </w:rPr>
            </w:pPr>
            <w:r>
              <w:rPr>
                <w:szCs w:val="21"/>
              </w:rPr>
              <w:t>6</w:t>
            </w:r>
            <w:r>
              <w:rPr>
                <w:rFonts w:hint="eastAsia"/>
                <w:szCs w:val="21"/>
              </w:rPr>
              <w:t>.4 响应人</w:t>
            </w:r>
            <w:r>
              <w:rPr>
                <w:szCs w:val="21"/>
              </w:rPr>
              <w:t>应选择运营稳定、信誉良好、安全可靠的货运代理机构，并</w:t>
            </w:r>
            <w:r>
              <w:rPr>
                <w:rFonts w:hint="eastAsia"/>
                <w:szCs w:val="21"/>
              </w:rPr>
              <w:t>与货运代理机构签订严格的银行卡运输安全保密协议。</w:t>
            </w:r>
            <w:r>
              <w:rPr>
                <w:szCs w:val="21"/>
              </w:rPr>
              <w:t>若中途变更货运代理机构，</w:t>
            </w:r>
            <w:r>
              <w:rPr>
                <w:rFonts w:hint="eastAsia"/>
                <w:szCs w:val="21"/>
              </w:rPr>
              <w:t>响应人</w:t>
            </w:r>
            <w:r>
              <w:rPr>
                <w:szCs w:val="21"/>
              </w:rPr>
              <w:t>应提前告知</w:t>
            </w:r>
            <w:r>
              <w:rPr>
                <w:rFonts w:hint="eastAsia"/>
                <w:szCs w:val="21"/>
              </w:rPr>
              <w:t>采购人</w:t>
            </w:r>
            <w:r>
              <w:rPr>
                <w:szCs w:val="21"/>
              </w:rPr>
              <w:t>并征得</w:t>
            </w:r>
            <w:r>
              <w:rPr>
                <w:rFonts w:hint="eastAsia"/>
                <w:szCs w:val="21"/>
              </w:rPr>
              <w:t>采购人</w:t>
            </w:r>
            <w:r>
              <w:rPr>
                <w:szCs w:val="21"/>
              </w:rPr>
              <w:t>同意。</w:t>
            </w:r>
          </w:p>
          <w:p w14:paraId="5A58A75A">
            <w:pPr>
              <w:pStyle w:val="34"/>
              <w:rPr>
                <w:szCs w:val="21"/>
              </w:rPr>
            </w:pPr>
            <w:r>
              <w:rPr>
                <w:szCs w:val="21"/>
              </w:rPr>
              <w:t>6</w:t>
            </w:r>
            <w:r>
              <w:rPr>
                <w:rFonts w:hint="eastAsia"/>
                <w:szCs w:val="21"/>
              </w:rPr>
              <w:t>.5</w:t>
            </w:r>
            <w:r>
              <w:rPr>
                <w:szCs w:val="21"/>
              </w:rPr>
              <w:t xml:space="preserve"> </w:t>
            </w:r>
            <w:r>
              <w:rPr>
                <w:rFonts w:hint="eastAsia"/>
                <w:szCs w:val="21"/>
              </w:rPr>
              <w:t>凡在运输过程（截至采购人签收前）中产生的成品卡丢失、毁损等事故，由响应人承担全部责任。</w:t>
            </w:r>
          </w:p>
        </w:tc>
      </w:tr>
      <w:tr w14:paraId="20F98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31" w:type="dxa"/>
            <w:tcBorders>
              <w:top w:val="single" w:color="auto" w:sz="4" w:space="0"/>
              <w:left w:val="single" w:color="auto" w:sz="4" w:space="0"/>
              <w:bottom w:val="single" w:color="auto" w:sz="4" w:space="0"/>
              <w:right w:val="single" w:color="auto" w:sz="4" w:space="0"/>
            </w:tcBorders>
            <w:noWrap/>
            <w:vAlign w:val="center"/>
          </w:tcPr>
          <w:p w14:paraId="18075569">
            <w:pPr>
              <w:pStyle w:val="34"/>
              <w:rPr>
                <w:szCs w:val="21"/>
              </w:rPr>
            </w:pPr>
            <w:r>
              <w:rPr>
                <w:szCs w:val="21"/>
              </w:rPr>
              <w:t>7</w:t>
            </w:r>
          </w:p>
        </w:tc>
        <w:tc>
          <w:tcPr>
            <w:tcW w:w="1219" w:type="dxa"/>
            <w:tcBorders>
              <w:top w:val="single" w:color="auto" w:sz="4" w:space="0"/>
              <w:left w:val="single" w:color="auto" w:sz="4" w:space="0"/>
              <w:bottom w:val="single" w:color="auto" w:sz="4" w:space="0"/>
              <w:right w:val="single" w:color="auto" w:sz="4" w:space="0"/>
            </w:tcBorders>
            <w:noWrap/>
            <w:vAlign w:val="center"/>
          </w:tcPr>
          <w:p w14:paraId="64452552">
            <w:pPr>
              <w:pStyle w:val="34"/>
              <w:rPr>
                <w:szCs w:val="21"/>
              </w:rPr>
            </w:pPr>
            <w:r>
              <w:rPr>
                <w:rFonts w:hint="eastAsia"/>
                <w:szCs w:val="21"/>
              </w:rPr>
              <w:t>交付时间及地点</w:t>
            </w:r>
          </w:p>
        </w:tc>
        <w:tc>
          <w:tcPr>
            <w:tcW w:w="6245" w:type="dxa"/>
            <w:tcBorders>
              <w:top w:val="single" w:color="auto" w:sz="4" w:space="0"/>
              <w:left w:val="single" w:color="auto" w:sz="4" w:space="0"/>
              <w:bottom w:val="single" w:color="auto" w:sz="4" w:space="0"/>
              <w:right w:val="single" w:color="auto" w:sz="4" w:space="0"/>
            </w:tcBorders>
            <w:noWrap/>
            <w:vAlign w:val="center"/>
          </w:tcPr>
          <w:p w14:paraId="10CF355C">
            <w:pPr>
              <w:pStyle w:val="34"/>
              <w:rPr>
                <w:szCs w:val="21"/>
              </w:rPr>
            </w:pPr>
            <w:r>
              <w:rPr>
                <w:rFonts w:hint="eastAsia"/>
                <w:szCs w:val="21"/>
              </w:rPr>
              <w:t>7.1 空白卡交货时间</w:t>
            </w:r>
          </w:p>
          <w:p w14:paraId="50445C20">
            <w:pPr>
              <w:pStyle w:val="34"/>
              <w:rPr>
                <w:szCs w:val="21"/>
              </w:rPr>
            </w:pPr>
            <w:r>
              <w:rPr>
                <w:rFonts w:hint="eastAsia"/>
                <w:szCs w:val="21"/>
              </w:rPr>
              <w:t>自下达采购订单之日起，响应人应在10-20日内完成空白卡生产。</w:t>
            </w:r>
          </w:p>
          <w:p w14:paraId="3896025C">
            <w:pPr>
              <w:pStyle w:val="34"/>
              <w:rPr>
                <w:szCs w:val="21"/>
              </w:rPr>
            </w:pPr>
            <w:r>
              <w:rPr>
                <w:rFonts w:hint="eastAsia"/>
                <w:szCs w:val="21"/>
              </w:rPr>
              <w:t>7.2 个人化服务交货时间</w:t>
            </w:r>
          </w:p>
          <w:p w14:paraId="6689879C">
            <w:pPr>
              <w:pStyle w:val="34"/>
              <w:rPr>
                <w:szCs w:val="21"/>
              </w:rPr>
            </w:pPr>
            <w:r>
              <w:rPr>
                <w:rFonts w:hint="eastAsia"/>
                <w:szCs w:val="21"/>
              </w:rPr>
              <w:t>7.2.1 批量预制卡：自采购人传送制卡数据并完成确认之日起，响应人应在5日内完成个人化服务并免费寄送至采购人指定地点。</w:t>
            </w:r>
          </w:p>
          <w:p w14:paraId="4624F584">
            <w:pPr>
              <w:pStyle w:val="34"/>
              <w:rPr>
                <w:szCs w:val="21"/>
              </w:rPr>
            </w:pPr>
            <w:r>
              <w:rPr>
                <w:rFonts w:hint="eastAsia"/>
                <w:szCs w:val="21"/>
              </w:rPr>
              <w:t>7.2.2 零散待发卡：自采购人传送制卡数据并完成确认之日起，响应人应在次日（遇节假日顺延至节后第一天）寄送出卡片， 4日内寄送至采购人指定地点。</w:t>
            </w:r>
          </w:p>
          <w:p w14:paraId="14A4B3B7">
            <w:pPr>
              <w:pStyle w:val="34"/>
              <w:rPr>
                <w:szCs w:val="21"/>
              </w:rPr>
            </w:pPr>
            <w:r>
              <w:rPr>
                <w:rFonts w:hint="eastAsia"/>
                <w:szCs w:val="21"/>
              </w:rPr>
              <w:t>7.3 延期交货</w:t>
            </w:r>
          </w:p>
          <w:p w14:paraId="0B3C65B0">
            <w:pPr>
              <w:pStyle w:val="34"/>
              <w:rPr>
                <w:szCs w:val="21"/>
              </w:rPr>
            </w:pPr>
            <w:r>
              <w:rPr>
                <w:rFonts w:hint="eastAsia"/>
                <w:szCs w:val="21"/>
              </w:rPr>
              <w:t>如遇新品种或特殊情况，可适当放宽交货时间，原则上延期时间不超过5个工作日，且响应人至少应提前5个工作日通知采购人。</w:t>
            </w:r>
          </w:p>
          <w:p w14:paraId="38AEF7C1">
            <w:pPr>
              <w:pStyle w:val="34"/>
              <w:rPr>
                <w:szCs w:val="21"/>
              </w:rPr>
            </w:pPr>
            <w:r>
              <w:rPr>
                <w:rFonts w:hint="eastAsia"/>
                <w:szCs w:val="21"/>
              </w:rPr>
              <w:t>7.4 提前交货</w:t>
            </w:r>
          </w:p>
          <w:p w14:paraId="01FBF56C">
            <w:pPr>
              <w:pStyle w:val="34"/>
              <w:rPr>
                <w:szCs w:val="21"/>
              </w:rPr>
            </w:pPr>
            <w:r>
              <w:rPr>
                <w:rFonts w:hint="eastAsia"/>
                <w:szCs w:val="21"/>
              </w:rPr>
              <w:t>若采购人有紧急特殊需求，响应人应配合进行加急处理，原则上10日内完成空白卡片生产、5日内完成批量预制卡个人化服务并寄送至采购人指定地点。</w:t>
            </w:r>
          </w:p>
          <w:p w14:paraId="2CC7757D">
            <w:pPr>
              <w:pStyle w:val="34"/>
              <w:rPr>
                <w:szCs w:val="21"/>
              </w:rPr>
            </w:pPr>
            <w:r>
              <w:rPr>
                <w:rFonts w:hint="eastAsia"/>
                <w:szCs w:val="21"/>
              </w:rPr>
              <w:t>7.5 实施及交付地点</w:t>
            </w:r>
          </w:p>
          <w:p w14:paraId="0DE3447A">
            <w:pPr>
              <w:pStyle w:val="34"/>
              <w:rPr>
                <w:szCs w:val="21"/>
              </w:rPr>
            </w:pPr>
            <w:r>
              <w:rPr>
                <w:rFonts w:hint="eastAsia"/>
                <w:szCs w:val="21"/>
              </w:rPr>
              <w:t>空白卡由响应人妥善保管。如有需要，采购人可出具书面资料要求参选人将空白卡邮寄至采购人指定邮寄地点。个人化服务的成品卡根据采购人要求邮寄至以下地点：</w:t>
            </w:r>
          </w:p>
          <w:p w14:paraId="2DF70550">
            <w:pPr>
              <w:pStyle w:val="34"/>
              <w:rPr>
                <w:szCs w:val="21"/>
              </w:rPr>
            </w:pPr>
            <w:r>
              <w:rPr>
                <w:rFonts w:hint="eastAsia"/>
                <w:szCs w:val="21"/>
              </w:rPr>
              <w:t>7.5.1 总行，地址是重庆市渝北区嘉州路88号国信金融中心；</w:t>
            </w:r>
          </w:p>
          <w:p w14:paraId="45AF1F50">
            <w:pPr>
              <w:pStyle w:val="34"/>
              <w:rPr>
                <w:szCs w:val="21"/>
              </w:rPr>
            </w:pPr>
            <w:r>
              <w:rPr>
                <w:rFonts w:hint="eastAsia"/>
                <w:szCs w:val="21"/>
              </w:rPr>
              <w:t>7.5.2 万州分行，地址是重庆市万州区江南新区南滨大道1999号；</w:t>
            </w:r>
          </w:p>
          <w:p w14:paraId="067D00B3">
            <w:pPr>
              <w:pStyle w:val="34"/>
              <w:rPr>
                <w:szCs w:val="21"/>
              </w:rPr>
            </w:pPr>
            <w:r>
              <w:rPr>
                <w:rFonts w:hint="eastAsia"/>
                <w:szCs w:val="21"/>
              </w:rPr>
              <w:t>7.5.3 各分支机构，地址以采购人通知为准。</w:t>
            </w:r>
          </w:p>
        </w:tc>
      </w:tr>
      <w:tr w14:paraId="75A63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31" w:type="dxa"/>
            <w:tcBorders>
              <w:top w:val="single" w:color="auto" w:sz="4" w:space="0"/>
              <w:left w:val="single" w:color="auto" w:sz="4" w:space="0"/>
              <w:bottom w:val="single" w:color="auto" w:sz="4" w:space="0"/>
              <w:right w:val="single" w:color="auto" w:sz="4" w:space="0"/>
            </w:tcBorders>
            <w:noWrap/>
            <w:vAlign w:val="center"/>
          </w:tcPr>
          <w:p w14:paraId="00A33F43">
            <w:pPr>
              <w:pStyle w:val="34"/>
              <w:rPr>
                <w:szCs w:val="21"/>
              </w:rPr>
            </w:pPr>
            <w:r>
              <w:rPr>
                <w:szCs w:val="21"/>
              </w:rPr>
              <w:t>8</w:t>
            </w:r>
          </w:p>
        </w:tc>
        <w:tc>
          <w:tcPr>
            <w:tcW w:w="1219" w:type="dxa"/>
            <w:tcBorders>
              <w:top w:val="single" w:color="auto" w:sz="4" w:space="0"/>
              <w:left w:val="single" w:color="auto" w:sz="4" w:space="0"/>
              <w:bottom w:val="single" w:color="auto" w:sz="4" w:space="0"/>
              <w:right w:val="single" w:color="auto" w:sz="4" w:space="0"/>
            </w:tcBorders>
            <w:noWrap/>
            <w:vAlign w:val="center"/>
          </w:tcPr>
          <w:p w14:paraId="7571D738">
            <w:pPr>
              <w:pStyle w:val="34"/>
              <w:rPr>
                <w:szCs w:val="21"/>
              </w:rPr>
            </w:pPr>
            <w:r>
              <w:rPr>
                <w:rFonts w:hint="eastAsia"/>
                <w:szCs w:val="21"/>
              </w:rPr>
              <w:t>产品交接与验收</w:t>
            </w:r>
          </w:p>
        </w:tc>
        <w:tc>
          <w:tcPr>
            <w:tcW w:w="6245" w:type="dxa"/>
            <w:tcBorders>
              <w:top w:val="single" w:color="auto" w:sz="4" w:space="0"/>
              <w:left w:val="single" w:color="auto" w:sz="4" w:space="0"/>
              <w:bottom w:val="single" w:color="auto" w:sz="4" w:space="0"/>
              <w:right w:val="single" w:color="auto" w:sz="4" w:space="0"/>
            </w:tcBorders>
            <w:noWrap/>
            <w:vAlign w:val="center"/>
          </w:tcPr>
          <w:p w14:paraId="7D974D33">
            <w:pPr>
              <w:pStyle w:val="34"/>
              <w:rPr>
                <w:szCs w:val="21"/>
              </w:rPr>
            </w:pPr>
            <w:r>
              <w:rPr>
                <w:szCs w:val="21"/>
              </w:rPr>
              <w:t>8</w:t>
            </w:r>
            <w:r>
              <w:rPr>
                <w:rFonts w:hint="eastAsia"/>
                <w:szCs w:val="21"/>
              </w:rPr>
              <w:t>.1</w:t>
            </w:r>
            <w:r>
              <w:rPr>
                <w:szCs w:val="21"/>
              </w:rPr>
              <w:t xml:space="preserve"> 产品</w:t>
            </w:r>
            <w:r>
              <w:rPr>
                <w:rFonts w:hint="eastAsia"/>
                <w:szCs w:val="21"/>
              </w:rPr>
              <w:t>送达采购人指定地点后，由采购人确认包装完好，响应人与采购人应严格执行成品卡交接手续。交接完毕后，采购人在成品卡签收单上签字确认。</w:t>
            </w:r>
          </w:p>
          <w:p w14:paraId="616F252C">
            <w:pPr>
              <w:pStyle w:val="34"/>
              <w:rPr>
                <w:szCs w:val="21"/>
              </w:rPr>
            </w:pPr>
            <w:r>
              <w:rPr>
                <w:szCs w:val="21"/>
              </w:rPr>
              <w:t>8</w:t>
            </w:r>
            <w:r>
              <w:rPr>
                <w:rFonts w:hint="eastAsia"/>
                <w:szCs w:val="21"/>
              </w:rPr>
              <w:t>.2</w:t>
            </w:r>
            <w:r>
              <w:rPr>
                <w:szCs w:val="21"/>
              </w:rPr>
              <w:t xml:space="preserve"> </w:t>
            </w:r>
            <w:r>
              <w:rPr>
                <w:rFonts w:hint="eastAsia"/>
                <w:szCs w:val="21"/>
              </w:rPr>
              <w:t>若</w:t>
            </w:r>
            <w:r>
              <w:rPr>
                <w:szCs w:val="21"/>
              </w:rPr>
              <w:t>产品或包装</w:t>
            </w:r>
            <w:r>
              <w:rPr>
                <w:rFonts w:hint="eastAsia"/>
                <w:szCs w:val="21"/>
              </w:rPr>
              <w:t>不符合采购人要求，或凭证在运输途中出现破损或遗失等情况，采购人有权拒绝收货，并要求响应人对凭证进行免费更换</w:t>
            </w:r>
            <w:r>
              <w:rPr>
                <w:szCs w:val="21"/>
              </w:rPr>
              <w:t>。</w:t>
            </w:r>
            <w:r>
              <w:rPr>
                <w:rFonts w:hint="eastAsia"/>
                <w:szCs w:val="21"/>
              </w:rPr>
              <w:t>若出现包装质量不符合采购人要求累计3次（含），采购人有权解除合同，并取消下次采购资格。以上情况造成的一切损失均由响应人承担。同时响应人应保留送货签收单作为申请付款的依据。</w:t>
            </w:r>
          </w:p>
          <w:p w14:paraId="54F75C16">
            <w:pPr>
              <w:pStyle w:val="34"/>
              <w:rPr>
                <w:szCs w:val="21"/>
              </w:rPr>
            </w:pPr>
            <w:r>
              <w:rPr>
                <w:szCs w:val="21"/>
              </w:rPr>
              <w:t>8</w:t>
            </w:r>
            <w:r>
              <w:rPr>
                <w:rFonts w:hint="eastAsia"/>
                <w:szCs w:val="21"/>
              </w:rPr>
              <w:t>.</w:t>
            </w:r>
            <w:r>
              <w:rPr>
                <w:szCs w:val="21"/>
              </w:rPr>
              <w:t xml:space="preserve">3 </w:t>
            </w:r>
            <w:r>
              <w:rPr>
                <w:rFonts w:hint="eastAsia"/>
                <w:szCs w:val="21"/>
              </w:rPr>
              <w:t>自采购人指定的收货单位接收成品卡之日起，采购人应在15个工作日内进行抽样验收。如抽样验收不合格，则采购人应向响应人提出书面/邮件异议，并有权要求响应人免费换货。如抽样验收未查出问题，但在后续使用时采购人发现存在不合格的成品卡，响应人应根据采购人要求承担免费修复或免费更换责任。因成品卡修复或更换造成的逾期交货，响应人应承担相应经济责任。</w:t>
            </w:r>
          </w:p>
        </w:tc>
      </w:tr>
      <w:tr w14:paraId="46603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31" w:type="dxa"/>
            <w:tcBorders>
              <w:top w:val="single" w:color="auto" w:sz="4" w:space="0"/>
              <w:left w:val="single" w:color="auto" w:sz="4" w:space="0"/>
              <w:bottom w:val="single" w:color="auto" w:sz="4" w:space="0"/>
              <w:right w:val="single" w:color="auto" w:sz="4" w:space="0"/>
            </w:tcBorders>
            <w:noWrap/>
            <w:vAlign w:val="center"/>
          </w:tcPr>
          <w:p w14:paraId="17C55D3A">
            <w:pPr>
              <w:pStyle w:val="34"/>
              <w:rPr>
                <w:szCs w:val="21"/>
              </w:rPr>
            </w:pPr>
            <w:r>
              <w:rPr>
                <w:szCs w:val="21"/>
              </w:rPr>
              <w:t>9</w:t>
            </w:r>
          </w:p>
        </w:tc>
        <w:tc>
          <w:tcPr>
            <w:tcW w:w="1219" w:type="dxa"/>
            <w:tcBorders>
              <w:top w:val="single" w:color="auto" w:sz="4" w:space="0"/>
              <w:left w:val="single" w:color="auto" w:sz="4" w:space="0"/>
              <w:bottom w:val="single" w:color="auto" w:sz="4" w:space="0"/>
              <w:right w:val="single" w:color="auto" w:sz="4" w:space="0"/>
            </w:tcBorders>
            <w:noWrap/>
            <w:vAlign w:val="center"/>
          </w:tcPr>
          <w:p w14:paraId="15E31F37">
            <w:pPr>
              <w:pStyle w:val="34"/>
              <w:rPr>
                <w:szCs w:val="21"/>
              </w:rPr>
            </w:pPr>
            <w:r>
              <w:rPr>
                <w:rFonts w:hint="eastAsia"/>
                <w:szCs w:val="21"/>
              </w:rPr>
              <w:t>技术要求</w:t>
            </w:r>
          </w:p>
        </w:tc>
        <w:tc>
          <w:tcPr>
            <w:tcW w:w="6245" w:type="dxa"/>
            <w:tcBorders>
              <w:top w:val="single" w:color="auto" w:sz="4" w:space="0"/>
              <w:left w:val="single" w:color="auto" w:sz="4" w:space="0"/>
              <w:bottom w:val="single" w:color="auto" w:sz="4" w:space="0"/>
              <w:right w:val="single" w:color="auto" w:sz="4" w:space="0"/>
            </w:tcBorders>
            <w:noWrap/>
            <w:vAlign w:val="center"/>
          </w:tcPr>
          <w:p w14:paraId="138A44BB">
            <w:pPr>
              <w:pStyle w:val="34"/>
              <w:rPr>
                <w:szCs w:val="21"/>
              </w:rPr>
            </w:pPr>
            <w:r>
              <w:rPr>
                <w:szCs w:val="21"/>
              </w:rPr>
              <w:t>9</w:t>
            </w:r>
            <w:r>
              <w:rPr>
                <w:rFonts w:hint="eastAsia"/>
                <w:szCs w:val="21"/>
              </w:rPr>
              <w:t>.1</w:t>
            </w:r>
            <w:r>
              <w:rPr>
                <w:szCs w:val="21"/>
              </w:rPr>
              <w:t xml:space="preserve"> </w:t>
            </w:r>
            <w:r>
              <w:rPr>
                <w:rFonts w:hint="eastAsia"/>
                <w:szCs w:val="21"/>
              </w:rPr>
              <w:t>借记IC卡及个人化技术规格</w:t>
            </w:r>
          </w:p>
          <w:p w14:paraId="454A41A2">
            <w:pPr>
              <w:pStyle w:val="34"/>
              <w:rPr>
                <w:szCs w:val="21"/>
              </w:rPr>
            </w:pPr>
            <w:r>
              <w:rPr>
                <w:rFonts w:hint="eastAsia"/>
                <w:szCs w:val="21"/>
              </w:rPr>
              <w:t>借记IC卡及个人化的规格和技术均符合国际标准ISO/IEC7810、7811国际标准、VISA及MasterCard国际卡组织制作标准、GB/T 19584-</w:t>
            </w:r>
            <w:r>
              <w:rPr>
                <w:rFonts w:hint="eastAsia"/>
                <w:color w:val="000000"/>
                <w:szCs w:val="21"/>
              </w:rPr>
              <w:t>2010</w:t>
            </w:r>
            <w:r>
              <w:rPr>
                <w:rFonts w:hint="eastAsia"/>
                <w:szCs w:val="21"/>
              </w:rPr>
              <w:t>《银行卡磁条信息格式和使用规范》、中国银联制作标准、《</w:t>
            </w:r>
            <w:r>
              <w:rPr>
                <w:color w:val="000000"/>
                <w:szCs w:val="21"/>
              </w:rPr>
              <w:t>JR/T 0025-2018</w:t>
            </w:r>
            <w:r>
              <w:rPr>
                <w:rFonts w:hint="eastAsia"/>
                <w:szCs w:val="21"/>
              </w:rPr>
              <w:t>中国金融集成电路IC卡规范》和行业及发卡行其他标准、规范的要求和规定，符合借、贷记卡的卡面要求及安全规格。</w:t>
            </w:r>
          </w:p>
          <w:p w14:paraId="22ABAC0D">
            <w:pPr>
              <w:pStyle w:val="34"/>
              <w:rPr>
                <w:szCs w:val="21"/>
              </w:rPr>
            </w:pPr>
            <w:r>
              <w:rPr>
                <w:szCs w:val="21"/>
              </w:rPr>
              <w:t>9</w:t>
            </w:r>
            <w:r>
              <w:rPr>
                <w:rFonts w:hint="eastAsia"/>
                <w:szCs w:val="21"/>
              </w:rPr>
              <w:t>.1.1</w:t>
            </w:r>
            <w:r>
              <w:rPr>
                <w:szCs w:val="21"/>
              </w:rPr>
              <w:t xml:space="preserve"> </w:t>
            </w:r>
            <w:r>
              <w:rPr>
                <w:rFonts w:hint="eastAsia"/>
                <w:szCs w:val="21"/>
              </w:rPr>
              <w:t>借记IC卡芯片技术指标要求</w:t>
            </w:r>
          </w:p>
          <w:p w14:paraId="205CF293">
            <w:pPr>
              <w:pStyle w:val="34"/>
              <w:rPr>
                <w:szCs w:val="21"/>
              </w:rPr>
            </w:pPr>
            <w:r>
              <w:rPr>
                <w:rFonts w:hint="eastAsia"/>
                <w:szCs w:val="21"/>
              </w:rPr>
              <w:t>本项目采购的借记IC卡芯片应为符合中国人民银行PBOC标准的双界面IC卡芯片，其技术要求如下：</w:t>
            </w:r>
          </w:p>
          <w:p w14:paraId="42FE9FA3">
            <w:pPr>
              <w:pStyle w:val="34"/>
              <w:rPr>
                <w:szCs w:val="21"/>
              </w:rPr>
            </w:pPr>
            <w:r>
              <w:rPr>
                <w:szCs w:val="21"/>
              </w:rPr>
              <w:t>1.</w:t>
            </w:r>
            <w:r>
              <w:rPr>
                <w:rFonts w:hint="eastAsia"/>
                <w:szCs w:val="21"/>
              </w:rPr>
              <w:t>容量：80K芯片。</w:t>
            </w:r>
          </w:p>
          <w:p w14:paraId="61294644">
            <w:pPr>
              <w:pStyle w:val="34"/>
              <w:rPr>
                <w:szCs w:val="21"/>
              </w:rPr>
            </w:pPr>
            <w:r>
              <w:rPr>
                <w:szCs w:val="21"/>
              </w:rPr>
              <w:t>2.</w:t>
            </w:r>
            <w:r>
              <w:rPr>
                <w:rFonts w:hint="eastAsia"/>
                <w:szCs w:val="21"/>
              </w:rPr>
              <w:t>Java平台，符合Global Platform 2.1.1及JavaCard2.2.1规范。</w:t>
            </w:r>
          </w:p>
          <w:p w14:paraId="0A5868ED">
            <w:pPr>
              <w:pStyle w:val="34"/>
              <w:rPr>
                <w:szCs w:val="21"/>
              </w:rPr>
            </w:pPr>
            <w:r>
              <w:rPr>
                <w:szCs w:val="21"/>
              </w:rPr>
              <w:t>3.</w:t>
            </w:r>
            <w:r>
              <w:rPr>
                <w:rFonts w:hint="eastAsia"/>
                <w:szCs w:val="21"/>
              </w:rPr>
              <w:t>借记/贷记（含小额支付）应用、非接支付应用支持PBOC及银联公布的最新规范。</w:t>
            </w:r>
          </w:p>
          <w:p w14:paraId="2BFEF14A">
            <w:pPr>
              <w:pStyle w:val="34"/>
              <w:rPr>
                <w:szCs w:val="21"/>
              </w:rPr>
            </w:pPr>
            <w:r>
              <w:rPr>
                <w:szCs w:val="21"/>
              </w:rPr>
              <w:t>4.</w:t>
            </w:r>
            <w:r>
              <w:rPr>
                <w:rFonts w:hint="eastAsia"/>
                <w:szCs w:val="21"/>
              </w:rPr>
              <w:t>支持SDA、DDA、CDA验证方法，以及其他PBOC安全规范中要求的加解密功能，包括脱机PIN验证，发卡行认证，脚本处理。</w:t>
            </w:r>
          </w:p>
          <w:p w14:paraId="2CB4D63E">
            <w:pPr>
              <w:pStyle w:val="34"/>
              <w:rPr>
                <w:szCs w:val="21"/>
              </w:rPr>
            </w:pPr>
            <w:r>
              <w:rPr>
                <w:szCs w:val="21"/>
              </w:rPr>
              <w:t>5.</w:t>
            </w:r>
            <w:r>
              <w:rPr>
                <w:rFonts w:hint="eastAsia"/>
                <w:szCs w:val="21"/>
              </w:rPr>
              <w:t>接触式界面符合ISO7816标准，非接触界面符合ISO14443标准。</w:t>
            </w:r>
          </w:p>
          <w:p w14:paraId="3292A614">
            <w:pPr>
              <w:pStyle w:val="34"/>
              <w:rPr>
                <w:szCs w:val="21"/>
              </w:rPr>
            </w:pPr>
            <w:r>
              <w:rPr>
                <w:szCs w:val="21"/>
              </w:rPr>
              <w:t>6.</w:t>
            </w:r>
            <w:r>
              <w:rPr>
                <w:rFonts w:hint="eastAsia"/>
                <w:szCs w:val="21"/>
              </w:rPr>
              <w:t>芯片协处理器提供硬件加密算法和硬件随机数发生器，支持对称体系的DES、3DES算法，非对称体系的RSA算法。</w:t>
            </w:r>
          </w:p>
          <w:p w14:paraId="3E7A6234">
            <w:pPr>
              <w:pStyle w:val="34"/>
              <w:rPr>
                <w:szCs w:val="21"/>
              </w:rPr>
            </w:pPr>
            <w:r>
              <w:rPr>
                <w:szCs w:val="21"/>
              </w:rPr>
              <w:t>7.</w:t>
            </w:r>
            <w:r>
              <w:rPr>
                <w:rFonts w:hint="eastAsia"/>
                <w:szCs w:val="21"/>
              </w:rPr>
              <w:t>卡片支持非对称密钥长度：512位～1984位且长度可变。</w:t>
            </w:r>
          </w:p>
          <w:p w14:paraId="105FE15C">
            <w:pPr>
              <w:pStyle w:val="34"/>
              <w:rPr>
                <w:szCs w:val="21"/>
              </w:rPr>
            </w:pPr>
            <w:r>
              <w:rPr>
                <w:szCs w:val="21"/>
              </w:rPr>
              <w:t>8.</w:t>
            </w:r>
            <w:r>
              <w:rPr>
                <w:rFonts w:hint="eastAsia"/>
                <w:szCs w:val="21"/>
              </w:rPr>
              <w:t>卡片支持多应用，可以在卡片中加载PBOC应用外的其他金融或者非金融行业应用。新应用的加载可以在制卡时完成，也可以在发卡后通过脚本完成。</w:t>
            </w:r>
          </w:p>
          <w:p w14:paraId="2BD3DC9A">
            <w:pPr>
              <w:pStyle w:val="34"/>
              <w:rPr>
                <w:szCs w:val="21"/>
              </w:rPr>
            </w:pPr>
            <w:r>
              <w:rPr>
                <w:szCs w:val="21"/>
              </w:rPr>
              <w:t>9.</w:t>
            </w:r>
            <w:r>
              <w:rPr>
                <w:rFonts w:hint="eastAsia"/>
                <w:szCs w:val="21"/>
              </w:rPr>
              <w:t>数据保存年限不少于20年。</w:t>
            </w:r>
          </w:p>
          <w:p w14:paraId="21A6A5DB">
            <w:pPr>
              <w:pStyle w:val="34"/>
              <w:rPr>
                <w:szCs w:val="21"/>
              </w:rPr>
            </w:pPr>
            <w:r>
              <w:rPr>
                <w:szCs w:val="21"/>
              </w:rPr>
              <w:t>10.</w:t>
            </w:r>
            <w:r>
              <w:rPr>
                <w:rFonts w:hint="eastAsia"/>
                <w:szCs w:val="21"/>
              </w:rPr>
              <w:t>数据擦写次数不少于20万次。</w:t>
            </w:r>
          </w:p>
          <w:p w14:paraId="18A0F81B">
            <w:pPr>
              <w:pStyle w:val="34"/>
              <w:rPr>
                <w:szCs w:val="21"/>
              </w:rPr>
            </w:pPr>
            <w:r>
              <w:rPr>
                <w:szCs w:val="21"/>
              </w:rPr>
              <w:t>11.</w:t>
            </w:r>
            <w:r>
              <w:rPr>
                <w:rFonts w:hint="eastAsia"/>
                <w:szCs w:val="21"/>
              </w:rPr>
              <w:t>通过银行卡检测中心借记/贷记（支持小额支付）IC卡检测。</w:t>
            </w:r>
          </w:p>
          <w:p w14:paraId="66D60F46">
            <w:pPr>
              <w:pStyle w:val="34"/>
              <w:rPr>
                <w:szCs w:val="21"/>
              </w:rPr>
            </w:pPr>
            <w:r>
              <w:rPr>
                <w:szCs w:val="21"/>
              </w:rPr>
              <w:t>12.</w:t>
            </w:r>
            <w:r>
              <w:rPr>
                <w:rFonts w:hint="eastAsia"/>
                <w:szCs w:val="21"/>
              </w:rPr>
              <w:t>通过银行卡检测中心非接触IC支付卡检测。</w:t>
            </w:r>
          </w:p>
          <w:p w14:paraId="0E269B49">
            <w:pPr>
              <w:pStyle w:val="34"/>
              <w:rPr>
                <w:szCs w:val="21"/>
              </w:rPr>
            </w:pPr>
            <w:r>
              <w:rPr>
                <w:szCs w:val="21"/>
              </w:rPr>
              <w:t>13.</w:t>
            </w:r>
            <w:r>
              <w:rPr>
                <w:rFonts w:hint="eastAsia"/>
                <w:szCs w:val="21"/>
              </w:rPr>
              <w:t>通过银行卡检测中心基于非接触小额支付扩展应用卡检测。</w:t>
            </w:r>
          </w:p>
          <w:p w14:paraId="145B404C">
            <w:pPr>
              <w:pStyle w:val="34"/>
              <w:rPr>
                <w:szCs w:val="21"/>
              </w:rPr>
            </w:pPr>
            <w:r>
              <w:rPr>
                <w:szCs w:val="21"/>
              </w:rPr>
              <w:t>14.</w:t>
            </w:r>
            <w:r>
              <w:rPr>
                <w:rFonts w:hint="eastAsia"/>
                <w:szCs w:val="21"/>
              </w:rPr>
              <w:t>带Mifare1卡功能。</w:t>
            </w:r>
          </w:p>
          <w:p w14:paraId="07A6B993">
            <w:pPr>
              <w:pStyle w:val="34"/>
              <w:rPr>
                <w:szCs w:val="21"/>
              </w:rPr>
            </w:pPr>
            <w:r>
              <w:rPr>
                <w:szCs w:val="21"/>
              </w:rPr>
              <w:t>15.</w:t>
            </w:r>
            <w:r>
              <w:rPr>
                <w:rFonts w:hint="eastAsia"/>
                <w:szCs w:val="21"/>
              </w:rPr>
              <w:t>支持二次个人化，能够二次个人化电子钱包或其它应用。</w:t>
            </w:r>
          </w:p>
          <w:p w14:paraId="306CFA86">
            <w:pPr>
              <w:pStyle w:val="34"/>
              <w:rPr>
                <w:szCs w:val="21"/>
              </w:rPr>
            </w:pPr>
            <w:r>
              <w:rPr>
                <w:szCs w:val="21"/>
              </w:rPr>
              <w:t>16.</w:t>
            </w:r>
            <w:r>
              <w:rPr>
                <w:rFonts w:hint="eastAsia"/>
                <w:szCs w:val="21"/>
              </w:rPr>
              <w:t>芯片和嵌入式软件必须通过银联安全认证和检测。</w:t>
            </w:r>
          </w:p>
          <w:p w14:paraId="5DECC556">
            <w:pPr>
              <w:pStyle w:val="34"/>
              <w:rPr>
                <w:szCs w:val="21"/>
              </w:rPr>
            </w:pPr>
            <w:r>
              <w:rPr>
                <w:szCs w:val="21"/>
              </w:rPr>
              <w:t>17.</w:t>
            </w:r>
            <w:r>
              <w:rPr>
                <w:rFonts w:hint="eastAsia"/>
                <w:szCs w:val="21"/>
              </w:rPr>
              <w:t>芯片为硬掩模。</w:t>
            </w:r>
          </w:p>
          <w:p w14:paraId="04106672">
            <w:pPr>
              <w:pStyle w:val="34"/>
              <w:rPr>
                <w:szCs w:val="21"/>
              </w:rPr>
            </w:pPr>
            <w:r>
              <w:rPr>
                <w:szCs w:val="21"/>
              </w:rPr>
              <w:t>18.</w:t>
            </w:r>
            <w:r>
              <w:rPr>
                <w:rFonts w:hint="eastAsia"/>
                <w:szCs w:val="21"/>
              </w:rPr>
              <w:t>通过银联IC卡个人化业务数据验证测试。</w:t>
            </w:r>
          </w:p>
          <w:p w14:paraId="508128D3">
            <w:pPr>
              <w:pStyle w:val="34"/>
              <w:rPr>
                <w:szCs w:val="21"/>
              </w:rPr>
            </w:pPr>
            <w:r>
              <w:rPr>
                <w:szCs w:val="21"/>
              </w:rPr>
              <w:t>9</w:t>
            </w:r>
            <w:r>
              <w:rPr>
                <w:rFonts w:hint="eastAsia"/>
                <w:szCs w:val="21"/>
              </w:rPr>
              <w:t>.1.2</w:t>
            </w:r>
            <w:r>
              <w:rPr>
                <w:szCs w:val="21"/>
              </w:rPr>
              <w:t xml:space="preserve"> </w:t>
            </w:r>
            <w:r>
              <w:rPr>
                <w:rFonts w:hint="eastAsia"/>
                <w:szCs w:val="21"/>
              </w:rPr>
              <w:t>借记IC卡卡体技术指标要求</w:t>
            </w:r>
          </w:p>
          <w:p w14:paraId="59F293B1">
            <w:pPr>
              <w:pStyle w:val="34"/>
              <w:rPr>
                <w:szCs w:val="21"/>
              </w:rPr>
            </w:pPr>
            <w:r>
              <w:rPr>
                <w:szCs w:val="21"/>
              </w:rPr>
              <w:t>1.</w:t>
            </w:r>
            <w:r>
              <w:rPr>
                <w:rFonts w:hint="eastAsia"/>
                <w:szCs w:val="21"/>
              </w:rPr>
              <w:t>卡体材质均要求采用优质PVC材料。</w:t>
            </w:r>
          </w:p>
          <w:p w14:paraId="2DE33A00">
            <w:pPr>
              <w:pStyle w:val="34"/>
              <w:rPr>
                <w:szCs w:val="21"/>
              </w:rPr>
            </w:pPr>
            <w:r>
              <w:rPr>
                <w:szCs w:val="21"/>
              </w:rPr>
              <w:t>2.</w:t>
            </w:r>
            <w:r>
              <w:rPr>
                <w:rFonts w:hint="eastAsia"/>
                <w:szCs w:val="21"/>
              </w:rPr>
              <w:t>卡体要求：</w:t>
            </w:r>
          </w:p>
          <w:p w14:paraId="337F4227">
            <w:pPr>
              <w:pStyle w:val="34"/>
              <w:rPr>
                <w:szCs w:val="21"/>
              </w:rPr>
            </w:pPr>
            <w:r>
              <w:rPr>
                <w:rFonts w:hint="eastAsia"/>
                <w:szCs w:val="21"/>
              </w:rPr>
              <w:t>（1）符合ISO7816-1&amp;2的参考标准，卡体尺寸符合《中国金融集成电路(IC)卡规范 V2.0》所规定的尺寸。</w:t>
            </w:r>
          </w:p>
          <w:p w14:paraId="39DBFB8F">
            <w:pPr>
              <w:pStyle w:val="34"/>
              <w:rPr>
                <w:szCs w:val="21"/>
              </w:rPr>
            </w:pPr>
            <w:r>
              <w:rPr>
                <w:rFonts w:hint="eastAsia"/>
                <w:szCs w:val="21"/>
              </w:rPr>
              <w:t>（2）片基85.47mm≤长度≤85.72mm，53.92mm≤宽度≤54.03mm。</w:t>
            </w:r>
          </w:p>
          <w:p w14:paraId="07B6B173">
            <w:pPr>
              <w:pStyle w:val="34"/>
              <w:rPr>
                <w:szCs w:val="21"/>
              </w:rPr>
            </w:pPr>
            <w:r>
              <w:rPr>
                <w:rFonts w:hint="eastAsia"/>
                <w:szCs w:val="21"/>
              </w:rPr>
              <w:t>（3）导角：3.18mm的圆弧。</w:t>
            </w:r>
          </w:p>
          <w:p w14:paraId="31D5C8D5">
            <w:pPr>
              <w:pStyle w:val="34"/>
              <w:rPr>
                <w:szCs w:val="21"/>
              </w:rPr>
            </w:pPr>
            <w:r>
              <w:rPr>
                <w:rFonts w:hint="eastAsia"/>
                <w:szCs w:val="21"/>
              </w:rPr>
              <w:t>（4）厚度：0.76mm≤厚度≤0.84mm。</w:t>
            </w:r>
          </w:p>
          <w:p w14:paraId="312A0F8F">
            <w:pPr>
              <w:pStyle w:val="34"/>
              <w:rPr>
                <w:szCs w:val="21"/>
              </w:rPr>
            </w:pPr>
            <w:r>
              <w:rPr>
                <w:rFonts w:hint="eastAsia"/>
                <w:szCs w:val="21"/>
              </w:rPr>
              <w:t>（5）卡体边沿：卡体的边沿光滑，毛刺小于0.08mm。</w:t>
            </w:r>
          </w:p>
          <w:p w14:paraId="6948E428">
            <w:pPr>
              <w:pStyle w:val="34"/>
              <w:rPr>
                <w:szCs w:val="21"/>
              </w:rPr>
            </w:pPr>
            <w:r>
              <w:rPr>
                <w:rFonts w:hint="eastAsia"/>
                <w:szCs w:val="21"/>
              </w:rPr>
              <w:t>（6）卡体表面透明覆膜。</w:t>
            </w:r>
          </w:p>
          <w:p w14:paraId="0F9E67D7">
            <w:pPr>
              <w:pStyle w:val="34"/>
              <w:rPr>
                <w:szCs w:val="21"/>
              </w:rPr>
            </w:pPr>
            <w:r>
              <w:rPr>
                <w:rFonts w:hint="eastAsia"/>
                <w:szCs w:val="21"/>
              </w:rPr>
              <w:t>（7）卡体复合强度：卡片的卡基、热合透明膜应复合良好，卡片没有起层、气泡、剥离等现象。</w:t>
            </w:r>
          </w:p>
          <w:p w14:paraId="53E06F84">
            <w:pPr>
              <w:pStyle w:val="34"/>
              <w:rPr>
                <w:szCs w:val="21"/>
              </w:rPr>
            </w:pPr>
            <w:r>
              <w:rPr>
                <w:rFonts w:hint="eastAsia"/>
                <w:szCs w:val="21"/>
              </w:rPr>
              <w:t>（8）外观：卡片外观没有明显变形、凹凸不平，卡片上没有孔、坑、损伤、破裂、划伤、磨毛、热合亮斑等。</w:t>
            </w:r>
          </w:p>
          <w:p w14:paraId="50774B30">
            <w:pPr>
              <w:pStyle w:val="34"/>
              <w:rPr>
                <w:szCs w:val="21"/>
              </w:rPr>
            </w:pPr>
            <w:r>
              <w:rPr>
                <w:rFonts w:hint="eastAsia"/>
                <w:szCs w:val="21"/>
              </w:rPr>
              <w:t>（9）卡片没有3个以上尘点、墨点、气泡、杂质等异常斑点或异物。</w:t>
            </w:r>
          </w:p>
          <w:p w14:paraId="4BC1EC3C">
            <w:pPr>
              <w:pStyle w:val="34"/>
              <w:rPr>
                <w:szCs w:val="21"/>
              </w:rPr>
            </w:pPr>
            <w:r>
              <w:rPr>
                <w:rFonts w:hint="eastAsia"/>
                <w:szCs w:val="21"/>
              </w:rPr>
              <w:t>（10）卡片凸码烫金、银牢固不掉色。</w:t>
            </w:r>
          </w:p>
          <w:p w14:paraId="60CCA57B">
            <w:pPr>
              <w:pStyle w:val="34"/>
              <w:rPr>
                <w:szCs w:val="21"/>
              </w:rPr>
            </w:pPr>
            <w:r>
              <w:rPr>
                <w:rFonts w:hint="eastAsia"/>
                <w:szCs w:val="21"/>
              </w:rPr>
              <w:t>（11）卡片平直。</w:t>
            </w:r>
          </w:p>
          <w:p w14:paraId="5E21C74E">
            <w:pPr>
              <w:pStyle w:val="34"/>
              <w:rPr>
                <w:szCs w:val="21"/>
              </w:rPr>
            </w:pPr>
            <w:r>
              <w:rPr>
                <w:rFonts w:hint="eastAsia"/>
                <w:szCs w:val="21"/>
              </w:rPr>
              <w:t>（12）外观要求如下：</w:t>
            </w:r>
          </w:p>
          <w:p w14:paraId="750B5EBA">
            <w:pPr>
              <w:pStyle w:val="34"/>
              <w:rPr>
                <w:szCs w:val="21"/>
              </w:rPr>
            </w:pPr>
            <w:r>
              <w:rPr>
                <w:rFonts w:hint="eastAsia"/>
                <w:szCs w:val="21"/>
              </w:rPr>
              <w:t>①光洁：无气泡、凹凸点及脏污</w:t>
            </w:r>
          </w:p>
          <w:p w14:paraId="2A0FD14E">
            <w:pPr>
              <w:pStyle w:val="34"/>
              <w:rPr>
                <w:szCs w:val="21"/>
              </w:rPr>
            </w:pPr>
            <w:r>
              <w:rPr>
                <w:rFonts w:hint="eastAsia"/>
                <w:szCs w:val="21"/>
              </w:rPr>
              <w:t>②黑点：直径＞0.2㎜的不明显黑点：正面不超过1个；反面不超过2个</w:t>
            </w:r>
          </w:p>
          <w:p w14:paraId="4209101C">
            <w:pPr>
              <w:pStyle w:val="34"/>
              <w:rPr>
                <w:szCs w:val="21"/>
              </w:rPr>
            </w:pPr>
            <w:r>
              <w:rPr>
                <w:rFonts w:hint="eastAsia"/>
                <w:szCs w:val="21"/>
              </w:rPr>
              <w:t>③杂物：长度＞0.5㎜的细小杂质纤维：正面不超过1个；反面不超过2个</w:t>
            </w:r>
          </w:p>
          <w:p w14:paraId="348926F3">
            <w:pPr>
              <w:pStyle w:val="34"/>
              <w:rPr>
                <w:szCs w:val="21"/>
              </w:rPr>
            </w:pPr>
            <w:r>
              <w:rPr>
                <w:rFonts w:hint="eastAsia"/>
                <w:szCs w:val="21"/>
              </w:rPr>
              <w:t>④色斑：直径＞0.5㎜杂色斑：正反面不允许</w:t>
            </w:r>
          </w:p>
          <w:p w14:paraId="630DADE6">
            <w:pPr>
              <w:pStyle w:val="34"/>
              <w:rPr>
                <w:szCs w:val="21"/>
              </w:rPr>
            </w:pPr>
            <w:r>
              <w:rPr>
                <w:rFonts w:hint="eastAsia"/>
                <w:szCs w:val="21"/>
              </w:rPr>
              <w:t>⑤划痕：长度＞5㎜的细划痕：不超过2条</w:t>
            </w:r>
          </w:p>
          <w:p w14:paraId="0D5C660F">
            <w:pPr>
              <w:pStyle w:val="34"/>
              <w:rPr>
                <w:szCs w:val="21"/>
              </w:rPr>
            </w:pPr>
            <w:r>
              <w:rPr>
                <w:rFonts w:hint="eastAsia"/>
                <w:szCs w:val="21"/>
              </w:rPr>
              <w:t>3.借记IC卡卡体印刷要求</w:t>
            </w:r>
          </w:p>
          <w:p w14:paraId="594BF3CA">
            <w:pPr>
              <w:pStyle w:val="34"/>
              <w:rPr>
                <w:szCs w:val="21"/>
              </w:rPr>
            </w:pPr>
            <w:r>
              <w:rPr>
                <w:rFonts w:hint="eastAsia"/>
                <w:szCs w:val="21"/>
              </w:rPr>
              <w:t>（1）色彩：卡片的图案和颜色应以设计原稿样卡为准，复制真实、自然，且同一产品不同批次生产的卡片，差值小于3.5ΔE*ab单位。</w:t>
            </w:r>
          </w:p>
          <w:p w14:paraId="620D94CF">
            <w:pPr>
              <w:pStyle w:val="34"/>
              <w:rPr>
                <w:szCs w:val="21"/>
              </w:rPr>
            </w:pPr>
            <w:r>
              <w:rPr>
                <w:rFonts w:hint="eastAsia"/>
                <w:szCs w:val="21"/>
              </w:rPr>
              <w:t>（2）印刷：印刷没有内容错误、漏印刷、印刷图案或字符方向错误、印刷位置错误的问题；印刷表面没有明显色斑、条纹，图案或字符有明显重影、毛刺或缺损；卡片的图案和文字符号及印刷式样可根据客户要求设计；卡经覆膜处理后，图案精美、色泽鲜艳、表面耐磨，在正常应用情况下，图案不褪色、不剥落。</w:t>
            </w:r>
          </w:p>
          <w:p w14:paraId="4E45BF89">
            <w:pPr>
              <w:pStyle w:val="34"/>
              <w:rPr>
                <w:szCs w:val="21"/>
              </w:rPr>
            </w:pPr>
            <w:r>
              <w:rPr>
                <w:rFonts w:hint="eastAsia"/>
                <w:szCs w:val="21"/>
              </w:rPr>
              <w:t>4.插卡最高次数、使用最长年限和正常坏损率符合行业常规要求。</w:t>
            </w:r>
          </w:p>
          <w:p w14:paraId="57624684">
            <w:pPr>
              <w:pStyle w:val="34"/>
              <w:rPr>
                <w:szCs w:val="21"/>
              </w:rPr>
            </w:pPr>
            <w:r>
              <w:rPr>
                <w:rFonts w:hint="eastAsia"/>
                <w:szCs w:val="21"/>
              </w:rPr>
              <w:t>5.卡片机电特性要求</w:t>
            </w:r>
          </w:p>
          <w:p w14:paraId="101C46F4">
            <w:pPr>
              <w:pStyle w:val="34"/>
              <w:rPr>
                <w:szCs w:val="21"/>
              </w:rPr>
            </w:pPr>
            <w:r>
              <w:rPr>
                <w:rFonts w:hint="eastAsia"/>
                <w:szCs w:val="21"/>
              </w:rPr>
              <w:t>卡片的机械特性、电气特性要符合《</w:t>
            </w:r>
            <w:r>
              <w:rPr>
                <w:szCs w:val="21"/>
              </w:rPr>
              <w:t>JR/T 0025-2018</w:t>
            </w:r>
            <w:r>
              <w:rPr>
                <w:rFonts w:hint="eastAsia"/>
                <w:szCs w:val="21"/>
              </w:rPr>
              <w:t>中国金融集成电路(IC)卡规范》，遵从ISO/IEC7816系列标准。卡的弯曲翘曲符合国家标准，抗弯折和扭曲性能：符合ISO14443的测试标准，卡片动态扭曲达到1000次，卡片动态弯曲达到1000次，卡片的层间剥离强度符合国家标准。主要指标如下：</w:t>
            </w:r>
          </w:p>
          <w:p w14:paraId="365EAE9C">
            <w:pPr>
              <w:pStyle w:val="34"/>
              <w:rPr>
                <w:szCs w:val="21"/>
              </w:rPr>
            </w:pPr>
            <w:r>
              <w:rPr>
                <w:rFonts w:hint="eastAsia"/>
                <w:szCs w:val="21"/>
              </w:rPr>
              <w:t>（1）模块高度：</w:t>
            </w:r>
          </w:p>
          <w:p w14:paraId="0DE5EE07">
            <w:pPr>
              <w:pStyle w:val="34"/>
              <w:rPr>
                <w:szCs w:val="21"/>
              </w:rPr>
            </w:pPr>
            <w:r>
              <w:rPr>
                <w:rFonts w:hint="eastAsia"/>
                <w:szCs w:val="21"/>
              </w:rPr>
              <w:t>①IC模块表面的最高点不应高于卡表面平面0.05mm；</w:t>
            </w:r>
          </w:p>
          <w:p w14:paraId="382258F0">
            <w:pPr>
              <w:pStyle w:val="34"/>
              <w:rPr>
                <w:szCs w:val="21"/>
              </w:rPr>
            </w:pPr>
            <w:r>
              <w:rPr>
                <w:rFonts w:hint="eastAsia"/>
                <w:szCs w:val="21"/>
              </w:rPr>
              <w:t>②IC模块表面的最低点不应低于卡表面平面0.05mm。</w:t>
            </w:r>
          </w:p>
          <w:p w14:paraId="4FC4E59A">
            <w:pPr>
              <w:pStyle w:val="34"/>
              <w:rPr>
                <w:szCs w:val="21"/>
              </w:rPr>
            </w:pPr>
            <w:r>
              <w:rPr>
                <w:rFonts w:hint="eastAsia"/>
                <w:szCs w:val="21"/>
              </w:rPr>
              <w:t>（2）整卡翘曲度：</w:t>
            </w:r>
          </w:p>
          <w:p w14:paraId="79B8401D">
            <w:pPr>
              <w:pStyle w:val="34"/>
              <w:rPr>
                <w:szCs w:val="21"/>
              </w:rPr>
            </w:pPr>
            <w:r>
              <w:rPr>
                <w:rFonts w:hint="eastAsia"/>
                <w:szCs w:val="21"/>
              </w:rPr>
              <w:t>①翘曲最大值应不大于1.5mm；</w:t>
            </w:r>
          </w:p>
          <w:p w14:paraId="771CC495">
            <w:pPr>
              <w:pStyle w:val="34"/>
              <w:rPr>
                <w:szCs w:val="21"/>
              </w:rPr>
            </w:pPr>
            <w:r>
              <w:rPr>
                <w:rFonts w:hint="eastAsia"/>
                <w:szCs w:val="21"/>
              </w:rPr>
              <w:t>②卡片切边毛刺长度：＜0.08mm。</w:t>
            </w:r>
          </w:p>
          <w:p w14:paraId="78AD19FF">
            <w:pPr>
              <w:pStyle w:val="34"/>
              <w:rPr>
                <w:szCs w:val="21"/>
              </w:rPr>
            </w:pPr>
            <w:r>
              <w:rPr>
                <w:rFonts w:hint="eastAsia"/>
                <w:szCs w:val="21"/>
              </w:rPr>
              <w:t>（3）弯曲刚度：</w:t>
            </w:r>
          </w:p>
          <w:p w14:paraId="0736CB71">
            <w:pPr>
              <w:pStyle w:val="34"/>
              <w:rPr>
                <w:szCs w:val="21"/>
              </w:rPr>
            </w:pPr>
            <w:r>
              <w:rPr>
                <w:rFonts w:hint="eastAsia"/>
                <w:szCs w:val="21"/>
              </w:rPr>
              <w:t>①弹性变形量应在3mm与35mm之间；</w:t>
            </w:r>
          </w:p>
          <w:p w14:paraId="394B91BC">
            <w:pPr>
              <w:pStyle w:val="34"/>
              <w:rPr>
                <w:szCs w:val="21"/>
              </w:rPr>
            </w:pPr>
            <w:r>
              <w:rPr>
                <w:rFonts w:hint="eastAsia"/>
                <w:szCs w:val="21"/>
              </w:rPr>
              <w:t>②塑性变形量应小于1.5mm。</w:t>
            </w:r>
          </w:p>
          <w:p w14:paraId="4DF3E0A8">
            <w:pPr>
              <w:pStyle w:val="34"/>
              <w:rPr>
                <w:szCs w:val="21"/>
              </w:rPr>
            </w:pPr>
            <w:r>
              <w:rPr>
                <w:rFonts w:hint="eastAsia"/>
                <w:szCs w:val="21"/>
              </w:rPr>
              <w:t>（4）表层剥离强度：≥3.5N/cm。</w:t>
            </w:r>
          </w:p>
          <w:p w14:paraId="0599BF9F">
            <w:pPr>
              <w:pStyle w:val="34"/>
              <w:rPr>
                <w:szCs w:val="21"/>
              </w:rPr>
            </w:pPr>
            <w:r>
              <w:rPr>
                <w:rFonts w:hint="eastAsia"/>
                <w:szCs w:val="21"/>
              </w:rPr>
              <w:t>（5）温、湿度条件下的卡尺寸稳定性和翘曲：</w:t>
            </w:r>
          </w:p>
          <w:p w14:paraId="0F2041D6">
            <w:pPr>
              <w:pStyle w:val="34"/>
              <w:rPr>
                <w:szCs w:val="21"/>
              </w:rPr>
            </w:pPr>
            <w:r>
              <w:rPr>
                <w:rFonts w:hint="eastAsia"/>
                <w:szCs w:val="21"/>
              </w:rPr>
              <w:t>将卡依次置于下列环境下各60分钟（a）-35°C±3°C；（b）50°C±3°C，相对湿度95%±5%将卡取出，放在实验室环境条件下保持24小时，再测卡片尺寸及卡片翘曲，要求卡片尺寸值和最大翘曲值的测量的结果应与原测量值一致。</w:t>
            </w:r>
          </w:p>
          <w:p w14:paraId="4285B4D0">
            <w:pPr>
              <w:pStyle w:val="34"/>
              <w:rPr>
                <w:szCs w:val="21"/>
              </w:rPr>
            </w:pPr>
            <w:r>
              <w:rPr>
                <w:rFonts w:hint="eastAsia"/>
                <w:szCs w:val="21"/>
              </w:rPr>
              <w:t>（6）粘结性能</w:t>
            </w:r>
          </w:p>
          <w:p w14:paraId="0919DBBC">
            <w:pPr>
              <w:pStyle w:val="34"/>
              <w:rPr>
                <w:szCs w:val="21"/>
              </w:rPr>
            </w:pPr>
            <w:r>
              <w:rPr>
                <w:rFonts w:hint="eastAsia"/>
                <w:szCs w:val="21"/>
              </w:rPr>
              <w:t>将未打过凸字的卡5个一组叠在一起放入40℃±3℃，相对湿度设定为40%-60%的箱内，使卡背面朝下，其上加以2.5Kpa的均匀压力。48小时之后取出，可以用手很容易地将单张卡分开。将卡拿到实验室环境温度下立刻观察，应无下列变化：脱层；变色或色转移；表面磨光变化；卡上没有物质转移现象；外观形变。</w:t>
            </w:r>
          </w:p>
          <w:p w14:paraId="4A312F19">
            <w:pPr>
              <w:pStyle w:val="34"/>
              <w:rPr>
                <w:szCs w:val="21"/>
              </w:rPr>
            </w:pPr>
            <w:r>
              <w:rPr>
                <w:rFonts w:hint="eastAsia"/>
                <w:szCs w:val="21"/>
              </w:rPr>
              <w:t>（7）弯曲特性</w:t>
            </w:r>
          </w:p>
          <w:p w14:paraId="6B7DF7E9">
            <w:pPr>
              <w:pStyle w:val="34"/>
              <w:rPr>
                <w:szCs w:val="21"/>
              </w:rPr>
            </w:pPr>
            <w:r>
              <w:rPr>
                <w:rFonts w:hint="eastAsia"/>
                <w:szCs w:val="21"/>
              </w:rPr>
              <w:fldChar w:fldCharType="begin"/>
            </w:r>
            <w:r>
              <w:rPr>
                <w:rFonts w:hint="eastAsia"/>
                <w:szCs w:val="21"/>
              </w:rPr>
              <w:instrText xml:space="preserve"> = 1 \* GB3 </w:instrText>
            </w:r>
            <w:r>
              <w:rPr>
                <w:rFonts w:hint="eastAsia"/>
                <w:szCs w:val="21"/>
              </w:rPr>
              <w:fldChar w:fldCharType="separate"/>
            </w:r>
            <w:r>
              <w:rPr>
                <w:rFonts w:hint="eastAsia"/>
                <w:szCs w:val="21"/>
              </w:rPr>
              <w:t>①</w:t>
            </w:r>
            <w:r>
              <w:rPr>
                <w:rFonts w:hint="eastAsia"/>
                <w:szCs w:val="21"/>
              </w:rPr>
              <w:fldChar w:fldCharType="end"/>
            </w:r>
            <w:r>
              <w:rPr>
                <w:rFonts w:hint="eastAsia"/>
                <w:szCs w:val="21"/>
              </w:rPr>
              <w:t>裁制完成之卡必须平直，其曲度、垂直间隙必须在1.27MM以下；</w:t>
            </w:r>
          </w:p>
          <w:p w14:paraId="169EB25D">
            <w:pPr>
              <w:pStyle w:val="34"/>
              <w:rPr>
                <w:szCs w:val="21"/>
              </w:rPr>
            </w:pPr>
            <w:r>
              <w:rPr>
                <w:rFonts w:hint="eastAsia"/>
                <w:szCs w:val="21"/>
              </w:rPr>
              <w:fldChar w:fldCharType="begin"/>
            </w:r>
            <w:r>
              <w:rPr>
                <w:rFonts w:hint="eastAsia"/>
                <w:szCs w:val="21"/>
              </w:rPr>
              <w:instrText xml:space="preserve"> = 2 \* GB3 </w:instrText>
            </w:r>
            <w:r>
              <w:rPr>
                <w:rFonts w:hint="eastAsia"/>
                <w:szCs w:val="21"/>
              </w:rPr>
              <w:fldChar w:fldCharType="separate"/>
            </w:r>
            <w:r>
              <w:rPr>
                <w:rFonts w:hint="eastAsia"/>
                <w:szCs w:val="21"/>
              </w:rPr>
              <w:t>②</w:t>
            </w:r>
            <w:r>
              <w:rPr>
                <w:rFonts w:hint="eastAsia"/>
                <w:szCs w:val="21"/>
              </w:rPr>
              <w:fldChar w:fldCharType="end"/>
            </w:r>
            <w:r>
              <w:rPr>
                <w:rFonts w:hint="eastAsia"/>
                <w:szCs w:val="21"/>
              </w:rPr>
              <w:t>凸字后其曲度垂直间隙必须在2.03MM以下，叠合层不得剥离或脱落；</w:t>
            </w:r>
          </w:p>
          <w:p w14:paraId="161FA501">
            <w:pPr>
              <w:pStyle w:val="34"/>
              <w:rPr>
                <w:szCs w:val="21"/>
              </w:rPr>
            </w:pPr>
            <w:r>
              <w:rPr>
                <w:rFonts w:hint="eastAsia"/>
                <w:szCs w:val="21"/>
              </w:rPr>
              <w:t>（8）防磁、防水、耐温、耐潮湿、耐其他化学物质腐蚀等方面，符合国家标准要求。</w:t>
            </w:r>
          </w:p>
          <w:p w14:paraId="5D34932A">
            <w:pPr>
              <w:pStyle w:val="34"/>
              <w:rPr>
                <w:szCs w:val="21"/>
              </w:rPr>
            </w:pPr>
            <w:r>
              <w:rPr>
                <w:szCs w:val="21"/>
              </w:rPr>
              <w:t>9</w:t>
            </w:r>
            <w:r>
              <w:rPr>
                <w:rFonts w:hint="eastAsia"/>
                <w:szCs w:val="21"/>
              </w:rPr>
              <w:t>.1.3</w:t>
            </w:r>
            <w:r>
              <w:rPr>
                <w:szCs w:val="21"/>
              </w:rPr>
              <w:t xml:space="preserve"> </w:t>
            </w:r>
            <w:r>
              <w:rPr>
                <w:rFonts w:hint="eastAsia"/>
                <w:szCs w:val="21"/>
              </w:rPr>
              <w:t>借记IC卡卡面制版要求</w:t>
            </w:r>
          </w:p>
          <w:p w14:paraId="48765691">
            <w:pPr>
              <w:pStyle w:val="34"/>
              <w:rPr>
                <w:szCs w:val="21"/>
              </w:rPr>
            </w:pPr>
            <w:r>
              <w:rPr>
                <w:rFonts w:hint="eastAsia"/>
                <w:szCs w:val="21"/>
              </w:rPr>
              <w:t>1.底纹文字、防伪标志及其他要素必须按照银联有关规范实施。卡片正、反面还应按规范印刷“银联”图案。</w:t>
            </w:r>
          </w:p>
          <w:p w14:paraId="762B40EC">
            <w:pPr>
              <w:pStyle w:val="34"/>
              <w:rPr>
                <w:szCs w:val="21"/>
              </w:rPr>
            </w:pPr>
            <w:r>
              <w:rPr>
                <w:rFonts w:hint="eastAsia"/>
                <w:szCs w:val="21"/>
              </w:rPr>
              <w:t>2.卡片正背面印刷按采购人指定的图样和文字，卡号由采购人自行定义及处理。</w:t>
            </w:r>
          </w:p>
          <w:p w14:paraId="1127A14C">
            <w:pPr>
              <w:pStyle w:val="34"/>
              <w:rPr>
                <w:szCs w:val="21"/>
              </w:rPr>
            </w:pPr>
            <w:r>
              <w:rPr>
                <w:szCs w:val="21"/>
              </w:rPr>
              <w:t>9</w:t>
            </w:r>
            <w:r>
              <w:rPr>
                <w:rFonts w:hint="eastAsia"/>
                <w:szCs w:val="21"/>
              </w:rPr>
              <w:t>.2</w:t>
            </w:r>
            <w:r>
              <w:rPr>
                <w:szCs w:val="21"/>
              </w:rPr>
              <w:t xml:space="preserve"> </w:t>
            </w:r>
            <w:r>
              <w:rPr>
                <w:rFonts w:hint="eastAsia"/>
                <w:szCs w:val="21"/>
              </w:rPr>
              <w:t>借记IC卡生产要求</w:t>
            </w:r>
          </w:p>
          <w:p w14:paraId="4012A45D">
            <w:pPr>
              <w:pStyle w:val="34"/>
              <w:rPr>
                <w:szCs w:val="21"/>
              </w:rPr>
            </w:pPr>
            <w:r>
              <w:rPr>
                <w:szCs w:val="21"/>
              </w:rPr>
              <w:t>9</w:t>
            </w:r>
            <w:r>
              <w:rPr>
                <w:rFonts w:hint="eastAsia"/>
                <w:szCs w:val="21"/>
              </w:rPr>
              <w:t>.2.1</w:t>
            </w:r>
            <w:r>
              <w:rPr>
                <w:szCs w:val="21"/>
              </w:rPr>
              <w:t xml:space="preserve"> </w:t>
            </w:r>
            <w:r>
              <w:rPr>
                <w:rFonts w:hint="eastAsia"/>
                <w:szCs w:val="21"/>
              </w:rPr>
              <w:t>借记IC卡生产的基本要求</w:t>
            </w:r>
          </w:p>
          <w:p w14:paraId="714D45B5">
            <w:pPr>
              <w:pStyle w:val="34"/>
              <w:rPr>
                <w:szCs w:val="21"/>
              </w:rPr>
            </w:pPr>
            <w:r>
              <w:rPr>
                <w:rFonts w:hint="eastAsia"/>
                <w:szCs w:val="21"/>
              </w:rPr>
              <w:t>生产能满足本项目功能、性能、质量要求的借记IC卡。该卡片符合相关规范技术要求，并通过相应检测认证，具备接触式和双界面卡片生产能力；卡片生产过程符合ISO9001质量体系要求；卡片质量符合相关行业标准；卡片生产提供数量符合项目建设计划要求。</w:t>
            </w:r>
          </w:p>
          <w:p w14:paraId="6A5C56B6">
            <w:pPr>
              <w:pStyle w:val="34"/>
              <w:rPr>
                <w:szCs w:val="21"/>
              </w:rPr>
            </w:pPr>
            <w:r>
              <w:rPr>
                <w:szCs w:val="21"/>
              </w:rPr>
              <w:t>9</w:t>
            </w:r>
            <w:r>
              <w:rPr>
                <w:rFonts w:hint="eastAsia"/>
                <w:szCs w:val="21"/>
              </w:rPr>
              <w:t>.2.2</w:t>
            </w:r>
            <w:r>
              <w:rPr>
                <w:szCs w:val="21"/>
              </w:rPr>
              <w:t xml:space="preserve"> </w:t>
            </w:r>
            <w:r>
              <w:rPr>
                <w:rFonts w:hint="eastAsia"/>
                <w:szCs w:val="21"/>
              </w:rPr>
              <w:t>支持提供测试卡和正式样卡</w:t>
            </w:r>
          </w:p>
          <w:p w14:paraId="26757E60">
            <w:pPr>
              <w:pStyle w:val="34"/>
              <w:rPr>
                <w:szCs w:val="21"/>
              </w:rPr>
            </w:pPr>
            <w:r>
              <w:rPr>
                <w:rFonts w:hint="eastAsia"/>
                <w:szCs w:val="21"/>
              </w:rPr>
              <w:t>1.在卡应用开发调试阶段，为配合卡应用开发，响应人必须及时提供测试卡。</w:t>
            </w:r>
          </w:p>
          <w:p w14:paraId="2262B405">
            <w:pPr>
              <w:pStyle w:val="34"/>
              <w:rPr>
                <w:szCs w:val="21"/>
              </w:rPr>
            </w:pPr>
            <w:r>
              <w:rPr>
                <w:rFonts w:hint="eastAsia"/>
                <w:szCs w:val="21"/>
              </w:rPr>
              <w:t>2.按照采购人指定的制版提供正式样卡。正式发卡后每次更新卡种或个人化格式前响应人提供测试确认卡，该卡片应与本批正式批量之卡片的配置基本一致，提交采购人测试、确认。</w:t>
            </w:r>
          </w:p>
          <w:p w14:paraId="79630B2C">
            <w:pPr>
              <w:pStyle w:val="34"/>
              <w:rPr>
                <w:szCs w:val="21"/>
              </w:rPr>
            </w:pPr>
            <w:r>
              <w:rPr>
                <w:rFonts w:hint="eastAsia"/>
                <w:szCs w:val="21"/>
              </w:rPr>
              <w:t>3.响应人应配合采购人，将正式样卡提交人民银行、银行卡组织指定机构等相关单位检测。</w:t>
            </w:r>
          </w:p>
          <w:p w14:paraId="012B4AE6">
            <w:pPr>
              <w:pStyle w:val="34"/>
              <w:rPr>
                <w:szCs w:val="21"/>
              </w:rPr>
            </w:pPr>
            <w:r>
              <w:rPr>
                <w:szCs w:val="21"/>
              </w:rPr>
              <w:t>9</w:t>
            </w:r>
            <w:r>
              <w:rPr>
                <w:rFonts w:hint="eastAsia"/>
                <w:szCs w:val="21"/>
              </w:rPr>
              <w:t>.2.3</w:t>
            </w:r>
            <w:r>
              <w:rPr>
                <w:szCs w:val="21"/>
              </w:rPr>
              <w:t xml:space="preserve"> </w:t>
            </w:r>
            <w:r>
              <w:rPr>
                <w:rFonts w:hint="eastAsia"/>
                <w:szCs w:val="21"/>
              </w:rPr>
              <w:t>卡制作过程中的安全管理要求</w:t>
            </w:r>
          </w:p>
          <w:p w14:paraId="22656944">
            <w:pPr>
              <w:pStyle w:val="34"/>
              <w:rPr>
                <w:szCs w:val="21"/>
              </w:rPr>
            </w:pPr>
            <w:r>
              <w:rPr>
                <w:rFonts w:hint="eastAsia"/>
                <w:szCs w:val="21"/>
              </w:rPr>
              <w:t>响应人在卡的生产过程中必须对生产人员、生产环境，以及各种生产要素进行严格的安全管理和控制，保证卡片和制卡数据的安全和保密。响应人必须在响应文件中列出明确的安全管理内容和具体措施。</w:t>
            </w:r>
          </w:p>
          <w:p w14:paraId="69C7CE00">
            <w:pPr>
              <w:pStyle w:val="34"/>
              <w:rPr>
                <w:szCs w:val="21"/>
              </w:rPr>
            </w:pPr>
            <w:r>
              <w:rPr>
                <w:szCs w:val="21"/>
              </w:rPr>
              <w:t>9</w:t>
            </w:r>
            <w:r>
              <w:rPr>
                <w:rFonts w:hint="eastAsia"/>
                <w:szCs w:val="21"/>
              </w:rPr>
              <w:t>.2.4</w:t>
            </w:r>
            <w:r>
              <w:rPr>
                <w:szCs w:val="21"/>
              </w:rPr>
              <w:t xml:space="preserve"> </w:t>
            </w:r>
            <w:r>
              <w:rPr>
                <w:rFonts w:hint="eastAsia"/>
                <w:szCs w:val="21"/>
              </w:rPr>
              <w:t>响应人应保证所生产的成品卡在交货2年内不发生非人为因素的故障，若发生则由响应人负责免费解决以及免费更换卡片。</w:t>
            </w:r>
          </w:p>
          <w:p w14:paraId="43FE1606">
            <w:pPr>
              <w:pStyle w:val="34"/>
              <w:rPr>
                <w:szCs w:val="21"/>
              </w:rPr>
            </w:pPr>
            <w:r>
              <w:rPr>
                <w:szCs w:val="21"/>
              </w:rPr>
              <w:t>9</w:t>
            </w:r>
            <w:r>
              <w:rPr>
                <w:rFonts w:hint="eastAsia"/>
                <w:szCs w:val="21"/>
              </w:rPr>
              <w:t>.3</w:t>
            </w:r>
            <w:r>
              <w:rPr>
                <w:szCs w:val="21"/>
              </w:rPr>
              <w:t xml:space="preserve"> </w:t>
            </w:r>
            <w:r>
              <w:rPr>
                <w:rFonts w:hint="eastAsia"/>
                <w:szCs w:val="21"/>
              </w:rPr>
              <w:t>借记IC卡个人化要求</w:t>
            </w:r>
          </w:p>
          <w:p w14:paraId="7BCA0443">
            <w:pPr>
              <w:pStyle w:val="34"/>
              <w:rPr>
                <w:szCs w:val="21"/>
              </w:rPr>
            </w:pPr>
            <w:r>
              <w:rPr>
                <w:rFonts w:hint="eastAsia"/>
                <w:szCs w:val="21"/>
              </w:rPr>
              <w:t>响应人必须按照监管机构，中国银联、VISA、万事达等银行卡组织的相关要求，制定严格的数字管理制度，对业务、设计、制版、工艺等部门的生产流程进行严格的规定。响应人各工序制作人员应严格按照该制度执行。</w:t>
            </w:r>
          </w:p>
          <w:p w14:paraId="54E802DA">
            <w:pPr>
              <w:pStyle w:val="34"/>
              <w:rPr>
                <w:szCs w:val="21"/>
              </w:rPr>
            </w:pPr>
            <w:r>
              <w:rPr>
                <w:szCs w:val="21"/>
              </w:rPr>
              <w:t>9</w:t>
            </w:r>
            <w:r>
              <w:rPr>
                <w:rFonts w:hint="eastAsia"/>
                <w:szCs w:val="21"/>
              </w:rPr>
              <w:t>.3.1</w:t>
            </w:r>
            <w:r>
              <w:rPr>
                <w:szCs w:val="21"/>
              </w:rPr>
              <w:t xml:space="preserve"> </w:t>
            </w:r>
            <w:r>
              <w:rPr>
                <w:rFonts w:hint="eastAsia"/>
                <w:szCs w:val="21"/>
              </w:rPr>
              <w:t>数据保管与使用流程</w:t>
            </w:r>
          </w:p>
          <w:p w14:paraId="4683E6EF">
            <w:pPr>
              <w:pStyle w:val="34"/>
              <w:rPr>
                <w:szCs w:val="21"/>
              </w:rPr>
            </w:pPr>
            <w:r>
              <w:rPr>
                <w:rFonts w:hint="eastAsia"/>
                <w:szCs w:val="21"/>
              </w:rPr>
              <w:t>1.响应人必须具有严密的数据和信息安全管理、数据传输安全管理、数据存储介质管理和生产加工过程安全管理制度。</w:t>
            </w:r>
          </w:p>
          <w:p w14:paraId="43F22FE1">
            <w:pPr>
              <w:pStyle w:val="34"/>
              <w:rPr>
                <w:szCs w:val="21"/>
              </w:rPr>
            </w:pPr>
            <w:r>
              <w:rPr>
                <w:rFonts w:hint="eastAsia"/>
                <w:szCs w:val="21"/>
              </w:rPr>
              <w:t>2.双方数据交换必须通过数据加密系统来进行数据加解密，并采用安全可靠的网络连接方式进行传输，同时采用硬件防火墙进行隔离；卡片采购方拥有独立的访问权限、存储空间。</w:t>
            </w:r>
          </w:p>
          <w:p w14:paraId="0ACDF5FF">
            <w:pPr>
              <w:pStyle w:val="34"/>
              <w:rPr>
                <w:szCs w:val="21"/>
              </w:rPr>
            </w:pPr>
            <w:r>
              <w:rPr>
                <w:szCs w:val="21"/>
              </w:rPr>
              <w:t>9</w:t>
            </w:r>
            <w:r>
              <w:rPr>
                <w:rFonts w:hint="eastAsia"/>
                <w:szCs w:val="21"/>
              </w:rPr>
              <w:t>.3.2</w:t>
            </w:r>
            <w:r>
              <w:rPr>
                <w:szCs w:val="21"/>
              </w:rPr>
              <w:t xml:space="preserve"> </w:t>
            </w:r>
            <w:r>
              <w:rPr>
                <w:rFonts w:hint="eastAsia"/>
                <w:szCs w:val="21"/>
              </w:rPr>
              <w:t>个人化及成品卡检测</w:t>
            </w:r>
          </w:p>
          <w:p w14:paraId="655BC0A7">
            <w:pPr>
              <w:pStyle w:val="34"/>
              <w:rPr>
                <w:szCs w:val="21"/>
              </w:rPr>
            </w:pPr>
            <w:r>
              <w:rPr>
                <w:rFonts w:hint="eastAsia"/>
                <w:szCs w:val="21"/>
              </w:rPr>
              <w:t>个人化全部完成后，响应人将每张卡进行读写检测，全部通过后才能作为成品；每批卡完成后，由工程师在每箱中人工抽检不低于0.5%（不满1张最少抽1张）卡，内容包括：芯片、磁信号、强度、磁道格式、位置等。全部合格后，封装、入库。</w:t>
            </w:r>
          </w:p>
          <w:p w14:paraId="57F2133E">
            <w:pPr>
              <w:pStyle w:val="34"/>
              <w:rPr>
                <w:szCs w:val="21"/>
              </w:rPr>
            </w:pPr>
            <w:r>
              <w:rPr>
                <w:szCs w:val="21"/>
              </w:rPr>
              <w:t>9</w:t>
            </w:r>
            <w:r>
              <w:rPr>
                <w:rFonts w:hint="eastAsia"/>
                <w:szCs w:val="21"/>
              </w:rPr>
              <w:t>.3.3</w:t>
            </w:r>
            <w:r>
              <w:rPr>
                <w:szCs w:val="21"/>
              </w:rPr>
              <w:t xml:space="preserve"> </w:t>
            </w:r>
            <w:r>
              <w:rPr>
                <w:rFonts w:hint="eastAsia"/>
                <w:szCs w:val="21"/>
              </w:rPr>
              <w:t>安全措施</w:t>
            </w:r>
          </w:p>
          <w:p w14:paraId="54A93F78">
            <w:pPr>
              <w:pStyle w:val="34"/>
              <w:rPr>
                <w:szCs w:val="21"/>
              </w:rPr>
            </w:pPr>
            <w:r>
              <w:rPr>
                <w:rFonts w:hint="eastAsia"/>
                <w:szCs w:val="21"/>
              </w:rPr>
              <w:t>1.响应人用数据加密传输系统对数据进行加密传输，须得到采购人的测试认可。</w:t>
            </w:r>
          </w:p>
          <w:p w14:paraId="5288BAF8">
            <w:pPr>
              <w:pStyle w:val="34"/>
              <w:rPr>
                <w:szCs w:val="21"/>
              </w:rPr>
            </w:pPr>
            <w:r>
              <w:rPr>
                <w:rFonts w:hint="eastAsia"/>
                <w:szCs w:val="21"/>
              </w:rPr>
              <w:t>2.响应人打卡工人必须是在黑屏状态下工作，不支持查看个人化数据。</w:t>
            </w:r>
          </w:p>
          <w:p w14:paraId="7BF28EC6">
            <w:pPr>
              <w:pStyle w:val="34"/>
              <w:rPr>
                <w:szCs w:val="21"/>
              </w:rPr>
            </w:pPr>
            <w:r>
              <w:rPr>
                <w:rFonts w:hint="eastAsia"/>
                <w:szCs w:val="21"/>
              </w:rPr>
              <w:t>3.响应人个人化车间每道工序之间必须隔绝，非本工序作业人员不得入内。</w:t>
            </w:r>
          </w:p>
          <w:p w14:paraId="2BCE1FB3">
            <w:pPr>
              <w:pStyle w:val="34"/>
              <w:rPr>
                <w:szCs w:val="21"/>
              </w:rPr>
            </w:pPr>
            <w:r>
              <w:rPr>
                <w:rFonts w:hint="eastAsia"/>
                <w:szCs w:val="21"/>
              </w:rPr>
              <w:t>4.根据采购人要求，响应人在专用电脑上定期销毁个人化数据。做好销毁记录。采购人保留核查权利，有权不定期对销毁记录进行抽检，响应人应配合采购人完成抽检工作，并向采购人出具销毁人员签字和响应人公章的销毁操作书面确认结果。</w:t>
            </w:r>
          </w:p>
          <w:p w14:paraId="191827D1">
            <w:pPr>
              <w:pStyle w:val="34"/>
              <w:rPr>
                <w:szCs w:val="21"/>
              </w:rPr>
            </w:pPr>
            <w:r>
              <w:rPr>
                <w:szCs w:val="21"/>
              </w:rPr>
              <w:t>9</w:t>
            </w:r>
            <w:r>
              <w:rPr>
                <w:rFonts w:hint="eastAsia"/>
                <w:szCs w:val="21"/>
              </w:rPr>
              <w:t>.3.4生产监控</w:t>
            </w:r>
          </w:p>
          <w:p w14:paraId="278F400A">
            <w:pPr>
              <w:pStyle w:val="34"/>
              <w:rPr>
                <w:szCs w:val="21"/>
              </w:rPr>
            </w:pPr>
            <w:r>
              <w:rPr>
                <w:rFonts w:hint="eastAsia"/>
                <w:szCs w:val="21"/>
              </w:rPr>
              <w:t>响应人在接到生产任务后，生产过程由监控中心全程监控录像，原材料、半成品、成品、废品均实施数字管理，废品在保安部监控下销毁。</w:t>
            </w:r>
          </w:p>
          <w:p w14:paraId="270D6E24">
            <w:pPr>
              <w:pStyle w:val="34"/>
              <w:rPr>
                <w:szCs w:val="21"/>
              </w:rPr>
            </w:pPr>
            <w:r>
              <w:rPr>
                <w:szCs w:val="21"/>
              </w:rPr>
              <w:t>9</w:t>
            </w:r>
            <w:r>
              <w:rPr>
                <w:rFonts w:hint="eastAsia"/>
                <w:szCs w:val="21"/>
              </w:rPr>
              <w:t>.4</w:t>
            </w:r>
            <w:r>
              <w:rPr>
                <w:szCs w:val="21"/>
              </w:rPr>
              <w:t xml:space="preserve"> </w:t>
            </w:r>
            <w:r>
              <w:rPr>
                <w:rFonts w:hint="eastAsia"/>
                <w:szCs w:val="21"/>
              </w:rPr>
              <w:t>软件开发要求</w:t>
            </w:r>
          </w:p>
          <w:p w14:paraId="492E581C">
            <w:pPr>
              <w:pStyle w:val="34"/>
              <w:rPr>
                <w:szCs w:val="21"/>
              </w:rPr>
            </w:pPr>
            <w:r>
              <w:rPr>
                <w:szCs w:val="21"/>
              </w:rPr>
              <w:t>9</w:t>
            </w:r>
            <w:r>
              <w:rPr>
                <w:rFonts w:hint="eastAsia"/>
                <w:szCs w:val="21"/>
              </w:rPr>
              <w:t>.4.1</w:t>
            </w:r>
            <w:r>
              <w:rPr>
                <w:szCs w:val="21"/>
              </w:rPr>
              <w:t xml:space="preserve"> </w:t>
            </w:r>
            <w:r>
              <w:rPr>
                <w:rFonts w:hint="eastAsia"/>
                <w:szCs w:val="21"/>
              </w:rPr>
              <w:t>响应人应拥有标准PBOC金融应用、第三方行业应用开发能力，并向采购人提供金融应用和行业应用的接口说明、卡片个人化脚本和个人化例程、Applet源代码、测试用例等全部项目资料；对于需要POS机具或读卡器配合完成行业应用功能的，需提供POS机具或读卡器程序开发支持。对于卡片中的COS及虚拟机等有关功能软件，需要说明来源并给出不涉及软件产权问题的书面承诺。</w:t>
            </w:r>
          </w:p>
          <w:p w14:paraId="69317993">
            <w:pPr>
              <w:pStyle w:val="34"/>
              <w:rPr>
                <w:szCs w:val="21"/>
              </w:rPr>
            </w:pPr>
            <w:r>
              <w:rPr>
                <w:rFonts w:hint="eastAsia"/>
                <w:szCs w:val="21"/>
              </w:rPr>
              <w:t>9.4.2同时供应商具备独立COS开发能力且确保COS完全符合GP组织、VISA等制定的卡片安全规范，包括但不限于GP Specification, Visa GP Specification等，且卡片操作系统不含危及金融安全的漏洞、后门。对于因预留后门导致的安全问题，由响应人负责召回、赔偿采购人及其客户的损失。</w:t>
            </w:r>
          </w:p>
          <w:p w14:paraId="0390EFA9">
            <w:pPr>
              <w:pStyle w:val="34"/>
              <w:rPr>
                <w:szCs w:val="21"/>
              </w:rPr>
            </w:pPr>
            <w:r>
              <w:rPr>
                <w:szCs w:val="21"/>
              </w:rPr>
              <w:t>9</w:t>
            </w:r>
            <w:r>
              <w:rPr>
                <w:rFonts w:hint="eastAsia"/>
                <w:szCs w:val="21"/>
              </w:rPr>
              <w:t>.5</w:t>
            </w:r>
            <w:r>
              <w:rPr>
                <w:szCs w:val="21"/>
              </w:rPr>
              <w:t xml:space="preserve"> </w:t>
            </w:r>
            <w:r>
              <w:rPr>
                <w:rFonts w:hint="eastAsia"/>
                <w:szCs w:val="21"/>
              </w:rPr>
              <w:t>产品资质与认证，产品证书</w:t>
            </w:r>
          </w:p>
          <w:p w14:paraId="4CA42C9B">
            <w:pPr>
              <w:pStyle w:val="34"/>
              <w:rPr>
                <w:szCs w:val="21"/>
              </w:rPr>
            </w:pPr>
            <w:r>
              <w:rPr>
                <w:szCs w:val="21"/>
              </w:rPr>
              <w:t>9</w:t>
            </w:r>
            <w:r>
              <w:rPr>
                <w:rFonts w:hint="eastAsia"/>
                <w:szCs w:val="21"/>
              </w:rPr>
              <w:t>.5.1</w:t>
            </w:r>
            <w:r>
              <w:rPr>
                <w:szCs w:val="21"/>
              </w:rPr>
              <w:t xml:space="preserve"> </w:t>
            </w:r>
            <w:r>
              <w:rPr>
                <w:rFonts w:hint="eastAsia"/>
                <w:szCs w:val="21"/>
              </w:rPr>
              <w:t>响应人为采购人提供的所有类型的卡片型号必须通过权威认证机构（Visa、MasterCard和银行卡检测中心）的相关检测，获得权威认证机构所颁发的对应该卡片产品的证书，并指明是硬掩模还是软掩模产品。</w:t>
            </w:r>
            <w:r>
              <w:rPr>
                <w:szCs w:val="21"/>
              </w:rPr>
              <w:t>【提供</w:t>
            </w:r>
            <w:r>
              <w:rPr>
                <w:rFonts w:hint="eastAsia"/>
                <w:szCs w:val="21"/>
              </w:rPr>
              <w:t>产品资质与认证，产品证书</w:t>
            </w:r>
            <w:r>
              <w:rPr>
                <w:szCs w:val="21"/>
              </w:rPr>
              <w:t>证明文件复印件或扫描件】</w:t>
            </w:r>
          </w:p>
          <w:p w14:paraId="74168BB3">
            <w:pPr>
              <w:pStyle w:val="34"/>
              <w:rPr>
                <w:szCs w:val="21"/>
              </w:rPr>
            </w:pPr>
            <w:r>
              <w:rPr>
                <w:szCs w:val="21"/>
              </w:rPr>
              <w:t>9</w:t>
            </w:r>
            <w:r>
              <w:rPr>
                <w:rFonts w:hint="eastAsia"/>
                <w:szCs w:val="21"/>
              </w:rPr>
              <w:t>.5.</w:t>
            </w:r>
            <w:r>
              <w:rPr>
                <w:szCs w:val="21"/>
              </w:rPr>
              <w:t xml:space="preserve">2 </w:t>
            </w:r>
            <w:r>
              <w:rPr>
                <w:rFonts w:hint="eastAsia"/>
                <w:szCs w:val="21"/>
              </w:rPr>
              <w:t>PBOC电子现金应用要求完全符合PBOC最新规范标准关于电子现金规范。</w:t>
            </w:r>
            <w:r>
              <w:rPr>
                <w:szCs w:val="21"/>
              </w:rPr>
              <w:t>【提供</w:t>
            </w:r>
            <w:r>
              <w:rPr>
                <w:rFonts w:hint="eastAsia"/>
                <w:szCs w:val="21"/>
              </w:rPr>
              <w:t>产品资质与认证，产品证书</w:t>
            </w:r>
            <w:r>
              <w:rPr>
                <w:szCs w:val="21"/>
              </w:rPr>
              <w:t>证明文件复印件或扫描件】。</w:t>
            </w:r>
          </w:p>
          <w:p w14:paraId="2EED79C4">
            <w:pPr>
              <w:pStyle w:val="34"/>
              <w:rPr>
                <w:szCs w:val="21"/>
              </w:rPr>
            </w:pPr>
            <w:r>
              <w:rPr>
                <w:szCs w:val="21"/>
              </w:rPr>
              <w:t>9</w:t>
            </w:r>
            <w:r>
              <w:rPr>
                <w:rFonts w:hint="eastAsia"/>
                <w:szCs w:val="21"/>
              </w:rPr>
              <w:t>.5.</w:t>
            </w:r>
            <w:r>
              <w:rPr>
                <w:szCs w:val="21"/>
              </w:rPr>
              <w:t xml:space="preserve">3 </w:t>
            </w:r>
            <w:r>
              <w:rPr>
                <w:rFonts w:hint="eastAsia"/>
                <w:szCs w:val="21"/>
              </w:rPr>
              <w:t>PBOC借贷记应用要求完全符合PBOC最新规范标准关于借贷记部分的规范和基于借贷记的小额支付规范，具有非接触式界面的卡片应在非接触界面下符合借贷记与非接触式快捷支付（QPBOC）规范。</w:t>
            </w:r>
            <w:r>
              <w:rPr>
                <w:szCs w:val="21"/>
              </w:rPr>
              <w:t>【提供</w:t>
            </w:r>
            <w:r>
              <w:rPr>
                <w:rFonts w:hint="eastAsia"/>
                <w:szCs w:val="21"/>
              </w:rPr>
              <w:t>产品资质与认证，产品证书</w:t>
            </w:r>
            <w:r>
              <w:rPr>
                <w:szCs w:val="21"/>
              </w:rPr>
              <w:t>证明文件复印件或扫描件】。</w:t>
            </w:r>
          </w:p>
          <w:p w14:paraId="21873F2A">
            <w:pPr>
              <w:pStyle w:val="34"/>
              <w:rPr>
                <w:szCs w:val="21"/>
              </w:rPr>
            </w:pPr>
            <w:r>
              <w:rPr>
                <w:szCs w:val="21"/>
              </w:rPr>
              <w:t>9</w:t>
            </w:r>
            <w:r>
              <w:rPr>
                <w:rFonts w:hint="eastAsia"/>
                <w:szCs w:val="21"/>
              </w:rPr>
              <w:t>.5.</w:t>
            </w:r>
            <w:r>
              <w:rPr>
                <w:szCs w:val="21"/>
              </w:rPr>
              <w:t xml:space="preserve">4 </w:t>
            </w:r>
            <w:r>
              <w:rPr>
                <w:rFonts w:hint="eastAsia"/>
                <w:szCs w:val="21"/>
              </w:rPr>
              <w:t>MasterCard应用完全支持万事达组织的M/Chip Advance V3.0.1及Paypass规范及以上。</w:t>
            </w:r>
            <w:r>
              <w:rPr>
                <w:szCs w:val="21"/>
              </w:rPr>
              <w:t>【提供</w:t>
            </w:r>
            <w:r>
              <w:rPr>
                <w:rFonts w:hint="eastAsia"/>
                <w:szCs w:val="21"/>
              </w:rPr>
              <w:t>产品资质与认证，产品证书</w:t>
            </w:r>
            <w:r>
              <w:rPr>
                <w:szCs w:val="21"/>
              </w:rPr>
              <w:t>证明文件复印件或扫描件】</w:t>
            </w:r>
            <w:r>
              <w:rPr>
                <w:rFonts w:hint="eastAsia"/>
                <w:szCs w:val="21"/>
              </w:rPr>
              <w:t>。</w:t>
            </w:r>
          </w:p>
          <w:p w14:paraId="0E100F8C">
            <w:pPr>
              <w:pStyle w:val="34"/>
              <w:rPr>
                <w:szCs w:val="21"/>
              </w:rPr>
            </w:pPr>
            <w:r>
              <w:rPr>
                <w:szCs w:val="21"/>
              </w:rPr>
              <w:t>9</w:t>
            </w:r>
            <w:r>
              <w:rPr>
                <w:rFonts w:hint="eastAsia"/>
                <w:szCs w:val="21"/>
              </w:rPr>
              <w:t>.5.</w:t>
            </w:r>
            <w:r>
              <w:rPr>
                <w:szCs w:val="21"/>
              </w:rPr>
              <w:t xml:space="preserve">5 </w:t>
            </w:r>
            <w:r>
              <w:rPr>
                <w:rFonts w:hint="eastAsia"/>
                <w:szCs w:val="21"/>
              </w:rPr>
              <w:t>Visa应用完全支持维萨组织的VSDC 2.7.1及以上或VSD2.9以上规范。</w:t>
            </w:r>
            <w:r>
              <w:rPr>
                <w:szCs w:val="21"/>
              </w:rPr>
              <w:t>【提供</w:t>
            </w:r>
            <w:r>
              <w:rPr>
                <w:rFonts w:hint="eastAsia"/>
                <w:szCs w:val="21"/>
              </w:rPr>
              <w:t>产品资质与认证，产品证书</w:t>
            </w:r>
            <w:r>
              <w:rPr>
                <w:szCs w:val="21"/>
              </w:rPr>
              <w:t>证明文件复印件或扫描件】</w:t>
            </w:r>
            <w:r>
              <w:rPr>
                <w:rFonts w:hint="eastAsia"/>
                <w:szCs w:val="21"/>
              </w:rPr>
              <w:t>。</w:t>
            </w:r>
          </w:p>
          <w:p w14:paraId="0606F5D2">
            <w:pPr>
              <w:pStyle w:val="34"/>
              <w:rPr>
                <w:szCs w:val="21"/>
              </w:rPr>
            </w:pPr>
            <w:r>
              <w:rPr>
                <w:szCs w:val="21"/>
              </w:rPr>
              <w:t>9</w:t>
            </w:r>
            <w:r>
              <w:rPr>
                <w:rFonts w:hint="eastAsia"/>
                <w:szCs w:val="21"/>
              </w:rPr>
              <w:t>.5.</w:t>
            </w:r>
            <w:r>
              <w:rPr>
                <w:szCs w:val="21"/>
              </w:rPr>
              <w:t xml:space="preserve">6 </w:t>
            </w:r>
            <w:r>
              <w:rPr>
                <w:rFonts w:hint="eastAsia"/>
                <w:szCs w:val="21"/>
              </w:rPr>
              <w:t>响应人必须按照中国人民银行、中国银联、VISA、MASTER等国际组织的相关要求，制定严格的数字管理制度，对业务、设计、制版、工艺等部门的生产流程进行严格的规定，各工序制作人员应严格按照该制度执行。</w:t>
            </w:r>
          </w:p>
          <w:p w14:paraId="5E74A33A">
            <w:pPr>
              <w:pStyle w:val="34"/>
              <w:rPr>
                <w:szCs w:val="21"/>
              </w:rPr>
            </w:pPr>
            <w:r>
              <w:rPr>
                <w:szCs w:val="21"/>
              </w:rPr>
              <w:t>9</w:t>
            </w:r>
            <w:r>
              <w:rPr>
                <w:rFonts w:hint="eastAsia"/>
                <w:szCs w:val="21"/>
              </w:rPr>
              <w:t>.6</w:t>
            </w:r>
            <w:r>
              <w:rPr>
                <w:szCs w:val="21"/>
              </w:rPr>
              <w:t xml:space="preserve"> </w:t>
            </w:r>
            <w:r>
              <w:rPr>
                <w:rFonts w:hint="eastAsia"/>
                <w:szCs w:val="21"/>
              </w:rPr>
              <w:t>其他</w:t>
            </w:r>
          </w:p>
          <w:p w14:paraId="684AA65B">
            <w:pPr>
              <w:pStyle w:val="34"/>
              <w:rPr>
                <w:szCs w:val="21"/>
              </w:rPr>
            </w:pPr>
            <w:r>
              <w:rPr>
                <w:rFonts w:hint="eastAsia"/>
                <w:szCs w:val="21"/>
              </w:rPr>
              <w:t>如遇监管机构、卡组织的相关规范标准有更新的，采购人借据IC卡相关质量及技术标准也随其更新，响应人应按照最新标准为采购人提供借记卡空白卡及个人化服务。</w:t>
            </w:r>
          </w:p>
        </w:tc>
      </w:tr>
      <w:tr w14:paraId="4816E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31" w:type="dxa"/>
            <w:tcBorders>
              <w:top w:val="single" w:color="auto" w:sz="4" w:space="0"/>
              <w:left w:val="single" w:color="auto" w:sz="4" w:space="0"/>
              <w:bottom w:val="single" w:color="auto" w:sz="4" w:space="0"/>
              <w:right w:val="single" w:color="auto" w:sz="4" w:space="0"/>
            </w:tcBorders>
            <w:noWrap/>
            <w:vAlign w:val="center"/>
          </w:tcPr>
          <w:p w14:paraId="55CADE8A">
            <w:pPr>
              <w:pStyle w:val="34"/>
              <w:rPr>
                <w:szCs w:val="21"/>
              </w:rPr>
            </w:pPr>
            <w:r>
              <w:rPr>
                <w:rFonts w:hint="eastAsia"/>
                <w:szCs w:val="21"/>
              </w:rPr>
              <w:t>1</w:t>
            </w:r>
            <w:r>
              <w:rPr>
                <w:szCs w:val="21"/>
              </w:rPr>
              <w:t>0</w:t>
            </w:r>
          </w:p>
        </w:tc>
        <w:tc>
          <w:tcPr>
            <w:tcW w:w="1219" w:type="dxa"/>
            <w:tcBorders>
              <w:top w:val="single" w:color="auto" w:sz="4" w:space="0"/>
              <w:left w:val="single" w:color="auto" w:sz="4" w:space="0"/>
              <w:bottom w:val="single" w:color="auto" w:sz="4" w:space="0"/>
              <w:right w:val="single" w:color="auto" w:sz="4" w:space="0"/>
            </w:tcBorders>
            <w:noWrap/>
            <w:vAlign w:val="center"/>
          </w:tcPr>
          <w:p w14:paraId="44355025">
            <w:pPr>
              <w:pStyle w:val="34"/>
              <w:rPr>
                <w:szCs w:val="21"/>
              </w:rPr>
            </w:pPr>
            <w:r>
              <w:rPr>
                <w:rFonts w:hint="eastAsia"/>
                <w:szCs w:val="21"/>
              </w:rPr>
              <w:t>售后服务及技术支持</w:t>
            </w:r>
          </w:p>
        </w:tc>
        <w:tc>
          <w:tcPr>
            <w:tcW w:w="6245" w:type="dxa"/>
            <w:tcBorders>
              <w:top w:val="single" w:color="auto" w:sz="4" w:space="0"/>
              <w:left w:val="single" w:color="auto" w:sz="4" w:space="0"/>
              <w:bottom w:val="single" w:color="auto" w:sz="4" w:space="0"/>
              <w:right w:val="single" w:color="auto" w:sz="4" w:space="0"/>
            </w:tcBorders>
            <w:noWrap/>
            <w:vAlign w:val="center"/>
          </w:tcPr>
          <w:p w14:paraId="18001569">
            <w:pPr>
              <w:pStyle w:val="34"/>
              <w:rPr>
                <w:szCs w:val="21"/>
              </w:rPr>
            </w:pPr>
            <w:r>
              <w:rPr>
                <w:szCs w:val="21"/>
              </w:rPr>
              <w:t>10</w:t>
            </w:r>
            <w:r>
              <w:rPr>
                <w:rFonts w:hint="eastAsia"/>
                <w:szCs w:val="21"/>
              </w:rPr>
              <w:t>.1</w:t>
            </w:r>
            <w:r>
              <w:rPr>
                <w:szCs w:val="21"/>
              </w:rPr>
              <w:t xml:space="preserve"> </w:t>
            </w:r>
            <w:r>
              <w:rPr>
                <w:rFonts w:hint="eastAsia"/>
                <w:szCs w:val="21"/>
              </w:rPr>
              <w:t>响应人应设有西南区或重庆办事处，配备常驻人员及技术人员，并指定专门联系人做好售后服务和技术支持。</w:t>
            </w:r>
          </w:p>
          <w:p w14:paraId="1F804717">
            <w:pPr>
              <w:pStyle w:val="34"/>
              <w:rPr>
                <w:szCs w:val="21"/>
              </w:rPr>
            </w:pPr>
            <w:r>
              <w:rPr>
                <w:szCs w:val="21"/>
              </w:rPr>
              <w:t>10</w:t>
            </w:r>
            <w:r>
              <w:rPr>
                <w:rFonts w:hint="eastAsia"/>
                <w:szCs w:val="21"/>
              </w:rPr>
              <w:t>.2</w:t>
            </w:r>
            <w:r>
              <w:rPr>
                <w:szCs w:val="21"/>
              </w:rPr>
              <w:t xml:space="preserve"> </w:t>
            </w:r>
            <w:r>
              <w:rPr>
                <w:rFonts w:hint="eastAsia"/>
                <w:szCs w:val="21"/>
              </w:rPr>
              <w:t>如成品卡在正常使用中出现问题，响应人应在接到采购人反馈后的2小时内做出响应，并在48小时内对出现问题的产品进行全面的测试、分析，并在此期间向采购人提交正式的测试结果报告，同时做出妥善处理。</w:t>
            </w:r>
          </w:p>
          <w:p w14:paraId="2FB211BB">
            <w:pPr>
              <w:pStyle w:val="34"/>
              <w:rPr>
                <w:szCs w:val="21"/>
              </w:rPr>
            </w:pPr>
            <w:r>
              <w:rPr>
                <w:rFonts w:hint="eastAsia"/>
                <w:szCs w:val="21"/>
              </w:rPr>
              <w:t>1</w:t>
            </w:r>
            <w:r>
              <w:rPr>
                <w:szCs w:val="21"/>
              </w:rPr>
              <w:t>0</w:t>
            </w:r>
            <w:r>
              <w:rPr>
                <w:rFonts w:hint="eastAsia"/>
                <w:szCs w:val="21"/>
              </w:rPr>
              <w:t>.3</w:t>
            </w:r>
            <w:r>
              <w:rPr>
                <w:szCs w:val="21"/>
              </w:rPr>
              <w:t xml:space="preserve"> </w:t>
            </w:r>
            <w:r>
              <w:rPr>
                <w:rFonts w:hint="eastAsia"/>
                <w:szCs w:val="21"/>
              </w:rPr>
              <w:t>响应人应设有专人配合采购人进行订单核实、订单跟进、订单查询、空白卡管理、库存预警、费用结算及开票等相关服务。</w:t>
            </w:r>
          </w:p>
          <w:p w14:paraId="5C9C3F6B">
            <w:pPr>
              <w:pStyle w:val="34"/>
              <w:rPr>
                <w:szCs w:val="21"/>
              </w:rPr>
            </w:pPr>
            <w:r>
              <w:rPr>
                <w:rFonts w:hint="eastAsia"/>
                <w:szCs w:val="21"/>
              </w:rPr>
              <w:t>1</w:t>
            </w:r>
            <w:r>
              <w:rPr>
                <w:szCs w:val="21"/>
              </w:rPr>
              <w:t>0</w:t>
            </w:r>
            <w:r>
              <w:rPr>
                <w:rFonts w:hint="eastAsia"/>
                <w:szCs w:val="21"/>
              </w:rPr>
              <w:t>.4</w:t>
            </w:r>
            <w:r>
              <w:rPr>
                <w:szCs w:val="21"/>
              </w:rPr>
              <w:t xml:space="preserve"> </w:t>
            </w:r>
            <w:r>
              <w:rPr>
                <w:rFonts w:hint="eastAsia"/>
                <w:szCs w:val="21"/>
              </w:rPr>
              <w:t>响应人应设专人确认个人化数据，开发及测试个人化数据标准处理程序。</w:t>
            </w:r>
          </w:p>
          <w:p w14:paraId="0BEFE7DA">
            <w:pPr>
              <w:pStyle w:val="34"/>
              <w:rPr>
                <w:szCs w:val="21"/>
              </w:rPr>
            </w:pPr>
            <w:r>
              <w:rPr>
                <w:szCs w:val="21"/>
              </w:rPr>
              <w:t>10</w:t>
            </w:r>
            <w:r>
              <w:rPr>
                <w:rFonts w:hint="eastAsia"/>
                <w:szCs w:val="21"/>
              </w:rPr>
              <w:t>.5</w:t>
            </w:r>
            <w:r>
              <w:rPr>
                <w:szCs w:val="21"/>
              </w:rPr>
              <w:t xml:space="preserve"> </w:t>
            </w:r>
            <w:r>
              <w:rPr>
                <w:rFonts w:hint="eastAsia"/>
                <w:szCs w:val="21"/>
              </w:rPr>
              <w:t>响应人应根据采购人需要，即时提供测试人员配合采购人完成卡片相关测试。响应人测试人员要求专人专岗配合卡片测试工作，不可随意调换。原则上，同一自然年内常驻测试人员不超出1个月时间，差旅费用由响应人承担。</w:t>
            </w:r>
          </w:p>
        </w:tc>
      </w:tr>
      <w:tr w14:paraId="28E37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31" w:type="dxa"/>
            <w:tcBorders>
              <w:top w:val="single" w:color="auto" w:sz="4" w:space="0"/>
              <w:left w:val="single" w:color="auto" w:sz="4" w:space="0"/>
              <w:bottom w:val="single" w:color="auto" w:sz="4" w:space="0"/>
              <w:right w:val="single" w:color="auto" w:sz="4" w:space="0"/>
            </w:tcBorders>
            <w:noWrap/>
            <w:vAlign w:val="center"/>
          </w:tcPr>
          <w:p w14:paraId="3254D703">
            <w:pPr>
              <w:pStyle w:val="34"/>
              <w:rPr>
                <w:szCs w:val="21"/>
              </w:rPr>
            </w:pPr>
            <w:r>
              <w:rPr>
                <w:szCs w:val="21"/>
              </w:rPr>
              <w:t>11</w:t>
            </w:r>
          </w:p>
        </w:tc>
        <w:tc>
          <w:tcPr>
            <w:tcW w:w="1219" w:type="dxa"/>
            <w:tcBorders>
              <w:top w:val="single" w:color="auto" w:sz="4" w:space="0"/>
              <w:left w:val="single" w:color="auto" w:sz="4" w:space="0"/>
              <w:bottom w:val="single" w:color="auto" w:sz="4" w:space="0"/>
              <w:right w:val="single" w:color="auto" w:sz="4" w:space="0"/>
            </w:tcBorders>
            <w:noWrap/>
            <w:vAlign w:val="center"/>
          </w:tcPr>
          <w:p w14:paraId="5CECD648">
            <w:pPr>
              <w:pStyle w:val="34"/>
              <w:rPr>
                <w:szCs w:val="21"/>
              </w:rPr>
            </w:pPr>
            <w:r>
              <w:rPr>
                <w:rFonts w:hint="eastAsia"/>
                <w:szCs w:val="21"/>
              </w:rPr>
              <w:t>项目实施方案</w:t>
            </w:r>
          </w:p>
        </w:tc>
        <w:tc>
          <w:tcPr>
            <w:tcW w:w="6245" w:type="dxa"/>
            <w:tcBorders>
              <w:top w:val="single" w:color="auto" w:sz="4" w:space="0"/>
              <w:left w:val="single" w:color="auto" w:sz="4" w:space="0"/>
              <w:bottom w:val="single" w:color="auto" w:sz="4" w:space="0"/>
              <w:right w:val="single" w:color="auto" w:sz="4" w:space="0"/>
            </w:tcBorders>
            <w:noWrap/>
            <w:vAlign w:val="center"/>
          </w:tcPr>
          <w:p w14:paraId="510D0EB8">
            <w:pPr>
              <w:pStyle w:val="34"/>
              <w:rPr>
                <w:szCs w:val="21"/>
              </w:rPr>
            </w:pPr>
            <w:r>
              <w:rPr>
                <w:szCs w:val="21"/>
              </w:rPr>
              <w:t>11</w:t>
            </w:r>
            <w:r>
              <w:rPr>
                <w:rFonts w:hint="eastAsia"/>
                <w:szCs w:val="21"/>
              </w:rPr>
              <w:t>.1</w:t>
            </w:r>
            <w:r>
              <w:rPr>
                <w:szCs w:val="21"/>
              </w:rPr>
              <w:t xml:space="preserve"> </w:t>
            </w:r>
            <w:r>
              <w:rPr>
                <w:rFonts w:hint="eastAsia"/>
                <w:szCs w:val="21"/>
              </w:rPr>
              <w:t>响应人应制定本项目实施方案，方案内容应包括履行合同的时间计划、提交资料、人员安排、保密措施等内容。【提供项目实施方案】</w:t>
            </w:r>
          </w:p>
          <w:p w14:paraId="4525BCE3">
            <w:pPr>
              <w:pStyle w:val="34"/>
              <w:rPr>
                <w:szCs w:val="21"/>
              </w:rPr>
            </w:pPr>
            <w:r>
              <w:rPr>
                <w:szCs w:val="21"/>
              </w:rPr>
              <w:t>11</w:t>
            </w:r>
            <w:r>
              <w:rPr>
                <w:rFonts w:hint="eastAsia"/>
                <w:szCs w:val="21"/>
              </w:rPr>
              <w:t>.2</w:t>
            </w:r>
            <w:r>
              <w:rPr>
                <w:szCs w:val="21"/>
              </w:rPr>
              <w:t xml:space="preserve"> </w:t>
            </w:r>
            <w:r>
              <w:rPr>
                <w:rFonts w:hint="eastAsia"/>
                <w:szCs w:val="21"/>
              </w:rPr>
              <w:t>响应人应制定业务服务连续性应急预案，保障供货的连续性。【提供服务连续性预案】</w:t>
            </w:r>
          </w:p>
        </w:tc>
      </w:tr>
      <w:tr w14:paraId="6EF96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31" w:type="dxa"/>
            <w:tcBorders>
              <w:top w:val="single" w:color="auto" w:sz="4" w:space="0"/>
              <w:left w:val="single" w:color="auto" w:sz="4" w:space="0"/>
              <w:bottom w:val="single" w:color="auto" w:sz="4" w:space="0"/>
              <w:right w:val="single" w:color="auto" w:sz="4" w:space="0"/>
            </w:tcBorders>
            <w:noWrap/>
            <w:vAlign w:val="center"/>
          </w:tcPr>
          <w:p w14:paraId="5473310B">
            <w:pPr>
              <w:pStyle w:val="34"/>
              <w:rPr>
                <w:szCs w:val="21"/>
              </w:rPr>
            </w:pPr>
            <w:r>
              <w:rPr>
                <w:rFonts w:hint="eastAsia"/>
                <w:szCs w:val="21"/>
              </w:rPr>
              <w:t>1</w:t>
            </w:r>
            <w:r>
              <w:rPr>
                <w:szCs w:val="21"/>
              </w:rPr>
              <w:t>2</w:t>
            </w:r>
          </w:p>
        </w:tc>
        <w:tc>
          <w:tcPr>
            <w:tcW w:w="1219" w:type="dxa"/>
            <w:tcBorders>
              <w:top w:val="single" w:color="auto" w:sz="4" w:space="0"/>
              <w:left w:val="single" w:color="auto" w:sz="4" w:space="0"/>
              <w:bottom w:val="single" w:color="auto" w:sz="4" w:space="0"/>
              <w:right w:val="single" w:color="auto" w:sz="4" w:space="0"/>
            </w:tcBorders>
            <w:noWrap/>
            <w:vAlign w:val="center"/>
          </w:tcPr>
          <w:p w14:paraId="315F4E50">
            <w:pPr>
              <w:pStyle w:val="34"/>
              <w:rPr>
                <w:szCs w:val="21"/>
              </w:rPr>
            </w:pPr>
            <w:r>
              <w:rPr>
                <w:rFonts w:hint="eastAsia"/>
                <w:szCs w:val="21"/>
              </w:rPr>
              <w:t>付款方式</w:t>
            </w:r>
          </w:p>
        </w:tc>
        <w:tc>
          <w:tcPr>
            <w:tcW w:w="6245" w:type="dxa"/>
            <w:tcBorders>
              <w:top w:val="single" w:color="auto" w:sz="4" w:space="0"/>
              <w:left w:val="single" w:color="auto" w:sz="4" w:space="0"/>
              <w:bottom w:val="single" w:color="auto" w:sz="4" w:space="0"/>
              <w:right w:val="single" w:color="auto" w:sz="4" w:space="0"/>
            </w:tcBorders>
            <w:noWrap/>
            <w:vAlign w:val="center"/>
          </w:tcPr>
          <w:p w14:paraId="621C5542">
            <w:pPr>
              <w:pStyle w:val="34"/>
              <w:rPr>
                <w:szCs w:val="21"/>
              </w:rPr>
            </w:pPr>
            <w:r>
              <w:rPr>
                <w:rFonts w:hint="eastAsia"/>
                <w:szCs w:val="21"/>
              </w:rPr>
              <w:t>1</w:t>
            </w:r>
            <w:r>
              <w:rPr>
                <w:szCs w:val="21"/>
              </w:rPr>
              <w:t>2</w:t>
            </w:r>
            <w:r>
              <w:rPr>
                <w:rFonts w:hint="eastAsia"/>
                <w:szCs w:val="21"/>
              </w:rPr>
              <w:t>.1</w:t>
            </w:r>
            <w:r>
              <w:rPr>
                <w:szCs w:val="21"/>
              </w:rPr>
              <w:t xml:space="preserve"> </w:t>
            </w:r>
            <w:r>
              <w:rPr>
                <w:rFonts w:hint="eastAsia"/>
                <w:szCs w:val="21"/>
              </w:rPr>
              <w:t>采购费用每半年根据实际交货数量结算。响应人每半年提供一次申请付款清单，经双方核实无误后，由采购人通知响应人开具发票，并在收到发票后及时完成采购费用支付。</w:t>
            </w:r>
          </w:p>
          <w:p w14:paraId="607D0EA6">
            <w:pPr>
              <w:pStyle w:val="34"/>
              <w:rPr>
                <w:szCs w:val="21"/>
              </w:rPr>
            </w:pPr>
            <w:r>
              <w:rPr>
                <w:rFonts w:hint="eastAsia"/>
                <w:szCs w:val="21"/>
              </w:rPr>
              <w:t>1</w:t>
            </w:r>
            <w:r>
              <w:rPr>
                <w:szCs w:val="21"/>
              </w:rPr>
              <w:t>2</w:t>
            </w:r>
            <w:r>
              <w:rPr>
                <w:rFonts w:hint="eastAsia"/>
                <w:szCs w:val="21"/>
              </w:rPr>
              <w:t>.2</w:t>
            </w:r>
            <w:r>
              <w:rPr>
                <w:szCs w:val="21"/>
              </w:rPr>
              <w:t xml:space="preserve"> </w:t>
            </w:r>
            <w:r>
              <w:rPr>
                <w:rFonts w:hint="eastAsia"/>
                <w:szCs w:val="21"/>
              </w:rPr>
              <w:t>如特殊情况导致不能如期结算费用的，由响应人和采购人协商处理。</w:t>
            </w:r>
          </w:p>
        </w:tc>
      </w:tr>
      <w:tr w14:paraId="4EF8F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31" w:type="dxa"/>
            <w:tcBorders>
              <w:top w:val="single" w:color="auto" w:sz="4" w:space="0"/>
              <w:left w:val="single" w:color="auto" w:sz="4" w:space="0"/>
              <w:bottom w:val="single" w:color="auto" w:sz="4" w:space="0"/>
              <w:right w:val="single" w:color="auto" w:sz="4" w:space="0"/>
            </w:tcBorders>
            <w:noWrap/>
            <w:vAlign w:val="center"/>
          </w:tcPr>
          <w:p w14:paraId="031844F8">
            <w:pPr>
              <w:pStyle w:val="34"/>
              <w:rPr>
                <w:szCs w:val="21"/>
              </w:rPr>
            </w:pPr>
            <w:r>
              <w:rPr>
                <w:rFonts w:hint="eastAsia"/>
                <w:szCs w:val="21"/>
              </w:rPr>
              <w:t>1</w:t>
            </w:r>
            <w:r>
              <w:rPr>
                <w:szCs w:val="21"/>
              </w:rPr>
              <w:t>3</w:t>
            </w:r>
          </w:p>
        </w:tc>
        <w:tc>
          <w:tcPr>
            <w:tcW w:w="1219" w:type="dxa"/>
            <w:tcBorders>
              <w:top w:val="single" w:color="auto" w:sz="4" w:space="0"/>
              <w:left w:val="single" w:color="auto" w:sz="4" w:space="0"/>
              <w:bottom w:val="single" w:color="auto" w:sz="4" w:space="0"/>
              <w:right w:val="single" w:color="auto" w:sz="4" w:space="0"/>
            </w:tcBorders>
            <w:noWrap/>
            <w:vAlign w:val="center"/>
          </w:tcPr>
          <w:p w14:paraId="19AEAEF9">
            <w:pPr>
              <w:pStyle w:val="34"/>
              <w:rPr>
                <w:szCs w:val="21"/>
              </w:rPr>
            </w:pPr>
            <w:r>
              <w:rPr>
                <w:rFonts w:hint="eastAsia"/>
                <w:szCs w:val="21"/>
              </w:rPr>
              <w:t>保密条款</w:t>
            </w:r>
          </w:p>
        </w:tc>
        <w:tc>
          <w:tcPr>
            <w:tcW w:w="6245" w:type="dxa"/>
            <w:tcBorders>
              <w:top w:val="single" w:color="auto" w:sz="4" w:space="0"/>
              <w:left w:val="single" w:color="auto" w:sz="4" w:space="0"/>
              <w:bottom w:val="single" w:color="auto" w:sz="4" w:space="0"/>
              <w:right w:val="single" w:color="auto" w:sz="4" w:space="0"/>
            </w:tcBorders>
            <w:noWrap/>
            <w:vAlign w:val="center"/>
          </w:tcPr>
          <w:p w14:paraId="758DF6F2">
            <w:pPr>
              <w:pStyle w:val="34"/>
              <w:rPr>
                <w:szCs w:val="21"/>
              </w:rPr>
            </w:pPr>
            <w:r>
              <w:rPr>
                <w:rFonts w:hint="eastAsia"/>
                <w:szCs w:val="21"/>
              </w:rPr>
              <w:t>1</w:t>
            </w:r>
            <w:r>
              <w:rPr>
                <w:szCs w:val="21"/>
              </w:rPr>
              <w:t>3</w:t>
            </w:r>
            <w:r>
              <w:rPr>
                <w:rFonts w:hint="eastAsia"/>
                <w:szCs w:val="21"/>
              </w:rPr>
              <w:t>.1</w:t>
            </w:r>
            <w:r>
              <w:rPr>
                <w:szCs w:val="21"/>
              </w:rPr>
              <w:t xml:space="preserve"> </w:t>
            </w:r>
            <w:r>
              <w:rPr>
                <w:rFonts w:hint="eastAsia"/>
                <w:szCs w:val="21"/>
              </w:rPr>
              <w:t>保密范围</w:t>
            </w:r>
          </w:p>
          <w:p w14:paraId="09006873">
            <w:pPr>
              <w:pStyle w:val="34"/>
              <w:rPr>
                <w:szCs w:val="21"/>
              </w:rPr>
            </w:pPr>
            <w:r>
              <w:rPr>
                <w:rFonts w:hint="eastAsia"/>
                <w:szCs w:val="21"/>
              </w:rPr>
              <w:t>响应人在实施过程中接触到的采购人知识产权、卡数据信息、经营信息等予以保密。</w:t>
            </w:r>
          </w:p>
          <w:p w14:paraId="3CA30FFD">
            <w:pPr>
              <w:pStyle w:val="34"/>
              <w:rPr>
                <w:szCs w:val="21"/>
              </w:rPr>
            </w:pPr>
            <w:r>
              <w:rPr>
                <w:rFonts w:hint="eastAsia"/>
                <w:szCs w:val="21"/>
              </w:rPr>
              <w:t>1</w:t>
            </w:r>
            <w:r>
              <w:rPr>
                <w:szCs w:val="21"/>
              </w:rPr>
              <w:t>3</w:t>
            </w:r>
            <w:r>
              <w:rPr>
                <w:rFonts w:hint="eastAsia"/>
                <w:szCs w:val="21"/>
              </w:rPr>
              <w:t>.2</w:t>
            </w:r>
            <w:r>
              <w:rPr>
                <w:szCs w:val="21"/>
              </w:rPr>
              <w:t xml:space="preserve"> </w:t>
            </w:r>
            <w:r>
              <w:rPr>
                <w:rFonts w:hint="eastAsia"/>
                <w:szCs w:val="21"/>
              </w:rPr>
              <w:t>保密责任</w:t>
            </w:r>
          </w:p>
          <w:p w14:paraId="2401C833">
            <w:pPr>
              <w:pStyle w:val="34"/>
              <w:rPr>
                <w:szCs w:val="21"/>
              </w:rPr>
            </w:pPr>
            <w:r>
              <w:rPr>
                <w:rFonts w:hint="eastAsia"/>
                <w:szCs w:val="21"/>
              </w:rPr>
              <w:t>1</w:t>
            </w:r>
            <w:r>
              <w:rPr>
                <w:szCs w:val="21"/>
              </w:rPr>
              <w:t>3</w:t>
            </w:r>
            <w:r>
              <w:rPr>
                <w:rFonts w:hint="eastAsia"/>
                <w:szCs w:val="21"/>
              </w:rPr>
              <w:t>.2.1</w:t>
            </w:r>
            <w:r>
              <w:rPr>
                <w:szCs w:val="21"/>
              </w:rPr>
              <w:t xml:space="preserve"> </w:t>
            </w:r>
            <w:r>
              <w:rPr>
                <w:rFonts w:hint="eastAsia"/>
                <w:szCs w:val="21"/>
              </w:rPr>
              <w:t>双方互为保密资料的提供方和接受方，负有保密义务，承担保密责任。除经过双方书面同意，任何一方不得将有关内容提供给第三人。</w:t>
            </w:r>
          </w:p>
          <w:p w14:paraId="192656D5">
            <w:pPr>
              <w:pStyle w:val="34"/>
              <w:rPr>
                <w:szCs w:val="21"/>
              </w:rPr>
            </w:pPr>
            <w:r>
              <w:rPr>
                <w:rFonts w:hint="eastAsia"/>
                <w:szCs w:val="21"/>
              </w:rPr>
              <w:t>1</w:t>
            </w:r>
            <w:r>
              <w:rPr>
                <w:szCs w:val="21"/>
              </w:rPr>
              <w:t>3.</w:t>
            </w:r>
            <w:r>
              <w:rPr>
                <w:rFonts w:hint="eastAsia"/>
                <w:szCs w:val="21"/>
              </w:rPr>
              <w:t>2.2</w:t>
            </w:r>
            <w:r>
              <w:rPr>
                <w:szCs w:val="21"/>
              </w:rPr>
              <w:t xml:space="preserve"> </w:t>
            </w:r>
            <w:r>
              <w:rPr>
                <w:rFonts w:hint="eastAsia"/>
                <w:szCs w:val="21"/>
              </w:rPr>
              <w:t>整个采购及</w:t>
            </w:r>
            <w:r>
              <w:rPr>
                <w:szCs w:val="21"/>
              </w:rPr>
              <w:t>设计、</w:t>
            </w:r>
            <w:r>
              <w:rPr>
                <w:rFonts w:hint="eastAsia"/>
                <w:szCs w:val="21"/>
              </w:rPr>
              <w:t>生产</w:t>
            </w:r>
            <w:r>
              <w:rPr>
                <w:szCs w:val="21"/>
              </w:rPr>
              <w:t>、运输全</w:t>
            </w:r>
            <w:r>
              <w:rPr>
                <w:rFonts w:hint="eastAsia"/>
                <w:szCs w:val="21"/>
              </w:rPr>
              <w:t>过程中，响应人应妥善保管采购人借记IC卡空白卡及个人化的所有资料。由于响应人对采购人借记IC卡空白卡及个人化资料保管不善，而给采购人造成的损失由响应人承担。</w:t>
            </w:r>
          </w:p>
        </w:tc>
      </w:tr>
      <w:tr w14:paraId="3A9E6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31" w:type="dxa"/>
            <w:tcBorders>
              <w:top w:val="single" w:color="auto" w:sz="4" w:space="0"/>
              <w:left w:val="single" w:color="auto" w:sz="4" w:space="0"/>
              <w:bottom w:val="single" w:color="auto" w:sz="4" w:space="0"/>
              <w:right w:val="single" w:color="auto" w:sz="4" w:space="0"/>
            </w:tcBorders>
            <w:noWrap/>
            <w:vAlign w:val="center"/>
          </w:tcPr>
          <w:p w14:paraId="10E0B587">
            <w:pPr>
              <w:pStyle w:val="34"/>
              <w:rPr>
                <w:szCs w:val="21"/>
              </w:rPr>
            </w:pPr>
            <w:r>
              <w:rPr>
                <w:rFonts w:hint="eastAsia"/>
                <w:szCs w:val="21"/>
              </w:rPr>
              <w:t>1</w:t>
            </w:r>
            <w:r>
              <w:rPr>
                <w:szCs w:val="21"/>
              </w:rPr>
              <w:t>4</w:t>
            </w:r>
          </w:p>
        </w:tc>
        <w:tc>
          <w:tcPr>
            <w:tcW w:w="1219" w:type="dxa"/>
            <w:tcBorders>
              <w:top w:val="single" w:color="auto" w:sz="4" w:space="0"/>
              <w:left w:val="single" w:color="auto" w:sz="4" w:space="0"/>
              <w:bottom w:val="single" w:color="auto" w:sz="4" w:space="0"/>
              <w:right w:val="single" w:color="auto" w:sz="4" w:space="0"/>
            </w:tcBorders>
            <w:noWrap/>
            <w:vAlign w:val="center"/>
          </w:tcPr>
          <w:p w14:paraId="60A68EBE">
            <w:pPr>
              <w:pStyle w:val="34"/>
              <w:rPr>
                <w:szCs w:val="21"/>
              </w:rPr>
            </w:pPr>
            <w:r>
              <w:rPr>
                <w:rFonts w:hint="eastAsia"/>
                <w:szCs w:val="21"/>
              </w:rPr>
              <w:t>知识产权</w:t>
            </w:r>
          </w:p>
        </w:tc>
        <w:tc>
          <w:tcPr>
            <w:tcW w:w="6245" w:type="dxa"/>
            <w:tcBorders>
              <w:top w:val="single" w:color="auto" w:sz="4" w:space="0"/>
              <w:left w:val="single" w:color="auto" w:sz="4" w:space="0"/>
              <w:bottom w:val="single" w:color="auto" w:sz="4" w:space="0"/>
              <w:right w:val="single" w:color="auto" w:sz="4" w:space="0"/>
            </w:tcBorders>
            <w:noWrap/>
            <w:vAlign w:val="center"/>
          </w:tcPr>
          <w:p w14:paraId="60E5AA9F">
            <w:pPr>
              <w:pStyle w:val="34"/>
              <w:rPr>
                <w:szCs w:val="21"/>
              </w:rPr>
            </w:pPr>
            <w:r>
              <w:rPr>
                <w:rFonts w:hint="eastAsia"/>
                <w:szCs w:val="21"/>
              </w:rPr>
              <w:t>1</w:t>
            </w:r>
            <w:r>
              <w:rPr>
                <w:szCs w:val="21"/>
              </w:rPr>
              <w:t>4</w:t>
            </w:r>
            <w:r>
              <w:rPr>
                <w:rFonts w:hint="eastAsia"/>
                <w:szCs w:val="21"/>
              </w:rPr>
              <w:t>.1响应人提供的产品和服务以及在项目中用到的各种工具、产品、组件、文档不得侵犯采购方的知识产权和其他合法权益。不得侵犯采购人商誉，响应人未经采购人同意不得使用采购人合法所有的知识产权，由此造成的一切损失由响应人承担赔偿责任。如无特殊说明，本项目定制开发部分知识产权归采购人所有。</w:t>
            </w:r>
          </w:p>
          <w:p w14:paraId="1EAC7B91">
            <w:pPr>
              <w:pStyle w:val="34"/>
              <w:rPr>
                <w:szCs w:val="21"/>
              </w:rPr>
            </w:pPr>
            <w:r>
              <w:rPr>
                <w:rFonts w:hint="eastAsia"/>
                <w:szCs w:val="21"/>
              </w:rPr>
              <w:t>1</w:t>
            </w:r>
            <w:r>
              <w:rPr>
                <w:szCs w:val="21"/>
              </w:rPr>
              <w:t>4</w:t>
            </w:r>
            <w:r>
              <w:rPr>
                <w:rFonts w:hint="eastAsia"/>
                <w:szCs w:val="21"/>
              </w:rPr>
              <w:t>.2</w:t>
            </w:r>
            <w:r>
              <w:rPr>
                <w:szCs w:val="21"/>
              </w:rPr>
              <w:t xml:space="preserve"> </w:t>
            </w:r>
            <w:r>
              <w:rPr>
                <w:rFonts w:hint="eastAsia"/>
                <w:szCs w:val="21"/>
              </w:rPr>
              <w:t>采购人拥有名下所有卡片设计的知识产权，可自主使用或修改相关设计成果。</w:t>
            </w:r>
          </w:p>
          <w:p w14:paraId="39DE60CD">
            <w:pPr>
              <w:pStyle w:val="34"/>
              <w:rPr>
                <w:szCs w:val="21"/>
              </w:rPr>
            </w:pPr>
            <w:r>
              <w:rPr>
                <w:rFonts w:hint="eastAsia"/>
                <w:szCs w:val="21"/>
              </w:rPr>
              <w:t>1</w:t>
            </w:r>
            <w:r>
              <w:rPr>
                <w:szCs w:val="21"/>
              </w:rPr>
              <w:t>4</w:t>
            </w:r>
            <w:r>
              <w:rPr>
                <w:rFonts w:hint="eastAsia"/>
                <w:szCs w:val="21"/>
              </w:rPr>
              <w:t>.3</w:t>
            </w:r>
            <w:r>
              <w:rPr>
                <w:szCs w:val="21"/>
              </w:rPr>
              <w:t xml:space="preserve"> </w:t>
            </w:r>
            <w:r>
              <w:rPr>
                <w:rFonts w:hint="eastAsia"/>
                <w:szCs w:val="21"/>
              </w:rPr>
              <w:t>当采购人使用响应人提供的借记IC卡空白卡、借记IC卡个人化及相关服务时，响应人应确保采购人免受第三方提出的侵犯其专利权或其它知识产权的起诉。如果第三方提出侵权指控，响应人应承担由此产生的一切法律责任和费用。</w:t>
            </w:r>
          </w:p>
        </w:tc>
      </w:tr>
      <w:tr w14:paraId="31248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31" w:type="dxa"/>
            <w:tcBorders>
              <w:top w:val="single" w:color="auto" w:sz="4" w:space="0"/>
              <w:left w:val="single" w:color="auto" w:sz="4" w:space="0"/>
              <w:bottom w:val="single" w:color="auto" w:sz="4" w:space="0"/>
              <w:right w:val="single" w:color="auto" w:sz="4" w:space="0"/>
            </w:tcBorders>
            <w:noWrap/>
            <w:vAlign w:val="center"/>
          </w:tcPr>
          <w:p w14:paraId="33BB3016">
            <w:pPr>
              <w:pStyle w:val="34"/>
              <w:rPr>
                <w:szCs w:val="21"/>
              </w:rPr>
            </w:pPr>
            <w:r>
              <w:rPr>
                <w:rFonts w:hint="eastAsia"/>
                <w:szCs w:val="21"/>
              </w:rPr>
              <w:t>1</w:t>
            </w:r>
            <w:r>
              <w:rPr>
                <w:szCs w:val="21"/>
              </w:rPr>
              <w:t>5</w:t>
            </w:r>
          </w:p>
        </w:tc>
        <w:tc>
          <w:tcPr>
            <w:tcW w:w="1219" w:type="dxa"/>
            <w:tcBorders>
              <w:top w:val="single" w:color="auto" w:sz="4" w:space="0"/>
              <w:left w:val="single" w:color="auto" w:sz="4" w:space="0"/>
              <w:bottom w:val="single" w:color="auto" w:sz="4" w:space="0"/>
              <w:right w:val="single" w:color="auto" w:sz="4" w:space="0"/>
            </w:tcBorders>
            <w:noWrap/>
            <w:vAlign w:val="center"/>
          </w:tcPr>
          <w:p w14:paraId="03EA1EE2">
            <w:pPr>
              <w:pStyle w:val="34"/>
              <w:rPr>
                <w:szCs w:val="21"/>
              </w:rPr>
            </w:pPr>
            <w:r>
              <w:rPr>
                <w:rFonts w:hint="eastAsia"/>
                <w:szCs w:val="21"/>
              </w:rPr>
              <w:t>合约中止情况</w:t>
            </w:r>
          </w:p>
        </w:tc>
        <w:tc>
          <w:tcPr>
            <w:tcW w:w="6245" w:type="dxa"/>
            <w:tcBorders>
              <w:top w:val="single" w:color="auto" w:sz="4" w:space="0"/>
              <w:left w:val="single" w:color="auto" w:sz="4" w:space="0"/>
              <w:bottom w:val="single" w:color="auto" w:sz="4" w:space="0"/>
              <w:right w:val="single" w:color="auto" w:sz="4" w:space="0"/>
            </w:tcBorders>
            <w:noWrap/>
            <w:vAlign w:val="center"/>
          </w:tcPr>
          <w:p w14:paraId="00D416E2">
            <w:pPr>
              <w:pStyle w:val="34"/>
              <w:rPr>
                <w:szCs w:val="21"/>
              </w:rPr>
            </w:pPr>
            <w:r>
              <w:rPr>
                <w:rFonts w:hint="eastAsia"/>
                <w:szCs w:val="21"/>
              </w:rPr>
              <w:t>当响应人出现以下任意一种情况时，采购人有权单方面终止采购合同：</w:t>
            </w:r>
          </w:p>
          <w:p w14:paraId="6D6717D8">
            <w:pPr>
              <w:pStyle w:val="34"/>
              <w:rPr>
                <w:szCs w:val="21"/>
              </w:rPr>
            </w:pPr>
            <w:r>
              <w:rPr>
                <w:szCs w:val="21"/>
              </w:rPr>
              <w:t>15</w:t>
            </w:r>
            <w:r>
              <w:rPr>
                <w:rFonts w:hint="eastAsia"/>
                <w:szCs w:val="21"/>
              </w:rPr>
              <w:t>.1.采购人收到货品后，发现明显质量问题，经与响应人沟通仍不能解决。</w:t>
            </w:r>
          </w:p>
          <w:p w14:paraId="639BE0C4">
            <w:pPr>
              <w:pStyle w:val="34"/>
              <w:rPr>
                <w:szCs w:val="21"/>
              </w:rPr>
            </w:pPr>
            <w:r>
              <w:rPr>
                <w:rFonts w:hint="eastAsia"/>
                <w:szCs w:val="21"/>
              </w:rPr>
              <w:t>1</w:t>
            </w:r>
            <w:r>
              <w:rPr>
                <w:szCs w:val="21"/>
              </w:rPr>
              <w:t>5</w:t>
            </w:r>
            <w:r>
              <w:rPr>
                <w:rFonts w:hint="eastAsia"/>
                <w:szCs w:val="21"/>
              </w:rPr>
              <w:t>.</w:t>
            </w:r>
            <w:r>
              <w:rPr>
                <w:szCs w:val="21"/>
              </w:rPr>
              <w:t xml:space="preserve">2 </w:t>
            </w:r>
            <w:r>
              <w:rPr>
                <w:rFonts w:hint="eastAsia"/>
                <w:szCs w:val="21"/>
              </w:rPr>
              <w:t>响应人在收到采购人订单后，同一自然年内不能按期交货累计超过三次（含）。</w:t>
            </w:r>
          </w:p>
          <w:p w14:paraId="5FE0AF22">
            <w:pPr>
              <w:pStyle w:val="34"/>
              <w:rPr>
                <w:szCs w:val="21"/>
              </w:rPr>
            </w:pPr>
            <w:r>
              <w:rPr>
                <w:rFonts w:hint="eastAsia"/>
                <w:szCs w:val="21"/>
              </w:rPr>
              <w:t>1</w:t>
            </w:r>
            <w:r>
              <w:rPr>
                <w:szCs w:val="21"/>
              </w:rPr>
              <w:t>5</w:t>
            </w:r>
            <w:r>
              <w:rPr>
                <w:rFonts w:hint="eastAsia"/>
                <w:szCs w:val="21"/>
              </w:rPr>
              <w:t>.3</w:t>
            </w:r>
            <w:r>
              <w:rPr>
                <w:szCs w:val="21"/>
              </w:rPr>
              <w:t xml:space="preserve"> </w:t>
            </w:r>
            <w:r>
              <w:rPr>
                <w:rFonts w:hint="eastAsia"/>
                <w:szCs w:val="21"/>
              </w:rPr>
              <w:t>成品卡在使用过程中，短期内出现明显非人为质量问题或采购人收到相关投诉累计超过三次（含）。</w:t>
            </w:r>
          </w:p>
          <w:p w14:paraId="75016038">
            <w:pPr>
              <w:pStyle w:val="34"/>
              <w:rPr>
                <w:szCs w:val="21"/>
              </w:rPr>
            </w:pPr>
            <w:r>
              <w:rPr>
                <w:rFonts w:hint="eastAsia"/>
                <w:szCs w:val="21"/>
              </w:rPr>
              <w:t>1</w:t>
            </w:r>
            <w:r>
              <w:rPr>
                <w:szCs w:val="21"/>
              </w:rPr>
              <w:t>5</w:t>
            </w:r>
            <w:r>
              <w:rPr>
                <w:rFonts w:hint="eastAsia"/>
                <w:szCs w:val="21"/>
              </w:rPr>
              <w:t>.</w:t>
            </w:r>
            <w:r>
              <w:rPr>
                <w:szCs w:val="21"/>
              </w:rPr>
              <w:t>4</w:t>
            </w:r>
            <w:r>
              <w:rPr>
                <w:rFonts w:hint="eastAsia"/>
                <w:szCs w:val="21"/>
              </w:rPr>
              <w:t>.响应人如在信息安全和保密措施方面出现较大事故，对采购人声誉造成负面影响，采购人有权单方面终止合同并追究其责任。</w:t>
            </w:r>
          </w:p>
          <w:p w14:paraId="1CAC7947">
            <w:pPr>
              <w:pStyle w:val="34"/>
              <w:rPr>
                <w:szCs w:val="21"/>
              </w:rPr>
            </w:pPr>
            <w:r>
              <w:rPr>
                <w:rFonts w:hint="eastAsia"/>
                <w:szCs w:val="21"/>
              </w:rPr>
              <w:t>1</w:t>
            </w:r>
            <w:r>
              <w:rPr>
                <w:szCs w:val="21"/>
              </w:rPr>
              <w:t>5</w:t>
            </w:r>
            <w:r>
              <w:rPr>
                <w:rFonts w:hint="eastAsia"/>
                <w:szCs w:val="21"/>
              </w:rPr>
              <w:t>.5</w:t>
            </w:r>
            <w:r>
              <w:rPr>
                <w:szCs w:val="21"/>
              </w:rPr>
              <w:t xml:space="preserve"> </w:t>
            </w:r>
            <w:r>
              <w:rPr>
                <w:rFonts w:hint="eastAsia"/>
                <w:szCs w:val="21"/>
              </w:rPr>
              <w:t>响应人未按合同约定执行制卡、配送、保管等操作，累计超过三次（含）。</w:t>
            </w:r>
          </w:p>
          <w:p w14:paraId="068F363F">
            <w:pPr>
              <w:pStyle w:val="34"/>
              <w:rPr>
                <w:szCs w:val="21"/>
              </w:rPr>
            </w:pPr>
            <w:r>
              <w:rPr>
                <w:rFonts w:hint="eastAsia"/>
                <w:szCs w:val="21"/>
              </w:rPr>
              <w:t>1</w:t>
            </w:r>
            <w:r>
              <w:rPr>
                <w:szCs w:val="21"/>
              </w:rPr>
              <w:t>5</w:t>
            </w:r>
            <w:r>
              <w:rPr>
                <w:rFonts w:hint="eastAsia"/>
                <w:szCs w:val="21"/>
              </w:rPr>
              <w:t>.6</w:t>
            </w:r>
            <w:r>
              <w:rPr>
                <w:szCs w:val="21"/>
              </w:rPr>
              <w:t xml:space="preserve"> </w:t>
            </w:r>
            <w:r>
              <w:rPr>
                <w:rFonts w:hint="eastAsia"/>
                <w:szCs w:val="21"/>
              </w:rPr>
              <w:t>采购合同有效期内，如市价有下调，采购人有权要求合同价格同幅下调。否则采购人有权终止采购合同。</w:t>
            </w:r>
          </w:p>
          <w:p w14:paraId="55D2E3A1">
            <w:pPr>
              <w:pStyle w:val="34"/>
              <w:rPr>
                <w:szCs w:val="21"/>
              </w:rPr>
            </w:pPr>
            <w:r>
              <w:rPr>
                <w:rFonts w:hint="eastAsia"/>
                <w:szCs w:val="21"/>
              </w:rPr>
              <w:t>15.7</w:t>
            </w:r>
            <w:r>
              <w:rPr>
                <w:szCs w:val="21"/>
              </w:rPr>
              <w:t xml:space="preserve"> </w:t>
            </w:r>
            <w:r>
              <w:rPr>
                <w:rFonts w:hint="eastAsia"/>
                <w:szCs w:val="21"/>
              </w:rPr>
              <w:t>响应人将本项目进行转包、分包、委托他人制作或贴牌加工</w:t>
            </w:r>
            <w:r>
              <w:rPr>
                <w:szCs w:val="21"/>
              </w:rPr>
              <w:t>。</w:t>
            </w:r>
          </w:p>
          <w:p w14:paraId="773C4699">
            <w:pPr>
              <w:pStyle w:val="34"/>
              <w:rPr>
                <w:szCs w:val="21"/>
              </w:rPr>
            </w:pPr>
            <w:r>
              <w:rPr>
                <w:rFonts w:hint="eastAsia"/>
                <w:szCs w:val="21"/>
              </w:rPr>
              <w:t>1</w:t>
            </w:r>
            <w:r>
              <w:rPr>
                <w:szCs w:val="21"/>
              </w:rPr>
              <w:t xml:space="preserve">5.8 </w:t>
            </w:r>
            <w:r>
              <w:rPr>
                <w:rFonts w:hint="eastAsia"/>
                <w:szCs w:val="21"/>
              </w:rPr>
              <w:t>其他未尽事宜以合同中详细约定为准。</w:t>
            </w:r>
          </w:p>
        </w:tc>
      </w:tr>
      <w:tr w14:paraId="736EA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31" w:type="dxa"/>
            <w:tcBorders>
              <w:top w:val="single" w:color="auto" w:sz="4" w:space="0"/>
              <w:left w:val="single" w:color="auto" w:sz="4" w:space="0"/>
              <w:bottom w:val="single" w:color="auto" w:sz="4" w:space="0"/>
              <w:right w:val="single" w:color="auto" w:sz="4" w:space="0"/>
            </w:tcBorders>
            <w:noWrap/>
            <w:vAlign w:val="center"/>
          </w:tcPr>
          <w:p w14:paraId="2921817C">
            <w:pPr>
              <w:pStyle w:val="34"/>
              <w:rPr>
                <w:szCs w:val="21"/>
              </w:rPr>
            </w:pPr>
            <w:r>
              <w:rPr>
                <w:rFonts w:hint="eastAsia"/>
                <w:szCs w:val="21"/>
              </w:rPr>
              <w:t>1</w:t>
            </w:r>
            <w:r>
              <w:rPr>
                <w:szCs w:val="21"/>
              </w:rPr>
              <w:t>6</w:t>
            </w:r>
          </w:p>
        </w:tc>
        <w:tc>
          <w:tcPr>
            <w:tcW w:w="1219" w:type="dxa"/>
            <w:tcBorders>
              <w:top w:val="single" w:color="auto" w:sz="4" w:space="0"/>
              <w:left w:val="single" w:color="auto" w:sz="4" w:space="0"/>
              <w:bottom w:val="single" w:color="auto" w:sz="4" w:space="0"/>
              <w:right w:val="single" w:color="auto" w:sz="4" w:space="0"/>
            </w:tcBorders>
            <w:noWrap/>
            <w:vAlign w:val="center"/>
          </w:tcPr>
          <w:p w14:paraId="7DB71E19">
            <w:pPr>
              <w:pStyle w:val="34"/>
              <w:rPr>
                <w:szCs w:val="21"/>
              </w:rPr>
            </w:pPr>
            <w:r>
              <w:rPr>
                <w:rFonts w:hint="eastAsia"/>
                <w:szCs w:val="21"/>
              </w:rPr>
              <w:t>增值服务</w:t>
            </w:r>
          </w:p>
        </w:tc>
        <w:tc>
          <w:tcPr>
            <w:tcW w:w="6245" w:type="dxa"/>
            <w:tcBorders>
              <w:top w:val="single" w:color="auto" w:sz="4" w:space="0"/>
              <w:left w:val="single" w:color="auto" w:sz="4" w:space="0"/>
              <w:bottom w:val="single" w:color="auto" w:sz="4" w:space="0"/>
              <w:right w:val="single" w:color="auto" w:sz="4" w:space="0"/>
            </w:tcBorders>
            <w:noWrap/>
            <w:vAlign w:val="center"/>
          </w:tcPr>
          <w:p w14:paraId="0E70D9CA">
            <w:pPr>
              <w:pStyle w:val="34"/>
              <w:rPr>
                <w:szCs w:val="21"/>
              </w:rPr>
            </w:pPr>
            <w:r>
              <w:rPr>
                <w:rFonts w:hint="eastAsia"/>
                <w:szCs w:val="21"/>
              </w:rPr>
              <w:t>16.1 响应人应免费向采购人提供多样化的增值服务，如借记IC卡个人化数据测试、借记IC卡个人化技术支持、借记IC卡培训服务及行业最新动态分享等。</w:t>
            </w:r>
          </w:p>
          <w:p w14:paraId="5C006E9E">
            <w:pPr>
              <w:ind w:firstLine="0" w:firstLineChars="0"/>
              <w:rPr>
                <w:rFonts w:hint="eastAsia"/>
              </w:rPr>
            </w:pPr>
            <w:r>
              <w:rPr>
                <w:rFonts w:hint="eastAsia"/>
                <w:szCs w:val="21"/>
              </w:rPr>
              <w:t xml:space="preserve">16.2 </w:t>
            </w:r>
            <w:r>
              <w:rPr>
                <w:rFonts w:hint="eastAsia"/>
              </w:rPr>
              <w:t>响应人应为采购人在重庆（主城九区）提供免费银行卡销毁服务。</w:t>
            </w:r>
          </w:p>
        </w:tc>
      </w:tr>
      <w:tr w14:paraId="505EF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31" w:type="dxa"/>
            <w:tcBorders>
              <w:top w:val="single" w:color="auto" w:sz="4" w:space="0"/>
              <w:left w:val="single" w:color="auto" w:sz="4" w:space="0"/>
              <w:bottom w:val="single" w:color="auto" w:sz="4" w:space="0"/>
              <w:right w:val="single" w:color="auto" w:sz="4" w:space="0"/>
            </w:tcBorders>
            <w:noWrap/>
            <w:vAlign w:val="center"/>
          </w:tcPr>
          <w:p w14:paraId="0369A675">
            <w:pPr>
              <w:pStyle w:val="34"/>
              <w:rPr>
                <w:szCs w:val="21"/>
              </w:rPr>
            </w:pPr>
            <w:r>
              <w:rPr>
                <w:rFonts w:hint="eastAsia"/>
                <w:szCs w:val="21"/>
              </w:rPr>
              <w:t>17</w:t>
            </w:r>
          </w:p>
        </w:tc>
        <w:tc>
          <w:tcPr>
            <w:tcW w:w="1219" w:type="dxa"/>
            <w:tcBorders>
              <w:top w:val="single" w:color="auto" w:sz="4" w:space="0"/>
              <w:left w:val="single" w:color="auto" w:sz="4" w:space="0"/>
              <w:bottom w:val="single" w:color="auto" w:sz="4" w:space="0"/>
              <w:right w:val="single" w:color="auto" w:sz="4" w:space="0"/>
            </w:tcBorders>
            <w:noWrap/>
            <w:vAlign w:val="center"/>
          </w:tcPr>
          <w:p w14:paraId="68C0EED2">
            <w:pPr>
              <w:pStyle w:val="34"/>
              <w:rPr>
                <w:szCs w:val="21"/>
              </w:rPr>
            </w:pPr>
            <w:r>
              <w:rPr>
                <w:rFonts w:hint="eastAsia"/>
                <w:szCs w:val="21"/>
              </w:rPr>
              <w:t>其他</w:t>
            </w:r>
          </w:p>
        </w:tc>
        <w:tc>
          <w:tcPr>
            <w:tcW w:w="6245" w:type="dxa"/>
            <w:tcBorders>
              <w:top w:val="single" w:color="auto" w:sz="4" w:space="0"/>
              <w:left w:val="single" w:color="auto" w:sz="4" w:space="0"/>
              <w:bottom w:val="single" w:color="auto" w:sz="4" w:space="0"/>
              <w:right w:val="single" w:color="auto" w:sz="4" w:space="0"/>
            </w:tcBorders>
            <w:noWrap/>
            <w:vAlign w:val="center"/>
          </w:tcPr>
          <w:p w14:paraId="115FB5C0">
            <w:pPr>
              <w:pStyle w:val="34"/>
              <w:rPr>
                <w:szCs w:val="21"/>
              </w:rPr>
            </w:pPr>
            <w:r>
              <w:rPr>
                <w:rFonts w:hint="eastAsia"/>
                <w:szCs w:val="21"/>
              </w:rPr>
              <w:t>17.1</w:t>
            </w:r>
            <w:r>
              <w:rPr>
                <w:szCs w:val="21"/>
              </w:rPr>
              <w:t xml:space="preserve"> </w:t>
            </w:r>
            <w:r>
              <w:rPr>
                <w:rFonts w:hint="eastAsia"/>
                <w:szCs w:val="21"/>
              </w:rPr>
              <w:t>采购合同签订后，凡采购人要求响应人提供借记IC卡空白卡及个人化服务时，响应人均按采购合同所列明的价格、产品规格、包装、保险、运输、保密等条款遵照执行。</w:t>
            </w:r>
          </w:p>
          <w:p w14:paraId="34BC2D40">
            <w:pPr>
              <w:pStyle w:val="34"/>
              <w:rPr>
                <w:szCs w:val="21"/>
              </w:rPr>
            </w:pPr>
            <w:r>
              <w:rPr>
                <w:rFonts w:hint="eastAsia"/>
                <w:szCs w:val="21"/>
              </w:rPr>
              <w:t>17.2 各响应人须按要求提供样品用于评审</w:t>
            </w:r>
            <w:r>
              <w:rPr>
                <w:szCs w:val="21"/>
              </w:rPr>
              <w:t>。</w:t>
            </w:r>
            <w:r>
              <w:rPr>
                <w:rFonts w:hint="eastAsia"/>
                <w:szCs w:val="21"/>
              </w:rPr>
              <w:t>【提供样品】</w:t>
            </w:r>
          </w:p>
          <w:p w14:paraId="20131501">
            <w:pPr>
              <w:pStyle w:val="9"/>
              <w:ind w:firstLine="0" w:firstLineChars="0"/>
              <w:rPr>
                <w:rFonts w:hint="default" w:eastAsia="宋体"/>
                <w:lang w:val="en-US" w:eastAsia="zh-CN"/>
              </w:rPr>
            </w:pPr>
            <w:r>
              <w:rPr>
                <w:rFonts w:hint="eastAsia"/>
                <w:color w:val="000000"/>
              </w:rPr>
              <w:t>样品为重庆三峡银行金融IC卡普卡、金融IC卡金卡各1张的样卡及分别对应的彩印版设计稿件。</w:t>
            </w:r>
            <w:r>
              <w:rPr>
                <w:rFonts w:hint="eastAsia"/>
                <w:color w:val="000000"/>
                <w:lang w:val="en-US" w:eastAsia="zh-CN"/>
              </w:rPr>
              <w:t>样品随响应文件一同提交。</w:t>
            </w:r>
          </w:p>
          <w:p w14:paraId="0F36835E">
            <w:pPr>
              <w:pStyle w:val="34"/>
              <w:rPr>
                <w:szCs w:val="21"/>
              </w:rPr>
            </w:pPr>
            <w:r>
              <w:rPr>
                <w:rFonts w:hint="eastAsia"/>
                <w:szCs w:val="21"/>
              </w:rPr>
              <w:t>评审结束后响应人</w:t>
            </w:r>
            <w:r>
              <w:rPr>
                <w:szCs w:val="21"/>
              </w:rPr>
              <w:t>可自行取回。</w:t>
            </w:r>
            <w:r>
              <w:rPr>
                <w:rFonts w:hint="eastAsia"/>
                <w:szCs w:val="21"/>
              </w:rPr>
              <w:t>响应人未取回的，采购人有权自行处理。</w:t>
            </w:r>
          </w:p>
        </w:tc>
      </w:tr>
    </w:tbl>
    <w:p w14:paraId="3D5E4B9A">
      <w:pPr>
        <w:pStyle w:val="3"/>
      </w:pPr>
      <w:r>
        <w:rPr>
          <w:rFonts w:hint="eastAsia"/>
        </w:rPr>
        <w:t>5. 报价要求</w:t>
      </w:r>
    </w:p>
    <w:p w14:paraId="0AEE1E2C">
      <w:r>
        <w:rPr>
          <w:rFonts w:hint="eastAsia"/>
        </w:rPr>
        <w:t>响应人应严格按照《响应文件格式》</w:t>
      </w:r>
      <w:r>
        <w:t>的“报价一览表”</w:t>
      </w:r>
      <w:r>
        <w:rPr>
          <w:rFonts w:hint="eastAsia"/>
        </w:rPr>
        <w:t>的格式认真填写。</w:t>
      </w:r>
    </w:p>
    <w:p w14:paraId="3D1C7A77">
      <w:pPr>
        <w:pStyle w:val="3"/>
      </w:pPr>
      <w:bookmarkStart w:id="242" w:name="_Toc89675153"/>
      <w:bookmarkStart w:id="243" w:name="_Toc15059427"/>
      <w:r>
        <w:rPr>
          <w:rFonts w:hint="eastAsia"/>
        </w:rPr>
        <w:t>6. 其他</w:t>
      </w:r>
      <w:bookmarkEnd w:id="242"/>
      <w:bookmarkEnd w:id="243"/>
    </w:p>
    <w:p w14:paraId="4A413F84">
      <w:r>
        <w:rPr>
          <w:rFonts w:hint="eastAsia"/>
        </w:rPr>
        <w:t>（1）响应人必须在响应承诺函中对本章内容做出整体性响应和承诺，承诺内容必须达到本章及询比文件其他条款的要求。</w:t>
      </w:r>
    </w:p>
    <w:p w14:paraId="575C2E9F">
      <w:r>
        <w:rPr>
          <w:rFonts w:hint="eastAsia"/>
        </w:rPr>
        <w:t>（</w:t>
      </w:r>
      <w:r>
        <w:t>2</w:t>
      </w:r>
      <w:r>
        <w:rPr>
          <w:rFonts w:hint="eastAsia"/>
        </w:rPr>
        <w:t>）响应人应根据本章内容和要求，提供对应资料，无遗漏。</w:t>
      </w:r>
    </w:p>
    <w:p w14:paraId="45BC6EEB">
      <w:r>
        <w:rPr>
          <w:rFonts w:hint="eastAsia"/>
        </w:rPr>
        <w:t>（</w:t>
      </w:r>
      <w:r>
        <w:t>3</w:t>
      </w:r>
      <w:r>
        <w:rPr>
          <w:rFonts w:hint="eastAsia"/>
        </w:rPr>
        <w:t>）其他未尽事宜由供需双方在合同中详细约定。</w:t>
      </w:r>
    </w:p>
    <w:p w14:paraId="1CB67B25"/>
    <w:p w14:paraId="647F0AB2">
      <w:r>
        <w:rPr>
          <w:rFonts w:hint="eastAsia"/>
        </w:rPr>
        <w:br w:type="page"/>
      </w:r>
    </w:p>
    <w:p w14:paraId="77D3E4B4">
      <w:pPr>
        <w:pStyle w:val="2"/>
      </w:pPr>
      <w:bookmarkStart w:id="244" w:name="_Toc303066034"/>
      <w:bookmarkStart w:id="245" w:name="_Toc89675170"/>
      <w:bookmarkStart w:id="246" w:name="_Toc28001"/>
      <w:bookmarkStart w:id="247" w:name="_Toc12381"/>
      <w:r>
        <w:rPr>
          <w:rFonts w:hint="eastAsia"/>
        </w:rPr>
        <w:t xml:space="preserve">第六章 </w:t>
      </w:r>
      <w:bookmarkEnd w:id="244"/>
      <w:bookmarkEnd w:id="245"/>
      <w:bookmarkStart w:id="248" w:name="_Toc303066035"/>
      <w:r>
        <w:rPr>
          <w:rFonts w:hint="eastAsia"/>
        </w:rPr>
        <w:t>响应文件格式</w:t>
      </w:r>
      <w:bookmarkEnd w:id="246"/>
      <w:bookmarkEnd w:id="247"/>
    </w:p>
    <w:bookmarkEnd w:id="248"/>
    <w:p w14:paraId="79E6FF44">
      <w:pPr>
        <w:tabs>
          <w:tab w:val="left" w:pos="6516"/>
        </w:tabs>
        <w:adjustRightInd w:val="0"/>
        <w:snapToGrid w:val="0"/>
        <w:ind w:firstLine="0" w:firstLineChars="0"/>
        <w:rPr>
          <w:rFonts w:hint="eastAsia" w:ascii="宋体" w:hAnsi="宋体"/>
          <w:b/>
          <w:kern w:val="0"/>
          <w:u w:val="single"/>
        </w:rPr>
      </w:pPr>
    </w:p>
    <w:p w14:paraId="2F972E86">
      <w:pPr>
        <w:tabs>
          <w:tab w:val="left" w:pos="6516"/>
        </w:tabs>
        <w:adjustRightInd w:val="0"/>
        <w:snapToGrid w:val="0"/>
        <w:ind w:firstLine="0" w:firstLineChars="0"/>
        <w:jc w:val="center"/>
        <w:rPr>
          <w:rFonts w:hint="eastAsia" w:ascii="宋体" w:hAnsi="宋体"/>
          <w:b/>
          <w:kern w:val="0"/>
          <w:u w:val="single"/>
        </w:rPr>
      </w:pPr>
    </w:p>
    <w:p w14:paraId="5F51DE6B">
      <w:pPr>
        <w:tabs>
          <w:tab w:val="left" w:pos="6516"/>
        </w:tabs>
        <w:adjustRightInd w:val="0"/>
        <w:snapToGrid w:val="0"/>
        <w:ind w:firstLine="0" w:firstLineChars="0"/>
        <w:jc w:val="center"/>
        <w:rPr>
          <w:rFonts w:hint="eastAsia" w:ascii="宋体" w:hAnsi="宋体"/>
          <w:b/>
          <w:kern w:val="0"/>
          <w:u w:val="single"/>
        </w:rPr>
      </w:pPr>
    </w:p>
    <w:p w14:paraId="3E7DFC01">
      <w:pPr>
        <w:pStyle w:val="40"/>
      </w:pPr>
      <w:r>
        <w:rPr>
          <w:rFonts w:hint="eastAsia"/>
        </w:rPr>
        <w:t>重庆三峡银行金融借记IC卡空白卡及个人化采购项目</w:t>
      </w:r>
    </w:p>
    <w:p w14:paraId="2AEBF0FD"/>
    <w:p w14:paraId="1A395FFC"/>
    <w:p w14:paraId="38FD79CC"/>
    <w:p w14:paraId="2EA5EEAC"/>
    <w:p w14:paraId="5C80E8A0"/>
    <w:p w14:paraId="4680D2DF"/>
    <w:p w14:paraId="4EE3805C">
      <w:pPr>
        <w:pStyle w:val="41"/>
      </w:pPr>
      <w:r>
        <w:rPr>
          <w:rFonts w:hint="eastAsia"/>
        </w:rPr>
        <w:t>响  应  文  件</w:t>
      </w:r>
    </w:p>
    <w:p w14:paraId="02F7E8CC"/>
    <w:p w14:paraId="4D38138D"/>
    <w:p w14:paraId="5FA3594C"/>
    <w:p w14:paraId="2D537111"/>
    <w:p w14:paraId="396E9E51"/>
    <w:p w14:paraId="2DB9B588"/>
    <w:p w14:paraId="3198ADF4">
      <w:pPr>
        <w:ind w:firstLine="0" w:firstLineChars="0"/>
        <w:jc w:val="center"/>
      </w:pPr>
      <w:r>
        <w:rPr>
          <w:rFonts w:hint="eastAsia"/>
        </w:rPr>
        <w:t>响应人：</w:t>
      </w:r>
      <w:r>
        <w:rPr>
          <w:rFonts w:hint="eastAsia"/>
          <w:u w:val="single"/>
        </w:rPr>
        <w:t xml:space="preserve">                （盖单位公章）</w:t>
      </w:r>
    </w:p>
    <w:p w14:paraId="6E44CDDA">
      <w:pPr>
        <w:ind w:firstLine="0" w:firstLineChars="0"/>
        <w:jc w:val="center"/>
      </w:pP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14:paraId="2E37BB0B"/>
    <w:p w14:paraId="7678804D"/>
    <w:p w14:paraId="7356713A"/>
    <w:p w14:paraId="1E27474A">
      <w:pPr>
        <w:sectPr>
          <w:pgSz w:w="11906" w:h="16838"/>
          <w:pgMar w:top="1440" w:right="1800" w:bottom="1440" w:left="1800" w:header="851" w:footer="992" w:gutter="0"/>
          <w:cols w:space="720" w:num="1"/>
          <w:docGrid w:type="lines" w:linePitch="312" w:charSpace="0"/>
        </w:sectPr>
      </w:pPr>
    </w:p>
    <w:p w14:paraId="78358ECC">
      <w:pPr>
        <w:tabs>
          <w:tab w:val="left" w:pos="6300"/>
        </w:tabs>
        <w:snapToGrid w:val="0"/>
        <w:ind w:firstLine="0" w:firstLineChars="0"/>
        <w:jc w:val="center"/>
        <w:outlineLvl w:val="1"/>
        <w:rPr>
          <w:rFonts w:ascii="宋体"/>
          <w:b/>
          <w:snapToGrid w:val="0"/>
          <w:kern w:val="0"/>
          <w:sz w:val="36"/>
          <w:szCs w:val="28"/>
        </w:rPr>
      </w:pPr>
      <w:r>
        <w:rPr>
          <w:rFonts w:hint="eastAsia" w:ascii="宋体"/>
          <w:b/>
          <w:snapToGrid w:val="0"/>
          <w:kern w:val="0"/>
          <w:sz w:val="36"/>
          <w:szCs w:val="28"/>
        </w:rPr>
        <w:t>目  录</w:t>
      </w:r>
    </w:p>
    <w:p w14:paraId="641931D9">
      <w:pPr>
        <w:widowControl/>
        <w:autoSpaceDE/>
        <w:autoSpaceDN/>
        <w:spacing w:line="240" w:lineRule="auto"/>
        <w:ind w:firstLine="0" w:firstLineChars="0"/>
        <w:jc w:val="left"/>
      </w:pPr>
      <w:r>
        <w:rPr>
          <w:rFonts w:hint="eastAsia"/>
        </w:rPr>
        <w:t>一、响应函</w:t>
      </w:r>
    </w:p>
    <w:p w14:paraId="0924D722">
      <w:pPr>
        <w:widowControl/>
        <w:autoSpaceDE/>
        <w:autoSpaceDN/>
        <w:spacing w:line="240" w:lineRule="auto"/>
        <w:ind w:firstLine="0" w:firstLineChars="0"/>
        <w:jc w:val="left"/>
      </w:pPr>
      <w:r>
        <w:rPr>
          <w:rFonts w:hint="eastAsia"/>
        </w:rPr>
        <w:t>二、费用清单一览表文件</w:t>
      </w:r>
    </w:p>
    <w:p w14:paraId="7E7A1AC4">
      <w:pPr>
        <w:widowControl/>
        <w:autoSpaceDE/>
        <w:autoSpaceDN/>
        <w:spacing w:line="240" w:lineRule="auto"/>
        <w:ind w:firstLine="420" w:firstLineChars="0"/>
        <w:jc w:val="left"/>
      </w:pPr>
      <w:r>
        <w:rPr>
          <w:rFonts w:hint="eastAsia"/>
        </w:rPr>
        <w:t>（一）报价一览表</w:t>
      </w:r>
    </w:p>
    <w:p w14:paraId="57EA1F08">
      <w:pPr>
        <w:widowControl/>
        <w:autoSpaceDE/>
        <w:autoSpaceDN/>
        <w:spacing w:line="240" w:lineRule="auto"/>
        <w:ind w:firstLine="0" w:firstLineChars="0"/>
        <w:jc w:val="left"/>
      </w:pPr>
      <w:r>
        <w:rPr>
          <w:rFonts w:hint="eastAsia"/>
        </w:rPr>
        <w:t>三、法定代表人身份证明或授权委托书文件</w:t>
      </w:r>
    </w:p>
    <w:p w14:paraId="2EF32A0C">
      <w:pPr>
        <w:widowControl/>
        <w:autoSpaceDE/>
        <w:autoSpaceDN/>
        <w:spacing w:line="240" w:lineRule="auto"/>
        <w:ind w:firstLine="420" w:firstLineChars="0"/>
        <w:jc w:val="left"/>
      </w:pPr>
      <w:r>
        <w:rPr>
          <w:rFonts w:hint="eastAsia"/>
        </w:rPr>
        <w:t>（一）法定代表人身份证明及授权委托书（无分支机构）（如有）</w:t>
      </w:r>
    </w:p>
    <w:p w14:paraId="1AA29A07">
      <w:pPr>
        <w:widowControl/>
        <w:autoSpaceDE/>
        <w:autoSpaceDN/>
        <w:spacing w:line="240" w:lineRule="auto"/>
        <w:ind w:firstLine="420" w:firstLineChars="0"/>
        <w:jc w:val="left"/>
      </w:pPr>
      <w:r>
        <w:rPr>
          <w:rFonts w:hint="eastAsia"/>
        </w:rPr>
        <w:t>（二）授权委托书（如有）</w:t>
      </w:r>
    </w:p>
    <w:p w14:paraId="0245E00E">
      <w:pPr>
        <w:widowControl/>
        <w:autoSpaceDE/>
        <w:autoSpaceDN/>
        <w:spacing w:line="240" w:lineRule="auto"/>
        <w:ind w:firstLine="0" w:firstLineChars="0"/>
        <w:jc w:val="left"/>
      </w:pPr>
      <w:r>
        <w:rPr>
          <w:rFonts w:hint="eastAsia"/>
        </w:rPr>
        <w:t>四、商务部分文件</w:t>
      </w:r>
    </w:p>
    <w:p w14:paraId="01A8BEF9">
      <w:pPr>
        <w:widowControl/>
        <w:autoSpaceDE/>
        <w:autoSpaceDN/>
        <w:spacing w:line="240" w:lineRule="auto"/>
        <w:ind w:firstLine="0" w:firstLineChars="0"/>
        <w:jc w:val="left"/>
      </w:pPr>
      <w:r>
        <w:rPr>
          <w:rFonts w:hint="eastAsia"/>
        </w:rPr>
        <w:t>五、技术部分文件</w:t>
      </w:r>
    </w:p>
    <w:p w14:paraId="6923A5D1">
      <w:pPr>
        <w:widowControl/>
        <w:autoSpaceDE/>
        <w:autoSpaceDN/>
        <w:spacing w:line="240" w:lineRule="auto"/>
        <w:ind w:firstLine="0" w:firstLineChars="0"/>
        <w:jc w:val="left"/>
      </w:pPr>
      <w:r>
        <w:rPr>
          <w:rFonts w:hint="eastAsia"/>
        </w:rPr>
        <w:t>六、资格审查资料</w:t>
      </w:r>
    </w:p>
    <w:p w14:paraId="21FADC63">
      <w:pPr>
        <w:widowControl/>
        <w:autoSpaceDE/>
        <w:autoSpaceDN/>
        <w:spacing w:line="240" w:lineRule="auto"/>
        <w:ind w:firstLine="420" w:firstLineChars="0"/>
        <w:jc w:val="left"/>
      </w:pPr>
      <w:r>
        <w:rPr>
          <w:rFonts w:hint="eastAsia"/>
        </w:rPr>
        <w:t>（一）响应承诺函</w:t>
      </w:r>
    </w:p>
    <w:p w14:paraId="5B121925">
      <w:pPr>
        <w:widowControl/>
        <w:autoSpaceDE/>
        <w:autoSpaceDN/>
        <w:spacing w:line="240" w:lineRule="auto"/>
        <w:ind w:firstLine="420" w:firstLineChars="0"/>
        <w:jc w:val="left"/>
      </w:pPr>
      <w:r>
        <w:rPr>
          <w:rFonts w:hint="eastAsia"/>
        </w:rPr>
        <w:t>（二）响应人基本情况介绍，资质证明等</w:t>
      </w:r>
    </w:p>
    <w:p w14:paraId="1E86BA3E">
      <w:pPr>
        <w:widowControl/>
        <w:autoSpaceDE/>
        <w:autoSpaceDN/>
        <w:spacing w:line="240" w:lineRule="auto"/>
        <w:ind w:firstLine="420" w:firstLineChars="0"/>
        <w:jc w:val="left"/>
      </w:pPr>
      <w:r>
        <w:rPr>
          <w:rFonts w:hint="eastAsia"/>
        </w:rPr>
        <w:t>（三）书面声明</w:t>
      </w:r>
    </w:p>
    <w:p w14:paraId="56565EEE">
      <w:pPr>
        <w:widowControl/>
        <w:autoSpaceDE/>
        <w:autoSpaceDN/>
        <w:spacing w:line="240" w:lineRule="auto"/>
        <w:ind w:firstLine="420" w:firstLineChars="0"/>
        <w:jc w:val="left"/>
      </w:pPr>
      <w:r>
        <w:rPr>
          <w:rFonts w:hint="eastAsia"/>
        </w:rPr>
        <w:t>（四）中国执行信息公开网截图</w:t>
      </w:r>
    </w:p>
    <w:p w14:paraId="7B575ED1">
      <w:pPr>
        <w:widowControl/>
        <w:autoSpaceDE/>
        <w:autoSpaceDN/>
        <w:spacing w:line="240" w:lineRule="auto"/>
        <w:ind w:firstLine="420" w:firstLineChars="0"/>
        <w:jc w:val="left"/>
      </w:pPr>
      <w:r>
        <w:rPr>
          <w:rFonts w:hint="eastAsia"/>
        </w:rPr>
        <w:t>（五）证明文件复印件或扫描件</w:t>
      </w:r>
    </w:p>
    <w:p w14:paraId="6D5F2379">
      <w:pPr>
        <w:widowControl/>
        <w:autoSpaceDE/>
        <w:autoSpaceDN/>
        <w:spacing w:line="240" w:lineRule="auto"/>
        <w:ind w:firstLine="420" w:firstLineChars="0"/>
        <w:jc w:val="left"/>
      </w:pPr>
      <w:r>
        <w:rPr>
          <w:rFonts w:hint="eastAsia"/>
        </w:rPr>
        <w:t>（六）售后服务书面承诺函</w:t>
      </w:r>
    </w:p>
    <w:p w14:paraId="45C64891">
      <w:pPr>
        <w:widowControl/>
        <w:autoSpaceDE/>
        <w:autoSpaceDN/>
        <w:spacing w:line="240" w:lineRule="auto"/>
        <w:ind w:firstLine="420" w:firstLineChars="0"/>
        <w:jc w:val="left"/>
      </w:pPr>
      <w:r>
        <w:rPr>
          <w:rFonts w:hint="eastAsia"/>
        </w:rPr>
        <w:t>（七）项目案例和业绩证明文件复印件</w:t>
      </w:r>
    </w:p>
    <w:p w14:paraId="2042B235">
      <w:pPr>
        <w:widowControl/>
        <w:autoSpaceDE/>
        <w:autoSpaceDN/>
        <w:spacing w:line="240" w:lineRule="auto"/>
        <w:ind w:firstLine="420" w:firstLineChars="0"/>
        <w:jc w:val="left"/>
      </w:pPr>
      <w:r>
        <w:rPr>
          <w:rFonts w:hint="eastAsia"/>
        </w:rPr>
        <w:t>（八）产品资质与认证，产品证书证明文件复印件或扫描件</w:t>
      </w:r>
    </w:p>
    <w:p w14:paraId="5C49E955">
      <w:pPr>
        <w:widowControl/>
        <w:autoSpaceDE/>
        <w:autoSpaceDN/>
        <w:spacing w:line="240" w:lineRule="auto"/>
        <w:ind w:firstLine="420" w:firstLineChars="0"/>
        <w:jc w:val="left"/>
      </w:pPr>
      <w:r>
        <w:rPr>
          <w:rFonts w:hint="eastAsia"/>
        </w:rPr>
        <w:t>（九）项目实施方案</w:t>
      </w:r>
    </w:p>
    <w:p w14:paraId="5EFFD07C">
      <w:pPr>
        <w:widowControl/>
        <w:autoSpaceDE/>
        <w:autoSpaceDN/>
        <w:spacing w:line="240" w:lineRule="auto"/>
        <w:ind w:firstLine="420" w:firstLineChars="0"/>
        <w:jc w:val="left"/>
      </w:pPr>
      <w:r>
        <w:rPr>
          <w:rFonts w:hint="eastAsia"/>
        </w:rPr>
        <w:t>（十）服务连续性预案</w:t>
      </w:r>
    </w:p>
    <w:p w14:paraId="71B8E909">
      <w:pPr>
        <w:widowControl/>
        <w:autoSpaceDE/>
        <w:autoSpaceDN/>
        <w:spacing w:line="240" w:lineRule="auto"/>
        <w:ind w:firstLine="420" w:firstLineChars="0"/>
        <w:jc w:val="left"/>
      </w:pPr>
      <w:r>
        <w:rPr>
          <w:rFonts w:hint="eastAsia"/>
        </w:rPr>
        <w:t>（十一）其他（如有）</w:t>
      </w:r>
    </w:p>
    <w:p w14:paraId="1E9D6F61">
      <w:pPr>
        <w:widowControl/>
        <w:autoSpaceDE/>
        <w:autoSpaceDN/>
        <w:spacing w:line="240" w:lineRule="auto"/>
        <w:ind w:firstLine="0" w:firstLineChars="0"/>
        <w:jc w:val="left"/>
      </w:pPr>
    </w:p>
    <w:p w14:paraId="30831C8C">
      <w:pPr>
        <w:widowControl/>
        <w:autoSpaceDE/>
        <w:autoSpaceDN/>
        <w:spacing w:line="240" w:lineRule="auto"/>
        <w:ind w:firstLine="0" w:firstLineChars="0"/>
        <w:jc w:val="left"/>
      </w:pPr>
    </w:p>
    <w:p w14:paraId="0E7A3A6B">
      <w:pPr>
        <w:widowControl/>
        <w:autoSpaceDE/>
        <w:autoSpaceDN/>
        <w:spacing w:line="240" w:lineRule="auto"/>
        <w:ind w:firstLine="0" w:firstLineChars="0"/>
        <w:jc w:val="left"/>
      </w:pPr>
      <w:r>
        <w:rPr>
          <w:rFonts w:hint="eastAsia"/>
        </w:rPr>
        <w:br w:type="page"/>
      </w:r>
    </w:p>
    <w:p w14:paraId="69490D81">
      <w:pPr>
        <w:pStyle w:val="32"/>
      </w:pPr>
      <w:r>
        <w:rPr>
          <w:rFonts w:hint="eastAsia"/>
        </w:rPr>
        <w:t>一、响应函</w:t>
      </w:r>
    </w:p>
    <w:p w14:paraId="0CE0E590"/>
    <w:p w14:paraId="0E1C22F5">
      <w:pPr>
        <w:ind w:firstLine="0" w:firstLineChars="0"/>
      </w:pPr>
      <w:r>
        <w:rPr>
          <w:rFonts w:hint="eastAsia"/>
        </w:rPr>
        <w:t>重庆三峡银行股份有限公司：</w:t>
      </w:r>
    </w:p>
    <w:p w14:paraId="788BEACF">
      <w:r>
        <w:rPr>
          <w:rFonts w:hint="eastAsia"/>
        </w:rPr>
        <w:t>我方收到</w:t>
      </w:r>
      <w:r>
        <w:rPr>
          <w:rFonts w:hint="eastAsia"/>
          <w:u w:val="single"/>
        </w:rPr>
        <w:t xml:space="preserve"> </w:t>
      </w:r>
      <w:r>
        <w:rPr>
          <w:rFonts w:hint="eastAsia"/>
          <w:szCs w:val="21"/>
          <w:u w:val="single"/>
        </w:rPr>
        <w:t>重庆三峡银行金融借记IC卡空白卡及个人化采购项目</w:t>
      </w:r>
      <w:r>
        <w:rPr>
          <w:rFonts w:hint="eastAsia"/>
        </w:rPr>
        <w:t>（项目名称）询比文件，经详细研究，决定参加该询比项目并响应。</w:t>
      </w:r>
    </w:p>
    <w:p w14:paraId="622FF7C2">
      <w:r>
        <w:rPr>
          <w:rFonts w:hint="eastAsia"/>
        </w:rPr>
        <w:t>1、愿意按照询比文件中的一切要求，以响应文件中的内容和报价承担和完成本项目。</w:t>
      </w:r>
    </w:p>
    <w:p w14:paraId="47636FAF">
      <w:r>
        <w:rPr>
          <w:rFonts w:hint="eastAsia"/>
        </w:rPr>
        <w:t>2、我方现提交的响应文件为：响应文件正本一份，副本一份，电子文件一份。</w:t>
      </w:r>
    </w:p>
    <w:p w14:paraId="1E5F87A0">
      <w:r>
        <w:rPr>
          <w:rFonts w:hint="eastAsia"/>
        </w:rPr>
        <w:t>3、如果我方响应文件被接受，我方将履行询比文件中规定的各项要求，按相关法律法规和合同约定条款承担我方的责任。</w:t>
      </w:r>
    </w:p>
    <w:p w14:paraId="772A59FC">
      <w:r>
        <w:rPr>
          <w:rFonts w:hint="eastAsia"/>
        </w:rPr>
        <w:t>4、我方愿意提供询比文件中要求的所有资料，并对其真实性负责。</w:t>
      </w:r>
    </w:p>
    <w:p w14:paraId="52883C27">
      <w:r>
        <w:rPr>
          <w:rFonts w:hint="eastAsia"/>
        </w:rPr>
        <w:t>5、我方理解最低价格不是成交的唯一条件。</w:t>
      </w:r>
    </w:p>
    <w:p w14:paraId="184E8F25">
      <w:r>
        <w:rPr>
          <w:rFonts w:hint="eastAsia"/>
        </w:rPr>
        <w:t>6、响应有效期为响应截止日期后90天内。</w:t>
      </w:r>
    </w:p>
    <w:p w14:paraId="314B9B69"/>
    <w:p w14:paraId="75813CC8"/>
    <w:p w14:paraId="39996285">
      <w:r>
        <w:rPr>
          <w:rFonts w:hint="eastAsia"/>
        </w:rPr>
        <w:t>响应人（公章）：</w:t>
      </w:r>
    </w:p>
    <w:p w14:paraId="62D1B9AD">
      <w:r>
        <w:rPr>
          <w:rFonts w:hint="eastAsia"/>
        </w:rPr>
        <w:t xml:space="preserve">响应人联系人：  </w:t>
      </w:r>
    </w:p>
    <w:p w14:paraId="29C28995">
      <w:r>
        <w:rPr>
          <w:rFonts w:hint="eastAsia"/>
        </w:rPr>
        <w:t xml:space="preserve">响应人联系人联系电话：     </w:t>
      </w:r>
    </w:p>
    <w:p w14:paraId="5B3ADBCB">
      <w:pPr>
        <w:jc w:val="right"/>
      </w:pPr>
      <w:r>
        <w:rPr>
          <w:rFonts w:hint="eastAsia"/>
        </w:rPr>
        <w:t>年     月     日</w:t>
      </w:r>
    </w:p>
    <w:p w14:paraId="6B292962"/>
    <w:p w14:paraId="0F98FB6F">
      <w:pPr>
        <w:widowControl/>
        <w:jc w:val="left"/>
        <w:rPr>
          <w:rFonts w:ascii="宋体"/>
          <w:snapToGrid w:val="0"/>
          <w:kern w:val="0"/>
          <w:sz w:val="24"/>
          <w:szCs w:val="24"/>
        </w:rPr>
      </w:pPr>
    </w:p>
    <w:p w14:paraId="75164A31">
      <w:pPr>
        <w:widowControl/>
        <w:jc w:val="left"/>
        <w:rPr>
          <w:rFonts w:ascii="宋体"/>
          <w:snapToGrid w:val="0"/>
          <w:kern w:val="0"/>
          <w:sz w:val="24"/>
          <w:szCs w:val="24"/>
        </w:rPr>
        <w:sectPr>
          <w:pgSz w:w="11906" w:h="16838"/>
          <w:pgMar w:top="1440" w:right="1800" w:bottom="1440" w:left="1800" w:header="851" w:footer="992" w:gutter="0"/>
          <w:cols w:space="720" w:num="1"/>
          <w:docGrid w:type="lines" w:linePitch="312" w:charSpace="0"/>
        </w:sectPr>
      </w:pPr>
    </w:p>
    <w:p w14:paraId="5DF1E3E6">
      <w:pPr>
        <w:pStyle w:val="32"/>
      </w:pPr>
      <w:r>
        <w:rPr>
          <w:rFonts w:hint="eastAsia"/>
        </w:rPr>
        <w:t>二、费用清单一览表文件</w:t>
      </w:r>
    </w:p>
    <w:p w14:paraId="6712F165">
      <w:pPr>
        <w:pStyle w:val="32"/>
        <w:outlineLvl w:val="2"/>
      </w:pPr>
      <w:r>
        <w:rPr>
          <w:rFonts w:hint="eastAsia"/>
        </w:rPr>
        <w:t>（一）报价一览表</w:t>
      </w:r>
    </w:p>
    <w:tbl>
      <w:tblPr>
        <w:tblStyle w:val="19"/>
        <w:tblW w:w="499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15"/>
        <w:gridCol w:w="1832"/>
        <w:gridCol w:w="2383"/>
        <w:gridCol w:w="2382"/>
      </w:tblGrid>
      <w:tr w14:paraId="5AAAD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jc w:val="center"/>
        </w:trPr>
        <w:tc>
          <w:tcPr>
            <w:tcW w:w="1125" w:type="pct"/>
            <w:tcBorders>
              <w:top w:val="single" w:color="auto" w:sz="4" w:space="0"/>
              <w:left w:val="single" w:color="auto" w:sz="4" w:space="0"/>
              <w:bottom w:val="single" w:color="auto" w:sz="4" w:space="0"/>
              <w:right w:val="single" w:color="auto" w:sz="4" w:space="0"/>
            </w:tcBorders>
            <w:vAlign w:val="center"/>
          </w:tcPr>
          <w:p w14:paraId="04F53DCA">
            <w:pPr>
              <w:pStyle w:val="35"/>
            </w:pPr>
            <w:r>
              <w:rPr>
                <w:rFonts w:hint="eastAsia"/>
              </w:rPr>
              <w:t>响应人全称</w:t>
            </w:r>
          </w:p>
        </w:tc>
        <w:tc>
          <w:tcPr>
            <w:tcW w:w="3874" w:type="pct"/>
            <w:gridSpan w:val="3"/>
            <w:tcBorders>
              <w:top w:val="single" w:color="auto" w:sz="4" w:space="0"/>
              <w:left w:val="single" w:color="auto" w:sz="4" w:space="0"/>
              <w:bottom w:val="single" w:color="auto" w:sz="4" w:space="0"/>
              <w:right w:val="single" w:color="auto" w:sz="4" w:space="0"/>
            </w:tcBorders>
            <w:vAlign w:val="center"/>
          </w:tcPr>
          <w:p w14:paraId="17396CEF">
            <w:pPr>
              <w:autoSpaceDE/>
              <w:autoSpaceDN/>
              <w:ind w:firstLine="0" w:firstLineChars="0"/>
              <w:jc w:val="center"/>
              <w:rPr>
                <w:rFonts w:ascii="宋体"/>
                <w:szCs w:val="24"/>
              </w:rPr>
            </w:pPr>
          </w:p>
        </w:tc>
      </w:tr>
      <w:tr w14:paraId="2305F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jc w:val="center"/>
        </w:trPr>
        <w:tc>
          <w:tcPr>
            <w:tcW w:w="1125" w:type="pct"/>
            <w:tcBorders>
              <w:top w:val="single" w:color="auto" w:sz="4" w:space="0"/>
              <w:left w:val="single" w:color="auto" w:sz="4" w:space="0"/>
              <w:bottom w:val="single" w:color="auto" w:sz="4" w:space="0"/>
              <w:right w:val="single" w:color="auto" w:sz="4" w:space="0"/>
            </w:tcBorders>
            <w:vAlign w:val="center"/>
          </w:tcPr>
          <w:p w14:paraId="545BAC28">
            <w:pPr>
              <w:pStyle w:val="35"/>
            </w:pPr>
            <w:r>
              <w:rPr>
                <w:rFonts w:hint="eastAsia"/>
              </w:rPr>
              <w:t>项目名称</w:t>
            </w:r>
          </w:p>
        </w:tc>
        <w:tc>
          <w:tcPr>
            <w:tcW w:w="3874" w:type="pct"/>
            <w:gridSpan w:val="3"/>
            <w:tcBorders>
              <w:top w:val="single" w:color="auto" w:sz="4" w:space="0"/>
              <w:left w:val="single" w:color="auto" w:sz="4" w:space="0"/>
              <w:bottom w:val="single" w:color="auto" w:sz="4" w:space="0"/>
              <w:right w:val="single" w:color="auto" w:sz="4" w:space="0"/>
            </w:tcBorders>
            <w:vAlign w:val="center"/>
          </w:tcPr>
          <w:p w14:paraId="3C14B3A3">
            <w:pPr>
              <w:autoSpaceDE/>
              <w:autoSpaceDN/>
              <w:ind w:firstLine="0" w:firstLineChars="0"/>
              <w:jc w:val="center"/>
              <w:rPr>
                <w:rFonts w:ascii="宋体" w:cs="Cambria"/>
                <w:szCs w:val="21"/>
              </w:rPr>
            </w:pPr>
            <w:r>
              <w:rPr>
                <w:rFonts w:hint="eastAsia"/>
              </w:rPr>
              <w:t>重庆三峡银行金融IC卡空白卡及个人化借记卡采购项目</w:t>
            </w:r>
          </w:p>
        </w:tc>
      </w:tr>
      <w:tr w14:paraId="6DEDC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1" w:hRule="atLeast"/>
          <w:jc w:val="center"/>
        </w:trPr>
        <w:tc>
          <w:tcPr>
            <w:tcW w:w="1125" w:type="pct"/>
            <w:tcBorders>
              <w:top w:val="single" w:color="auto" w:sz="4" w:space="0"/>
              <w:left w:val="single" w:color="auto" w:sz="4" w:space="0"/>
              <w:bottom w:val="single" w:color="auto" w:sz="4" w:space="0"/>
              <w:right w:val="single" w:color="auto" w:sz="4" w:space="0"/>
            </w:tcBorders>
            <w:vAlign w:val="center"/>
          </w:tcPr>
          <w:p w14:paraId="117FB26B">
            <w:pPr>
              <w:pStyle w:val="35"/>
            </w:pPr>
            <w:r>
              <w:rPr>
                <w:rFonts w:hint="eastAsia"/>
              </w:rPr>
              <w:t>产品名称</w:t>
            </w:r>
          </w:p>
        </w:tc>
        <w:tc>
          <w:tcPr>
            <w:tcW w:w="1076" w:type="pct"/>
            <w:tcBorders>
              <w:top w:val="single" w:color="auto" w:sz="4" w:space="0"/>
              <w:left w:val="single" w:color="auto" w:sz="4" w:space="0"/>
              <w:bottom w:val="single" w:color="auto" w:sz="4" w:space="0"/>
              <w:right w:val="single" w:color="auto" w:sz="4" w:space="0"/>
            </w:tcBorders>
            <w:vAlign w:val="center"/>
          </w:tcPr>
          <w:p w14:paraId="30F6D051">
            <w:pPr>
              <w:pStyle w:val="35"/>
            </w:pPr>
            <w:r>
              <w:rPr>
                <w:rFonts w:hint="eastAsia"/>
              </w:rPr>
              <w:t>产品芯片厂家及型号</w:t>
            </w:r>
          </w:p>
        </w:tc>
        <w:tc>
          <w:tcPr>
            <w:tcW w:w="2798" w:type="pct"/>
            <w:gridSpan w:val="2"/>
            <w:tcBorders>
              <w:top w:val="single" w:color="auto" w:sz="4" w:space="0"/>
              <w:left w:val="single" w:color="auto" w:sz="4" w:space="0"/>
              <w:bottom w:val="single" w:color="auto" w:sz="4" w:space="0"/>
              <w:right w:val="single" w:color="auto" w:sz="4" w:space="0"/>
            </w:tcBorders>
            <w:vAlign w:val="center"/>
          </w:tcPr>
          <w:p w14:paraId="6502B93A">
            <w:pPr>
              <w:pStyle w:val="35"/>
            </w:pPr>
            <w:r>
              <w:rPr>
                <w:rFonts w:hint="eastAsia"/>
              </w:rPr>
              <w:t>响应报价（含税）</w:t>
            </w:r>
          </w:p>
        </w:tc>
      </w:tr>
      <w:tr w14:paraId="26E6A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0" w:hRule="atLeast"/>
          <w:jc w:val="center"/>
        </w:trPr>
        <w:tc>
          <w:tcPr>
            <w:tcW w:w="1125" w:type="pct"/>
            <w:tcBorders>
              <w:top w:val="single" w:color="auto" w:sz="4" w:space="0"/>
              <w:left w:val="single" w:color="auto" w:sz="4" w:space="0"/>
              <w:bottom w:val="single" w:color="auto" w:sz="4" w:space="0"/>
              <w:right w:val="single" w:color="auto" w:sz="4" w:space="0"/>
            </w:tcBorders>
            <w:vAlign w:val="center"/>
          </w:tcPr>
          <w:p w14:paraId="401A4651">
            <w:pPr>
              <w:pStyle w:val="35"/>
            </w:pPr>
            <w:r>
              <w:rPr>
                <w:rFonts w:hint="eastAsia"/>
              </w:rPr>
              <w:t>金融IC卡普卡/金卡空白卡</w:t>
            </w:r>
            <w:r>
              <w:rPr>
                <w:rFonts w:hint="eastAsia"/>
                <w:lang w:val="en-US" w:eastAsia="zh-CN"/>
              </w:rPr>
              <w:t>及</w:t>
            </w:r>
            <w:r>
              <w:rPr>
                <w:rFonts w:hint="eastAsia"/>
              </w:rPr>
              <w:t>个人化</w:t>
            </w:r>
          </w:p>
        </w:tc>
        <w:tc>
          <w:tcPr>
            <w:tcW w:w="1076" w:type="pct"/>
            <w:tcBorders>
              <w:top w:val="single" w:color="auto" w:sz="4" w:space="0"/>
              <w:left w:val="single" w:color="auto" w:sz="4" w:space="0"/>
              <w:bottom w:val="single" w:color="auto" w:sz="4" w:space="0"/>
              <w:right w:val="single" w:color="auto" w:sz="4" w:space="0"/>
            </w:tcBorders>
            <w:vAlign w:val="center"/>
          </w:tcPr>
          <w:p w14:paraId="621B583E">
            <w:pPr>
              <w:pStyle w:val="34"/>
            </w:pPr>
          </w:p>
        </w:tc>
        <w:tc>
          <w:tcPr>
            <w:tcW w:w="1400" w:type="pct"/>
            <w:tcBorders>
              <w:top w:val="single" w:color="auto" w:sz="4" w:space="0"/>
              <w:left w:val="single" w:color="auto" w:sz="4" w:space="0"/>
              <w:bottom w:val="single" w:color="auto" w:sz="4" w:space="0"/>
              <w:right w:val="single" w:color="auto" w:sz="4" w:space="0"/>
            </w:tcBorders>
            <w:vAlign w:val="center"/>
          </w:tcPr>
          <w:p w14:paraId="56EE0DA7">
            <w:pPr>
              <w:pStyle w:val="34"/>
            </w:pPr>
            <w:r>
              <w:t>小写</w:t>
            </w:r>
            <w:r>
              <w:rPr>
                <w:rFonts w:hint="eastAsia"/>
              </w:rPr>
              <w:t xml:space="preserve">：            </w:t>
            </w:r>
            <w:r>
              <w:t>人民币</w:t>
            </w:r>
          </w:p>
        </w:tc>
        <w:tc>
          <w:tcPr>
            <w:tcW w:w="1397" w:type="pct"/>
            <w:tcBorders>
              <w:top w:val="single" w:color="auto" w:sz="4" w:space="0"/>
              <w:left w:val="single" w:color="auto" w:sz="4" w:space="0"/>
              <w:bottom w:val="single" w:color="auto" w:sz="4" w:space="0"/>
              <w:right w:val="single" w:color="auto" w:sz="4" w:space="0"/>
            </w:tcBorders>
            <w:vAlign w:val="center"/>
          </w:tcPr>
          <w:p w14:paraId="6BE04FD0">
            <w:pPr>
              <w:pStyle w:val="34"/>
            </w:pPr>
            <w:r>
              <w:rPr>
                <w:rFonts w:hint="eastAsia"/>
              </w:rPr>
              <w:t>大写：            人民币</w:t>
            </w:r>
          </w:p>
        </w:tc>
      </w:tr>
      <w:tr w14:paraId="32EFE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3" w:hRule="atLeast"/>
          <w:jc w:val="center"/>
        </w:trPr>
        <w:tc>
          <w:tcPr>
            <w:tcW w:w="1125" w:type="pct"/>
            <w:tcBorders>
              <w:top w:val="single" w:color="auto" w:sz="4" w:space="0"/>
              <w:left w:val="single" w:color="auto" w:sz="4" w:space="0"/>
              <w:bottom w:val="single" w:color="auto" w:sz="4" w:space="0"/>
              <w:right w:val="single" w:color="auto" w:sz="4" w:space="0"/>
            </w:tcBorders>
            <w:vAlign w:val="center"/>
          </w:tcPr>
          <w:p w14:paraId="704004A1">
            <w:pPr>
              <w:pStyle w:val="35"/>
            </w:pPr>
            <w:r>
              <w:rPr>
                <w:rFonts w:hint="eastAsia"/>
              </w:rPr>
              <w:t>开具发票类型</w:t>
            </w:r>
          </w:p>
        </w:tc>
        <w:tc>
          <w:tcPr>
            <w:tcW w:w="3874" w:type="pct"/>
            <w:gridSpan w:val="3"/>
            <w:tcBorders>
              <w:top w:val="single" w:color="auto" w:sz="4" w:space="0"/>
              <w:left w:val="single" w:color="auto" w:sz="4" w:space="0"/>
              <w:bottom w:val="single" w:color="auto" w:sz="4" w:space="0"/>
              <w:right w:val="single" w:color="auto" w:sz="4" w:space="0"/>
            </w:tcBorders>
            <w:vAlign w:val="center"/>
          </w:tcPr>
          <w:p w14:paraId="530ADA98">
            <w:pPr>
              <w:autoSpaceDE/>
              <w:autoSpaceDN/>
              <w:ind w:firstLine="0" w:firstLineChars="0"/>
              <w:jc w:val="center"/>
              <w:rPr>
                <w:rFonts w:ascii="宋体"/>
                <w:szCs w:val="24"/>
              </w:rPr>
            </w:pPr>
            <w:r>
              <w:rPr>
                <w:rFonts w:hint="eastAsia" w:ascii="宋体"/>
                <w:szCs w:val="24"/>
              </w:rPr>
              <w:t>税率为</w:t>
            </w:r>
            <w:r>
              <w:rPr>
                <w:rFonts w:hint="eastAsia" w:ascii="宋体"/>
                <w:szCs w:val="24"/>
                <w:u w:val="single"/>
              </w:rPr>
              <w:t xml:space="preserve">    </w:t>
            </w:r>
            <w:r>
              <w:rPr>
                <w:rFonts w:hint="eastAsia" w:ascii="宋体"/>
                <w:szCs w:val="24"/>
              </w:rPr>
              <w:t>%的增值税专用发票</w:t>
            </w:r>
          </w:p>
        </w:tc>
      </w:tr>
      <w:tr w14:paraId="764BD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7" w:hRule="atLeast"/>
          <w:jc w:val="center"/>
        </w:trPr>
        <w:tc>
          <w:tcPr>
            <w:tcW w:w="5000" w:type="pct"/>
            <w:gridSpan w:val="4"/>
            <w:tcBorders>
              <w:top w:val="single" w:color="auto" w:sz="4" w:space="0"/>
              <w:left w:val="single" w:color="auto" w:sz="4" w:space="0"/>
              <w:bottom w:val="single" w:color="auto" w:sz="4" w:space="0"/>
              <w:right w:val="single" w:color="auto" w:sz="4" w:space="0"/>
            </w:tcBorders>
          </w:tcPr>
          <w:p w14:paraId="0C324C6A">
            <w:pPr>
              <w:autoSpaceDE/>
              <w:autoSpaceDN/>
              <w:ind w:firstLine="0" w:firstLineChars="0"/>
              <w:rPr>
                <w:rFonts w:ascii="宋体" w:cs="Times New Roman"/>
                <w:snapToGrid w:val="0"/>
                <w:kern w:val="0"/>
                <w:szCs w:val="24"/>
              </w:rPr>
            </w:pPr>
            <w:r>
              <w:rPr>
                <w:rFonts w:hint="eastAsia" w:ascii="宋体" w:cs="Times New Roman"/>
                <w:snapToGrid w:val="0"/>
                <w:kern w:val="0"/>
                <w:szCs w:val="24"/>
              </w:rPr>
              <w:t>备注：</w:t>
            </w:r>
          </w:p>
        </w:tc>
      </w:tr>
    </w:tbl>
    <w:p w14:paraId="7F7B387F"/>
    <w:p w14:paraId="50E04DDA"/>
    <w:p w14:paraId="0BE8F537">
      <w:r>
        <w:rPr>
          <w:rFonts w:hint="eastAsia"/>
        </w:rPr>
        <w:t>注：上述税率为推荐税率，因国家政策产生的特殊情况除外，若有税收优惠请附相关凭证。若遇国家税率调整，则保持不含税价不变，重新计算含税价格。</w:t>
      </w:r>
    </w:p>
    <w:p w14:paraId="6AD14F21"/>
    <w:p w14:paraId="214430EB">
      <w:pPr>
        <w:ind w:left="3360" w:firstLine="420" w:firstLineChars="0"/>
        <w:jc w:val="center"/>
        <w:rPr>
          <w:snapToGrid w:val="0"/>
          <w:kern w:val="0"/>
          <w:szCs w:val="24"/>
        </w:rPr>
      </w:pPr>
      <w:r>
        <w:rPr>
          <w:rFonts w:hint="eastAsia" w:cs="等线 Light"/>
          <w:snapToGrid w:val="0"/>
          <w:kern w:val="0"/>
          <w:szCs w:val="24"/>
        </w:rPr>
        <w:t>响应人</w:t>
      </w:r>
      <w:r>
        <w:rPr>
          <w:rFonts w:hint="eastAsia"/>
          <w:snapToGrid w:val="0"/>
          <w:kern w:val="0"/>
          <w:szCs w:val="24"/>
        </w:rPr>
        <w:t>：</w:t>
      </w:r>
    </w:p>
    <w:p w14:paraId="14B04A53">
      <w:pPr>
        <w:ind w:left="4620" w:firstLine="420" w:firstLineChars="0"/>
        <w:jc w:val="center"/>
        <w:rPr>
          <w:snapToGrid w:val="0"/>
          <w:kern w:val="0"/>
          <w:szCs w:val="24"/>
        </w:rPr>
      </w:pPr>
      <w:r>
        <w:rPr>
          <w:rFonts w:hint="eastAsia"/>
          <w:snapToGrid w:val="0"/>
          <w:kern w:val="0"/>
          <w:szCs w:val="24"/>
        </w:rPr>
        <w:t xml:space="preserve">（公章）      </w:t>
      </w:r>
    </w:p>
    <w:p w14:paraId="4CCCA226">
      <w:pPr>
        <w:ind w:right="-29" w:rightChars="-14"/>
        <w:jc w:val="right"/>
        <w:rPr>
          <w:snapToGrid w:val="0"/>
          <w:kern w:val="0"/>
          <w:szCs w:val="24"/>
        </w:rPr>
      </w:pPr>
      <w:r>
        <w:rPr>
          <w:rFonts w:hint="eastAsia"/>
          <w:snapToGrid w:val="0"/>
          <w:kern w:val="0"/>
          <w:szCs w:val="24"/>
        </w:rPr>
        <w:t xml:space="preserve">       年     月     日</w:t>
      </w:r>
    </w:p>
    <w:p w14:paraId="1DE24D18">
      <w:r>
        <w:rPr>
          <w:rFonts w:hint="eastAsia"/>
        </w:rPr>
        <w:t>有关说明：</w:t>
      </w:r>
    </w:p>
    <w:p w14:paraId="5944DC83">
      <w:r>
        <w:rPr>
          <w:rFonts w:hint="eastAsia"/>
        </w:rPr>
        <w:t>报价一览表在开标大会上当众宣读，务必填写清楚，准确无误。表格可扩展。</w:t>
      </w:r>
    </w:p>
    <w:p w14:paraId="1D4CD4A9"/>
    <w:p w14:paraId="782BC1B7">
      <w:pPr>
        <w:sectPr>
          <w:pgSz w:w="11906" w:h="16838"/>
          <w:pgMar w:top="1440" w:right="1800" w:bottom="1440" w:left="1800" w:header="851" w:footer="992" w:gutter="0"/>
          <w:cols w:space="720" w:num="1"/>
          <w:docGrid w:type="lines" w:linePitch="312" w:charSpace="0"/>
        </w:sectPr>
      </w:pPr>
    </w:p>
    <w:p w14:paraId="2C9DA496">
      <w:pPr>
        <w:pStyle w:val="32"/>
      </w:pPr>
      <w:r>
        <w:rPr>
          <w:rFonts w:hint="eastAsia"/>
        </w:rPr>
        <w:t>三、法定代表人身份证明或授权委托书文件</w:t>
      </w:r>
    </w:p>
    <w:p w14:paraId="3E742C27">
      <w:pPr>
        <w:rPr>
          <w:rStyle w:val="26"/>
          <w:b/>
        </w:rPr>
      </w:pPr>
    </w:p>
    <w:p w14:paraId="34686676">
      <w:pPr>
        <w:pStyle w:val="33"/>
      </w:pPr>
      <w:r>
        <w:t>（</w:t>
      </w:r>
      <w:r>
        <w:rPr>
          <w:rFonts w:hint="eastAsia"/>
        </w:rPr>
        <w:t>一</w:t>
      </w:r>
      <w:r>
        <w:t>）法定代表人身份证明及授权委托书</w:t>
      </w:r>
      <w:r>
        <w:rPr>
          <w:rFonts w:hint="eastAsia"/>
        </w:rPr>
        <w:t>（无分支机构）</w:t>
      </w:r>
      <w:r>
        <w:t>（</w:t>
      </w:r>
      <w:r>
        <w:rPr>
          <w:rFonts w:hint="eastAsia"/>
        </w:rPr>
        <w:t>如有</w:t>
      </w:r>
      <w:r>
        <w:t>）</w:t>
      </w:r>
    </w:p>
    <w:p w14:paraId="01D588C4">
      <w:pPr>
        <w:pStyle w:val="16"/>
        <w:rPr>
          <w:rFonts w:ascii="Times New Roman" w:hAnsi="Times New Roman"/>
        </w:rPr>
      </w:pPr>
      <w:r>
        <w:rPr>
          <w:rFonts w:ascii="Times New Roman" w:hAnsi="Times New Roman"/>
        </w:rPr>
        <w:t>法定代表人身份证明书</w:t>
      </w:r>
    </w:p>
    <w:p w14:paraId="7B85560F">
      <w:pPr>
        <w:tabs>
          <w:tab w:val="left" w:pos="6300"/>
        </w:tabs>
        <w:snapToGrid w:val="0"/>
        <w:rPr>
          <w:snapToGrid w:val="0"/>
          <w:kern w:val="0"/>
        </w:rPr>
      </w:pPr>
    </w:p>
    <w:p w14:paraId="48E6A14B">
      <w:pPr>
        <w:tabs>
          <w:tab w:val="left" w:pos="6300"/>
        </w:tabs>
        <w:snapToGrid w:val="0"/>
        <w:rPr>
          <w:snapToGrid w:val="0"/>
          <w:kern w:val="0"/>
        </w:rPr>
      </w:pPr>
      <w:r>
        <w:rPr>
          <w:rFonts w:hint="eastAsia"/>
          <w:snapToGrid w:val="0"/>
          <w:kern w:val="0"/>
        </w:rPr>
        <w:t>项目名称：</w:t>
      </w:r>
      <w:r>
        <w:rPr>
          <w:rFonts w:hint="eastAsia"/>
          <w:snapToGrid w:val="0"/>
          <w:kern w:val="0"/>
          <w:u w:val="single"/>
        </w:rPr>
        <w:t>____________________</w:t>
      </w:r>
    </w:p>
    <w:p w14:paraId="0DD1E4FF">
      <w:pPr>
        <w:tabs>
          <w:tab w:val="left" w:pos="6300"/>
        </w:tabs>
        <w:snapToGrid w:val="0"/>
        <w:rPr>
          <w:snapToGrid w:val="0"/>
          <w:kern w:val="0"/>
        </w:rPr>
      </w:pPr>
    </w:p>
    <w:p w14:paraId="5E64A89E">
      <w:pPr>
        <w:tabs>
          <w:tab w:val="left" w:pos="6300"/>
        </w:tabs>
        <w:snapToGrid w:val="0"/>
        <w:rPr>
          <w:snapToGrid w:val="0"/>
          <w:kern w:val="0"/>
        </w:rPr>
      </w:pPr>
      <w:r>
        <w:rPr>
          <w:rFonts w:hint="eastAsia"/>
          <w:snapToGrid w:val="0"/>
          <w:kern w:val="0"/>
        </w:rPr>
        <w:t>致：</w:t>
      </w:r>
      <w:r>
        <w:rPr>
          <w:rFonts w:hint="eastAsia"/>
          <w:snapToGrid w:val="0"/>
          <w:kern w:val="0"/>
          <w:u w:val="single"/>
        </w:rPr>
        <w:t xml:space="preserve"> 重庆三峡银行股份有限公司  </w:t>
      </w:r>
      <w:r>
        <w:rPr>
          <w:rFonts w:hint="eastAsia"/>
          <w:snapToGrid w:val="0"/>
          <w:kern w:val="0"/>
        </w:rPr>
        <w:t>：</w:t>
      </w:r>
    </w:p>
    <w:p w14:paraId="4C3053C6">
      <w:pPr>
        <w:tabs>
          <w:tab w:val="left" w:pos="6300"/>
        </w:tabs>
        <w:snapToGrid w:val="0"/>
        <w:rPr>
          <w:snapToGrid w:val="0"/>
          <w:kern w:val="0"/>
        </w:rPr>
      </w:pPr>
      <w:r>
        <w:rPr>
          <w:rFonts w:hint="eastAsia"/>
          <w:snapToGrid w:val="0"/>
          <w:kern w:val="0"/>
          <w:u w:val="single"/>
        </w:rPr>
        <w:t xml:space="preserve">        </w:t>
      </w:r>
      <w:r>
        <w:rPr>
          <w:rFonts w:hint="eastAsia"/>
          <w:snapToGrid w:val="0"/>
          <w:kern w:val="0"/>
        </w:rPr>
        <w:t>（</w:t>
      </w:r>
      <w:r>
        <w:rPr>
          <w:rFonts w:hint="eastAsia" w:cs="Cambria"/>
          <w:snapToGrid w:val="0"/>
          <w:kern w:val="0"/>
          <w:szCs w:val="24"/>
        </w:rPr>
        <w:t>响应人</w:t>
      </w:r>
      <w:r>
        <w:rPr>
          <w:rFonts w:hint="eastAsia"/>
          <w:snapToGrid w:val="0"/>
          <w:kern w:val="0"/>
        </w:rPr>
        <w:t>法定代表人）在</w:t>
      </w:r>
      <w:r>
        <w:rPr>
          <w:rFonts w:hint="eastAsia"/>
          <w:snapToGrid w:val="0"/>
          <w:kern w:val="0"/>
          <w:u w:val="single"/>
        </w:rPr>
        <w:t xml:space="preserve">        </w:t>
      </w:r>
      <w:r>
        <w:rPr>
          <w:rFonts w:hint="eastAsia"/>
          <w:snapToGrid w:val="0"/>
          <w:kern w:val="0"/>
        </w:rPr>
        <w:t>（响应人名称）任</w:t>
      </w:r>
      <w:r>
        <w:rPr>
          <w:rFonts w:hint="eastAsia"/>
          <w:snapToGrid w:val="0"/>
          <w:kern w:val="0"/>
          <w:u w:val="single"/>
        </w:rPr>
        <w:t xml:space="preserve">        </w:t>
      </w:r>
      <w:r>
        <w:rPr>
          <w:rFonts w:hint="eastAsia"/>
          <w:snapToGrid w:val="0"/>
          <w:kern w:val="0"/>
        </w:rPr>
        <w:t>（职务名称）职务，是（响应人名称）</w:t>
      </w:r>
      <w:r>
        <w:rPr>
          <w:rFonts w:hint="eastAsia"/>
          <w:snapToGrid w:val="0"/>
          <w:kern w:val="0"/>
          <w:u w:val="single"/>
        </w:rPr>
        <w:t xml:space="preserve">        </w:t>
      </w:r>
      <w:r>
        <w:rPr>
          <w:rFonts w:hint="eastAsia"/>
          <w:snapToGrid w:val="0"/>
          <w:kern w:val="0"/>
        </w:rPr>
        <w:t>的法定代表人。</w:t>
      </w:r>
    </w:p>
    <w:p w14:paraId="0393892E">
      <w:pPr>
        <w:tabs>
          <w:tab w:val="left" w:pos="6300"/>
        </w:tabs>
        <w:snapToGrid w:val="0"/>
        <w:rPr>
          <w:snapToGrid w:val="0"/>
          <w:kern w:val="0"/>
        </w:rPr>
      </w:pPr>
    </w:p>
    <w:p w14:paraId="54071A3F">
      <w:pPr>
        <w:tabs>
          <w:tab w:val="left" w:pos="6300"/>
        </w:tabs>
        <w:snapToGrid w:val="0"/>
        <w:rPr>
          <w:snapToGrid w:val="0"/>
          <w:kern w:val="0"/>
        </w:rPr>
      </w:pPr>
      <w:r>
        <w:rPr>
          <w:rFonts w:hint="eastAsia"/>
          <w:snapToGrid w:val="0"/>
          <w:kern w:val="0"/>
        </w:rPr>
        <w:t>特此证明。</w:t>
      </w:r>
    </w:p>
    <w:p w14:paraId="78A91F9F">
      <w:pPr>
        <w:tabs>
          <w:tab w:val="left" w:pos="6300"/>
        </w:tabs>
        <w:snapToGrid w:val="0"/>
        <w:rPr>
          <w:snapToGrid w:val="0"/>
          <w:kern w:val="0"/>
        </w:rPr>
      </w:pPr>
    </w:p>
    <w:p w14:paraId="12EC1DD8">
      <w:pPr>
        <w:tabs>
          <w:tab w:val="left" w:pos="6300"/>
        </w:tabs>
        <w:snapToGrid w:val="0"/>
        <w:rPr>
          <w:snapToGrid w:val="0"/>
          <w:kern w:val="0"/>
        </w:rPr>
      </w:pPr>
    </w:p>
    <w:p w14:paraId="4AFF0C83">
      <w:pPr>
        <w:tabs>
          <w:tab w:val="left" w:pos="6300"/>
        </w:tabs>
        <w:snapToGrid w:val="0"/>
        <w:ind w:firstLine="5250" w:firstLineChars="2500"/>
        <w:rPr>
          <w:snapToGrid w:val="0"/>
          <w:kern w:val="0"/>
        </w:rPr>
      </w:pPr>
      <w:r>
        <w:rPr>
          <w:rFonts w:hint="eastAsia"/>
          <w:snapToGrid w:val="0"/>
          <w:kern w:val="0"/>
        </w:rPr>
        <w:t>响应人：</w:t>
      </w:r>
    </w:p>
    <w:p w14:paraId="4BB87553">
      <w:pPr>
        <w:tabs>
          <w:tab w:val="left" w:pos="6300"/>
        </w:tabs>
        <w:snapToGrid w:val="0"/>
        <w:ind w:firstLine="5040" w:firstLineChars="2400"/>
        <w:rPr>
          <w:snapToGrid w:val="0"/>
          <w:kern w:val="0"/>
        </w:rPr>
      </w:pPr>
      <w:r>
        <w:rPr>
          <w:rFonts w:hint="eastAsia"/>
          <w:snapToGrid w:val="0"/>
          <w:kern w:val="0"/>
        </w:rPr>
        <w:t>（</w:t>
      </w:r>
      <w:r>
        <w:rPr>
          <w:rFonts w:hint="eastAsia" w:cs="Cambria"/>
          <w:snapToGrid w:val="0"/>
          <w:kern w:val="0"/>
          <w:szCs w:val="24"/>
        </w:rPr>
        <w:t>响应人</w:t>
      </w:r>
      <w:r>
        <w:rPr>
          <w:rFonts w:hint="eastAsia"/>
          <w:snapToGrid w:val="0"/>
          <w:kern w:val="0"/>
        </w:rPr>
        <w:t>公章）</w:t>
      </w:r>
    </w:p>
    <w:p w14:paraId="705A6368">
      <w:pPr>
        <w:tabs>
          <w:tab w:val="left" w:pos="6300"/>
        </w:tabs>
        <w:snapToGrid w:val="0"/>
        <w:rPr>
          <w:snapToGrid w:val="0"/>
          <w:kern w:val="0"/>
        </w:rPr>
      </w:pPr>
    </w:p>
    <w:p w14:paraId="6C54173D">
      <w:pPr>
        <w:tabs>
          <w:tab w:val="left" w:pos="6300"/>
        </w:tabs>
        <w:snapToGrid w:val="0"/>
        <w:rPr>
          <w:snapToGrid w:val="0"/>
          <w:kern w:val="0"/>
        </w:rPr>
      </w:pPr>
      <w:r>
        <w:rPr>
          <w:rFonts w:hint="eastAsia"/>
          <w:snapToGrid w:val="0"/>
          <w:kern w:val="0"/>
        </w:rPr>
        <w:t xml:space="preserve">                                             年   月   日</w:t>
      </w:r>
    </w:p>
    <w:p w14:paraId="4F100718">
      <w:pPr>
        <w:tabs>
          <w:tab w:val="left" w:pos="6300"/>
        </w:tabs>
        <w:snapToGrid w:val="0"/>
        <w:rPr>
          <w:snapToGrid w:val="0"/>
          <w:kern w:val="0"/>
        </w:rPr>
      </w:pPr>
    </w:p>
    <w:p w14:paraId="13820487">
      <w:pPr>
        <w:tabs>
          <w:tab w:val="left" w:pos="6300"/>
        </w:tabs>
        <w:snapToGrid w:val="0"/>
        <w:rPr>
          <w:snapToGrid w:val="0"/>
          <w:kern w:val="0"/>
        </w:rPr>
      </w:pPr>
      <w:r>
        <w:rPr>
          <w:rFonts w:hint="eastAsia"/>
          <w:snapToGrid w:val="0"/>
          <w:kern w:val="0"/>
        </w:rPr>
        <w:t>（附：法定代表人身份证正反面复印件）</w:t>
      </w:r>
    </w:p>
    <w:p w14:paraId="4E62D7BF">
      <w:pPr>
        <w:tabs>
          <w:tab w:val="left" w:pos="6300"/>
        </w:tabs>
        <w:snapToGrid w:val="0"/>
        <w:rPr>
          <w:snapToGrid w:val="0"/>
          <w:kern w:val="0"/>
        </w:rPr>
      </w:pPr>
    </w:p>
    <w:p w14:paraId="60EFFE00">
      <w:pPr>
        <w:pStyle w:val="10"/>
        <w:rPr>
          <w:snapToGrid w:val="0"/>
          <w:kern w:val="0"/>
        </w:rPr>
      </w:pPr>
    </w:p>
    <w:p w14:paraId="3BB27DC9">
      <w:pPr>
        <w:rPr>
          <w:snapToGrid w:val="0"/>
          <w:kern w:val="0"/>
        </w:rPr>
      </w:pPr>
    </w:p>
    <w:p w14:paraId="2254EBD0">
      <w:pPr>
        <w:pStyle w:val="10"/>
        <w:rPr>
          <w:snapToGrid w:val="0"/>
          <w:kern w:val="0"/>
        </w:rPr>
      </w:pPr>
    </w:p>
    <w:p w14:paraId="0C4F776D">
      <w:pPr>
        <w:rPr>
          <w:snapToGrid w:val="0"/>
          <w:kern w:val="0"/>
        </w:rPr>
      </w:pPr>
    </w:p>
    <w:p w14:paraId="78105DCD">
      <w:pPr>
        <w:pStyle w:val="10"/>
        <w:rPr>
          <w:snapToGrid w:val="0"/>
          <w:kern w:val="0"/>
        </w:rPr>
      </w:pPr>
    </w:p>
    <w:p w14:paraId="767DA5BF">
      <w:pPr>
        <w:rPr>
          <w:snapToGrid w:val="0"/>
          <w:kern w:val="0"/>
        </w:rPr>
      </w:pPr>
    </w:p>
    <w:p w14:paraId="5771C31C">
      <w:pPr>
        <w:pStyle w:val="10"/>
      </w:pPr>
    </w:p>
    <w:p w14:paraId="619480C0">
      <w:pPr>
        <w:tabs>
          <w:tab w:val="left" w:pos="6300"/>
        </w:tabs>
        <w:snapToGrid w:val="0"/>
        <w:rPr>
          <w:snapToGrid w:val="0"/>
          <w:kern w:val="0"/>
        </w:rPr>
      </w:pPr>
    </w:p>
    <w:p w14:paraId="67723DB3">
      <w:pPr>
        <w:tabs>
          <w:tab w:val="left" w:pos="6300"/>
        </w:tabs>
        <w:snapToGrid w:val="0"/>
        <w:rPr>
          <w:snapToGrid w:val="0"/>
          <w:kern w:val="0"/>
        </w:rPr>
      </w:pPr>
      <w:r>
        <w:rPr>
          <w:rFonts w:hint="eastAsia"/>
          <w:snapToGrid w:val="0"/>
          <w:kern w:val="0"/>
        </w:rPr>
        <w:t>注：若自然人参与响应办理并签署响应文件的，不提供此文件。</w:t>
      </w:r>
    </w:p>
    <w:p w14:paraId="58D2357D">
      <w:pPr>
        <w:jc w:val="center"/>
        <w:outlineLvl w:val="2"/>
        <w:rPr>
          <w:rStyle w:val="30"/>
          <w:rFonts w:ascii="Times New Roman" w:hAnsi="Times New Roman"/>
        </w:rPr>
      </w:pPr>
      <w:r>
        <w:rPr>
          <w:rFonts w:hint="eastAsia"/>
          <w:snapToGrid w:val="0"/>
          <w:kern w:val="0"/>
        </w:rPr>
        <w:br w:type="column"/>
      </w:r>
      <w:r>
        <w:rPr>
          <w:rFonts w:hint="eastAsia"/>
          <w:snapToGrid w:val="0"/>
          <w:kern w:val="0"/>
        </w:rPr>
        <w:t>（二）</w:t>
      </w:r>
      <w:r>
        <w:rPr>
          <w:rStyle w:val="30"/>
          <w:rFonts w:ascii="Times New Roman" w:hAnsi="Times New Roman"/>
        </w:rPr>
        <w:t>授权委托书</w:t>
      </w:r>
      <w:r>
        <w:rPr>
          <w:rStyle w:val="30"/>
        </w:rPr>
        <w:t>（</w:t>
      </w:r>
      <w:r>
        <w:rPr>
          <w:rStyle w:val="30"/>
          <w:rFonts w:hint="eastAsia"/>
        </w:rPr>
        <w:t>如有</w:t>
      </w:r>
      <w:r>
        <w:rPr>
          <w:rStyle w:val="30"/>
        </w:rPr>
        <w:t>）</w:t>
      </w:r>
    </w:p>
    <w:p w14:paraId="05A7117B">
      <w:pPr>
        <w:pStyle w:val="42"/>
      </w:pPr>
      <w:r>
        <w:rPr>
          <w:rFonts w:hint="eastAsia"/>
        </w:rPr>
        <w:t>（适用于有委托代理人的情况时采用）</w:t>
      </w:r>
    </w:p>
    <w:p w14:paraId="148355C4">
      <w:pPr>
        <w:tabs>
          <w:tab w:val="left" w:pos="6300"/>
        </w:tabs>
        <w:snapToGrid w:val="0"/>
        <w:rPr>
          <w:snapToGrid w:val="0"/>
          <w:kern w:val="0"/>
        </w:rPr>
      </w:pPr>
      <w:r>
        <w:rPr>
          <w:rFonts w:hint="eastAsia"/>
          <w:snapToGrid w:val="0"/>
          <w:kern w:val="0"/>
          <w:szCs w:val="28"/>
        </w:rPr>
        <w:t>项目名称</w:t>
      </w:r>
      <w:r>
        <w:rPr>
          <w:rFonts w:hint="eastAsia"/>
          <w:snapToGrid w:val="0"/>
          <w:kern w:val="0"/>
        </w:rPr>
        <w:t>：</w:t>
      </w:r>
      <w:r>
        <w:rPr>
          <w:rFonts w:hint="eastAsia"/>
          <w:snapToGrid w:val="0"/>
          <w:kern w:val="0"/>
          <w:szCs w:val="24"/>
          <w:u w:val="single"/>
        </w:rPr>
        <w:t>___________________</w:t>
      </w:r>
    </w:p>
    <w:p w14:paraId="1CCCB417">
      <w:pPr>
        <w:tabs>
          <w:tab w:val="left" w:pos="6300"/>
        </w:tabs>
        <w:snapToGrid w:val="0"/>
        <w:rPr>
          <w:snapToGrid w:val="0"/>
          <w:kern w:val="0"/>
        </w:rPr>
      </w:pPr>
    </w:p>
    <w:p w14:paraId="789E59CB">
      <w:pPr>
        <w:tabs>
          <w:tab w:val="left" w:pos="6300"/>
        </w:tabs>
        <w:snapToGrid w:val="0"/>
        <w:rPr>
          <w:snapToGrid w:val="0"/>
          <w:kern w:val="0"/>
        </w:rPr>
      </w:pPr>
      <w:r>
        <w:rPr>
          <w:rFonts w:hint="eastAsia"/>
          <w:snapToGrid w:val="0"/>
          <w:kern w:val="0"/>
        </w:rPr>
        <w:t>致：</w:t>
      </w:r>
      <w:r>
        <w:rPr>
          <w:rFonts w:hint="eastAsia"/>
          <w:snapToGrid w:val="0"/>
          <w:kern w:val="0"/>
          <w:u w:val="single"/>
        </w:rPr>
        <w:t>重庆三峡银行股份有限公司</w:t>
      </w:r>
      <w:r>
        <w:rPr>
          <w:rFonts w:hint="eastAsia"/>
          <w:snapToGrid w:val="0"/>
          <w:kern w:val="0"/>
        </w:rPr>
        <w:t>：</w:t>
      </w:r>
    </w:p>
    <w:p w14:paraId="330E24BB">
      <w:pPr>
        <w:tabs>
          <w:tab w:val="left" w:pos="6300"/>
        </w:tabs>
        <w:snapToGrid w:val="0"/>
        <w:rPr>
          <w:snapToGrid w:val="0"/>
          <w:kern w:val="0"/>
        </w:rPr>
      </w:pPr>
      <w:r>
        <w:rPr>
          <w:rFonts w:hint="eastAsia"/>
          <w:snapToGrid w:val="0"/>
          <w:kern w:val="0"/>
          <w:u w:val="single"/>
        </w:rPr>
        <w:t xml:space="preserve">        </w:t>
      </w:r>
      <w:r>
        <w:rPr>
          <w:rFonts w:hint="eastAsia"/>
          <w:snapToGrid w:val="0"/>
          <w:kern w:val="0"/>
        </w:rPr>
        <w:t>（</w:t>
      </w:r>
      <w:r>
        <w:rPr>
          <w:rFonts w:hint="eastAsia" w:cs="Cambria"/>
          <w:snapToGrid w:val="0"/>
          <w:kern w:val="0"/>
          <w:szCs w:val="24"/>
        </w:rPr>
        <w:t>响应</w:t>
      </w:r>
      <w:r>
        <w:rPr>
          <w:rFonts w:hint="eastAsia"/>
          <w:snapToGrid w:val="0"/>
          <w:kern w:val="0"/>
        </w:rPr>
        <w:t>人法定代表人）是</w:t>
      </w:r>
      <w:r>
        <w:rPr>
          <w:rFonts w:hint="eastAsia"/>
          <w:snapToGrid w:val="0"/>
          <w:kern w:val="0"/>
          <w:u w:val="single"/>
        </w:rPr>
        <w:t xml:space="preserve">        </w:t>
      </w:r>
      <w:r>
        <w:rPr>
          <w:rFonts w:hint="eastAsia"/>
          <w:snapToGrid w:val="0"/>
          <w:kern w:val="0"/>
        </w:rPr>
        <w:t>（</w:t>
      </w:r>
      <w:r>
        <w:rPr>
          <w:rFonts w:hint="eastAsia" w:cs="Cambria"/>
          <w:snapToGrid w:val="0"/>
          <w:kern w:val="0"/>
          <w:szCs w:val="24"/>
        </w:rPr>
        <w:t>响应</w:t>
      </w:r>
      <w:r>
        <w:rPr>
          <w:rFonts w:hint="eastAsia"/>
          <w:snapToGrid w:val="0"/>
          <w:kern w:val="0"/>
        </w:rPr>
        <w:t>人名称）的法定代表人，特授权</w:t>
      </w:r>
      <w:r>
        <w:rPr>
          <w:rFonts w:hint="eastAsia"/>
          <w:snapToGrid w:val="0"/>
          <w:kern w:val="0"/>
          <w:u w:val="single"/>
        </w:rPr>
        <w:t xml:space="preserve">        </w:t>
      </w:r>
      <w:r>
        <w:rPr>
          <w:rFonts w:hint="eastAsia"/>
          <w:snapToGrid w:val="0"/>
          <w:kern w:val="0"/>
        </w:rPr>
        <w:t>（委托代理人姓名及身份证代码）代表我单位全权办理上述项目的</w:t>
      </w:r>
      <w:r>
        <w:rPr>
          <w:rFonts w:hint="eastAsia" w:cs="Cambria"/>
          <w:snapToGrid w:val="0"/>
          <w:kern w:val="0"/>
          <w:szCs w:val="24"/>
        </w:rPr>
        <w:t>响应</w:t>
      </w:r>
      <w:r>
        <w:rPr>
          <w:rFonts w:hint="eastAsia"/>
          <w:snapToGrid w:val="0"/>
          <w:kern w:val="0"/>
        </w:rPr>
        <w:t>、谈判、签约等具体工作，并签署全部有关文件、协议及合同。</w:t>
      </w:r>
    </w:p>
    <w:p w14:paraId="6DB214FE">
      <w:pPr>
        <w:tabs>
          <w:tab w:val="left" w:pos="6300"/>
        </w:tabs>
        <w:snapToGrid w:val="0"/>
        <w:rPr>
          <w:snapToGrid w:val="0"/>
          <w:kern w:val="0"/>
        </w:rPr>
      </w:pPr>
      <w:r>
        <w:rPr>
          <w:rFonts w:hint="eastAsia"/>
          <w:snapToGrid w:val="0"/>
          <w:kern w:val="0"/>
        </w:rPr>
        <w:t>我单位对</w:t>
      </w:r>
      <w:r>
        <w:rPr>
          <w:snapToGrid w:val="0"/>
          <w:kern w:val="0"/>
        </w:rPr>
        <w:t>委托代理人</w:t>
      </w:r>
      <w:r>
        <w:rPr>
          <w:rFonts w:hint="eastAsia"/>
          <w:snapToGrid w:val="0"/>
          <w:kern w:val="0"/>
        </w:rPr>
        <w:t>的签字负全部责任。</w:t>
      </w:r>
    </w:p>
    <w:p w14:paraId="5E4D6B1A">
      <w:pPr>
        <w:tabs>
          <w:tab w:val="left" w:pos="6300"/>
        </w:tabs>
        <w:snapToGrid w:val="0"/>
        <w:rPr>
          <w:snapToGrid w:val="0"/>
          <w:kern w:val="0"/>
        </w:rPr>
      </w:pPr>
      <w:r>
        <w:rPr>
          <w:rFonts w:hint="eastAsia"/>
          <w:snapToGrid w:val="0"/>
          <w:kern w:val="0"/>
        </w:rPr>
        <w:t>在撤销授权的书面通知以前，本授权书一直有效。</w:t>
      </w:r>
      <w:r>
        <w:rPr>
          <w:snapToGrid w:val="0"/>
          <w:kern w:val="0"/>
        </w:rPr>
        <w:t>委托代理人</w:t>
      </w:r>
      <w:r>
        <w:rPr>
          <w:rFonts w:hint="eastAsia"/>
          <w:snapToGrid w:val="0"/>
          <w:kern w:val="0"/>
        </w:rPr>
        <w:t>在授权书有效期内签署的所有文件不因授权的撤销而失效。</w:t>
      </w:r>
    </w:p>
    <w:p w14:paraId="2E5500B2">
      <w:pPr>
        <w:tabs>
          <w:tab w:val="left" w:pos="6300"/>
        </w:tabs>
        <w:snapToGrid w:val="0"/>
        <w:rPr>
          <w:snapToGrid w:val="0"/>
          <w:kern w:val="0"/>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0F8DE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tcPr>
          <w:p w14:paraId="1744F4D9">
            <w:pPr>
              <w:tabs>
                <w:tab w:val="left" w:pos="6300"/>
              </w:tabs>
              <w:snapToGrid w:val="0"/>
              <w:ind w:firstLine="0" w:firstLineChars="0"/>
              <w:rPr>
                <w:snapToGrid w:val="0"/>
                <w:kern w:val="0"/>
              </w:rPr>
            </w:pPr>
            <w:r>
              <w:rPr>
                <w:snapToGrid w:val="0"/>
                <w:kern w:val="0"/>
              </w:rPr>
              <w:t>委托代理人</w:t>
            </w:r>
          </w:p>
        </w:tc>
        <w:tc>
          <w:tcPr>
            <w:tcW w:w="4261" w:type="dxa"/>
            <w:tcBorders>
              <w:top w:val="nil"/>
              <w:left w:val="nil"/>
              <w:bottom w:val="nil"/>
              <w:right w:val="nil"/>
            </w:tcBorders>
          </w:tcPr>
          <w:p w14:paraId="54BFCA32">
            <w:pPr>
              <w:tabs>
                <w:tab w:val="left" w:pos="6300"/>
              </w:tabs>
              <w:snapToGrid w:val="0"/>
              <w:ind w:firstLine="0" w:firstLineChars="0"/>
              <w:rPr>
                <w:snapToGrid w:val="0"/>
                <w:kern w:val="0"/>
              </w:rPr>
            </w:pPr>
            <w:r>
              <w:rPr>
                <w:rFonts w:hint="eastAsia" w:cs="Cambria"/>
                <w:snapToGrid w:val="0"/>
                <w:kern w:val="0"/>
                <w:szCs w:val="24"/>
              </w:rPr>
              <w:t>响应</w:t>
            </w:r>
            <w:r>
              <w:rPr>
                <w:rFonts w:hint="eastAsia"/>
                <w:snapToGrid w:val="0"/>
                <w:kern w:val="0"/>
              </w:rPr>
              <w:t>人法定代表人名称：</w:t>
            </w:r>
          </w:p>
        </w:tc>
      </w:tr>
      <w:tr w14:paraId="57BDC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tcPr>
          <w:p w14:paraId="1DCA1E4D">
            <w:pPr>
              <w:tabs>
                <w:tab w:val="left" w:pos="6300"/>
              </w:tabs>
              <w:snapToGrid w:val="0"/>
              <w:ind w:firstLine="0" w:firstLineChars="0"/>
              <w:rPr>
                <w:snapToGrid w:val="0"/>
                <w:kern w:val="0"/>
              </w:rPr>
            </w:pPr>
            <w:r>
              <w:rPr>
                <w:rFonts w:hint="eastAsia"/>
                <w:snapToGrid w:val="0"/>
                <w:kern w:val="0"/>
                <w:szCs w:val="28"/>
              </w:rPr>
              <w:t>（签字或盖章）</w:t>
            </w:r>
          </w:p>
        </w:tc>
        <w:tc>
          <w:tcPr>
            <w:tcW w:w="4261" w:type="dxa"/>
            <w:tcBorders>
              <w:top w:val="nil"/>
              <w:left w:val="nil"/>
              <w:bottom w:val="nil"/>
              <w:right w:val="nil"/>
            </w:tcBorders>
          </w:tcPr>
          <w:p w14:paraId="3B565F97">
            <w:pPr>
              <w:tabs>
                <w:tab w:val="left" w:pos="6300"/>
              </w:tabs>
              <w:snapToGrid w:val="0"/>
              <w:ind w:firstLine="0" w:firstLineChars="0"/>
              <w:rPr>
                <w:snapToGrid w:val="0"/>
                <w:kern w:val="0"/>
              </w:rPr>
            </w:pPr>
            <w:r>
              <w:rPr>
                <w:rFonts w:hint="eastAsia"/>
                <w:snapToGrid w:val="0"/>
                <w:kern w:val="0"/>
                <w:szCs w:val="28"/>
              </w:rPr>
              <w:t>（签字或盖章）</w:t>
            </w:r>
          </w:p>
        </w:tc>
      </w:tr>
    </w:tbl>
    <w:p w14:paraId="6E6E9079">
      <w:pPr>
        <w:tabs>
          <w:tab w:val="left" w:pos="6300"/>
        </w:tabs>
        <w:snapToGrid w:val="0"/>
        <w:rPr>
          <w:snapToGrid w:val="0"/>
          <w:kern w:val="0"/>
        </w:rPr>
      </w:pPr>
    </w:p>
    <w:p w14:paraId="02459DDC">
      <w:pPr>
        <w:tabs>
          <w:tab w:val="left" w:pos="6300"/>
        </w:tabs>
        <w:snapToGrid w:val="0"/>
        <w:rPr>
          <w:snapToGrid w:val="0"/>
          <w:kern w:val="0"/>
          <w:szCs w:val="28"/>
        </w:rPr>
      </w:pPr>
    </w:p>
    <w:p w14:paraId="63359E7E">
      <w:pPr>
        <w:tabs>
          <w:tab w:val="left" w:pos="6300"/>
        </w:tabs>
        <w:snapToGrid w:val="0"/>
        <w:rPr>
          <w:snapToGrid w:val="0"/>
          <w:kern w:val="0"/>
        </w:rPr>
      </w:pPr>
    </w:p>
    <w:p w14:paraId="2DE9C86F">
      <w:pPr>
        <w:tabs>
          <w:tab w:val="left" w:pos="6300"/>
        </w:tabs>
        <w:snapToGrid w:val="0"/>
        <w:rPr>
          <w:snapToGrid w:val="0"/>
          <w:kern w:val="0"/>
        </w:rPr>
      </w:pPr>
      <w:r>
        <w:rPr>
          <w:rFonts w:hint="eastAsia"/>
          <w:snapToGrid w:val="0"/>
          <w:kern w:val="0"/>
        </w:rPr>
        <w:t>（附：</w:t>
      </w:r>
      <w:r>
        <w:rPr>
          <w:snapToGrid w:val="0"/>
          <w:kern w:val="0"/>
        </w:rPr>
        <w:t>委托代理人</w:t>
      </w:r>
      <w:r>
        <w:rPr>
          <w:rFonts w:hint="eastAsia"/>
          <w:snapToGrid w:val="0"/>
          <w:kern w:val="0"/>
        </w:rPr>
        <w:t>身份证正反面复印件）</w:t>
      </w:r>
    </w:p>
    <w:p w14:paraId="69C468E8">
      <w:pPr>
        <w:tabs>
          <w:tab w:val="left" w:pos="6300"/>
        </w:tabs>
        <w:snapToGrid w:val="0"/>
        <w:rPr>
          <w:snapToGrid w:val="0"/>
          <w:kern w:val="0"/>
        </w:rPr>
      </w:pPr>
    </w:p>
    <w:p w14:paraId="50EDBC39">
      <w:pPr>
        <w:tabs>
          <w:tab w:val="left" w:pos="6300"/>
        </w:tabs>
        <w:snapToGrid w:val="0"/>
        <w:rPr>
          <w:snapToGrid w:val="0"/>
          <w:kern w:val="0"/>
        </w:rPr>
      </w:pPr>
    </w:p>
    <w:p w14:paraId="42BAA131">
      <w:pPr>
        <w:tabs>
          <w:tab w:val="left" w:pos="6300"/>
        </w:tabs>
        <w:snapToGrid w:val="0"/>
        <w:ind w:firstLine="5250" w:firstLineChars="2500"/>
        <w:rPr>
          <w:snapToGrid w:val="0"/>
          <w:kern w:val="0"/>
        </w:rPr>
      </w:pPr>
      <w:r>
        <w:rPr>
          <w:rFonts w:hint="eastAsia"/>
          <w:snapToGrid w:val="0"/>
          <w:kern w:val="0"/>
        </w:rPr>
        <w:t>响应人：</w:t>
      </w:r>
    </w:p>
    <w:p w14:paraId="0945192B">
      <w:pPr>
        <w:tabs>
          <w:tab w:val="left" w:pos="6300"/>
        </w:tabs>
        <w:snapToGrid w:val="0"/>
        <w:ind w:firstLine="5040" w:firstLineChars="2400"/>
        <w:rPr>
          <w:snapToGrid w:val="0"/>
          <w:kern w:val="0"/>
        </w:rPr>
      </w:pPr>
      <w:r>
        <w:rPr>
          <w:rFonts w:hint="eastAsia"/>
          <w:snapToGrid w:val="0"/>
          <w:kern w:val="0"/>
        </w:rPr>
        <w:t>（</w:t>
      </w:r>
      <w:r>
        <w:rPr>
          <w:rFonts w:hint="eastAsia" w:cs="Cambria"/>
          <w:snapToGrid w:val="0"/>
          <w:kern w:val="0"/>
          <w:szCs w:val="24"/>
        </w:rPr>
        <w:t>响应人</w:t>
      </w:r>
      <w:r>
        <w:rPr>
          <w:rFonts w:hint="eastAsia"/>
          <w:snapToGrid w:val="0"/>
          <w:kern w:val="0"/>
        </w:rPr>
        <w:t>公章）</w:t>
      </w:r>
    </w:p>
    <w:p w14:paraId="531E7F43">
      <w:pPr>
        <w:tabs>
          <w:tab w:val="left" w:pos="6300"/>
        </w:tabs>
        <w:snapToGrid w:val="0"/>
        <w:ind w:right="480"/>
        <w:jc w:val="right"/>
        <w:rPr>
          <w:snapToGrid w:val="0"/>
          <w:kern w:val="0"/>
        </w:rPr>
      </w:pPr>
      <w:r>
        <w:rPr>
          <w:rFonts w:hint="eastAsia"/>
          <w:snapToGrid w:val="0"/>
          <w:kern w:val="0"/>
        </w:rPr>
        <w:t>年   月   日</w:t>
      </w:r>
    </w:p>
    <w:p w14:paraId="5A0A97A6">
      <w:pPr>
        <w:tabs>
          <w:tab w:val="left" w:pos="6300"/>
        </w:tabs>
        <w:snapToGrid w:val="0"/>
        <w:rPr>
          <w:snapToGrid w:val="0"/>
          <w:kern w:val="0"/>
        </w:rPr>
      </w:pPr>
    </w:p>
    <w:p w14:paraId="757DB4CB">
      <w:pPr>
        <w:tabs>
          <w:tab w:val="left" w:pos="6300"/>
        </w:tabs>
        <w:snapToGrid w:val="0"/>
        <w:rPr>
          <w:snapToGrid w:val="0"/>
          <w:kern w:val="0"/>
        </w:rPr>
      </w:pPr>
      <w:r>
        <w:rPr>
          <w:rFonts w:hint="eastAsia"/>
          <w:snapToGrid w:val="0"/>
          <w:kern w:val="0"/>
        </w:rPr>
        <w:t>注：若为法定代表人办理并签署响应文件的，不提供此文件。</w:t>
      </w:r>
    </w:p>
    <w:p w14:paraId="73A78FF4"/>
    <w:p w14:paraId="79E8023C">
      <w:pPr>
        <w:sectPr>
          <w:pgSz w:w="11906" w:h="16838"/>
          <w:pgMar w:top="1440" w:right="1800" w:bottom="1440" w:left="1800" w:header="851" w:footer="992" w:gutter="0"/>
          <w:cols w:space="720" w:num="1"/>
          <w:docGrid w:type="lines" w:linePitch="312" w:charSpace="0"/>
        </w:sectPr>
      </w:pPr>
    </w:p>
    <w:p w14:paraId="4D491B4C">
      <w:pPr>
        <w:pStyle w:val="32"/>
      </w:pPr>
      <w:r>
        <w:rPr>
          <w:rFonts w:hint="eastAsia"/>
        </w:rPr>
        <w:t>四、商务部分文件</w:t>
      </w:r>
    </w:p>
    <w:p w14:paraId="44E57855">
      <w:pPr>
        <w:pStyle w:val="42"/>
      </w:pPr>
      <w:r>
        <w:rPr>
          <w:rFonts w:hint="eastAsia"/>
        </w:rPr>
        <w:t>（根据询比文件要求，提供相关材料）</w:t>
      </w:r>
    </w:p>
    <w:p w14:paraId="0B985382">
      <w:pPr>
        <w:rPr>
          <w:lang w:val="zh-CN"/>
        </w:rPr>
      </w:pPr>
    </w:p>
    <w:p w14:paraId="694C630B"/>
    <w:p w14:paraId="3941B489"/>
    <w:p w14:paraId="13412813"/>
    <w:p w14:paraId="1BE92707">
      <w:pPr>
        <w:sectPr>
          <w:pgSz w:w="11906" w:h="16838"/>
          <w:pgMar w:top="1440" w:right="1800" w:bottom="1440" w:left="1800" w:header="851" w:footer="992" w:gutter="0"/>
          <w:cols w:space="720" w:num="1"/>
          <w:docGrid w:type="lines" w:linePitch="312" w:charSpace="0"/>
        </w:sectPr>
      </w:pPr>
    </w:p>
    <w:p w14:paraId="49ADBD8E">
      <w:pPr>
        <w:pStyle w:val="32"/>
      </w:pPr>
      <w:r>
        <w:rPr>
          <w:rFonts w:hint="eastAsia"/>
        </w:rPr>
        <w:t>五、技术部分文件</w:t>
      </w:r>
    </w:p>
    <w:p w14:paraId="72E0F8EF">
      <w:pPr>
        <w:pStyle w:val="42"/>
      </w:pPr>
      <w:r>
        <w:rPr>
          <w:rFonts w:hint="eastAsia"/>
        </w:rPr>
        <w:t>（根据询比文件要求，提供相关材料）</w:t>
      </w:r>
    </w:p>
    <w:p w14:paraId="5FCB3B0E"/>
    <w:p w14:paraId="2EF0CD8D"/>
    <w:p w14:paraId="70D76FD7">
      <w:pPr>
        <w:sectPr>
          <w:pgSz w:w="11906" w:h="16838"/>
          <w:pgMar w:top="1440" w:right="1800" w:bottom="1440" w:left="1800" w:header="851" w:footer="992" w:gutter="0"/>
          <w:cols w:space="720" w:num="1"/>
          <w:docGrid w:type="lines" w:linePitch="312" w:charSpace="0"/>
        </w:sectPr>
      </w:pPr>
    </w:p>
    <w:p w14:paraId="659CF7AE">
      <w:pPr>
        <w:pStyle w:val="32"/>
      </w:pPr>
      <w:r>
        <w:rPr>
          <w:rFonts w:hint="eastAsia"/>
        </w:rPr>
        <w:t>六、资格审查资料</w:t>
      </w:r>
    </w:p>
    <w:p w14:paraId="1072C2AD">
      <w:pPr>
        <w:pStyle w:val="33"/>
      </w:pPr>
      <w:r>
        <w:rPr>
          <w:rFonts w:hint="eastAsia"/>
        </w:rPr>
        <w:t>（一）响应承诺函</w:t>
      </w:r>
    </w:p>
    <w:p w14:paraId="70DED8CD">
      <w:r>
        <w:rPr>
          <w:rFonts w:hint="eastAsia"/>
        </w:rPr>
        <w:t>根据第五章“项目要求”内容，做出整体承诺，格式自理。</w:t>
      </w:r>
    </w:p>
    <w:p w14:paraId="607D0006"/>
    <w:p w14:paraId="071CEE1B"/>
    <w:p w14:paraId="2B98C540">
      <w:pPr>
        <w:sectPr>
          <w:pgSz w:w="11906" w:h="16838"/>
          <w:pgMar w:top="1440" w:right="1800" w:bottom="1440" w:left="1800" w:header="851" w:footer="992" w:gutter="0"/>
          <w:cols w:space="720" w:num="1"/>
          <w:docGrid w:type="lines" w:linePitch="312" w:charSpace="0"/>
        </w:sectPr>
      </w:pPr>
    </w:p>
    <w:p w14:paraId="189EA3CF">
      <w:pPr>
        <w:pStyle w:val="33"/>
      </w:pPr>
      <w:r>
        <w:t>（</w:t>
      </w:r>
      <w:r>
        <w:rPr>
          <w:rFonts w:hint="eastAsia"/>
        </w:rPr>
        <w:t>二</w:t>
      </w:r>
      <w:r>
        <w:t>）</w:t>
      </w:r>
      <w:r>
        <w:rPr>
          <w:rFonts w:hint="eastAsia"/>
        </w:rPr>
        <w:t>响应人</w:t>
      </w:r>
      <w:r>
        <w:t>基本情况介绍，资质证明等</w:t>
      </w:r>
    </w:p>
    <w:tbl>
      <w:tblPr>
        <w:tblStyle w:val="19"/>
        <w:tblW w:w="533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20"/>
        <w:gridCol w:w="944"/>
        <w:gridCol w:w="2024"/>
        <w:gridCol w:w="800"/>
        <w:gridCol w:w="3005"/>
      </w:tblGrid>
      <w:tr w14:paraId="3C496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95" w:type="pct"/>
            <w:vAlign w:val="center"/>
          </w:tcPr>
          <w:p w14:paraId="3AC81947">
            <w:pPr>
              <w:pStyle w:val="34"/>
              <w:jc w:val="center"/>
            </w:pPr>
            <w:r>
              <w:rPr>
                <w:rFonts w:hint="eastAsia"/>
              </w:rPr>
              <w:t>响应人名称</w:t>
            </w:r>
          </w:p>
        </w:tc>
        <w:tc>
          <w:tcPr>
            <w:tcW w:w="3487" w:type="pct"/>
            <w:gridSpan w:val="4"/>
            <w:vAlign w:val="center"/>
          </w:tcPr>
          <w:p w14:paraId="158DAE56">
            <w:pPr>
              <w:pStyle w:val="34"/>
              <w:jc w:val="center"/>
            </w:pPr>
          </w:p>
        </w:tc>
      </w:tr>
      <w:tr w14:paraId="6269F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95" w:type="pct"/>
            <w:vAlign w:val="center"/>
          </w:tcPr>
          <w:p w14:paraId="5BD8818E">
            <w:pPr>
              <w:pStyle w:val="34"/>
              <w:jc w:val="center"/>
            </w:pPr>
            <w:r>
              <w:rPr>
                <w:rFonts w:hint="eastAsia"/>
              </w:rPr>
              <w:t>联系方式</w:t>
            </w:r>
          </w:p>
        </w:tc>
        <w:tc>
          <w:tcPr>
            <w:tcW w:w="486" w:type="pct"/>
            <w:tcBorders>
              <w:top w:val="single" w:color="auto" w:sz="4" w:space="0"/>
              <w:left w:val="single" w:color="auto" w:sz="4" w:space="0"/>
              <w:right w:val="single" w:color="auto" w:sz="4" w:space="0"/>
            </w:tcBorders>
            <w:vAlign w:val="center"/>
          </w:tcPr>
          <w:p w14:paraId="3167A1BA">
            <w:pPr>
              <w:pStyle w:val="34"/>
              <w:jc w:val="center"/>
            </w:pPr>
            <w:r>
              <w:rPr>
                <w:rFonts w:hint="eastAsia"/>
              </w:rPr>
              <w:t>联系人</w:t>
            </w:r>
          </w:p>
        </w:tc>
        <w:tc>
          <w:tcPr>
            <w:tcW w:w="1042" w:type="pct"/>
            <w:tcBorders>
              <w:top w:val="single" w:color="auto" w:sz="4" w:space="0"/>
              <w:left w:val="single" w:color="auto" w:sz="4" w:space="0"/>
              <w:right w:val="single" w:color="auto" w:sz="4" w:space="0"/>
            </w:tcBorders>
            <w:vAlign w:val="center"/>
          </w:tcPr>
          <w:p w14:paraId="606FC901">
            <w:pPr>
              <w:pStyle w:val="34"/>
              <w:jc w:val="center"/>
            </w:pPr>
          </w:p>
        </w:tc>
        <w:tc>
          <w:tcPr>
            <w:tcW w:w="412" w:type="pct"/>
            <w:tcBorders>
              <w:top w:val="single" w:color="auto" w:sz="4" w:space="0"/>
              <w:left w:val="single" w:color="auto" w:sz="4" w:space="0"/>
              <w:right w:val="single" w:color="auto" w:sz="4" w:space="0"/>
            </w:tcBorders>
            <w:vAlign w:val="center"/>
          </w:tcPr>
          <w:p w14:paraId="77A510E0">
            <w:pPr>
              <w:pStyle w:val="34"/>
              <w:jc w:val="center"/>
            </w:pPr>
            <w:r>
              <w:rPr>
                <w:rFonts w:hint="eastAsia"/>
              </w:rPr>
              <w:t>电话</w:t>
            </w:r>
          </w:p>
        </w:tc>
        <w:tc>
          <w:tcPr>
            <w:tcW w:w="1546" w:type="pct"/>
            <w:tcBorders>
              <w:left w:val="single" w:color="auto" w:sz="4" w:space="0"/>
            </w:tcBorders>
            <w:vAlign w:val="center"/>
          </w:tcPr>
          <w:p w14:paraId="70FA39E3">
            <w:pPr>
              <w:pStyle w:val="34"/>
              <w:jc w:val="center"/>
            </w:pPr>
          </w:p>
        </w:tc>
      </w:tr>
      <w:tr w14:paraId="35AAB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95" w:type="pct"/>
            <w:vAlign w:val="center"/>
          </w:tcPr>
          <w:p w14:paraId="237A9EE4">
            <w:pPr>
              <w:pStyle w:val="34"/>
              <w:jc w:val="center"/>
            </w:pPr>
            <w:r>
              <w:rPr>
                <w:rFonts w:hint="eastAsia"/>
              </w:rPr>
              <w:t>法定代表人</w:t>
            </w:r>
          </w:p>
        </w:tc>
        <w:tc>
          <w:tcPr>
            <w:tcW w:w="486" w:type="pct"/>
            <w:tcBorders>
              <w:top w:val="single" w:color="auto" w:sz="4" w:space="0"/>
              <w:left w:val="single" w:color="auto" w:sz="4" w:space="0"/>
              <w:right w:val="single" w:color="auto" w:sz="4" w:space="0"/>
            </w:tcBorders>
            <w:vAlign w:val="center"/>
          </w:tcPr>
          <w:p w14:paraId="04C20EC3">
            <w:pPr>
              <w:pStyle w:val="34"/>
              <w:jc w:val="center"/>
            </w:pPr>
            <w:r>
              <w:rPr>
                <w:rFonts w:hint="eastAsia"/>
              </w:rPr>
              <w:t>姓名</w:t>
            </w:r>
          </w:p>
        </w:tc>
        <w:tc>
          <w:tcPr>
            <w:tcW w:w="1042" w:type="pct"/>
            <w:tcBorders>
              <w:top w:val="single" w:color="auto" w:sz="4" w:space="0"/>
              <w:left w:val="single" w:color="auto" w:sz="4" w:space="0"/>
              <w:right w:val="single" w:color="auto" w:sz="4" w:space="0"/>
            </w:tcBorders>
            <w:vAlign w:val="center"/>
          </w:tcPr>
          <w:p w14:paraId="72814A58">
            <w:pPr>
              <w:pStyle w:val="34"/>
              <w:jc w:val="center"/>
            </w:pPr>
          </w:p>
        </w:tc>
        <w:tc>
          <w:tcPr>
            <w:tcW w:w="412" w:type="pct"/>
            <w:tcBorders>
              <w:top w:val="single" w:color="auto" w:sz="4" w:space="0"/>
              <w:left w:val="single" w:color="auto" w:sz="4" w:space="0"/>
              <w:right w:val="single" w:color="auto" w:sz="4" w:space="0"/>
            </w:tcBorders>
            <w:vAlign w:val="center"/>
          </w:tcPr>
          <w:p w14:paraId="79AF0BA8">
            <w:pPr>
              <w:pStyle w:val="34"/>
              <w:jc w:val="center"/>
            </w:pPr>
            <w:r>
              <w:rPr>
                <w:rFonts w:hint="eastAsia"/>
              </w:rPr>
              <w:t>电话</w:t>
            </w:r>
          </w:p>
        </w:tc>
        <w:tc>
          <w:tcPr>
            <w:tcW w:w="1546" w:type="pct"/>
            <w:tcBorders>
              <w:top w:val="single" w:color="auto" w:sz="4" w:space="0"/>
              <w:left w:val="single" w:color="auto" w:sz="4" w:space="0"/>
            </w:tcBorders>
            <w:vAlign w:val="center"/>
          </w:tcPr>
          <w:p w14:paraId="50C5D3CB">
            <w:pPr>
              <w:pStyle w:val="34"/>
              <w:jc w:val="center"/>
            </w:pPr>
          </w:p>
        </w:tc>
      </w:tr>
      <w:tr w14:paraId="286BA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95" w:type="pct"/>
            <w:vAlign w:val="center"/>
          </w:tcPr>
          <w:p w14:paraId="39D9B5B9">
            <w:pPr>
              <w:pStyle w:val="34"/>
              <w:jc w:val="center"/>
            </w:pPr>
            <w:r>
              <w:rPr>
                <w:rFonts w:hint="eastAsia"/>
              </w:rPr>
              <w:t>统一社会信用代码</w:t>
            </w:r>
          </w:p>
        </w:tc>
        <w:tc>
          <w:tcPr>
            <w:tcW w:w="3487" w:type="pct"/>
            <w:gridSpan w:val="4"/>
            <w:tcBorders>
              <w:top w:val="single" w:color="auto" w:sz="4" w:space="0"/>
              <w:left w:val="single" w:color="auto" w:sz="4" w:space="0"/>
            </w:tcBorders>
            <w:vAlign w:val="center"/>
          </w:tcPr>
          <w:p w14:paraId="0B9576DA">
            <w:pPr>
              <w:pStyle w:val="34"/>
              <w:jc w:val="center"/>
            </w:pPr>
          </w:p>
        </w:tc>
      </w:tr>
      <w:tr w14:paraId="16AED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95" w:type="pct"/>
            <w:vAlign w:val="center"/>
          </w:tcPr>
          <w:p w14:paraId="0215A324">
            <w:pPr>
              <w:pStyle w:val="34"/>
              <w:jc w:val="center"/>
            </w:pPr>
            <w:r>
              <w:rPr>
                <w:rFonts w:hint="eastAsia"/>
              </w:rPr>
              <w:t>注册资金</w:t>
            </w:r>
          </w:p>
        </w:tc>
        <w:tc>
          <w:tcPr>
            <w:tcW w:w="3487" w:type="pct"/>
            <w:gridSpan w:val="4"/>
            <w:tcBorders>
              <w:top w:val="single" w:color="auto" w:sz="4" w:space="0"/>
              <w:left w:val="single" w:color="auto" w:sz="4" w:space="0"/>
            </w:tcBorders>
            <w:vAlign w:val="center"/>
          </w:tcPr>
          <w:p w14:paraId="600CEA85">
            <w:pPr>
              <w:pStyle w:val="34"/>
              <w:jc w:val="center"/>
            </w:pPr>
          </w:p>
        </w:tc>
      </w:tr>
      <w:tr w14:paraId="69F74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95" w:type="pct"/>
            <w:vAlign w:val="center"/>
          </w:tcPr>
          <w:p w14:paraId="56553B7D">
            <w:pPr>
              <w:pStyle w:val="34"/>
              <w:jc w:val="center"/>
            </w:pPr>
            <w:r>
              <w:rPr>
                <w:rFonts w:hint="eastAsia"/>
              </w:rPr>
              <w:t>开户银行</w:t>
            </w:r>
          </w:p>
        </w:tc>
        <w:tc>
          <w:tcPr>
            <w:tcW w:w="3487" w:type="pct"/>
            <w:gridSpan w:val="4"/>
            <w:tcBorders>
              <w:top w:val="single" w:color="auto" w:sz="4" w:space="0"/>
              <w:left w:val="single" w:color="auto" w:sz="4" w:space="0"/>
            </w:tcBorders>
            <w:vAlign w:val="center"/>
          </w:tcPr>
          <w:p w14:paraId="5AD9D40E">
            <w:pPr>
              <w:pStyle w:val="34"/>
              <w:jc w:val="center"/>
            </w:pPr>
          </w:p>
        </w:tc>
      </w:tr>
      <w:tr w14:paraId="4665B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95" w:type="pct"/>
            <w:vAlign w:val="center"/>
          </w:tcPr>
          <w:p w14:paraId="5F6BDB16">
            <w:pPr>
              <w:pStyle w:val="34"/>
              <w:jc w:val="center"/>
            </w:pPr>
            <w:r>
              <w:rPr>
                <w:rFonts w:hint="eastAsia"/>
              </w:rPr>
              <w:t>账号</w:t>
            </w:r>
          </w:p>
        </w:tc>
        <w:tc>
          <w:tcPr>
            <w:tcW w:w="3487" w:type="pct"/>
            <w:gridSpan w:val="4"/>
            <w:tcBorders>
              <w:top w:val="single" w:color="auto" w:sz="4" w:space="0"/>
              <w:left w:val="single" w:color="auto" w:sz="4" w:space="0"/>
            </w:tcBorders>
            <w:vAlign w:val="center"/>
          </w:tcPr>
          <w:p w14:paraId="621B504E">
            <w:pPr>
              <w:pStyle w:val="34"/>
              <w:jc w:val="center"/>
            </w:pPr>
          </w:p>
        </w:tc>
      </w:tr>
      <w:tr w14:paraId="61265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0" w:hRule="atLeast"/>
          <w:jc w:val="center"/>
        </w:trPr>
        <w:tc>
          <w:tcPr>
            <w:tcW w:w="1195" w:type="pct"/>
            <w:vAlign w:val="center"/>
          </w:tcPr>
          <w:p w14:paraId="3A3A68BD">
            <w:pPr>
              <w:pStyle w:val="34"/>
              <w:jc w:val="center"/>
            </w:pPr>
            <w:r>
              <w:rPr>
                <w:rFonts w:hint="eastAsia"/>
              </w:rPr>
              <w:t>备注</w:t>
            </w:r>
          </w:p>
        </w:tc>
        <w:tc>
          <w:tcPr>
            <w:tcW w:w="3487" w:type="pct"/>
            <w:gridSpan w:val="4"/>
            <w:tcBorders>
              <w:left w:val="single" w:color="auto" w:sz="4" w:space="0"/>
            </w:tcBorders>
            <w:vAlign w:val="center"/>
          </w:tcPr>
          <w:p w14:paraId="3452E686">
            <w:pPr>
              <w:pStyle w:val="34"/>
              <w:jc w:val="center"/>
            </w:pPr>
          </w:p>
        </w:tc>
      </w:tr>
    </w:tbl>
    <w:p w14:paraId="592793FA">
      <w:pPr>
        <w:sectPr>
          <w:pgSz w:w="11906" w:h="16838"/>
          <w:pgMar w:top="1440" w:right="1800" w:bottom="1440" w:left="1800" w:header="851" w:footer="992" w:gutter="0"/>
          <w:cols w:space="720" w:num="1"/>
          <w:docGrid w:type="lines" w:linePitch="312" w:charSpace="0"/>
        </w:sectPr>
      </w:pPr>
      <w:r>
        <w:rPr>
          <w:rFonts w:hint="eastAsia"/>
        </w:rPr>
        <w:t>注：附营业执照（副本）、资质证明复印件等。</w:t>
      </w:r>
    </w:p>
    <w:p w14:paraId="1EB1BF55">
      <w:pPr>
        <w:pStyle w:val="33"/>
      </w:pPr>
      <w:r>
        <w:rPr>
          <w:rFonts w:hint="eastAsia"/>
        </w:rPr>
        <w:t>（三）书面声明</w:t>
      </w:r>
    </w:p>
    <w:p w14:paraId="326E6A94">
      <w:pPr>
        <w:tabs>
          <w:tab w:val="left" w:pos="6300"/>
        </w:tabs>
        <w:snapToGrid w:val="0"/>
        <w:rPr>
          <w:rFonts w:ascii="宋体"/>
          <w:sz w:val="24"/>
        </w:rPr>
      </w:pPr>
    </w:p>
    <w:p w14:paraId="43C75E6D">
      <w:pPr>
        <w:tabs>
          <w:tab w:val="left" w:pos="6300"/>
        </w:tabs>
        <w:snapToGrid w:val="0"/>
        <w:rPr>
          <w:rFonts w:ascii="宋体"/>
          <w:sz w:val="24"/>
        </w:rPr>
      </w:pPr>
      <w:r>
        <w:rPr>
          <w:rFonts w:hint="eastAsia" w:ascii="宋体"/>
          <w:sz w:val="24"/>
          <w:szCs w:val="28"/>
        </w:rPr>
        <w:t>项目名称</w:t>
      </w:r>
      <w:r>
        <w:rPr>
          <w:rFonts w:hint="eastAsia" w:ascii="宋体"/>
          <w:sz w:val="24"/>
        </w:rPr>
        <w:t>：</w:t>
      </w:r>
      <w:r>
        <w:rPr>
          <w:rFonts w:hint="eastAsia" w:ascii="宋体"/>
          <w:snapToGrid w:val="0"/>
          <w:kern w:val="0"/>
          <w:sz w:val="24"/>
          <w:szCs w:val="24"/>
          <w:u w:val="single"/>
        </w:rPr>
        <w:t>__________________</w:t>
      </w:r>
    </w:p>
    <w:p w14:paraId="506CE270">
      <w:pPr>
        <w:tabs>
          <w:tab w:val="left" w:pos="6300"/>
        </w:tabs>
        <w:snapToGrid w:val="0"/>
        <w:rPr>
          <w:rFonts w:ascii="宋体"/>
          <w:sz w:val="24"/>
        </w:rPr>
      </w:pPr>
    </w:p>
    <w:p w14:paraId="25C704F3">
      <w:pPr>
        <w:tabs>
          <w:tab w:val="left" w:pos="6300"/>
        </w:tabs>
        <w:snapToGrid w:val="0"/>
        <w:rPr>
          <w:rFonts w:ascii="宋体"/>
          <w:sz w:val="24"/>
        </w:rPr>
      </w:pPr>
      <w:r>
        <w:rPr>
          <w:rFonts w:hint="eastAsia" w:ascii="宋体"/>
          <w:sz w:val="24"/>
        </w:rPr>
        <w:t>致：</w:t>
      </w:r>
      <w:r>
        <w:rPr>
          <w:rFonts w:hint="eastAsia" w:ascii="宋体"/>
          <w:snapToGrid w:val="0"/>
          <w:kern w:val="0"/>
          <w:sz w:val="24"/>
          <w:u w:val="single"/>
        </w:rPr>
        <w:t>重庆三峡银行股份有限公司</w:t>
      </w:r>
      <w:r>
        <w:rPr>
          <w:rFonts w:hint="eastAsia" w:ascii="宋体"/>
          <w:sz w:val="24"/>
        </w:rPr>
        <w:t>：</w:t>
      </w:r>
    </w:p>
    <w:p w14:paraId="699A8F80">
      <w:pPr>
        <w:tabs>
          <w:tab w:val="left" w:pos="6300"/>
        </w:tabs>
        <w:snapToGrid w:val="0"/>
        <w:rPr>
          <w:rFonts w:ascii="宋体"/>
          <w:sz w:val="24"/>
        </w:rPr>
      </w:pPr>
      <w:r>
        <w:rPr>
          <w:rFonts w:hint="eastAsia" w:ascii="宋体"/>
          <w:sz w:val="24"/>
          <w:u w:val="single"/>
        </w:rPr>
        <w:t xml:space="preserve">            </w:t>
      </w:r>
      <w:r>
        <w:rPr>
          <w:rFonts w:hint="eastAsia" w:ascii="宋体"/>
          <w:sz w:val="24"/>
        </w:rPr>
        <w:t>（</w:t>
      </w:r>
      <w:r>
        <w:rPr>
          <w:rFonts w:hint="eastAsia" w:ascii="宋体" w:cs="等线 Light"/>
          <w:snapToGrid w:val="0"/>
          <w:kern w:val="0"/>
          <w:sz w:val="24"/>
          <w:szCs w:val="24"/>
        </w:rPr>
        <w:t>响应人</w:t>
      </w:r>
      <w:r>
        <w:rPr>
          <w:rFonts w:hint="eastAsia" w:ascii="宋体"/>
          <w:sz w:val="24"/>
        </w:rPr>
        <w:t>名称）郑重声明，我公司具备丰富的产品线（同时具备中国银联卡生产线、VISA卡或万事达卡的生产线），能够提供符合选型要求的空白卡制作与卡面特殊工艺制作，且具备银联卡、VISA卡或万事达卡的外包制卡能力，具有良好的商业信誉和健全的财务会计制度，具有履行合同所必需的设备和专业技术能力，具有依法缴纳税收和社会保障金的良好记录，在合同签订前后随时愿意提供相关证明材料；我公司还同时声明参加本项目询比活动前三年内无重大违法活动记录，符合法律法规规定的</w:t>
      </w:r>
      <w:r>
        <w:rPr>
          <w:rFonts w:hint="eastAsia" w:ascii="宋体" w:cs="等线 Light"/>
          <w:snapToGrid w:val="0"/>
          <w:kern w:val="0"/>
          <w:sz w:val="24"/>
          <w:szCs w:val="24"/>
        </w:rPr>
        <w:t>响应人</w:t>
      </w:r>
      <w:r>
        <w:rPr>
          <w:rFonts w:hint="eastAsia" w:ascii="宋体"/>
          <w:sz w:val="24"/>
        </w:rPr>
        <w:t>资格条件；</w:t>
      </w:r>
      <w:r>
        <w:rPr>
          <w:rFonts w:hint="eastAsia" w:ascii="宋体" w:cs="Cambria"/>
          <w:sz w:val="24"/>
          <w:szCs w:val="24"/>
        </w:rPr>
        <w:t>我公司本次如若成交，成交后不会对项目进行转包</w:t>
      </w:r>
      <w:r>
        <w:rPr>
          <w:rFonts w:hint="eastAsia" w:ascii="宋体"/>
          <w:sz w:val="24"/>
        </w:rPr>
        <w:t>。证明文件如遇续证情况，由我公司出具原证书和承诺函，并在供货前提供有效期内的相关证书或相关检测机构的证明文件。我方对以上声明负全部法律责任。</w:t>
      </w:r>
    </w:p>
    <w:p w14:paraId="4552E6B0">
      <w:pPr>
        <w:tabs>
          <w:tab w:val="left" w:pos="6300"/>
        </w:tabs>
        <w:snapToGrid w:val="0"/>
        <w:rPr>
          <w:rFonts w:ascii="宋体"/>
          <w:sz w:val="24"/>
        </w:rPr>
      </w:pPr>
      <w:r>
        <w:rPr>
          <w:rFonts w:hint="eastAsia" w:ascii="宋体"/>
          <w:sz w:val="24"/>
        </w:rPr>
        <w:t>特此声明。</w:t>
      </w:r>
    </w:p>
    <w:p w14:paraId="2BFF3C4E">
      <w:pPr>
        <w:tabs>
          <w:tab w:val="left" w:pos="6300"/>
        </w:tabs>
        <w:snapToGrid w:val="0"/>
        <w:rPr>
          <w:rFonts w:ascii="宋体"/>
          <w:sz w:val="24"/>
        </w:rPr>
      </w:pPr>
    </w:p>
    <w:p w14:paraId="2735F3DA">
      <w:pPr>
        <w:tabs>
          <w:tab w:val="left" w:pos="6300"/>
        </w:tabs>
        <w:snapToGrid w:val="0"/>
        <w:rPr>
          <w:rFonts w:ascii="宋体"/>
          <w:sz w:val="24"/>
        </w:rPr>
      </w:pPr>
    </w:p>
    <w:p w14:paraId="49D6087C">
      <w:pPr>
        <w:tabs>
          <w:tab w:val="left" w:pos="6300"/>
        </w:tabs>
        <w:snapToGrid w:val="0"/>
        <w:rPr>
          <w:rFonts w:ascii="宋体"/>
          <w:sz w:val="24"/>
        </w:rPr>
      </w:pPr>
    </w:p>
    <w:p w14:paraId="5F60C6D3">
      <w:pPr>
        <w:tabs>
          <w:tab w:val="left" w:pos="6300"/>
        </w:tabs>
        <w:snapToGrid w:val="0"/>
        <w:ind w:right="424"/>
        <w:jc w:val="right"/>
        <w:rPr>
          <w:rFonts w:ascii="宋体"/>
          <w:sz w:val="24"/>
        </w:rPr>
      </w:pPr>
      <w:r>
        <w:rPr>
          <w:rFonts w:hint="eastAsia" w:ascii="宋体"/>
          <w:sz w:val="24"/>
        </w:rPr>
        <w:t>（</w:t>
      </w:r>
      <w:r>
        <w:rPr>
          <w:rFonts w:hint="eastAsia" w:ascii="宋体" w:cs="等线 Light"/>
          <w:snapToGrid w:val="0"/>
          <w:kern w:val="0"/>
          <w:sz w:val="24"/>
          <w:szCs w:val="24"/>
        </w:rPr>
        <w:t>响应人</w:t>
      </w:r>
      <w:r>
        <w:rPr>
          <w:rFonts w:hint="eastAsia" w:ascii="宋体"/>
          <w:sz w:val="24"/>
        </w:rPr>
        <w:t>公章）</w:t>
      </w:r>
    </w:p>
    <w:p w14:paraId="5A513D04">
      <w:pPr>
        <w:tabs>
          <w:tab w:val="left" w:pos="6300"/>
        </w:tabs>
        <w:snapToGrid w:val="0"/>
        <w:ind w:right="480"/>
        <w:jc w:val="right"/>
        <w:rPr>
          <w:rFonts w:ascii="宋体"/>
          <w:sz w:val="24"/>
        </w:rPr>
      </w:pPr>
      <w:r>
        <w:rPr>
          <w:rFonts w:hint="eastAsia" w:ascii="宋体"/>
          <w:sz w:val="24"/>
        </w:rPr>
        <w:t>年   月   日</w:t>
      </w:r>
    </w:p>
    <w:p w14:paraId="693557C3">
      <w:pPr>
        <w:jc w:val="left"/>
        <w:rPr>
          <w:rFonts w:ascii="宋体" w:cs="等线 Light"/>
          <w:snapToGrid w:val="0"/>
          <w:kern w:val="0"/>
          <w:sz w:val="24"/>
          <w:szCs w:val="24"/>
        </w:rPr>
      </w:pPr>
    </w:p>
    <w:p w14:paraId="2FCB2583">
      <w:pPr>
        <w:jc w:val="left"/>
        <w:rPr>
          <w:rFonts w:ascii="宋体" w:cs="等线 Light"/>
          <w:snapToGrid w:val="0"/>
          <w:kern w:val="0"/>
          <w:sz w:val="24"/>
          <w:szCs w:val="24"/>
        </w:rPr>
      </w:pPr>
    </w:p>
    <w:p w14:paraId="7322C8BD">
      <w:pPr>
        <w:jc w:val="left"/>
        <w:rPr>
          <w:rFonts w:ascii="宋体" w:cs="等线 Light"/>
          <w:snapToGrid w:val="0"/>
          <w:kern w:val="0"/>
          <w:sz w:val="24"/>
          <w:szCs w:val="24"/>
        </w:rPr>
      </w:pPr>
    </w:p>
    <w:p w14:paraId="25361EEF">
      <w:pPr>
        <w:rPr>
          <w:b/>
          <w:bCs/>
        </w:rPr>
      </w:pPr>
      <w:r>
        <w:rPr>
          <w:rFonts w:hint="eastAsia"/>
          <w:kern w:val="0"/>
        </w:rPr>
        <w:br w:type="page"/>
      </w:r>
    </w:p>
    <w:p w14:paraId="2A5DB91E">
      <w:pPr>
        <w:pStyle w:val="33"/>
      </w:pPr>
      <w:r>
        <w:t>（</w:t>
      </w:r>
      <w:r>
        <w:rPr>
          <w:rFonts w:hint="eastAsia"/>
        </w:rPr>
        <w:t>四</w:t>
      </w:r>
      <w:r>
        <w:t>）中国执行信息公开网截图</w:t>
      </w:r>
    </w:p>
    <w:p w14:paraId="5D1D8AF1">
      <w:r>
        <w:rPr>
          <w:rFonts w:hint="eastAsia"/>
        </w:rPr>
        <w:t>1.法人在</w:t>
      </w:r>
      <w:r>
        <w:t>中国执行信息公开网</w:t>
      </w:r>
      <w:r>
        <w:rPr>
          <w:rFonts w:hint="eastAsia"/>
        </w:rPr>
        <w:t>的查询</w:t>
      </w:r>
      <w:r>
        <w:t>截图</w:t>
      </w:r>
      <w:r>
        <w:rPr>
          <w:rFonts w:hint="eastAsia"/>
        </w:rPr>
        <w:t>并加盖单位鲜章</w:t>
      </w:r>
    </w:p>
    <w:p w14:paraId="085084D5">
      <w:r>
        <w:rPr>
          <w:rFonts w:hint="eastAsia"/>
        </w:rPr>
        <w:t>2.法定代表人在</w:t>
      </w:r>
      <w:r>
        <w:t>中国执行信息公开网</w:t>
      </w:r>
      <w:r>
        <w:rPr>
          <w:rFonts w:hint="eastAsia"/>
        </w:rPr>
        <w:t>的查询</w:t>
      </w:r>
      <w:r>
        <w:t>截图</w:t>
      </w:r>
      <w:r>
        <w:rPr>
          <w:rFonts w:hint="eastAsia"/>
        </w:rPr>
        <w:t>并加盖单位鲜章</w:t>
      </w:r>
    </w:p>
    <w:p w14:paraId="0F85BF19"/>
    <w:p w14:paraId="6F59F0FD"/>
    <w:p w14:paraId="444776C2"/>
    <w:p w14:paraId="1CD5620E">
      <w:r>
        <w:rPr>
          <w:rFonts w:hint="eastAsia"/>
        </w:rPr>
        <w:br w:type="page"/>
      </w:r>
    </w:p>
    <w:p w14:paraId="7F2B6108">
      <w:pPr>
        <w:pStyle w:val="33"/>
      </w:pPr>
      <w:r>
        <w:rPr>
          <w:rFonts w:hint="eastAsia"/>
          <w:lang w:val="zh-CN"/>
        </w:rPr>
        <w:t>（</w:t>
      </w:r>
      <w:r>
        <w:rPr>
          <w:rFonts w:hint="eastAsia"/>
        </w:rPr>
        <w:t>五</w:t>
      </w:r>
      <w:r>
        <w:rPr>
          <w:rFonts w:hint="eastAsia"/>
          <w:lang w:val="zh-CN"/>
        </w:rPr>
        <w:t>）</w:t>
      </w:r>
      <w:r>
        <w:t>证明文件</w:t>
      </w:r>
      <w:r>
        <w:rPr>
          <w:szCs w:val="21"/>
        </w:rPr>
        <w:t>复印件或扫描件</w:t>
      </w:r>
    </w:p>
    <w:p w14:paraId="1926A7BD">
      <w:r>
        <w:rPr>
          <w:rFonts w:hint="eastAsia"/>
        </w:rPr>
        <w:t>（根据第一章“2. 响应人资格要求”第2.6条要求，提供所需的证明文件</w:t>
      </w:r>
      <w:r>
        <w:rPr>
          <w:szCs w:val="21"/>
        </w:rPr>
        <w:t>复印件或扫描件</w:t>
      </w:r>
      <w:r>
        <w:rPr>
          <w:rFonts w:hint="eastAsia"/>
        </w:rPr>
        <w:t>）</w:t>
      </w:r>
    </w:p>
    <w:p w14:paraId="5E4351F9">
      <w:pPr>
        <w:rPr>
          <w:lang w:val="zh-CN"/>
        </w:rPr>
      </w:pPr>
    </w:p>
    <w:p w14:paraId="496278F2">
      <w:pPr>
        <w:rPr>
          <w:lang w:val="zh-CN"/>
        </w:rPr>
      </w:pPr>
    </w:p>
    <w:p w14:paraId="3E87CF86">
      <w:pPr>
        <w:pStyle w:val="13"/>
        <w:rPr>
          <w:lang w:val="zh-CN"/>
        </w:rPr>
        <w:sectPr>
          <w:pgSz w:w="11906" w:h="16838"/>
          <w:pgMar w:top="1440" w:right="1800" w:bottom="1440" w:left="1800" w:header="851" w:footer="992" w:gutter="0"/>
          <w:cols w:space="720" w:num="1"/>
          <w:docGrid w:type="lines" w:linePitch="312" w:charSpace="0"/>
        </w:sectPr>
      </w:pPr>
    </w:p>
    <w:p w14:paraId="01C428C7">
      <w:pPr>
        <w:pStyle w:val="33"/>
      </w:pPr>
      <w:r>
        <w:rPr>
          <w:rFonts w:hint="eastAsia"/>
          <w:lang w:val="zh-CN"/>
        </w:rPr>
        <w:t>（</w:t>
      </w:r>
      <w:r>
        <w:rPr>
          <w:rFonts w:hint="eastAsia"/>
        </w:rPr>
        <w:t>六</w:t>
      </w:r>
      <w:r>
        <w:rPr>
          <w:rFonts w:hint="eastAsia"/>
          <w:lang w:val="zh-CN"/>
        </w:rPr>
        <w:t>）</w:t>
      </w:r>
      <w:r>
        <w:t>售后服务书面承诺函</w:t>
      </w:r>
    </w:p>
    <w:p w14:paraId="35E047B4">
      <w:r>
        <w:rPr>
          <w:rFonts w:hint="eastAsia"/>
        </w:rPr>
        <w:t>根据第一章2.6条第（17）条，提供</w:t>
      </w:r>
      <w:r>
        <w:t>售后服务书面承诺函</w:t>
      </w:r>
      <w:r>
        <w:rPr>
          <w:rFonts w:hint="eastAsia"/>
        </w:rPr>
        <w:t>，格式自拟。</w:t>
      </w:r>
    </w:p>
    <w:p w14:paraId="186B6E7B">
      <w:pPr>
        <w:rPr>
          <w:lang w:val="zh-CN"/>
        </w:rPr>
      </w:pPr>
    </w:p>
    <w:p w14:paraId="54D445A8">
      <w:pPr>
        <w:rPr>
          <w:lang w:val="zh-CN"/>
        </w:rPr>
        <w:sectPr>
          <w:pgSz w:w="11906" w:h="16838"/>
          <w:pgMar w:top="1440" w:right="1800" w:bottom="1440" w:left="1800" w:header="851" w:footer="992" w:gutter="0"/>
          <w:cols w:space="720" w:num="1"/>
          <w:docGrid w:type="lines" w:linePitch="312" w:charSpace="0"/>
        </w:sectPr>
      </w:pPr>
    </w:p>
    <w:p w14:paraId="4FF86B13">
      <w:pPr>
        <w:pStyle w:val="33"/>
      </w:pPr>
      <w:r>
        <w:rPr>
          <w:rFonts w:hint="eastAsia"/>
          <w:lang w:val="zh-CN"/>
        </w:rPr>
        <w:t>（</w:t>
      </w:r>
      <w:r>
        <w:rPr>
          <w:rFonts w:hint="eastAsia"/>
        </w:rPr>
        <w:t>七</w:t>
      </w:r>
      <w:r>
        <w:rPr>
          <w:rFonts w:hint="eastAsia"/>
          <w:lang w:val="zh-CN"/>
        </w:rPr>
        <w:t>）项目案例</w:t>
      </w:r>
      <w:r>
        <w:rPr>
          <w:rFonts w:hint="eastAsia"/>
        </w:rPr>
        <w:t>和业绩证明文件复印件</w:t>
      </w:r>
    </w:p>
    <w:p w14:paraId="0A10C9FF">
      <w:r>
        <w:t>1、合同关键页（合同关键页包含：甲乙双方名称、双方印章、项目名称、合同签订时间、合同有效期、服务范围。）；</w:t>
      </w:r>
    </w:p>
    <w:p w14:paraId="076D7149">
      <w:r>
        <w:t>2、项目简介（格式自拟）；</w:t>
      </w:r>
    </w:p>
    <w:p w14:paraId="59EE9CA4">
      <w:r>
        <w:t>3、合同对应的发票之一（网上税务系统查询（https://inv-veri.chinatax.gov.cn/）该发票的截图，发票开具日期须晚于合同签订日期、发票购买方须与合同买方一致、发票销售方须与合同卖方（响应人）一致）。</w:t>
      </w:r>
    </w:p>
    <w:p w14:paraId="2DD69424"/>
    <w:p w14:paraId="49E416DA">
      <w:pPr>
        <w:sectPr>
          <w:pgSz w:w="11906" w:h="16838"/>
          <w:pgMar w:top="1440" w:right="1800" w:bottom="1440" w:left="1800" w:header="851" w:footer="992" w:gutter="0"/>
          <w:cols w:space="720" w:num="1"/>
          <w:docGrid w:type="lines" w:linePitch="312" w:charSpace="0"/>
        </w:sectPr>
      </w:pPr>
    </w:p>
    <w:p w14:paraId="6B68ABBD">
      <w:pPr>
        <w:pStyle w:val="33"/>
      </w:pPr>
      <w:r>
        <w:rPr>
          <w:rFonts w:hint="eastAsia"/>
        </w:rPr>
        <w:t>（八）产品资质与认证，产品证书证明文件复印件或扫描件</w:t>
      </w:r>
    </w:p>
    <w:p w14:paraId="5517B03B">
      <w:pPr>
        <w:pStyle w:val="42"/>
      </w:pPr>
      <w:r>
        <w:t>（</w:t>
      </w:r>
      <w:r>
        <w:rPr>
          <w:rFonts w:hint="eastAsia"/>
        </w:rPr>
        <w:t>根据第三章第4条表格中内容，提供对应证明材料</w:t>
      </w:r>
      <w:r>
        <w:t>）</w:t>
      </w:r>
    </w:p>
    <w:p w14:paraId="2B82241D"/>
    <w:p w14:paraId="447F943A"/>
    <w:p w14:paraId="644D3A08">
      <w:pPr>
        <w:sectPr>
          <w:pgSz w:w="11906" w:h="16838"/>
          <w:pgMar w:top="1440" w:right="1800" w:bottom="1440" w:left="1800" w:header="851" w:footer="992" w:gutter="0"/>
          <w:cols w:space="720" w:num="1"/>
          <w:docGrid w:type="lines" w:linePitch="312" w:charSpace="0"/>
        </w:sectPr>
      </w:pPr>
    </w:p>
    <w:p w14:paraId="1A31B808">
      <w:pPr>
        <w:pStyle w:val="33"/>
      </w:pPr>
      <w:r>
        <w:rPr>
          <w:rFonts w:hint="eastAsia"/>
        </w:rPr>
        <w:t>（九）项目实施方案</w:t>
      </w:r>
    </w:p>
    <w:p w14:paraId="763E5301">
      <w:pPr>
        <w:pStyle w:val="42"/>
      </w:pPr>
      <w:r>
        <w:t>（</w:t>
      </w:r>
      <w:r>
        <w:rPr>
          <w:rFonts w:hint="eastAsia"/>
        </w:rPr>
        <w:t>方案应包括履行合同的时间计划、提交资料、人员安排等内容</w:t>
      </w:r>
      <w:r>
        <w:t>）</w:t>
      </w:r>
    </w:p>
    <w:p w14:paraId="0EAA321F">
      <w:pPr>
        <w:pStyle w:val="42"/>
      </w:pPr>
    </w:p>
    <w:p w14:paraId="0A279A09"/>
    <w:p w14:paraId="3DBEB695"/>
    <w:p w14:paraId="31136012">
      <w:pPr>
        <w:sectPr>
          <w:pgSz w:w="11906" w:h="16838"/>
          <w:pgMar w:top="1440" w:right="1800" w:bottom="1440" w:left="1800" w:header="851" w:footer="992" w:gutter="0"/>
          <w:cols w:space="720" w:num="1"/>
          <w:docGrid w:type="lines" w:linePitch="312" w:charSpace="0"/>
        </w:sectPr>
      </w:pPr>
    </w:p>
    <w:p w14:paraId="10C64504">
      <w:pPr>
        <w:pStyle w:val="33"/>
      </w:pPr>
      <w:r>
        <w:rPr>
          <w:rFonts w:hint="eastAsia"/>
        </w:rPr>
        <w:t>（十）服务连续性预案</w:t>
      </w:r>
    </w:p>
    <w:p w14:paraId="2D50CFE2">
      <w:pPr>
        <w:pStyle w:val="42"/>
      </w:pPr>
      <w:r>
        <w:t>（</w:t>
      </w:r>
      <w:r>
        <w:rPr>
          <w:rFonts w:hint="eastAsia"/>
        </w:rPr>
        <w:t>服务连续性预案应考虑供应链风险产生的影响</w:t>
      </w:r>
      <w:r>
        <w:t>）</w:t>
      </w:r>
    </w:p>
    <w:p w14:paraId="0B861DC6">
      <w:pPr>
        <w:pStyle w:val="42"/>
      </w:pPr>
    </w:p>
    <w:p w14:paraId="07E8CFA0"/>
    <w:p w14:paraId="17F457BE"/>
    <w:p w14:paraId="244686F9">
      <w:pPr>
        <w:sectPr>
          <w:pgSz w:w="11906" w:h="16838"/>
          <w:pgMar w:top="1440" w:right="1800" w:bottom="1440" w:left="1800" w:header="851" w:footer="992" w:gutter="0"/>
          <w:cols w:space="720" w:num="1"/>
          <w:docGrid w:type="lines" w:linePitch="312" w:charSpace="0"/>
        </w:sectPr>
      </w:pPr>
    </w:p>
    <w:p w14:paraId="52630B22">
      <w:pPr>
        <w:pStyle w:val="33"/>
      </w:pPr>
      <w:r>
        <w:rPr>
          <w:rFonts w:hint="eastAsia"/>
        </w:rPr>
        <w:t>（十一）其他（如有）</w:t>
      </w:r>
    </w:p>
    <w:p w14:paraId="1FF93D3D">
      <w:pPr>
        <w:pStyle w:val="42"/>
      </w:pPr>
      <w:r>
        <w:t>（如第</w:t>
      </w:r>
      <w:r>
        <w:rPr>
          <w:rFonts w:hint="eastAsia"/>
        </w:rPr>
        <w:t>一</w:t>
      </w:r>
      <w:r>
        <w:t>章中要求提供的</w:t>
      </w:r>
      <w:r>
        <w:rPr>
          <w:rFonts w:hint="eastAsia"/>
        </w:rPr>
        <w:t>其他</w:t>
      </w:r>
      <w:r>
        <w:t>文件、方案等材料）</w:t>
      </w:r>
    </w:p>
    <w:p w14:paraId="5405770C"/>
    <w:p w14:paraId="7B6A8ED6"/>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swiss"/>
    <w:pitch w:val="default"/>
    <w:sig w:usb0="800002BF" w:usb1="38CF7CFA" w:usb2="00000016" w:usb3="00000000" w:csb0="00040001"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Lucida Sans">
    <w:panose1 w:val="020B0602030504020204"/>
    <w:charset w:val="00"/>
    <w:family w:val="swiss"/>
    <w:pitch w:val="default"/>
    <w:sig w:usb0="00000003" w:usb1="00000000" w:usb2="00000000" w:usb3="00000000" w:csb0="20000001" w:csb1="00000000"/>
  </w:font>
  <w:font w:name="Cambria Math">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方正仿宋_GBK">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CF9310">
    <w:pPr>
      <w:tabs>
        <w:tab w:val="center" w:pos="4153"/>
        <w:tab w:val="right" w:pos="8306"/>
      </w:tabs>
      <w:rPr>
        <w:ins w:id="0" w:author="交易中心-罗" w:date="2025-09-25T16:00:00Z"/>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-9831705</wp:posOffset>
              </wp:positionV>
              <wp:extent cx="1193800" cy="346075"/>
              <wp:effectExtent l="0" t="0" r="0" b="0"/>
              <wp:wrapNone/>
              <wp:docPr id="4" name="文本框 4"/>
              <wp:cNvGraphicFramePr/>
              <a:graphic xmlns:a="http://schemas.openxmlformats.org/drawingml/2006/main">
                <a:graphicData uri="http://schemas.microsoft.com/office/word/2010/wordprocessingShape">
                  <wps:wsp>
                    <wps:cNvSpPr/>
                    <wps:spPr>
                      <a:xfrm>
                        <a:off x="0" y="0"/>
                        <a:ext cx="1193800" cy="345876"/>
                      </a:xfrm>
                      <a:prstGeom prst="rect">
                        <a:avLst/>
                      </a:prstGeom>
                      <a:noFill/>
                      <a:ln w="6350" cap="flat" cmpd="sng">
                        <a:noFill/>
                        <a:prstDash val="solid"/>
                        <a:round/>
                      </a:ln>
                    </wps:spPr>
                    <wps:txbx>
                      <w:txbxContent>
                        <w:p w14:paraId="3455EE03">
                          <w:pPr>
                            <w:pStyle w:val="14"/>
                            <w:rPr>
                              <w:rFonts w:hint="eastAsia" w:ascii="宋体" w:hAnsi="宋体"/>
                              <w:sz w:val="28"/>
                            </w:rPr>
                          </w:pPr>
                          <w:r>
                            <w:rPr>
                              <w:rFonts w:ascii="宋体" w:hAnsi="宋体"/>
                              <w:sz w:val="28"/>
                            </w:rPr>
                            <w:t>—</w:t>
                          </w:r>
                          <w:r>
                            <w:rPr>
                              <w:rFonts w:ascii="宋体" w:hAnsi="宋体"/>
                              <w:sz w:val="24"/>
                            </w:rPr>
                            <w:t>　</w:t>
                          </w:r>
                          <w:r>
                            <w:rPr>
                              <w:rFonts w:ascii="宋体" w:hAnsi="宋体"/>
                              <w:sz w:val="28"/>
                            </w:rPr>
                            <w:fldChar w:fldCharType="begin"/>
                          </w:r>
                          <w:r>
                            <w:rPr>
                              <w:rFonts w:ascii="宋体" w:hAnsi="宋体"/>
                              <w:sz w:val="28"/>
                            </w:rPr>
                            <w:instrText xml:space="preserve"> PAGE  \* MERGEFORMAT </w:instrText>
                          </w:r>
                          <w:r>
                            <w:rPr>
                              <w:rFonts w:ascii="宋体" w:hAnsi="宋体"/>
                              <w:sz w:val="28"/>
                            </w:rPr>
                            <w:fldChar w:fldCharType="separate"/>
                          </w:r>
                          <w:r>
                            <w:rPr>
                              <w:rFonts w:ascii="宋体" w:hAnsi="宋体"/>
                              <w:sz w:val="28"/>
                            </w:rPr>
                            <w:t>1</w:t>
                          </w:r>
                          <w:r>
                            <w:rPr>
                              <w:rFonts w:ascii="宋体" w:hAnsi="宋体"/>
                              <w:sz w:val="28"/>
                            </w:rPr>
                            <w:fldChar w:fldCharType="end"/>
                          </w:r>
                          <w:r>
                            <w:rPr>
                              <w:rFonts w:ascii="宋体" w:hAnsi="宋体"/>
                              <w:sz w:val="24"/>
                            </w:rPr>
                            <w:t>　</w:t>
                          </w:r>
                          <w:r>
                            <w:rPr>
                              <w:rFonts w:ascii="宋体" w:hAnsi="宋体"/>
                              <w:sz w:val="28"/>
                            </w:rPr>
                            <w:t>—</w:t>
                          </w:r>
                        </w:p>
                      </w:txbxContent>
                    </wps:txbx>
                    <wps:bodyPr vert="horz" wrap="none" lIns="0" tIns="0" rIns="0" bIns="0" anchor="t" anchorCtr="0" upright="0">
                      <a:spAutoFit/>
                    </wps:bodyPr>
                  </wps:wsp>
                </a:graphicData>
              </a:graphic>
            </wp:anchor>
          </w:drawing>
        </mc:Choice>
        <mc:Fallback>
          <w:pict>
            <v:rect id="文本框 4" o:spid="_x0000_s1026" o:spt="1" style="position:absolute;left:0pt;margin-top:-774.15pt;height:27.25pt;width:94pt;mso-position-horizontal:center;mso-position-horizontal-relative:margin;mso-wrap-style:none;z-index:251659264;mso-width-relative:page;mso-height-relative:page;" filled="f" stroked="f" coordsize="21600,21600" o:gfxdata="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2Ro04t0AAAAMAQAADwAAAAAAAAABACAAAAAi&#10;AAAAZHJzL2Rvd25yZXYueG1sUEsBAhQAFAAAAAgAh07iQE13cxoFAgAA9QMAAA4AAAAAAAAAAQAg&#10;AAAALAEAAGRycy9lMm9Eb2MueG1sUEsFBgAAAAAGAAYAWQEAAKMFAAAAAA==&#10;">
              <v:fill on="f" focussize="0,0"/>
              <v:stroke on="f" weight="0.5pt" joinstyle="round"/>
              <v:imagedata o:title=""/>
              <o:lock v:ext="edit" aspectratio="f"/>
              <v:textbox inset="0mm,0mm,0mm,0mm" style="mso-fit-shape-to-text:t;">
                <w:txbxContent>
                  <w:p w14:paraId="3455EE03">
                    <w:pPr>
                      <w:pStyle w:val="14"/>
                      <w:rPr>
                        <w:rFonts w:hint="eastAsia" w:ascii="宋体" w:hAnsi="宋体"/>
                        <w:sz w:val="28"/>
                      </w:rPr>
                    </w:pPr>
                    <w:r>
                      <w:rPr>
                        <w:rFonts w:ascii="宋体" w:hAnsi="宋体"/>
                        <w:sz w:val="28"/>
                      </w:rPr>
                      <w:t>—</w:t>
                    </w:r>
                    <w:r>
                      <w:rPr>
                        <w:rFonts w:ascii="宋体" w:hAnsi="宋体"/>
                        <w:sz w:val="24"/>
                      </w:rPr>
                      <w:t>　</w:t>
                    </w:r>
                    <w:r>
                      <w:rPr>
                        <w:rFonts w:ascii="宋体" w:hAnsi="宋体"/>
                        <w:sz w:val="28"/>
                      </w:rPr>
                      <w:fldChar w:fldCharType="begin"/>
                    </w:r>
                    <w:r>
                      <w:rPr>
                        <w:rFonts w:ascii="宋体" w:hAnsi="宋体"/>
                        <w:sz w:val="28"/>
                      </w:rPr>
                      <w:instrText xml:space="preserve"> PAGE  \* MERGEFORMAT </w:instrText>
                    </w:r>
                    <w:r>
                      <w:rPr>
                        <w:rFonts w:ascii="宋体" w:hAnsi="宋体"/>
                        <w:sz w:val="28"/>
                      </w:rPr>
                      <w:fldChar w:fldCharType="separate"/>
                    </w:r>
                    <w:r>
                      <w:rPr>
                        <w:rFonts w:ascii="宋体" w:hAnsi="宋体"/>
                        <w:sz w:val="28"/>
                      </w:rPr>
                      <w:t>1</w:t>
                    </w:r>
                    <w:r>
                      <w:rPr>
                        <w:rFonts w:ascii="宋体" w:hAnsi="宋体"/>
                        <w:sz w:val="28"/>
                      </w:rPr>
                      <w:fldChar w:fldCharType="end"/>
                    </w:r>
                    <w:r>
                      <w:rPr>
                        <w:rFonts w:ascii="宋体" w:hAnsi="宋体"/>
                        <w:sz w:val="24"/>
                      </w:rPr>
                      <w:t>　</w:t>
                    </w:r>
                    <w:r>
                      <w:rPr>
                        <w:rFonts w:ascii="宋体" w:hAnsi="宋体"/>
                        <w:sz w:val="28"/>
                      </w:rPr>
                      <w:t>—</w:t>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2FFB34">
    <w:pPr>
      <w:pStyle w:val="1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93800" cy="346075"/>
              <wp:effectExtent l="0" t="0" r="0" b="0"/>
              <wp:wrapNone/>
              <wp:docPr id="5" name="文本框 5"/>
              <wp:cNvGraphicFramePr/>
              <a:graphic xmlns:a="http://schemas.openxmlformats.org/drawingml/2006/main">
                <a:graphicData uri="http://schemas.microsoft.com/office/word/2010/wordprocessingShape">
                  <wps:wsp>
                    <wps:cNvSpPr/>
                    <wps:spPr>
                      <a:xfrm>
                        <a:off x="0" y="0"/>
                        <a:ext cx="1193799" cy="345876"/>
                      </a:xfrm>
                      <a:prstGeom prst="rect">
                        <a:avLst/>
                      </a:prstGeom>
                      <a:noFill/>
                      <a:ln w="6350" cap="flat" cmpd="sng">
                        <a:noFill/>
                        <a:prstDash val="solid"/>
                        <a:round/>
                      </a:ln>
                    </wps:spPr>
                    <wps:txbx>
                      <w:txbxContent>
                        <w:p w14:paraId="1D1E2332">
                          <w:pPr>
                            <w:pStyle w:val="14"/>
                            <w:rPr>
                              <w:rFonts w:hint="eastAsia" w:ascii="宋体" w:hAnsi="宋体"/>
                              <w:sz w:val="28"/>
                            </w:rPr>
                          </w:pPr>
                          <w:r>
                            <w:rPr>
                              <w:rFonts w:ascii="宋体" w:hAnsi="宋体"/>
                              <w:sz w:val="28"/>
                            </w:rPr>
                            <w:t>—</w:t>
                          </w:r>
                          <w:r>
                            <w:rPr>
                              <w:rFonts w:ascii="宋体" w:hAnsi="宋体"/>
                              <w:sz w:val="24"/>
                            </w:rPr>
                            <w:t>　</w:t>
                          </w:r>
                          <w:r>
                            <w:rPr>
                              <w:rFonts w:ascii="宋体" w:hAnsi="宋体"/>
                              <w:sz w:val="28"/>
                            </w:rPr>
                            <w:fldChar w:fldCharType="begin"/>
                          </w:r>
                          <w:r>
                            <w:rPr>
                              <w:rFonts w:ascii="宋体" w:hAnsi="宋体"/>
                              <w:sz w:val="28"/>
                            </w:rPr>
                            <w:instrText xml:space="preserve"> PAGE  \* MERGEFORMAT </w:instrText>
                          </w:r>
                          <w:r>
                            <w:rPr>
                              <w:rFonts w:ascii="宋体" w:hAnsi="宋体"/>
                              <w:sz w:val="28"/>
                            </w:rPr>
                            <w:fldChar w:fldCharType="separate"/>
                          </w:r>
                          <w:r>
                            <w:rPr>
                              <w:rFonts w:ascii="宋体" w:hAnsi="宋体"/>
                              <w:sz w:val="28"/>
                            </w:rPr>
                            <w:t>26</w:t>
                          </w:r>
                          <w:r>
                            <w:rPr>
                              <w:rFonts w:ascii="宋体" w:hAnsi="宋体"/>
                              <w:sz w:val="28"/>
                            </w:rPr>
                            <w:fldChar w:fldCharType="end"/>
                          </w:r>
                          <w:r>
                            <w:rPr>
                              <w:rFonts w:ascii="宋体" w:hAnsi="宋体"/>
                              <w:sz w:val="24"/>
                            </w:rPr>
                            <w:t>　</w:t>
                          </w:r>
                          <w:r>
                            <w:rPr>
                              <w:rFonts w:ascii="宋体" w:hAnsi="宋体"/>
                              <w:sz w:val="28"/>
                            </w:rPr>
                            <w:t>—</w:t>
                          </w:r>
                        </w:p>
                      </w:txbxContent>
                    </wps:txbx>
                    <wps:bodyPr vert="horz" wrap="none" lIns="0" tIns="0" rIns="0" bIns="0" anchor="t" anchorCtr="0" upright="0">
                      <a:spAutoFit/>
                    </wps:bodyPr>
                  </wps:wsp>
                </a:graphicData>
              </a:graphic>
            </wp:anchor>
          </w:drawing>
        </mc:Choice>
        <mc:Fallback>
          <w:pict>
            <v:rect id="文本框 5" o:spid="_x0000_s1026" o:spt="1" style="position:absolute;left:0pt;margin-top:0pt;height:27.25pt;width:94pt;mso-position-horizontal:center;mso-position-horizontal-relative:margin;mso-wrap-style:none;z-index:251659264;mso-width-relative:page;mso-height-relative:page;" filled="f" stroked="f" coordsize="21600,21600" o:gfxdata="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GUPoFPXAAAABAEAAA8AAAAAAAAAAQAgAAAAIgAAAGRy&#10;cy9kb3ducmV2LnhtbFBLAQIUABQAAAAIAIdO4kDI4m/tBgIAAPUDAAAOAAAAAAAAAAEAIAAAACYB&#10;AABkcnMvZTJvRG9jLnhtbFBLBQYAAAAABgAGAFkBAACeBQAAAAA=&#10;">
              <v:fill on="f" focussize="0,0"/>
              <v:stroke on="f" weight="0.5pt" joinstyle="round"/>
              <v:imagedata o:title=""/>
              <o:lock v:ext="edit" aspectratio="f"/>
              <v:textbox inset="0mm,0mm,0mm,0mm" style="mso-fit-shape-to-text:t;">
                <w:txbxContent>
                  <w:p w14:paraId="1D1E2332">
                    <w:pPr>
                      <w:pStyle w:val="14"/>
                      <w:rPr>
                        <w:rFonts w:hint="eastAsia" w:ascii="宋体" w:hAnsi="宋体"/>
                        <w:sz w:val="28"/>
                      </w:rPr>
                    </w:pPr>
                    <w:r>
                      <w:rPr>
                        <w:rFonts w:ascii="宋体" w:hAnsi="宋体"/>
                        <w:sz w:val="28"/>
                      </w:rPr>
                      <w:t>—</w:t>
                    </w:r>
                    <w:r>
                      <w:rPr>
                        <w:rFonts w:ascii="宋体" w:hAnsi="宋体"/>
                        <w:sz w:val="24"/>
                      </w:rPr>
                      <w:t>　</w:t>
                    </w:r>
                    <w:r>
                      <w:rPr>
                        <w:rFonts w:ascii="宋体" w:hAnsi="宋体"/>
                        <w:sz w:val="28"/>
                      </w:rPr>
                      <w:fldChar w:fldCharType="begin"/>
                    </w:r>
                    <w:r>
                      <w:rPr>
                        <w:rFonts w:ascii="宋体" w:hAnsi="宋体"/>
                        <w:sz w:val="28"/>
                      </w:rPr>
                      <w:instrText xml:space="preserve"> PAGE  \* MERGEFORMAT </w:instrText>
                    </w:r>
                    <w:r>
                      <w:rPr>
                        <w:rFonts w:ascii="宋体" w:hAnsi="宋体"/>
                        <w:sz w:val="28"/>
                      </w:rPr>
                      <w:fldChar w:fldCharType="separate"/>
                    </w:r>
                    <w:r>
                      <w:rPr>
                        <w:rFonts w:ascii="宋体" w:hAnsi="宋体"/>
                        <w:sz w:val="28"/>
                      </w:rPr>
                      <w:t>26</w:t>
                    </w:r>
                    <w:r>
                      <w:rPr>
                        <w:rFonts w:ascii="宋体" w:hAnsi="宋体"/>
                        <w:sz w:val="28"/>
                      </w:rPr>
                      <w:fldChar w:fldCharType="end"/>
                    </w:r>
                    <w:r>
                      <w:rPr>
                        <w:rFonts w:ascii="宋体" w:hAnsi="宋体"/>
                        <w:sz w:val="24"/>
                      </w:rPr>
                      <w:t>　</w:t>
                    </w:r>
                    <w:r>
                      <w:rPr>
                        <w:rFonts w:ascii="宋体" w:hAnsi="宋体"/>
                        <w:sz w:val="28"/>
                      </w:rPr>
                      <w:t>—</w:t>
                    </w: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5406E5">
    <w:pPr>
      <w:pStyle w:val="14"/>
      <w:framePr w:wrap="around" w:vAnchor="text" w:hAnchor="margin" w:xAlign="center" w:y="1"/>
      <w:rPr>
        <w:rStyle w:val="21"/>
      </w:rPr>
    </w:pPr>
    <w:r>
      <w:rPr>
        <w:rStyle w:val="21"/>
      </w:rPr>
      <w:fldChar w:fldCharType="begin"/>
    </w:r>
    <w:r>
      <w:rPr>
        <w:rStyle w:val="21"/>
      </w:rPr>
      <w:instrText xml:space="preserve">PAGE  </w:instrText>
    </w:r>
    <w:r>
      <w:fldChar w:fldCharType="separate"/>
    </w:r>
    <w:r>
      <w:t xml:space="preserve"> </w:t>
    </w:r>
    <w:r>
      <w:fldChar w:fldCharType="end"/>
    </w:r>
  </w:p>
  <w:p w14:paraId="5F80CDDF">
    <w:pPr>
      <w:pStyle w:val="1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20"/>
      </w:pPr>
      <w:r>
        <w:separator/>
      </w:r>
    </w:p>
  </w:footnote>
  <w:footnote w:type="continuationSeparator" w:id="1">
    <w:p>
      <w:pPr>
        <w:spacing w:line="36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697550">
    <w:pPr>
      <w:pStyle w:val="1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15D53ED"/>
    <w:multiLevelType w:val="multilevel"/>
    <w:tmpl w:val="715D53ED"/>
    <w:lvl w:ilvl="0" w:tentative="0">
      <w:start w:val="1"/>
      <w:numFmt w:val="japaneseCounting"/>
      <w:lvlText w:val="（%1）"/>
      <w:lvlJc w:val="left"/>
      <w:pPr>
        <w:ind w:left="1140" w:hanging="720"/>
      </w:pPr>
      <w:rPr>
        <w:rFonts w:hint="default"/>
      </w:r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交易中心-罗">
    <w15:presenceInfo w15:providerId="None" w15:userId="交易中心-罗"/>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1"/>
  <w:noPunctuationKerning w:val="1"/>
  <w:characterSpacingControl w:val="compressPunctuation"/>
  <w:footnotePr>
    <w:footnote w:id="0"/>
    <w:footnote w:id="1"/>
  </w:footnotePr>
  <w:endnotePr>
    <w:endnote w:id="0"/>
    <w:endnote w:id="1"/>
  </w:endnotePr>
  <w:compat>
    <w:spaceForUL/>
    <w:balanceSingleByteDoubleByteWidth/>
    <w:ulTrailSpace/>
    <w:doNotExpandShiftReturn/>
    <w:adjustLineHeightInTable/>
    <w:useFELayout/>
    <w:compatSetting w:name="compatibilityMode" w:uri="http://schemas.microsoft.com/office/word" w:val="15"/>
  </w:compat>
  <w:docVars>
    <w:docVar w:name="commondata" w:val="eyJoZGlkIjoiYTQ5ZmY1ODA0NTUyNTIzOGU4NGRmM2JhYjg3Y2Q0YjMifQ=="/>
  </w:docVars>
  <w:rsids>
    <w:rsidRoot w:val="00000000"/>
    <w:rsid w:val="0BCF0AAA"/>
    <w:rsid w:val="2B2D440E"/>
    <w:rsid w:val="4695534A"/>
    <w:rsid w:val="51054EFA"/>
    <w:rsid w:val="56F436B0"/>
    <w:rsid w:val="6E587BF7"/>
    <w:rsid w:val="76864C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Lucida Sans"/>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nhideWhenUsed="0" w:uiPriority="0" w:semiHidden="0" w:name="heading 3" w:locked="1"/>
    <w:lsdException w:qFormat="1" w:unhideWhenUsed="0" w:uiPriority="0" w:semiHidden="0" w:name="heading 4" w:locked="1"/>
    <w:lsdException w:qFormat="1" w:unhideWhenUsed="0" w:uiPriority="0" w:semiHidden="0" w:name="heading 5" w:locked="1"/>
    <w:lsdException w:qFormat="1" w:unhideWhenUsed="0" w:uiPriority="0" w:semiHidden="0" w:name="heading 6" w:locked="1"/>
    <w:lsdException w:qFormat="1" w:unhideWhenUsed="0" w:uiPriority="0" w:semiHidden="0" w:name="heading 7" w:locked="1"/>
    <w:lsdException w:unhideWhenUsed="0" w:uiPriority="4294967295" w:semiHidden="0" w:name="heading 8"/>
    <w:lsdException w:unhideWhenUsed="0" w:uiPriority="4294967295" w:semiHidden="0" w:name="heading 9"/>
    <w:lsdException w:unhideWhenUsed="0" w:uiPriority="4294967295" w:semiHidden="0" w:name="index 1"/>
    <w:lsdException w:unhideWhenUsed="0" w:uiPriority="4294967295" w:semiHidden="0" w:name="index 2"/>
    <w:lsdException w:unhideWhenUsed="0" w:uiPriority="4294967295" w:semiHidden="0" w:name="index 3"/>
    <w:lsdException w:unhideWhenUsed="0" w:uiPriority="4294967295" w:semiHidden="0" w:name="index 4"/>
    <w:lsdException w:unhideWhenUsed="0" w:uiPriority="4294967295" w:semiHidden="0" w:name="index 5"/>
    <w:lsdException w:unhideWhenUsed="0" w:uiPriority="4294967295" w:semiHidden="0" w:name="index 6"/>
    <w:lsdException w:unhideWhenUsed="0" w:uiPriority="4294967295" w:semiHidden="0" w:name="index 7"/>
    <w:lsdException w:unhideWhenUsed="0" w:uiPriority="4294967295" w:semiHidden="0" w:name="index 8"/>
    <w:lsdException w:unhideWhenUsed="0" w:uiPriority="4294967295" w:semiHidden="0" w:name="index 9"/>
    <w:lsdException w:qFormat="1" w:unhideWhenUsed="0" w:uiPriority="0" w:semiHidden="0" w:name="toc 1" w:locked="1"/>
    <w:lsdException w:unhideWhenUsed="0" w:uiPriority="4294967295" w:semiHidden="0" w:name="toc 2"/>
    <w:lsdException w:unhideWhenUsed="0" w:uiPriority="4294967295" w:semiHidden="0" w:name="toc 3"/>
    <w:lsdException w:unhideWhenUsed="0" w:uiPriority="4294967295" w:semiHidden="0" w:name="toc 4"/>
    <w:lsdException w:unhideWhenUsed="0" w:uiPriority="4294967295" w:semiHidden="0" w:name="toc 5"/>
    <w:lsdException w:unhideWhenUsed="0" w:uiPriority="4294967295" w:semiHidden="0" w:name="toc 6"/>
    <w:lsdException w:unhideWhenUsed="0" w:uiPriority="4294967295" w:semiHidden="0" w:name="toc 7"/>
    <w:lsdException w:unhideWhenUsed="0" w:uiPriority="4294967295" w:semiHidden="0" w:name="toc 8"/>
    <w:lsdException w:unhideWhenUsed="0" w:uiPriority="4294967295" w:semiHidden="0" w:name="toc 9"/>
    <w:lsdException w:unhideWhenUsed="0" w:uiPriority="4294967295" w:semiHidden="0" w:name="Normal Indent"/>
    <w:lsdException w:unhideWhenUsed="0" w:uiPriority="4294967295" w:semiHidden="0" w:name="footnote text"/>
    <w:lsdException w:qFormat="1" w:unhideWhenUsed="0" w:uiPriority="0" w:semiHidden="0" w:name="annotation text" w:locked="1"/>
    <w:lsdException w:qFormat="1" w:unhideWhenUsed="0" w:uiPriority="0" w:semiHidden="0" w:name="header"/>
    <w:lsdException w:qFormat="1" w:unhideWhenUsed="0" w:uiPriority="0" w:semiHidden="0" w:name="footer" w:locked="1"/>
    <w:lsdException w:unhideWhenUsed="0" w:uiPriority="4294967295" w:semiHidden="0" w:name="index heading"/>
    <w:lsdException w:unhideWhenUsed="0" w:uiPriority="4294967295" w:semiHidden="0" w:name="caption"/>
    <w:lsdException w:unhideWhenUsed="0" w:uiPriority="4294967295" w:semiHidden="0" w:name="table of figures"/>
    <w:lsdException w:unhideWhenUsed="0" w:uiPriority="4294967295" w:semiHidden="0" w:name="envelope address"/>
    <w:lsdException w:unhideWhenUsed="0" w:uiPriority="4294967295" w:semiHidden="0" w:name="envelope return"/>
    <w:lsdException w:unhideWhenUsed="0" w:uiPriority="4294967295" w:semiHidden="0" w:name="footnote reference"/>
    <w:lsdException w:qFormat="1" w:unhideWhenUsed="0" w:uiPriority="0" w:semiHidden="0" w:name="annotation reference"/>
    <w:lsdException w:unhideWhenUsed="0" w:uiPriority="4294967295" w:semiHidden="0" w:name="line number"/>
    <w:lsdException w:qFormat="1" w:unhideWhenUsed="0" w:uiPriority="0" w:semiHidden="0" w:name="page number"/>
    <w:lsdException w:unhideWhenUsed="0" w:uiPriority="4294967295" w:semiHidden="0" w:name="endnote reference"/>
    <w:lsdException w:unhideWhenUsed="0" w:uiPriority="4294967295" w:semiHidden="0" w:name="endnote text"/>
    <w:lsdException w:unhideWhenUsed="0" w:uiPriority="4294967295" w:semiHidden="0" w:name="table of authorities"/>
    <w:lsdException w:unhideWhenUsed="0" w:uiPriority="4294967295" w:semiHidden="0" w:name="macro"/>
    <w:lsdException w:unhideWhenUsed="0" w:uiPriority="4294967295" w:semiHidden="0" w:name="toa heading"/>
    <w:lsdException w:unhideWhenUsed="0" w:uiPriority="4294967295" w:semiHidden="0" w:name="List"/>
    <w:lsdException w:unhideWhenUsed="0" w:uiPriority="4294967295" w:semiHidden="0" w:name="List Bullet"/>
    <w:lsdException w:unhideWhenUsed="0" w:uiPriority="4294967295" w:semiHidden="0" w:name="List Number"/>
    <w:lsdException w:unhideWhenUsed="0" w:uiPriority="4294967295" w:semiHidden="0" w:name="List 2"/>
    <w:lsdException w:unhideWhenUsed="0" w:uiPriority="4294967295" w:semiHidden="0" w:name="List 3"/>
    <w:lsdException w:unhideWhenUsed="0" w:uiPriority="4294967295" w:semiHidden="0" w:name="List 4"/>
    <w:lsdException w:unhideWhenUsed="0" w:uiPriority="4294967295" w:semiHidden="0" w:name="List 5"/>
    <w:lsdException w:unhideWhenUsed="0" w:uiPriority="4294967295" w:semiHidden="0" w:name="List Bullet 2"/>
    <w:lsdException w:unhideWhenUsed="0" w:uiPriority="4294967295" w:semiHidden="0" w:name="List Bullet 3"/>
    <w:lsdException w:unhideWhenUsed="0" w:uiPriority="4294967295" w:semiHidden="0" w:name="List Bullet 4"/>
    <w:lsdException w:unhideWhenUsed="0" w:uiPriority="4294967295" w:semiHidden="0" w:name="List Bullet 5"/>
    <w:lsdException w:unhideWhenUsed="0" w:uiPriority="4294967295" w:semiHidden="0" w:name="List Number 2"/>
    <w:lsdException w:unhideWhenUsed="0" w:uiPriority="4294967295" w:semiHidden="0" w:name="List Number 3"/>
    <w:lsdException w:unhideWhenUsed="0" w:uiPriority="4294967295" w:semiHidden="0" w:name="List Number 4"/>
    <w:lsdException w:unhideWhenUsed="0" w:uiPriority="4294967295" w:semiHidden="0" w:name="List Number 5"/>
    <w:lsdException w:unhideWhenUsed="0" w:uiPriority="4294967295" w:semiHidden="0" w:name="Title"/>
    <w:lsdException w:unhideWhenUsed="0" w:uiPriority="4294967295" w:semiHidden="0" w:name="Closing"/>
    <w:lsdException w:unhideWhenUsed="0" w:uiPriority="4294967295"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4294967295" w:semiHidden="0" w:name="List Continue"/>
    <w:lsdException w:unhideWhenUsed="0" w:uiPriority="4294967295" w:semiHidden="0" w:name="List Continue 2"/>
    <w:lsdException w:unhideWhenUsed="0" w:uiPriority="4294967295" w:semiHidden="0" w:name="List Continue 3"/>
    <w:lsdException w:unhideWhenUsed="0" w:uiPriority="4294967295" w:semiHidden="0" w:name="List Continue 4"/>
    <w:lsdException w:unhideWhenUsed="0" w:uiPriority="4294967295" w:semiHidden="0" w:name="List Continue 5"/>
    <w:lsdException w:unhideWhenUsed="0" w:uiPriority="4294967295" w:semiHidden="0" w:name="Message Header"/>
    <w:lsdException w:qFormat="1" w:unhideWhenUsed="0" w:uiPriority="0" w:semiHidden="0" w:name="Subtitle" w:locked="1"/>
    <w:lsdException w:unhideWhenUsed="0" w:uiPriority="4294967295" w:semiHidden="0" w:name="Salutation"/>
    <w:lsdException w:unhideWhenUsed="0" w:uiPriority="4294967295" w:semiHidden="0" w:name="Date"/>
    <w:lsdException w:unhideWhenUsed="0" w:uiPriority="4294967295" w:semiHidden="0" w:name="Body Text First Indent"/>
    <w:lsdException w:unhideWhenUsed="0" w:uiPriority="4294967295" w:semiHidden="0" w:name="Body Text First Indent 2"/>
    <w:lsdException w:unhideWhenUsed="0" w:uiPriority="4294967295" w:semiHidden="0" w:name="Note Heading"/>
    <w:lsdException w:unhideWhenUsed="0" w:uiPriority="4294967295" w:semiHidden="0" w:name="Body Text 2"/>
    <w:lsdException w:unhideWhenUsed="0" w:uiPriority="4294967295" w:semiHidden="0" w:name="Body Text 3"/>
    <w:lsdException w:unhideWhenUsed="0" w:uiPriority="4294967295" w:semiHidden="0" w:name="Body Text Indent 2"/>
    <w:lsdException w:unhideWhenUsed="0" w:uiPriority="4294967295" w:semiHidden="0" w:name="Body Text Indent 3"/>
    <w:lsdException w:unhideWhenUsed="0" w:uiPriority="4294967295" w:semiHidden="0" w:name="Block Text"/>
    <w:lsdException w:unhideWhenUsed="0" w:uiPriority="4294967295" w:semiHidden="0" w:name="Hyperlink"/>
    <w:lsdException w:unhideWhenUsed="0" w:uiPriority="4294967295" w:semiHidden="0" w:name="FollowedHyperlink"/>
    <w:lsdException w:unhideWhenUsed="0" w:uiPriority="4294967295" w:semiHidden="0" w:name="Strong"/>
    <w:lsdException w:unhideWhenUsed="0" w:uiPriority="4294967295" w:semiHidden="0" w:name="Emphasis"/>
    <w:lsdException w:unhideWhenUsed="0" w:uiPriority="4294967295" w:semiHidden="0" w:name="Document Map"/>
    <w:lsdException w:qFormat="1" w:unhideWhenUsed="0" w:uiPriority="0" w:semiHidden="0" w:name="Plain Text"/>
    <w:lsdException w:unhideWhenUsed="0" w:uiPriority="4294967295" w:semiHidden="0" w:name="E-mail Signature"/>
    <w:lsdException w:unhideWhenUsed="0" w:uiPriority="4294967295" w:semiHidden="0" w:name="Normal (Web)"/>
    <w:lsdException w:unhideWhenUsed="0" w:uiPriority="4294967295" w:semiHidden="0" w:name="HTML Acronym"/>
    <w:lsdException w:unhideWhenUsed="0" w:uiPriority="4294967295" w:semiHidden="0" w:name="HTML Address"/>
    <w:lsdException w:unhideWhenUsed="0" w:uiPriority="4294967295" w:semiHidden="0" w:name="HTML Cite"/>
    <w:lsdException w:unhideWhenUsed="0" w:uiPriority="4294967295" w:semiHidden="0" w:name="HTML Code"/>
    <w:lsdException w:unhideWhenUsed="0" w:uiPriority="4294967295" w:semiHidden="0" w:name="HTML Definition"/>
    <w:lsdException w:unhideWhenUsed="0" w:uiPriority="4294967295" w:semiHidden="0" w:name="HTML Keyboard"/>
    <w:lsdException w:unhideWhenUsed="0" w:uiPriority="4294967295" w:semiHidden="0" w:name="HTML Preformatted"/>
    <w:lsdException w:unhideWhenUsed="0" w:uiPriority="4294967295" w:semiHidden="0" w:name="HTML Sample"/>
    <w:lsdException w:unhideWhenUsed="0" w:uiPriority="4294967295" w:semiHidden="0" w:name="HTML Typewriter"/>
    <w:lsdException w:unhideWhenUsed="0" w:uiPriority="4294967295" w:semiHidden="0" w:name="HTML Variable"/>
    <w:lsdException w:qFormat="1" w:unhideWhenUsed="0" w:uiPriority="4294967295" w:semiHidden="0" w:name="Normal Table"/>
    <w:lsdException w:qFormat="1" w:unhideWhenUsed="0" w:uiPriority="0" w:semiHidden="0" w:name="annotation subject"/>
    <w:lsdException w:unhideWhenUsed="0" w:uiPriority="4294967295" w:semiHidden="0" w:name="Table Simple 1"/>
    <w:lsdException w:unhideWhenUsed="0" w:uiPriority="4294967295" w:semiHidden="0" w:name="Table Simple 2"/>
    <w:lsdException w:unhideWhenUsed="0" w:uiPriority="4294967295" w:semiHidden="0" w:name="Table Simple 3"/>
    <w:lsdException w:unhideWhenUsed="0" w:uiPriority="4294967295" w:semiHidden="0" w:name="Table Classic 1"/>
    <w:lsdException w:unhideWhenUsed="0" w:uiPriority="4294967295" w:semiHidden="0" w:name="Table Classic 2"/>
    <w:lsdException w:unhideWhenUsed="0" w:uiPriority="4294967295" w:semiHidden="0" w:name="Table Classic 3"/>
    <w:lsdException w:unhideWhenUsed="0" w:uiPriority="4294967295" w:semiHidden="0" w:name="Table Classic 4"/>
    <w:lsdException w:unhideWhenUsed="0" w:uiPriority="4294967295" w:semiHidden="0" w:name="Table Colorful 1"/>
    <w:lsdException w:unhideWhenUsed="0" w:uiPriority="4294967295" w:semiHidden="0" w:name="Table Colorful 2"/>
    <w:lsdException w:unhideWhenUsed="0" w:uiPriority="4294967295" w:semiHidden="0" w:name="Table Colorful 3"/>
    <w:lsdException w:unhideWhenUsed="0" w:uiPriority="4294967295" w:semiHidden="0" w:name="Table Columns 1"/>
    <w:lsdException w:unhideWhenUsed="0" w:uiPriority="4294967295" w:semiHidden="0" w:name="Table Columns 2"/>
    <w:lsdException w:unhideWhenUsed="0" w:uiPriority="4294967295" w:semiHidden="0" w:name="Table Columns 3"/>
    <w:lsdException w:unhideWhenUsed="0" w:uiPriority="4294967295" w:semiHidden="0" w:name="Table Columns 4"/>
    <w:lsdException w:unhideWhenUsed="0" w:uiPriority="4294967295" w:semiHidden="0" w:name="Table Columns 5"/>
    <w:lsdException w:unhideWhenUsed="0" w:uiPriority="4294967295" w:semiHidden="0" w:name="Table Grid 1"/>
    <w:lsdException w:unhideWhenUsed="0" w:uiPriority="4294967295" w:semiHidden="0" w:name="Table Grid 2"/>
    <w:lsdException w:unhideWhenUsed="0" w:uiPriority="4294967295" w:semiHidden="0" w:name="Table Grid 3"/>
    <w:lsdException w:unhideWhenUsed="0" w:uiPriority="4294967295" w:semiHidden="0" w:name="Table Grid 4"/>
    <w:lsdException w:unhideWhenUsed="0" w:uiPriority="4294967295" w:semiHidden="0" w:name="Table Grid 5"/>
    <w:lsdException w:unhideWhenUsed="0" w:uiPriority="4294967295" w:semiHidden="0" w:name="Table Grid 6"/>
    <w:lsdException w:unhideWhenUsed="0" w:uiPriority="4294967295" w:semiHidden="0" w:name="Table Grid 7"/>
    <w:lsdException w:unhideWhenUsed="0" w:uiPriority="4294967295" w:semiHidden="0" w:name="Table Grid 8"/>
    <w:lsdException w:unhideWhenUsed="0" w:uiPriority="4294967295" w:semiHidden="0" w:name="Table List 1"/>
    <w:lsdException w:unhideWhenUsed="0" w:uiPriority="4294967295" w:semiHidden="0" w:name="Table List 2"/>
    <w:lsdException w:unhideWhenUsed="0" w:uiPriority="4294967295" w:semiHidden="0" w:name="Table List 3"/>
    <w:lsdException w:unhideWhenUsed="0" w:uiPriority="4294967295" w:semiHidden="0" w:name="Table List 4"/>
    <w:lsdException w:unhideWhenUsed="0" w:uiPriority="4294967295" w:semiHidden="0" w:name="Table List 5"/>
    <w:lsdException w:unhideWhenUsed="0" w:uiPriority="4294967295" w:semiHidden="0" w:name="Table List 6"/>
    <w:lsdException w:unhideWhenUsed="0" w:uiPriority="4294967295" w:semiHidden="0" w:name="Table List 7"/>
    <w:lsdException w:unhideWhenUsed="0" w:uiPriority="4294967295" w:semiHidden="0" w:name="Table List 8"/>
    <w:lsdException w:unhideWhenUsed="0" w:uiPriority="4294967295" w:semiHidden="0" w:name="Table 3D effects 1"/>
    <w:lsdException w:unhideWhenUsed="0" w:uiPriority="4294967295" w:semiHidden="0" w:name="Table 3D effects 2"/>
    <w:lsdException w:unhideWhenUsed="0" w:uiPriority="4294967295" w:semiHidden="0" w:name="Table 3D effects 3"/>
    <w:lsdException w:unhideWhenUsed="0" w:uiPriority="4294967295" w:semiHidden="0" w:name="Table Contemporary"/>
    <w:lsdException w:unhideWhenUsed="0" w:uiPriority="4294967295" w:semiHidden="0" w:name="Table Elegant"/>
    <w:lsdException w:unhideWhenUsed="0" w:uiPriority="4294967295" w:semiHidden="0" w:name="Table Professional"/>
    <w:lsdException w:unhideWhenUsed="0" w:uiPriority="4294967295" w:semiHidden="0" w:name="Table Subtle 1"/>
    <w:lsdException w:unhideWhenUsed="0" w:uiPriority="4294967295" w:semiHidden="0" w:name="Table Subtle 2"/>
    <w:lsdException w:unhideWhenUsed="0" w:uiPriority="4294967295" w:semiHidden="0" w:name="Table Web 1"/>
    <w:lsdException w:unhideWhenUsed="0" w:uiPriority="4294967295" w:semiHidden="0" w:name="Table Web 2"/>
    <w:lsdException w:unhideWhenUsed="0" w:uiPriority="4294967295" w:semiHidden="0" w:name="Table Web 3"/>
    <w:lsdException w:unhideWhenUsed="0" w:uiPriority="4294967295" w:semiHidden="0" w:name="Balloon Text"/>
    <w:lsdException w:unhideWhenUsed="0" w:uiPriority="4294967295" w:semiHidden="0" w:name="Table Grid"/>
    <w:lsdException w:unhideWhenUsed="0" w:uiPriority="4294967295"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autoSpaceDE w:val="0"/>
      <w:autoSpaceDN w:val="0"/>
      <w:spacing w:line="360" w:lineRule="auto"/>
      <w:ind w:firstLine="200" w:firstLineChars="200"/>
      <w:jc w:val="both"/>
    </w:pPr>
    <w:rPr>
      <w:rFonts w:ascii="Times New Roman" w:hAnsi="Times New Roman" w:eastAsia="宋体" w:cs="Cambria Math"/>
      <w:kern w:val="2"/>
      <w:sz w:val="21"/>
      <w:szCs w:val="20"/>
      <w:lang w:val="en-US" w:eastAsia="zh-CN" w:bidi="ar-SA"/>
    </w:rPr>
  </w:style>
  <w:style w:type="paragraph" w:styleId="2">
    <w:name w:val="heading 1"/>
    <w:basedOn w:val="1"/>
    <w:next w:val="1"/>
    <w:link w:val="23"/>
    <w:autoRedefine/>
    <w:qFormat/>
    <w:locked/>
    <w:uiPriority w:val="0"/>
    <w:pPr>
      <w:tabs>
        <w:tab w:val="left" w:pos="3360"/>
      </w:tabs>
      <w:snapToGrid w:val="0"/>
      <w:spacing w:line="600" w:lineRule="exact"/>
      <w:ind w:firstLine="0" w:firstLineChars="0"/>
      <w:jc w:val="center"/>
      <w:outlineLvl w:val="0"/>
    </w:pPr>
    <w:rPr>
      <w:rFonts w:cs="等线 Light"/>
      <w:b/>
      <w:snapToGrid w:val="0"/>
      <w:kern w:val="0"/>
      <w:sz w:val="44"/>
      <w:szCs w:val="44"/>
    </w:rPr>
  </w:style>
  <w:style w:type="paragraph" w:styleId="3">
    <w:name w:val="heading 2"/>
    <w:basedOn w:val="1"/>
    <w:next w:val="1"/>
    <w:link w:val="24"/>
    <w:autoRedefine/>
    <w:qFormat/>
    <w:locked/>
    <w:uiPriority w:val="0"/>
    <w:pPr>
      <w:spacing w:line="600" w:lineRule="exact"/>
      <w:ind w:firstLine="0" w:firstLineChars="0"/>
      <w:outlineLvl w:val="1"/>
    </w:pPr>
    <w:rPr>
      <w:rFonts w:cs="Times New Roman"/>
      <w:b/>
      <w:bCs/>
      <w:snapToGrid w:val="0"/>
      <w:szCs w:val="24"/>
    </w:rPr>
  </w:style>
  <w:style w:type="paragraph" w:styleId="4">
    <w:name w:val="heading 3"/>
    <w:basedOn w:val="1"/>
    <w:next w:val="1"/>
    <w:link w:val="25"/>
    <w:autoRedefine/>
    <w:qFormat/>
    <w:locked/>
    <w:uiPriority w:val="0"/>
    <w:pPr>
      <w:outlineLvl w:val="2"/>
    </w:pPr>
    <w:rPr>
      <w:b/>
      <w:bCs/>
      <w:szCs w:val="32"/>
    </w:rPr>
  </w:style>
  <w:style w:type="paragraph" w:styleId="5">
    <w:name w:val="heading 4"/>
    <w:basedOn w:val="1"/>
    <w:next w:val="1"/>
    <w:link w:val="26"/>
    <w:autoRedefine/>
    <w:qFormat/>
    <w:locked/>
    <w:uiPriority w:val="0"/>
    <w:pPr>
      <w:outlineLvl w:val="3"/>
    </w:pPr>
    <w:rPr>
      <w:rFonts w:cs="Times New Roman"/>
      <w:bCs/>
      <w:szCs w:val="28"/>
    </w:rPr>
  </w:style>
  <w:style w:type="paragraph" w:styleId="6">
    <w:name w:val="heading 5"/>
    <w:basedOn w:val="1"/>
    <w:next w:val="1"/>
    <w:link w:val="27"/>
    <w:autoRedefine/>
    <w:qFormat/>
    <w:locked/>
    <w:uiPriority w:val="0"/>
    <w:pPr>
      <w:ind w:firstLine="0" w:firstLineChars="0"/>
      <w:jc w:val="center"/>
      <w:outlineLvl w:val="4"/>
    </w:pPr>
    <w:rPr>
      <w:b/>
      <w:sz w:val="28"/>
    </w:rPr>
  </w:style>
  <w:style w:type="paragraph" w:styleId="7">
    <w:name w:val="heading 6"/>
    <w:basedOn w:val="1"/>
    <w:next w:val="1"/>
    <w:link w:val="28"/>
    <w:autoRedefine/>
    <w:qFormat/>
    <w:locked/>
    <w:uiPriority w:val="0"/>
    <w:pPr>
      <w:keepNext/>
      <w:keepLines/>
      <w:spacing w:before="240" w:after="64" w:line="317" w:lineRule="auto"/>
      <w:outlineLvl w:val="5"/>
    </w:pPr>
    <w:rPr>
      <w:rFonts w:eastAsia="黑体"/>
      <w:b/>
    </w:rPr>
  </w:style>
  <w:style w:type="paragraph" w:styleId="8">
    <w:name w:val="heading 7"/>
    <w:basedOn w:val="1"/>
    <w:next w:val="1"/>
    <w:link w:val="29"/>
    <w:qFormat/>
    <w:locked/>
    <w:uiPriority w:val="0"/>
    <w:pPr>
      <w:keepNext/>
      <w:keepLines/>
      <w:spacing w:before="240" w:after="64" w:line="317" w:lineRule="auto"/>
      <w:outlineLvl w:val="6"/>
    </w:pPr>
    <w:rPr>
      <w:b/>
    </w:rPr>
  </w:style>
  <w:style w:type="character" w:default="1" w:styleId="20">
    <w:name w:val="Default Paragraph Font"/>
    <w:qFormat/>
    <w:uiPriority w:val="0"/>
  </w:style>
  <w:style w:type="table" w:default="1" w:styleId="19">
    <w:name w:val="Normal Table"/>
    <w:qFormat/>
    <w:uiPriority w:val="4294967295"/>
    <w:tblPr>
      <w:tblCellMar>
        <w:top w:w="0" w:type="dxa"/>
        <w:left w:w="108" w:type="dxa"/>
        <w:bottom w:w="0" w:type="dxa"/>
        <w:right w:w="108" w:type="dxa"/>
      </w:tblCellMar>
    </w:tblPr>
  </w:style>
  <w:style w:type="paragraph" w:styleId="9">
    <w:name w:val="annotation text"/>
    <w:basedOn w:val="1"/>
    <w:qFormat/>
    <w:locked/>
    <w:uiPriority w:val="0"/>
    <w:pPr>
      <w:jc w:val="left"/>
    </w:pPr>
  </w:style>
  <w:style w:type="paragraph" w:styleId="10">
    <w:name w:val="Body Text"/>
    <w:basedOn w:val="1"/>
    <w:next w:val="1"/>
    <w:qFormat/>
    <w:uiPriority w:val="0"/>
    <w:pPr>
      <w:spacing w:after="120"/>
    </w:pPr>
  </w:style>
  <w:style w:type="paragraph" w:styleId="11">
    <w:name w:val="Body Text Indent"/>
    <w:basedOn w:val="1"/>
    <w:next w:val="12"/>
    <w:qFormat/>
    <w:uiPriority w:val="0"/>
    <w:rPr>
      <w:rFonts w:ascii="黑体" w:eastAsia="黑体"/>
      <w:color w:val="000000"/>
      <w:kern w:val="0"/>
      <w:sz w:val="32"/>
      <w:szCs w:val="32"/>
    </w:rPr>
  </w:style>
  <w:style w:type="paragraph" w:styleId="12">
    <w:name w:val="annotation subject"/>
    <w:basedOn w:val="1"/>
    <w:next w:val="1"/>
    <w:qFormat/>
    <w:uiPriority w:val="0"/>
    <w:rPr>
      <w:b/>
      <w:bCs/>
    </w:rPr>
  </w:style>
  <w:style w:type="paragraph" w:styleId="13">
    <w:name w:val="Plain Text"/>
    <w:basedOn w:val="1"/>
    <w:next w:val="1"/>
    <w:qFormat/>
    <w:uiPriority w:val="0"/>
    <w:rPr>
      <w:rFonts w:ascii="宋体"/>
      <w:kern w:val="0"/>
      <w:sz w:val="28"/>
      <w:szCs w:val="28"/>
    </w:rPr>
  </w:style>
  <w:style w:type="paragraph" w:styleId="14">
    <w:name w:val="footer"/>
    <w:basedOn w:val="1"/>
    <w:next w:val="11"/>
    <w:qFormat/>
    <w:locked/>
    <w:uiPriority w:val="0"/>
    <w:pPr>
      <w:tabs>
        <w:tab w:val="center" w:pos="4153"/>
        <w:tab w:val="right" w:pos="8306"/>
      </w:tabs>
      <w:snapToGrid w:val="0"/>
      <w:jc w:val="left"/>
    </w:pPr>
    <w:rPr>
      <w:sz w:val="18"/>
    </w:rPr>
  </w:style>
  <w:style w:type="paragraph" w:styleId="15">
    <w:name w:val="header"/>
    <w:basedOn w:val="1"/>
    <w:next w:val="16"/>
    <w:qFormat/>
    <w:uiPriority w:val="0"/>
    <w:pPr>
      <w:tabs>
        <w:tab w:val="center" w:pos="4153"/>
        <w:tab w:val="right" w:pos="8306"/>
      </w:tabs>
      <w:snapToGrid w:val="0"/>
    </w:pPr>
    <w:rPr>
      <w:sz w:val="18"/>
    </w:rPr>
  </w:style>
  <w:style w:type="paragraph" w:customStyle="1" w:styleId="16">
    <w:name w:val="参选文件格式3"/>
    <w:basedOn w:val="1"/>
    <w:link w:val="30"/>
    <w:autoRedefine/>
    <w:qFormat/>
    <w:locked/>
    <w:uiPriority w:val="0"/>
    <w:pPr>
      <w:tabs>
        <w:tab w:val="left" w:pos="6300"/>
      </w:tabs>
      <w:snapToGrid w:val="0"/>
      <w:spacing w:line="600" w:lineRule="exact"/>
      <w:ind w:firstLine="0" w:firstLineChars="0"/>
      <w:jc w:val="center"/>
    </w:pPr>
    <w:rPr>
      <w:rFonts w:ascii="宋体" w:hAnsi="宋体"/>
      <w:b/>
      <w:snapToGrid w:val="0"/>
      <w:kern w:val="0"/>
    </w:rPr>
  </w:style>
  <w:style w:type="paragraph" w:styleId="17">
    <w:name w:val="toc 1"/>
    <w:basedOn w:val="1"/>
    <w:next w:val="1"/>
    <w:qFormat/>
    <w:locked/>
    <w:uiPriority w:val="0"/>
  </w:style>
  <w:style w:type="paragraph" w:styleId="18">
    <w:name w:val="Subtitle"/>
    <w:basedOn w:val="1"/>
    <w:autoRedefine/>
    <w:qFormat/>
    <w:locked/>
    <w:uiPriority w:val="0"/>
    <w:pPr>
      <w:spacing w:before="240" w:after="60" w:line="312" w:lineRule="auto"/>
      <w:jc w:val="center"/>
      <w:outlineLvl w:val="1"/>
    </w:pPr>
    <w:rPr>
      <w:rFonts w:ascii="Arial" w:hAnsi="Arial"/>
      <w:b/>
      <w:kern w:val="28"/>
      <w:sz w:val="32"/>
    </w:rPr>
  </w:style>
  <w:style w:type="character" w:styleId="21">
    <w:name w:val="page number"/>
    <w:qFormat/>
    <w:uiPriority w:val="0"/>
    <w:rPr>
      <w:rFonts w:cs="Times New Roman"/>
      <w:lang w:bidi="ar-SA"/>
    </w:rPr>
  </w:style>
  <w:style w:type="character" w:styleId="22">
    <w:name w:val="annotation reference"/>
    <w:basedOn w:val="20"/>
    <w:qFormat/>
    <w:uiPriority w:val="0"/>
    <w:rPr>
      <w:sz w:val="21"/>
      <w:szCs w:val="21"/>
    </w:rPr>
  </w:style>
  <w:style w:type="character" w:customStyle="1" w:styleId="23">
    <w:name w:val="heading 1 Char"/>
    <w:basedOn w:val="20"/>
    <w:link w:val="2"/>
    <w:autoRedefine/>
    <w:qFormat/>
    <w:uiPriority w:val="0"/>
    <w:rPr>
      <w:rFonts w:ascii="Times New Roman" w:hAnsi="Times New Roman" w:eastAsia="宋体" w:cs="等线 Light"/>
      <w:b/>
      <w:snapToGrid w:val="0"/>
      <w:kern w:val="0"/>
      <w:sz w:val="44"/>
      <w:szCs w:val="44"/>
      <w:lang w:val="en-US" w:eastAsia="zh-CN" w:bidi="ar-SA"/>
    </w:rPr>
  </w:style>
  <w:style w:type="character" w:customStyle="1" w:styleId="24">
    <w:name w:val="heading 2 Char"/>
    <w:basedOn w:val="20"/>
    <w:link w:val="3"/>
    <w:autoRedefine/>
    <w:qFormat/>
    <w:uiPriority w:val="0"/>
    <w:rPr>
      <w:rFonts w:ascii="Times New Roman" w:hAnsi="Times New Roman" w:eastAsia="宋体" w:cs="Times New Roman"/>
      <w:b/>
      <w:bCs/>
      <w:snapToGrid w:val="0"/>
      <w:kern w:val="2"/>
      <w:sz w:val="21"/>
      <w:szCs w:val="24"/>
      <w:lang w:val="en-US" w:eastAsia="zh-CN" w:bidi="ar-SA"/>
    </w:rPr>
  </w:style>
  <w:style w:type="character" w:customStyle="1" w:styleId="25">
    <w:name w:val="heading 3 Char"/>
    <w:basedOn w:val="20"/>
    <w:link w:val="4"/>
    <w:autoRedefine/>
    <w:qFormat/>
    <w:uiPriority w:val="0"/>
    <w:rPr>
      <w:rFonts w:ascii="Times New Roman" w:hAnsi="Times New Roman" w:eastAsia="宋体" w:cs="Cambria Math"/>
      <w:b/>
      <w:bCs/>
      <w:kern w:val="2"/>
      <w:sz w:val="21"/>
      <w:szCs w:val="32"/>
      <w:lang w:val="en-US" w:eastAsia="zh-CN" w:bidi="ar-SA"/>
    </w:rPr>
  </w:style>
  <w:style w:type="character" w:customStyle="1" w:styleId="26">
    <w:name w:val="heading 4 Char"/>
    <w:basedOn w:val="20"/>
    <w:link w:val="5"/>
    <w:autoRedefine/>
    <w:qFormat/>
    <w:uiPriority w:val="0"/>
    <w:rPr>
      <w:rFonts w:ascii="Times New Roman" w:hAnsi="Times New Roman" w:eastAsia="宋体" w:cs="Times New Roman"/>
      <w:bCs/>
      <w:kern w:val="2"/>
      <w:sz w:val="21"/>
      <w:szCs w:val="28"/>
      <w:lang w:val="en-US" w:eastAsia="zh-CN" w:bidi="ar-SA"/>
    </w:rPr>
  </w:style>
  <w:style w:type="character" w:customStyle="1" w:styleId="27">
    <w:name w:val="heading 5 Char"/>
    <w:basedOn w:val="20"/>
    <w:link w:val="6"/>
    <w:autoRedefine/>
    <w:qFormat/>
    <w:uiPriority w:val="0"/>
    <w:rPr>
      <w:rFonts w:ascii="Times New Roman" w:hAnsi="Times New Roman" w:eastAsia="宋体" w:cs="Cambria Math"/>
      <w:b/>
      <w:kern w:val="2"/>
      <w:sz w:val="28"/>
      <w:szCs w:val="20"/>
      <w:lang w:val="en-US" w:eastAsia="zh-CN" w:bidi="ar-SA"/>
    </w:rPr>
  </w:style>
  <w:style w:type="character" w:customStyle="1" w:styleId="28">
    <w:name w:val="heading 6 Char"/>
    <w:basedOn w:val="20"/>
    <w:link w:val="7"/>
    <w:autoRedefine/>
    <w:qFormat/>
    <w:uiPriority w:val="0"/>
    <w:rPr>
      <w:rFonts w:ascii="Times New Roman" w:hAnsi="Times New Roman" w:eastAsia="黑体" w:cs="Cambria Math"/>
      <w:b/>
      <w:kern w:val="2"/>
      <w:sz w:val="21"/>
      <w:szCs w:val="20"/>
      <w:lang w:val="en-US" w:eastAsia="zh-CN" w:bidi="ar-SA"/>
    </w:rPr>
  </w:style>
  <w:style w:type="character" w:customStyle="1" w:styleId="29">
    <w:name w:val="heading 7 Char"/>
    <w:basedOn w:val="20"/>
    <w:link w:val="8"/>
    <w:qFormat/>
    <w:uiPriority w:val="0"/>
    <w:rPr>
      <w:rFonts w:ascii="Times New Roman" w:hAnsi="Times New Roman" w:eastAsia="宋体" w:cs="Cambria Math"/>
      <w:b/>
      <w:kern w:val="2"/>
      <w:sz w:val="21"/>
      <w:szCs w:val="20"/>
      <w:lang w:val="en-US" w:eastAsia="zh-CN" w:bidi="ar-SA"/>
    </w:rPr>
  </w:style>
  <w:style w:type="character" w:customStyle="1" w:styleId="30">
    <w:name w:val="参选文件格式3 Char"/>
    <w:basedOn w:val="20"/>
    <w:link w:val="16"/>
    <w:autoRedefine/>
    <w:qFormat/>
    <w:uiPriority w:val="0"/>
    <w:rPr>
      <w:rFonts w:ascii="宋体" w:hAnsi="宋体" w:eastAsia="宋体" w:cs="Cambria Math"/>
      <w:b/>
      <w:snapToGrid w:val="0"/>
      <w:kern w:val="0"/>
      <w:sz w:val="21"/>
      <w:szCs w:val="20"/>
      <w:lang w:val="en-US" w:eastAsia="zh-CN" w:bidi="ar-SA"/>
    </w:rPr>
  </w:style>
  <w:style w:type="character" w:customStyle="1" w:styleId="31">
    <w:name w:val="heading 4 Char1"/>
    <w:basedOn w:val="20"/>
    <w:autoRedefine/>
    <w:qFormat/>
    <w:uiPriority w:val="0"/>
    <w:rPr>
      <w:rFonts w:ascii="Times New Roman" w:hAnsi="Times New Roman" w:eastAsia="宋体" w:cs="Times New Roman"/>
      <w:bCs/>
      <w:kern w:val="2"/>
      <w:sz w:val="21"/>
      <w:szCs w:val="28"/>
      <w:lang w:val="en-US" w:eastAsia="zh-CN" w:bidi="ar-SA"/>
    </w:rPr>
  </w:style>
  <w:style w:type="paragraph" w:customStyle="1" w:styleId="32">
    <w:name w:val="参选文件格式1"/>
    <w:basedOn w:val="1"/>
    <w:next w:val="1"/>
    <w:autoRedefine/>
    <w:qFormat/>
    <w:locked/>
    <w:uiPriority w:val="0"/>
    <w:pPr>
      <w:ind w:firstLine="0" w:firstLineChars="0"/>
      <w:jc w:val="center"/>
      <w:outlineLvl w:val="1"/>
    </w:pPr>
    <w:rPr>
      <w:b/>
      <w:sz w:val="28"/>
    </w:rPr>
  </w:style>
  <w:style w:type="paragraph" w:customStyle="1" w:styleId="33">
    <w:name w:val="参选文件格式2"/>
    <w:basedOn w:val="1"/>
    <w:next w:val="1"/>
    <w:autoRedefine/>
    <w:qFormat/>
    <w:locked/>
    <w:uiPriority w:val="0"/>
    <w:pPr>
      <w:ind w:firstLine="0" w:firstLineChars="0"/>
      <w:jc w:val="center"/>
      <w:outlineLvl w:val="2"/>
    </w:pPr>
    <w:rPr>
      <w:bCs/>
      <w:szCs w:val="32"/>
    </w:rPr>
  </w:style>
  <w:style w:type="paragraph" w:customStyle="1" w:styleId="34">
    <w:name w:val="表格"/>
    <w:basedOn w:val="1"/>
    <w:qFormat/>
    <w:locked/>
    <w:uiPriority w:val="0"/>
    <w:pPr>
      <w:spacing w:line="240" w:lineRule="auto"/>
      <w:ind w:firstLine="0" w:firstLineChars="0"/>
    </w:pPr>
    <w:rPr>
      <w:bCs/>
      <w:szCs w:val="18"/>
    </w:rPr>
  </w:style>
  <w:style w:type="paragraph" w:customStyle="1" w:styleId="35">
    <w:name w:val="表格（标题）"/>
    <w:basedOn w:val="1"/>
    <w:qFormat/>
    <w:locked/>
    <w:uiPriority w:val="0"/>
    <w:pPr>
      <w:spacing w:line="240" w:lineRule="auto"/>
      <w:ind w:firstLine="0" w:firstLineChars="0"/>
      <w:jc w:val="center"/>
    </w:pPr>
    <w:rPr>
      <w:b/>
      <w:bCs/>
      <w:szCs w:val="18"/>
    </w:rPr>
  </w:style>
  <w:style w:type="paragraph" w:customStyle="1" w:styleId="36">
    <w:name w:val="标题2（无级别）"/>
    <w:basedOn w:val="1"/>
    <w:next w:val="1"/>
    <w:link w:val="37"/>
    <w:qFormat/>
    <w:locked/>
    <w:uiPriority w:val="0"/>
    <w:pPr>
      <w:ind w:firstLine="0" w:firstLineChars="0"/>
    </w:pPr>
    <w:rPr>
      <w:rFonts w:cs="Times New Roman"/>
      <w:b/>
      <w:bCs/>
      <w:snapToGrid w:val="0"/>
      <w:szCs w:val="24"/>
    </w:rPr>
  </w:style>
  <w:style w:type="character" w:customStyle="1" w:styleId="37">
    <w:name w:val="标题2（无级别） Char"/>
    <w:basedOn w:val="20"/>
    <w:link w:val="36"/>
    <w:qFormat/>
    <w:uiPriority w:val="0"/>
    <w:rPr>
      <w:rFonts w:ascii="Times New Roman" w:hAnsi="Times New Roman" w:eastAsia="宋体" w:cs="Times New Roman"/>
      <w:b/>
      <w:bCs/>
      <w:snapToGrid w:val="0"/>
      <w:kern w:val="2"/>
      <w:sz w:val="21"/>
      <w:szCs w:val="24"/>
      <w:lang w:val="en-US" w:eastAsia="zh-CN" w:bidi="ar-SA"/>
    </w:rPr>
  </w:style>
  <w:style w:type="paragraph" w:customStyle="1" w:styleId="38">
    <w:name w:val="标题3（无级别）"/>
    <w:basedOn w:val="1"/>
    <w:next w:val="1"/>
    <w:qFormat/>
    <w:locked/>
    <w:uiPriority w:val="0"/>
    <w:rPr>
      <w:b/>
      <w:bCs/>
      <w:szCs w:val="32"/>
    </w:rPr>
  </w:style>
  <w:style w:type="paragraph" w:customStyle="1" w:styleId="39">
    <w:name w:val="小五"/>
    <w:basedOn w:val="1"/>
    <w:next w:val="1"/>
    <w:qFormat/>
    <w:locked/>
    <w:uiPriority w:val="0"/>
    <w:pPr>
      <w:spacing w:line="240" w:lineRule="auto"/>
      <w:ind w:firstLine="0" w:firstLineChars="0"/>
    </w:pPr>
    <w:rPr>
      <w:sz w:val="18"/>
      <w:szCs w:val="18"/>
    </w:rPr>
  </w:style>
  <w:style w:type="paragraph" w:customStyle="1" w:styleId="40">
    <w:name w:val="封面标题"/>
    <w:basedOn w:val="1"/>
    <w:qFormat/>
    <w:locked/>
    <w:uiPriority w:val="0"/>
    <w:pPr>
      <w:ind w:firstLine="0" w:firstLineChars="0"/>
      <w:jc w:val="center"/>
    </w:pPr>
    <w:rPr>
      <w:rFonts w:cs="Times New Roman"/>
      <w:b/>
      <w:snapToGrid w:val="0"/>
      <w:kern w:val="0"/>
      <w:sz w:val="48"/>
      <w:szCs w:val="84"/>
    </w:rPr>
  </w:style>
  <w:style w:type="paragraph" w:customStyle="1" w:styleId="41">
    <w:name w:val="封面文件名"/>
    <w:basedOn w:val="1"/>
    <w:qFormat/>
    <w:locked/>
    <w:uiPriority w:val="0"/>
    <w:pPr>
      <w:ind w:firstLine="0" w:firstLineChars="0"/>
      <w:jc w:val="center"/>
    </w:pPr>
    <w:rPr>
      <w:rFonts w:cs="Times New Roman"/>
      <w:b/>
      <w:snapToGrid w:val="0"/>
      <w:kern w:val="0"/>
      <w:sz w:val="96"/>
      <w:szCs w:val="96"/>
    </w:rPr>
  </w:style>
  <w:style w:type="paragraph" w:customStyle="1" w:styleId="42">
    <w:name w:val="正文居中"/>
    <w:basedOn w:val="1"/>
    <w:qFormat/>
    <w:locked/>
    <w:uiPriority w:val="0"/>
    <w:pPr>
      <w:ind w:firstLine="0" w:firstLineChars="0"/>
      <w:jc w:val="center"/>
    </w:pPr>
  </w:style>
  <w:style w:type="paragraph" w:customStyle="1" w:styleId="43">
    <w:name w:val="Normal_47"/>
    <w:qFormat/>
    <w:uiPriority w:val="0"/>
    <w:pPr>
      <w:spacing w:before="120" w:after="240"/>
      <w:jc w:val="both"/>
    </w:pPr>
    <w:rPr>
      <w:rFonts w:ascii="Times New Roman" w:hAnsi="Times New Roman" w:eastAsia="Calibri" w:cs="Times New Roman"/>
      <w:sz w:val="22"/>
      <w:szCs w:val="22"/>
      <w:lang w:val="ru-RU" w:eastAsia="zh-CN" w:bidi="ar-SA"/>
    </w:rPr>
  </w:style>
  <w:style w:type="paragraph" w:styleId="44">
    <w:name w:val="List Paragraph"/>
    <w:basedOn w:val="1"/>
    <w:qFormat/>
    <w:uiPriority w:val="0"/>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microsoft.com/office/2011/relationships/people" Target="people.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rgbClr val="000000"/>
      </a:dk1>
      <a:lt1>
        <a:srgbClr val="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
        <a:ea typeface=""/>
        <a:cs typeface=""/>
      </a:majorFont>
      <a:minorFont>
        <a:latin typeface=""/>
        <a:ea typeface=""/>
        <a:cs typeface=""/>
      </a:minorFont>
    </a:fontScheme>
    <a:fmtScheme name="WPS">
      <a:fillStyleLst>
        <a:solidFill>
          <a:schemeClr val="phClr"/>
        </a:solidFill>
        <a:gradFill rotWithShape="1">
          <a:gsLst>
            <a:gs pos="0">
              <a:schemeClr val="phClr">
                <a:lumOff val="17500"/>
              </a:schemeClr>
            </a:gs>
            <a:gs pos="100000">
              <a:schemeClr val="phClr"/>
            </a:gs>
          </a:gsLst>
          <a:lin ang="2700000" scaled="1"/>
        </a:gradFill>
        <a:gradFill rotWithShape="1">
          <a:gsLst>
            <a:gs pos="0">
              <a:schemeClr val="phClr">
                <a:hueOff val="-2520000"/>
              </a:schemeClr>
            </a:gs>
            <a:gs pos="100000">
              <a:schemeClr val="phClr"/>
            </a:gs>
          </a:gsLst>
          <a:lin ang="2700000" scaled="1"/>
        </a:gradFill>
      </a:fillStyleLst>
      <a:lnStyleLst>
        <a:ln w="12700" cap="flat" cmpd="sng">
          <a:solidFill>
            <a:schemeClr val="phClr"/>
          </a:solidFill>
          <a:prstDash val="solid"/>
          <a:miter/>
        </a:ln>
        <a:ln w="12700" cap="flat" cmpd="sng">
          <a:solidFill>
            <a:schemeClr val="phClr"/>
          </a:solidFill>
          <a:prstDash val="solid"/>
          <a:miter/>
        </a:ln>
        <a:ln w="12700" cap="flat" cmpd="sng">
          <a:gradFill rotWithShape="1">
            <a:gsLst>
              <a:gs pos="0">
                <a:schemeClr val="phClr">
                  <a:hueOff val="-4200000"/>
                </a:schemeClr>
              </a:gs>
              <a:gs pos="100000">
                <a:schemeClr val="phClr"/>
              </a:gs>
            </a:gsLst>
            <a:lin ang="2700000" scaled="1"/>
          </a:gradFill>
          <a:prstDash val="solid"/>
          <a:miter/>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2745"/>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1"/>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customData xmlns="http://www.yozosoft.com.cn/officeDocument/2016/customData">
  <customProps>
    <docPr revisions="3 0 5 0 0 0 1 0 0 0 3000 0 1 1 1 1"/>
    <sectPr/>
    <sectPr/>
    <sectPr/>
    <sectPr/>
    <sectPr/>
    <sectPr/>
    <sectPr/>
    <sectPr/>
    <sectPr/>
    <sectPr/>
    <sectPr/>
    <sectPr/>
    <sectPr/>
    <sectPr/>
    <sectPr/>
    <sectPr/>
    <sectPr/>
    <sectPr/>
    <sectPr/>
    <sectPr/>
    <sectPr/>
    <sectPr/>
    <sectPr/>
  </customProps>
</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93154AC-2D46-497B-9F07-1BB5F9D994D7}">
  <ds:schemaRefs/>
</ds:datastoreItem>
</file>

<file path=docProps/app.xml><?xml version="1.0" encoding="utf-8"?>
<Properties xmlns="http://schemas.openxmlformats.org/officeDocument/2006/extended-properties" xmlns:vt="http://schemas.openxmlformats.org/officeDocument/2006/docPropsVTypes">
  <Template>Normal.eit</Template>
  <Pages>80</Pages>
  <Words>32810</Words>
  <Characters>35018</Characters>
  <Lines>0</Lines>
  <Paragraphs>985</Paragraphs>
  <TotalTime>1</TotalTime>
  <ScaleCrop>false</ScaleCrop>
  <LinksUpToDate>false</LinksUpToDate>
  <CharactersWithSpaces>35799</CharactersWithSpaces>
  <Application>WPS Office_12.1.0.21915_F1E327BC-269C-435d-A152-05C5408002CA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2025-09-26T03:19:00Z</dcterms:created>
  <dc:creator>admin</dc:creator>
  <cp:lastModifiedBy>交易中心-罗</cp:lastModifiedBy>
  <cp:lastPrinted>2025-01-03T01:34:00Z</cp:lastPrinted>
  <dcterms:modified xsi:type="dcterms:W3CDTF">2025-11-04T08:49:08Z</dcterms:modified>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2DA9B6B2B41B4FC3B22F4407D35A731B_13</vt:lpwstr>
  </property>
  <property fmtid="{D5CDD505-2E9C-101B-9397-08002B2CF9AE}" pid="4" name="KSOTemplateDocerSaveRecord">
    <vt:lpwstr>eyJoZGlkIjoiYjAxY2VkMDc0MDljMTVlMzI0ZGZhOWYyYjM5MDI1ZWEiLCJ1c2VySWQiOiIxNTcyMDkyNjg5In0=</vt:lpwstr>
  </property>
</Properties>
</file>