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609BA">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650FC576">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智能交易风控系统项目</w:t>
      </w:r>
      <w:r>
        <w:rPr>
          <w:rFonts w:hint="eastAsia" w:cs="Times New Roman"/>
          <w:b/>
          <w:snapToGrid w:val="0"/>
          <w:kern w:val="0"/>
          <w:sz w:val="48"/>
          <w:szCs w:val="84"/>
          <w:highlight w:val="none"/>
          <w:lang w:eastAsia="zh-CN"/>
        </w:rPr>
        <w:t>（</w:t>
      </w:r>
      <w:r>
        <w:rPr>
          <w:rFonts w:hint="eastAsia" w:cs="Times New Roman"/>
          <w:b/>
          <w:snapToGrid w:val="0"/>
          <w:kern w:val="0"/>
          <w:sz w:val="48"/>
          <w:szCs w:val="84"/>
          <w:highlight w:val="none"/>
          <w:lang w:val="en-US" w:eastAsia="zh-CN"/>
        </w:rPr>
        <w:t>第二次</w:t>
      </w:r>
      <w:r>
        <w:rPr>
          <w:rFonts w:hint="eastAsia" w:cs="Times New Roman"/>
          <w:b/>
          <w:snapToGrid w:val="0"/>
          <w:kern w:val="0"/>
          <w:sz w:val="48"/>
          <w:szCs w:val="84"/>
          <w:highlight w:val="none"/>
          <w:lang w:eastAsia="zh-CN"/>
        </w:rPr>
        <w:t>）</w:t>
      </w:r>
    </w:p>
    <w:p w14:paraId="2917361B">
      <w:pPr>
        <w:ind w:firstLine="420"/>
        <w:rPr>
          <w:highlight w:val="none"/>
        </w:rPr>
      </w:pPr>
    </w:p>
    <w:p w14:paraId="7A837568">
      <w:pPr>
        <w:ind w:firstLine="420"/>
        <w:rPr>
          <w:highlight w:val="none"/>
        </w:rPr>
      </w:pPr>
    </w:p>
    <w:p w14:paraId="203C218D">
      <w:pPr>
        <w:ind w:firstLine="420"/>
        <w:rPr>
          <w:highlight w:val="none"/>
        </w:rPr>
      </w:pPr>
    </w:p>
    <w:p w14:paraId="3DDFE0FC">
      <w:pPr>
        <w:ind w:firstLine="420"/>
        <w:rPr>
          <w:highlight w:val="none"/>
        </w:rPr>
      </w:pPr>
    </w:p>
    <w:p w14:paraId="50C6F751">
      <w:pPr>
        <w:ind w:firstLine="420"/>
        <w:rPr>
          <w:highlight w:val="none"/>
        </w:rPr>
      </w:pPr>
    </w:p>
    <w:p w14:paraId="7C0ABB1C">
      <w:pPr>
        <w:ind w:firstLine="420"/>
        <w:rPr>
          <w:highlight w:val="none"/>
        </w:rPr>
      </w:pPr>
    </w:p>
    <w:p w14:paraId="42B91576">
      <w:pPr>
        <w:ind w:firstLine="420"/>
        <w:rPr>
          <w:highlight w:val="none"/>
        </w:rPr>
      </w:pPr>
    </w:p>
    <w:p w14:paraId="5179261C">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2FB7DCA2">
      <w:pPr>
        <w:ind w:firstLine="420"/>
        <w:rPr>
          <w:highlight w:val="none"/>
        </w:rPr>
      </w:pPr>
    </w:p>
    <w:p w14:paraId="3B98123C">
      <w:pPr>
        <w:ind w:firstLine="420"/>
        <w:rPr>
          <w:highlight w:val="none"/>
        </w:rPr>
      </w:pPr>
    </w:p>
    <w:p w14:paraId="54006A67">
      <w:pPr>
        <w:ind w:firstLine="420"/>
        <w:rPr>
          <w:highlight w:val="none"/>
        </w:rPr>
      </w:pPr>
    </w:p>
    <w:p w14:paraId="2EFECCC2">
      <w:pPr>
        <w:ind w:firstLine="420"/>
        <w:rPr>
          <w:highlight w:val="none"/>
        </w:rPr>
      </w:pPr>
    </w:p>
    <w:p w14:paraId="0001F211">
      <w:pPr>
        <w:ind w:firstLine="420"/>
        <w:rPr>
          <w:highlight w:val="none"/>
        </w:rPr>
      </w:pPr>
    </w:p>
    <w:p w14:paraId="65B02381">
      <w:pPr>
        <w:ind w:firstLine="420"/>
        <w:rPr>
          <w:highlight w:val="none"/>
        </w:rPr>
      </w:pPr>
    </w:p>
    <w:tbl>
      <w:tblPr>
        <w:tblStyle w:val="23"/>
        <w:tblW w:w="8301" w:type="dxa"/>
        <w:jc w:val="center"/>
        <w:tblLayout w:type="fixed"/>
        <w:tblCellMar>
          <w:top w:w="0" w:type="dxa"/>
          <w:left w:w="108" w:type="dxa"/>
          <w:bottom w:w="0" w:type="dxa"/>
          <w:right w:w="108" w:type="dxa"/>
        </w:tblCellMar>
      </w:tblPr>
      <w:tblGrid>
        <w:gridCol w:w="1711"/>
        <w:gridCol w:w="4622"/>
        <w:gridCol w:w="1968"/>
      </w:tblGrid>
      <w:tr w14:paraId="47A60A8D">
        <w:tblPrEx>
          <w:tblCellMar>
            <w:top w:w="0" w:type="dxa"/>
            <w:left w:w="108" w:type="dxa"/>
            <w:bottom w:w="0" w:type="dxa"/>
            <w:right w:w="108" w:type="dxa"/>
          </w:tblCellMar>
        </w:tblPrEx>
        <w:trPr>
          <w:jc w:val="center"/>
        </w:trPr>
        <w:tc>
          <w:tcPr>
            <w:tcW w:w="1711" w:type="dxa"/>
            <w:tcBorders>
              <w:top w:val="nil"/>
              <w:left w:val="nil"/>
              <w:bottom w:val="nil"/>
              <w:right w:val="nil"/>
              <w:tl2br w:val="nil"/>
              <w:tr2bl w:val="nil"/>
            </w:tcBorders>
            <w:vAlign w:val="center"/>
          </w:tcPr>
          <w:p w14:paraId="314F07F2">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622" w:type="dxa"/>
            <w:tcBorders>
              <w:top w:val="nil"/>
              <w:left w:val="nil"/>
              <w:bottom w:val="nil"/>
              <w:right w:val="nil"/>
              <w:tl2br w:val="nil"/>
              <w:tr2bl w:val="nil"/>
            </w:tcBorders>
            <w:vAlign w:val="center"/>
          </w:tcPr>
          <w:p w14:paraId="3FF0AED3">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1968" w:type="dxa"/>
            <w:vMerge w:val="restart"/>
            <w:tcBorders>
              <w:top w:val="nil"/>
              <w:left w:val="nil"/>
              <w:bottom w:val="nil"/>
              <w:right w:val="nil"/>
              <w:tl2br w:val="nil"/>
              <w:tr2bl w:val="nil"/>
            </w:tcBorders>
            <w:vAlign w:val="center"/>
          </w:tcPr>
          <w:p w14:paraId="0F6F9B50">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5D461F9A">
        <w:tblPrEx>
          <w:tblCellMar>
            <w:top w:w="0" w:type="dxa"/>
            <w:left w:w="108" w:type="dxa"/>
            <w:bottom w:w="0" w:type="dxa"/>
            <w:right w:w="108" w:type="dxa"/>
          </w:tblCellMar>
        </w:tblPrEx>
        <w:trPr>
          <w:jc w:val="center"/>
        </w:trPr>
        <w:tc>
          <w:tcPr>
            <w:tcW w:w="1711" w:type="dxa"/>
            <w:tcBorders>
              <w:top w:val="nil"/>
              <w:left w:val="nil"/>
              <w:bottom w:val="nil"/>
              <w:right w:val="nil"/>
              <w:tl2br w:val="nil"/>
              <w:tr2bl w:val="nil"/>
            </w:tcBorders>
            <w:vAlign w:val="center"/>
          </w:tcPr>
          <w:p w14:paraId="47EFAFCB">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622" w:type="dxa"/>
            <w:tcBorders>
              <w:top w:val="nil"/>
              <w:left w:val="nil"/>
              <w:bottom w:val="nil"/>
              <w:right w:val="nil"/>
              <w:tl2br w:val="nil"/>
              <w:tr2bl w:val="nil"/>
            </w:tcBorders>
            <w:vAlign w:val="center"/>
          </w:tcPr>
          <w:p w14:paraId="5137E027">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11</w:t>
            </w:r>
            <w:r>
              <w:rPr>
                <w:rFonts w:cs="Times New Roman"/>
                <w:b/>
                <w:snapToGrid w:val="0"/>
                <w:kern w:val="0"/>
                <w:sz w:val="30"/>
                <w:szCs w:val="30"/>
                <w:highlight w:val="none"/>
              </w:rPr>
              <w:t>月</w:t>
            </w:r>
          </w:p>
        </w:tc>
        <w:tc>
          <w:tcPr>
            <w:tcW w:w="1968" w:type="dxa"/>
            <w:vMerge w:val="continue"/>
            <w:tcBorders>
              <w:top w:val="nil"/>
              <w:left w:val="nil"/>
              <w:bottom w:val="nil"/>
              <w:right w:val="nil"/>
              <w:tl2br w:val="nil"/>
              <w:tr2bl w:val="nil"/>
            </w:tcBorders>
            <w:vAlign w:val="center"/>
          </w:tcPr>
          <w:p w14:paraId="679F171A">
            <w:pPr>
              <w:ind w:firstLine="420"/>
              <w:rPr>
                <w:highlight w:val="none"/>
              </w:rPr>
            </w:pPr>
          </w:p>
        </w:tc>
      </w:tr>
    </w:tbl>
    <w:p w14:paraId="66374B02">
      <w:pPr>
        <w:ind w:firstLine="602"/>
        <w:rPr>
          <w:rFonts w:cs="Times New Roman"/>
          <w:b/>
          <w:snapToGrid w:val="0"/>
          <w:kern w:val="0"/>
          <w:sz w:val="30"/>
          <w:szCs w:val="30"/>
          <w:highlight w:val="none"/>
        </w:rPr>
      </w:pPr>
    </w:p>
    <w:p w14:paraId="7245736D">
      <w:pPr>
        <w:ind w:firstLine="42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14:paraId="6D6A056B">
      <w:pPr>
        <w:pStyle w:val="14"/>
        <w:rPr>
          <w:highlight w:val="none"/>
        </w:rPr>
      </w:pPr>
      <w:r>
        <w:rPr>
          <w:highlight w:val="none"/>
        </w:rPr>
        <w:t>目录</w:t>
      </w:r>
    </w:p>
    <w:p w14:paraId="175EDE92">
      <w:pPr>
        <w:pStyle w:val="20"/>
        <w:tabs>
          <w:tab w:val="right" w:leader="middleDot" w:pos="8306"/>
        </w:tabs>
        <w:ind w:firstLine="480"/>
        <w:rPr>
          <w:highlight w:val="none"/>
        </w:rPr>
      </w:pPr>
      <w:r>
        <w:rPr>
          <w:rFonts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highlight w:val="none"/>
        </w:rPr>
        <w:fldChar w:fldCharType="begin"/>
      </w:r>
      <w:r>
        <w:rPr>
          <w:highlight w:val="none"/>
        </w:rPr>
        <w:instrText xml:space="preserve"> HYPERLINK \l "_Toc6789" </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_Toc6789 \h </w:instrText>
      </w:r>
      <w:r>
        <w:rPr>
          <w:highlight w:val="none"/>
        </w:rPr>
        <w:fldChar w:fldCharType="separate"/>
      </w:r>
      <w:r>
        <w:rPr>
          <w:highlight w:val="none"/>
        </w:rPr>
        <w:t>1</w:t>
      </w:r>
      <w:r>
        <w:rPr>
          <w:highlight w:val="none"/>
        </w:rPr>
        <w:fldChar w:fldCharType="end"/>
      </w:r>
      <w:r>
        <w:rPr>
          <w:highlight w:val="none"/>
        </w:rPr>
        <w:fldChar w:fldCharType="end"/>
      </w:r>
    </w:p>
    <w:p w14:paraId="2D8D54E4">
      <w:pPr>
        <w:pStyle w:val="20"/>
        <w:tabs>
          <w:tab w:val="right" w:leader="middleDot" w:pos="8306"/>
        </w:tabs>
        <w:ind w:firstLine="420"/>
        <w:rPr>
          <w:highlight w:val="none"/>
        </w:rPr>
      </w:pPr>
      <w:r>
        <w:rPr>
          <w:highlight w:val="none"/>
        </w:rPr>
        <w:fldChar w:fldCharType="begin"/>
      </w:r>
      <w:r>
        <w:rPr>
          <w:highlight w:val="none"/>
        </w:rPr>
        <w:instrText xml:space="preserve"> HYPERLINK \l "_Toc11144" </w:instrText>
      </w:r>
      <w:r>
        <w:rPr>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_Toc11144 \h </w:instrText>
      </w:r>
      <w:r>
        <w:rPr>
          <w:highlight w:val="none"/>
        </w:rPr>
        <w:fldChar w:fldCharType="separate"/>
      </w:r>
      <w:r>
        <w:rPr>
          <w:highlight w:val="none"/>
        </w:rPr>
        <w:t>6</w:t>
      </w:r>
      <w:r>
        <w:rPr>
          <w:highlight w:val="none"/>
        </w:rPr>
        <w:fldChar w:fldCharType="end"/>
      </w:r>
      <w:r>
        <w:rPr>
          <w:highlight w:val="none"/>
        </w:rPr>
        <w:fldChar w:fldCharType="end"/>
      </w:r>
    </w:p>
    <w:p w14:paraId="21FE7E1B">
      <w:pPr>
        <w:pStyle w:val="20"/>
        <w:tabs>
          <w:tab w:val="right" w:leader="middleDot" w:pos="8306"/>
        </w:tabs>
        <w:ind w:firstLine="420"/>
        <w:rPr>
          <w:highlight w:val="none"/>
        </w:rPr>
      </w:pPr>
      <w:r>
        <w:rPr>
          <w:highlight w:val="none"/>
        </w:rPr>
        <w:fldChar w:fldCharType="begin"/>
      </w:r>
      <w:r>
        <w:rPr>
          <w:highlight w:val="none"/>
        </w:rPr>
        <w:instrText xml:space="preserve"> HYPERLINK \l "_Toc2772" </w:instrText>
      </w:r>
      <w:r>
        <w:rPr>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_Toc2772 \h </w:instrText>
      </w:r>
      <w:r>
        <w:rPr>
          <w:highlight w:val="none"/>
        </w:rPr>
        <w:fldChar w:fldCharType="separate"/>
      </w:r>
      <w:r>
        <w:rPr>
          <w:highlight w:val="none"/>
        </w:rPr>
        <w:t>15</w:t>
      </w:r>
      <w:r>
        <w:rPr>
          <w:highlight w:val="none"/>
        </w:rPr>
        <w:fldChar w:fldCharType="end"/>
      </w:r>
      <w:r>
        <w:rPr>
          <w:highlight w:val="none"/>
        </w:rPr>
        <w:fldChar w:fldCharType="end"/>
      </w:r>
    </w:p>
    <w:p w14:paraId="3B388C07">
      <w:pPr>
        <w:pStyle w:val="20"/>
        <w:tabs>
          <w:tab w:val="right" w:leader="middleDot" w:pos="8306"/>
        </w:tabs>
        <w:ind w:firstLine="420"/>
        <w:rPr>
          <w:highlight w:val="none"/>
        </w:rPr>
      </w:pPr>
      <w:r>
        <w:rPr>
          <w:highlight w:val="none"/>
        </w:rPr>
        <w:fldChar w:fldCharType="begin"/>
      </w:r>
      <w:r>
        <w:rPr>
          <w:highlight w:val="none"/>
        </w:rPr>
        <w:instrText xml:space="preserve"> HYPERLINK \l "_Toc24933" </w:instrText>
      </w:r>
      <w:r>
        <w:rPr>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_Toc24933 \h </w:instrText>
      </w:r>
      <w:r>
        <w:rPr>
          <w:highlight w:val="none"/>
        </w:rPr>
        <w:fldChar w:fldCharType="separate"/>
      </w:r>
      <w:r>
        <w:rPr>
          <w:highlight w:val="none"/>
        </w:rPr>
        <w:t>41</w:t>
      </w:r>
      <w:r>
        <w:rPr>
          <w:highlight w:val="none"/>
        </w:rPr>
        <w:fldChar w:fldCharType="end"/>
      </w:r>
      <w:r>
        <w:rPr>
          <w:highlight w:val="none"/>
        </w:rPr>
        <w:fldChar w:fldCharType="end"/>
      </w:r>
    </w:p>
    <w:p w14:paraId="0360C78E">
      <w:pPr>
        <w:pStyle w:val="20"/>
        <w:tabs>
          <w:tab w:val="right" w:leader="middleDot" w:pos="8306"/>
        </w:tabs>
        <w:ind w:firstLine="420"/>
        <w:rPr>
          <w:highlight w:val="none"/>
        </w:rPr>
      </w:pPr>
      <w:r>
        <w:rPr>
          <w:highlight w:val="none"/>
        </w:rPr>
        <w:fldChar w:fldCharType="begin"/>
      </w:r>
      <w:r>
        <w:rPr>
          <w:highlight w:val="none"/>
        </w:rPr>
        <w:instrText xml:space="preserve"> HYPERLINK \l "_Toc15877" </w:instrText>
      </w:r>
      <w:r>
        <w:rPr>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_Toc15877 \h </w:instrText>
      </w:r>
      <w:r>
        <w:rPr>
          <w:highlight w:val="none"/>
        </w:rPr>
        <w:fldChar w:fldCharType="separate"/>
      </w:r>
      <w:r>
        <w:rPr>
          <w:highlight w:val="none"/>
        </w:rPr>
        <w:t>49</w:t>
      </w:r>
      <w:r>
        <w:rPr>
          <w:highlight w:val="none"/>
        </w:rPr>
        <w:fldChar w:fldCharType="end"/>
      </w:r>
      <w:r>
        <w:rPr>
          <w:highlight w:val="none"/>
        </w:rPr>
        <w:fldChar w:fldCharType="end"/>
      </w:r>
    </w:p>
    <w:p w14:paraId="32D4525A">
      <w:pPr>
        <w:pStyle w:val="20"/>
        <w:tabs>
          <w:tab w:val="right" w:leader="middleDot" w:pos="8306"/>
        </w:tabs>
        <w:ind w:firstLine="420"/>
        <w:rPr>
          <w:highlight w:val="none"/>
        </w:rPr>
      </w:pPr>
      <w:r>
        <w:rPr>
          <w:highlight w:val="none"/>
        </w:rPr>
        <w:fldChar w:fldCharType="begin"/>
      </w:r>
      <w:r>
        <w:rPr>
          <w:highlight w:val="none"/>
        </w:rPr>
        <w:instrText xml:space="preserve"> HYPERLINK \l "_Toc3607" </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_Toc3607 \h </w:instrText>
      </w:r>
      <w:r>
        <w:rPr>
          <w:highlight w:val="none"/>
        </w:rPr>
        <w:fldChar w:fldCharType="separate"/>
      </w:r>
      <w:r>
        <w:rPr>
          <w:highlight w:val="none"/>
        </w:rPr>
        <w:t>114</w:t>
      </w:r>
      <w:r>
        <w:rPr>
          <w:highlight w:val="none"/>
        </w:rPr>
        <w:fldChar w:fldCharType="end"/>
      </w:r>
      <w:r>
        <w:rPr>
          <w:highlight w:val="none"/>
        </w:rPr>
        <w:fldChar w:fldCharType="end"/>
      </w:r>
    </w:p>
    <w:p w14:paraId="16681047">
      <w:pPr>
        <w:widowControl/>
        <w:ind w:firstLine="420"/>
        <w:jc w:val="left"/>
        <w:rPr>
          <w:rFonts w:ascii="宋体"/>
          <w:snapToGrid w:val="0"/>
          <w:kern w:val="0"/>
          <w:sz w:val="24"/>
          <w:szCs w:val="24"/>
          <w:highlight w:val="none"/>
        </w:rPr>
      </w:pPr>
      <w:r>
        <w:rPr>
          <w:rFonts w:ascii="宋体"/>
          <w:snapToGrid w:val="0"/>
          <w:kern w:val="0"/>
          <w:szCs w:val="24"/>
          <w:highlight w:val="none"/>
        </w:rPr>
        <w:fldChar w:fldCharType="end"/>
      </w:r>
    </w:p>
    <w:p w14:paraId="31453582">
      <w:pPr>
        <w:widowControl/>
        <w:ind w:firstLine="480"/>
        <w:jc w:val="left"/>
        <w:rPr>
          <w:rFonts w:ascii="宋体"/>
          <w:snapToGrid w:val="0"/>
          <w:kern w:val="0"/>
          <w:sz w:val="24"/>
          <w:szCs w:val="24"/>
          <w:highlight w:val="none"/>
        </w:rPr>
        <w:sectPr>
          <w:pgSz w:w="11906" w:h="16838"/>
          <w:pgMar w:top="1440" w:right="1800" w:bottom="1440" w:left="1800" w:header="851" w:footer="992" w:gutter="0"/>
          <w:pgNumType w:start="1"/>
          <w:cols w:space="425" w:num="1"/>
          <w:docGrid w:type="lines" w:linePitch="312" w:charSpace="0"/>
        </w:sectPr>
      </w:pPr>
    </w:p>
    <w:p w14:paraId="47227B2B">
      <w:pPr>
        <w:pStyle w:val="2"/>
        <w:rPr>
          <w:highlight w:val="none"/>
        </w:rPr>
      </w:pPr>
      <w:bookmarkStart w:id="0" w:name="_Toc440628903"/>
      <w:bookmarkStart w:id="1" w:name="_Toc469574661"/>
      <w:bookmarkStart w:id="2" w:name="_Toc6745"/>
      <w:bookmarkStart w:id="3" w:name="_Toc6789"/>
      <w:bookmarkStart w:id="4" w:name="_Toc9489"/>
      <w:bookmarkStart w:id="5" w:name="_Toc29942"/>
      <w:bookmarkStart w:id="6" w:name="_Toc7421"/>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bookmarkEnd w:id="5"/>
      <w:bookmarkEnd w:id="6"/>
    </w:p>
    <w:p w14:paraId="10DBEA47">
      <w:pPr>
        <w:ind w:firstLine="420"/>
        <w:rPr>
          <w:highlight w:val="none"/>
        </w:rPr>
      </w:pPr>
      <w:bookmarkStart w:id="7" w:name="_Toc89675127"/>
      <w:bookmarkStart w:id="8" w:name="_Toc55379218"/>
      <w:r>
        <w:rPr>
          <w:rFonts w:cs="Times New Roman"/>
          <w:highlight w:val="none"/>
        </w:rPr>
        <w:t>为满足本行反欺诈工作更加平台化、模块化、标准化的发展要求，聚焦交易与账户双维安全，</w:t>
      </w:r>
      <w:r>
        <w:rPr>
          <w:rFonts w:hint="eastAsia" w:cs="Times New Roman"/>
          <w:highlight w:val="none"/>
        </w:rPr>
        <w:t>构建覆盖全渠道、全</w:t>
      </w:r>
      <w:r>
        <w:rPr>
          <w:rFonts w:cs="Times New Roman"/>
          <w:highlight w:val="none"/>
        </w:rPr>
        <w:t>场景</w:t>
      </w:r>
      <w:r>
        <w:rPr>
          <w:rFonts w:hint="eastAsia" w:cs="Times New Roman"/>
          <w:highlight w:val="none"/>
        </w:rPr>
        <w:t>的统一欺诈风险监测体系，实现事前、事中、事后全流程风险监测、识别与处理，</w:t>
      </w:r>
      <w:r>
        <w:rPr>
          <w:rFonts w:cs="Times New Roman"/>
          <w:highlight w:val="none"/>
        </w:rPr>
        <w:t>并</w:t>
      </w:r>
      <w:r>
        <w:rPr>
          <w:rFonts w:hint="eastAsia" w:cs="Times New Roman"/>
          <w:highlight w:val="none"/>
        </w:rPr>
        <w:t>形成自动化、智能化、高效率的风险防控体系，</w:t>
      </w:r>
      <w:r>
        <w:rPr>
          <w:rFonts w:cs="Times New Roman"/>
          <w:highlight w:val="none"/>
        </w:rPr>
        <w:t>以进一步保障采购人业务</w:t>
      </w:r>
      <w:r>
        <w:rPr>
          <w:rFonts w:hint="eastAsia" w:cs="Times New Roman"/>
          <w:highlight w:val="none"/>
        </w:rPr>
        <w:t>的稳健运行。</w:t>
      </w:r>
      <w:r>
        <w:rPr>
          <w:rFonts w:hint="eastAsia"/>
          <w:highlight w:val="none"/>
        </w:rPr>
        <w:t>现对重庆三峡银行</w:t>
      </w:r>
      <w:r>
        <w:rPr>
          <w:highlight w:val="none"/>
        </w:rPr>
        <w:t>智能交易风控系统</w:t>
      </w:r>
      <w:r>
        <w:rPr>
          <w:rFonts w:hint="eastAsia"/>
          <w:highlight w:val="none"/>
        </w:rPr>
        <w:t>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r>
        <w:rPr>
          <w:rFonts w:hint="eastAsia"/>
          <w:highlight w:val="none"/>
        </w:rPr>
        <w:t>进行公开询比，</w:t>
      </w:r>
      <w:r>
        <w:rPr>
          <w:highlight w:val="none"/>
        </w:rPr>
        <w:t>特邀请有</w:t>
      </w:r>
      <w:bookmarkStart w:id="9" w:name="_Hlk59455120"/>
      <w:r>
        <w:rPr>
          <w:highlight w:val="none"/>
        </w:rPr>
        <w:t>意向</w:t>
      </w:r>
      <w:bookmarkEnd w:id="9"/>
      <w:r>
        <w:rPr>
          <w:highlight w:val="none"/>
        </w:rPr>
        <w:t>的潜在</w:t>
      </w:r>
      <w:r>
        <w:rPr>
          <w:rFonts w:hint="eastAsia"/>
          <w:highlight w:val="none"/>
        </w:rPr>
        <w:t>响应人参与响应</w:t>
      </w:r>
      <w:r>
        <w:rPr>
          <w:highlight w:val="none"/>
        </w:rPr>
        <w:t>。</w:t>
      </w:r>
    </w:p>
    <w:p w14:paraId="5FB76E79">
      <w:pPr>
        <w:pStyle w:val="3"/>
        <w:rPr>
          <w:highlight w:val="none"/>
        </w:rPr>
      </w:pPr>
      <w:r>
        <w:rPr>
          <w:rFonts w:hint="eastAsia"/>
          <w:highlight w:val="none"/>
        </w:rPr>
        <w:t>1. 询比项目内容</w:t>
      </w:r>
      <w:bookmarkEnd w:id="7"/>
      <w:bookmarkEnd w:id="8"/>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25A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B15F924">
            <w:pPr>
              <w:pStyle w:val="37"/>
              <w:rPr>
                <w:highlight w:val="none"/>
              </w:rPr>
            </w:pPr>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3503A41C">
            <w:pPr>
              <w:pStyle w:val="37"/>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67BB8B54">
            <w:pPr>
              <w:pStyle w:val="37"/>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20DD0875">
            <w:pPr>
              <w:pStyle w:val="37"/>
              <w:rPr>
                <w:highlight w:val="none"/>
              </w:rPr>
            </w:pPr>
            <w:r>
              <w:rPr>
                <w:rFonts w:hint="eastAsia"/>
                <w:highlight w:val="none"/>
              </w:rPr>
              <w:t>成交供应商</w:t>
            </w:r>
          </w:p>
          <w:p w14:paraId="5A9A3C68">
            <w:pPr>
              <w:pStyle w:val="37"/>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6A0C3BB1">
            <w:pPr>
              <w:pStyle w:val="37"/>
              <w:rPr>
                <w:highlight w:val="none"/>
              </w:rPr>
            </w:pPr>
            <w:r>
              <w:rPr>
                <w:rFonts w:hint="eastAsia"/>
                <w:highlight w:val="none"/>
              </w:rPr>
              <w:t>备注</w:t>
            </w:r>
          </w:p>
        </w:tc>
      </w:tr>
      <w:tr w14:paraId="7228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65B299B">
            <w:pPr>
              <w:pStyle w:val="36"/>
              <w:rPr>
                <w:highlight w:val="none"/>
              </w:rPr>
            </w:pPr>
            <w:r>
              <w:rPr>
                <w:rFonts w:hint="eastAsia"/>
                <w:highlight w:val="none"/>
              </w:rPr>
              <w:t>1</w:t>
            </w:r>
          </w:p>
        </w:tc>
        <w:tc>
          <w:tcPr>
            <w:tcW w:w="3063" w:type="dxa"/>
            <w:tcBorders>
              <w:top w:val="single" w:color="auto" w:sz="4" w:space="0"/>
              <w:left w:val="single" w:color="auto" w:sz="4" w:space="0"/>
              <w:right w:val="single" w:color="auto" w:sz="4" w:space="0"/>
            </w:tcBorders>
            <w:vAlign w:val="center"/>
          </w:tcPr>
          <w:p w14:paraId="1257EE10">
            <w:pPr>
              <w:pStyle w:val="36"/>
              <w:rPr>
                <w:highlight w:val="none"/>
              </w:rPr>
            </w:pPr>
            <w:r>
              <w:rPr>
                <w:highlight w:val="none"/>
              </w:rPr>
              <w:t>重庆三峡银行智能交易风控系统项目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p>
        </w:tc>
        <w:tc>
          <w:tcPr>
            <w:tcW w:w="2075" w:type="dxa"/>
            <w:tcBorders>
              <w:top w:val="single" w:color="auto" w:sz="4" w:space="0"/>
              <w:left w:val="single" w:color="auto" w:sz="4" w:space="0"/>
              <w:right w:val="single" w:color="auto" w:sz="4" w:space="0"/>
            </w:tcBorders>
            <w:vAlign w:val="center"/>
          </w:tcPr>
          <w:p w14:paraId="52548B9E">
            <w:pPr>
              <w:pStyle w:val="36"/>
              <w:rPr>
                <w:highlight w:val="none"/>
              </w:rPr>
            </w:pPr>
            <w:r>
              <w:rPr>
                <w:highlight w:val="none"/>
              </w:rPr>
              <w:t>360万元</w:t>
            </w:r>
          </w:p>
        </w:tc>
        <w:tc>
          <w:tcPr>
            <w:tcW w:w="1563" w:type="dxa"/>
            <w:tcBorders>
              <w:top w:val="single" w:color="auto" w:sz="4" w:space="0"/>
              <w:left w:val="single" w:color="auto" w:sz="4" w:space="0"/>
              <w:right w:val="single" w:color="auto" w:sz="4" w:space="0"/>
            </w:tcBorders>
            <w:vAlign w:val="center"/>
          </w:tcPr>
          <w:p w14:paraId="107D01E5">
            <w:pPr>
              <w:pStyle w:val="36"/>
              <w:rPr>
                <w:highlight w:val="none"/>
              </w:rPr>
            </w:pPr>
            <w:r>
              <w:rPr>
                <w:highlight w:val="none"/>
              </w:rPr>
              <w:t>1</w:t>
            </w:r>
          </w:p>
        </w:tc>
        <w:tc>
          <w:tcPr>
            <w:tcW w:w="1367" w:type="dxa"/>
            <w:tcBorders>
              <w:top w:val="single" w:color="auto" w:sz="4" w:space="0"/>
              <w:left w:val="single" w:color="auto" w:sz="4" w:space="0"/>
              <w:bottom w:val="single" w:color="auto" w:sz="4" w:space="0"/>
              <w:right w:val="single" w:color="auto" w:sz="4" w:space="0"/>
            </w:tcBorders>
            <w:vAlign w:val="center"/>
          </w:tcPr>
          <w:p w14:paraId="26BE6B56">
            <w:pPr>
              <w:pStyle w:val="36"/>
              <w:rPr>
                <w:highlight w:val="none"/>
              </w:rPr>
            </w:pPr>
            <w:r>
              <w:rPr>
                <w:rFonts w:hint="eastAsia"/>
                <w:highlight w:val="none"/>
              </w:rPr>
              <w:t>（含税）</w:t>
            </w:r>
          </w:p>
        </w:tc>
      </w:tr>
    </w:tbl>
    <w:p w14:paraId="167AD709">
      <w:pPr>
        <w:pStyle w:val="3"/>
        <w:rPr>
          <w:highlight w:val="none"/>
        </w:rPr>
      </w:pPr>
      <w:bookmarkStart w:id="10" w:name="_Toc297817088"/>
      <w:bookmarkStart w:id="11" w:name="_Toc55379219"/>
      <w:bookmarkStart w:id="12" w:name="_Toc469574664"/>
      <w:bookmarkStart w:id="13" w:name="_Toc288224935"/>
      <w:bookmarkStart w:id="14" w:name="_Toc89675128"/>
      <w:r>
        <w:rPr>
          <w:rFonts w:hint="eastAsia"/>
          <w:highlight w:val="none"/>
        </w:rPr>
        <w:t>2. 响应人资格要求</w:t>
      </w:r>
      <w:bookmarkEnd w:id="10"/>
      <w:bookmarkEnd w:id="11"/>
      <w:bookmarkEnd w:id="12"/>
      <w:bookmarkEnd w:id="13"/>
      <w:bookmarkEnd w:id="14"/>
    </w:p>
    <w:p w14:paraId="01982640">
      <w:pPr>
        <w:ind w:firstLine="420"/>
        <w:rPr>
          <w:highlight w:val="none"/>
        </w:rPr>
      </w:pPr>
      <w:bookmarkStart w:id="15" w:name="_Hlk55488870"/>
      <w:r>
        <w:rPr>
          <w:rFonts w:hint="eastAsia"/>
          <w:highlight w:val="none"/>
        </w:rPr>
        <w:t>2.1 具有独立承担民事责任的能力</w:t>
      </w:r>
    </w:p>
    <w:p w14:paraId="45001EA5">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0A47F07">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1AA01BE">
      <w:pPr>
        <w:ind w:firstLine="420"/>
        <w:rPr>
          <w:highlight w:val="none"/>
        </w:rPr>
      </w:pPr>
      <w:r>
        <w:rPr>
          <w:rFonts w:hint="eastAsia"/>
          <w:highlight w:val="none"/>
        </w:rPr>
        <w:t>2.3 本项目不允许任何形式的转包【提供书面声明】。</w:t>
      </w:r>
    </w:p>
    <w:p w14:paraId="62119376">
      <w:pPr>
        <w:ind w:firstLine="420"/>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75313F8">
      <w:pPr>
        <w:ind w:firstLine="420"/>
        <w:rPr>
          <w:highlight w:val="none"/>
        </w:rPr>
      </w:pPr>
      <w:r>
        <w:rPr>
          <w:rFonts w:hint="eastAsia"/>
          <w:highlight w:val="none"/>
        </w:rPr>
        <w:t>2.5 本次询比不接受联合体响应。</w:t>
      </w:r>
    </w:p>
    <w:p w14:paraId="293205D5">
      <w:pPr>
        <w:pStyle w:val="9"/>
        <w:ind w:firstLine="420"/>
        <w:rPr>
          <w:highlight w:val="none"/>
        </w:rPr>
      </w:pPr>
      <w:r>
        <w:rPr>
          <w:rFonts w:hint="eastAsia"/>
          <w:highlight w:val="none"/>
        </w:rPr>
        <w:t>2.6 2023年1月1日至响应截止之日（以合同签订时间为准），具有智能交易风控系统相关实施案例不少于3个，案例的合同内项目名称或建设内容应包含诸如“反诈”、“反欺诈”、“交易反欺诈”、“反电诈”、“反电信诈骗”、“交易实时风控”、“涉赌涉诈”、“分级分类”、“交易风险监测”、“账户分类分级”、“账户风险管理”等关键内容或字样。低于3个案例（不含3个）取消响应资质。（案例中至少1个为国有银行、股份制银行或省级城商行总行实施案例；至少一个为交易反欺诈跟账户分级分类整合建设案例；至少1个为国产化适配实施案例；同一家银行不同分、支行，或同一家银行在此期间的多次实施，均视为1个案例。）</w:t>
      </w:r>
    </w:p>
    <w:p w14:paraId="7F169611">
      <w:pPr>
        <w:ind w:firstLine="420"/>
        <w:rPr>
          <w:highlight w:val="none"/>
        </w:rPr>
      </w:pPr>
      <w:r>
        <w:rPr>
          <w:rFonts w:hint="eastAsia"/>
          <w:highlight w:val="none"/>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4、国产化案例须在合同项目名称或建设内容中明确体现适配国产操作系统、中间件、数据库</w:t>
      </w:r>
      <w:r>
        <w:rPr>
          <w:rFonts w:hint="eastAsia"/>
          <w:highlight w:val="none"/>
          <w:lang w:val="en-US" w:eastAsia="zh-CN"/>
        </w:rPr>
        <w:t>等内容</w:t>
      </w:r>
      <w:r>
        <w:rPr>
          <w:rFonts w:hint="eastAsia"/>
          <w:highlight w:val="none"/>
        </w:rPr>
        <w:t>，或提供相关厂家针对响应产品出具的软件授权适配证明（需包含操作系统、中间件、数据库授权）。】</w:t>
      </w:r>
    </w:p>
    <w:p w14:paraId="2087F447">
      <w:pPr>
        <w:ind w:firstLine="420"/>
        <w:rPr>
          <w:rFonts w:hint="eastAsia" w:eastAsia="宋体"/>
          <w:highlight w:val="none"/>
          <w:lang w:eastAsia="zh-CN"/>
        </w:rPr>
      </w:pPr>
      <w:r>
        <w:rPr>
          <w:rFonts w:hint="eastAsia"/>
          <w:highlight w:val="none"/>
        </w:rPr>
        <w:t>2.7 响应人须为产品原厂商，具备对产品二次开发及维护能力【提供书面声明】</w:t>
      </w:r>
      <w:r>
        <w:rPr>
          <w:rFonts w:hint="eastAsia"/>
          <w:highlight w:val="none"/>
          <w:lang w:eastAsia="zh-CN"/>
        </w:rPr>
        <w:t>；</w:t>
      </w:r>
    </w:p>
    <w:p w14:paraId="1AB30310">
      <w:pPr>
        <w:ind w:firstLine="420"/>
        <w:rPr>
          <w:highlight w:val="none"/>
        </w:rPr>
      </w:pPr>
      <w:r>
        <w:rPr>
          <w:highlight w:val="none"/>
        </w:rPr>
        <w:t>2.8</w:t>
      </w:r>
      <w:r>
        <w:rPr>
          <w:rFonts w:hint="eastAsia"/>
          <w:highlight w:val="none"/>
        </w:rPr>
        <w:t xml:space="preserve"> 响应人注册成立时间不少于3年，且近3年财务状况稳定【注册成立时间提供营业执照；财务状况提供书面声明】；</w:t>
      </w:r>
    </w:p>
    <w:p w14:paraId="3D066E27">
      <w:pPr>
        <w:ind w:firstLine="420"/>
        <w:rPr>
          <w:rFonts w:hint="eastAsia" w:eastAsia="宋体"/>
          <w:highlight w:val="none"/>
          <w:lang w:eastAsia="zh-CN"/>
        </w:rPr>
      </w:pPr>
      <w:r>
        <w:rPr>
          <w:highlight w:val="none"/>
        </w:rPr>
        <w:t>2.9</w:t>
      </w:r>
      <w:r>
        <w:rPr>
          <w:rFonts w:hint="eastAsia"/>
          <w:highlight w:val="none"/>
        </w:rPr>
        <w:t xml:space="preserve"> 响应人须具备软件研发体系CMMI3级及以上认证证书；【提供认证证书】</w:t>
      </w:r>
      <w:r>
        <w:rPr>
          <w:rFonts w:hint="eastAsia"/>
          <w:highlight w:val="none"/>
          <w:lang w:eastAsia="zh-CN"/>
        </w:rPr>
        <w:t>。</w:t>
      </w:r>
    </w:p>
    <w:p w14:paraId="74075511">
      <w:pPr>
        <w:ind w:firstLine="420"/>
        <w:rPr>
          <w:highlight w:val="none"/>
        </w:rPr>
      </w:pPr>
      <w:r>
        <w:rPr>
          <w:rFonts w:hint="eastAsia"/>
          <w:highlight w:val="none"/>
        </w:rPr>
        <w:t>注:以上证明文件若采购人存疑，响应人需提供原件备查，响应文件中须附相关证明文件复印件并逐页加盖公章。</w:t>
      </w:r>
    </w:p>
    <w:p w14:paraId="58575DCB">
      <w:pPr>
        <w:ind w:firstLine="420"/>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3"/>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08E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AB60EE3">
            <w:pPr>
              <w:pStyle w:val="37"/>
              <w:rPr>
                <w:highlight w:val="none"/>
              </w:rPr>
            </w:pPr>
            <w:r>
              <w:rPr>
                <w:rFonts w:hint="eastAsia"/>
                <w:highlight w:val="none"/>
              </w:rPr>
              <w:t>序号</w:t>
            </w:r>
          </w:p>
        </w:tc>
        <w:tc>
          <w:tcPr>
            <w:tcW w:w="4933" w:type="dxa"/>
          </w:tcPr>
          <w:p w14:paraId="2565E1A6">
            <w:pPr>
              <w:pStyle w:val="37"/>
              <w:rPr>
                <w:highlight w:val="none"/>
              </w:rPr>
            </w:pPr>
            <w:r>
              <w:rPr>
                <w:rFonts w:hint="eastAsia"/>
                <w:highlight w:val="none"/>
              </w:rPr>
              <w:t>公司</w:t>
            </w:r>
          </w:p>
        </w:tc>
      </w:tr>
      <w:tr w14:paraId="3C2A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1F3F558">
            <w:pPr>
              <w:pStyle w:val="36"/>
              <w:rPr>
                <w:highlight w:val="none"/>
              </w:rPr>
            </w:pPr>
            <w:r>
              <w:rPr>
                <w:rFonts w:hint="eastAsia" w:cs="宋体"/>
                <w:szCs w:val="21"/>
                <w:highlight w:val="none"/>
              </w:rPr>
              <w:t>1</w:t>
            </w:r>
          </w:p>
        </w:tc>
        <w:tc>
          <w:tcPr>
            <w:tcW w:w="4933" w:type="dxa"/>
            <w:tcBorders>
              <w:left w:val="single" w:color="auto" w:sz="4" w:space="0"/>
            </w:tcBorders>
          </w:tcPr>
          <w:p w14:paraId="0717EEA3">
            <w:pPr>
              <w:pStyle w:val="36"/>
              <w:rPr>
                <w:highlight w:val="none"/>
              </w:rPr>
            </w:pPr>
            <w:r>
              <w:rPr>
                <w:rFonts w:hint="eastAsia" w:cs="宋体"/>
                <w:szCs w:val="21"/>
                <w:highlight w:val="none"/>
              </w:rPr>
              <w:t>依米康软件技术（深圳）有限责任公司</w:t>
            </w:r>
          </w:p>
        </w:tc>
      </w:tr>
    </w:tbl>
    <w:p w14:paraId="4BB56C81">
      <w:pPr>
        <w:ind w:firstLine="420"/>
        <w:rPr>
          <w:highlight w:val="none"/>
        </w:rPr>
      </w:pPr>
    </w:p>
    <w:bookmarkEnd w:id="15"/>
    <w:p w14:paraId="0A1079B1">
      <w:pPr>
        <w:pStyle w:val="3"/>
        <w:rPr>
          <w:highlight w:val="none"/>
        </w:rPr>
      </w:pPr>
      <w:bookmarkStart w:id="16" w:name="_Toc55379220"/>
      <w:bookmarkStart w:id="17" w:name="_Toc297817090"/>
      <w:bookmarkStart w:id="18" w:name="_Toc89675130"/>
      <w:bookmarkStart w:id="19" w:name="_Toc469574667"/>
      <w:r>
        <w:rPr>
          <w:rFonts w:hint="eastAsia"/>
          <w:highlight w:val="none"/>
        </w:rPr>
        <w:t>3. 询比文件的获取</w:t>
      </w:r>
      <w:bookmarkEnd w:id="16"/>
    </w:p>
    <w:p w14:paraId="35193333">
      <w:pPr>
        <w:ind w:firstLine="420"/>
        <w:rPr>
          <w:highlight w:val="none"/>
        </w:rPr>
      </w:pPr>
      <w:r>
        <w:rPr>
          <w:rFonts w:hint="eastAsia"/>
          <w:highlight w:val="none"/>
        </w:rPr>
        <w:t>3.1 响应截止时间：</w:t>
      </w:r>
      <w:r>
        <w:rPr>
          <w:rFonts w:hint="eastAsia"/>
          <w:highlight w:val="none"/>
          <w:lang w:val="en-US" w:eastAsia="zh-CN"/>
        </w:rPr>
        <w:t xml:space="preserve">2025 </w:t>
      </w:r>
      <w:r>
        <w:rPr>
          <w:rFonts w:hint="eastAsia"/>
          <w:highlight w:val="none"/>
        </w:rPr>
        <w:t>年</w:t>
      </w:r>
      <w:r>
        <w:rPr>
          <w:rFonts w:hint="eastAsia"/>
          <w:highlight w:val="none"/>
          <w:lang w:val="en-US" w:eastAsia="zh-CN"/>
        </w:rPr>
        <w:t xml:space="preserve"> 12 </w:t>
      </w:r>
      <w:r>
        <w:rPr>
          <w:rFonts w:hint="eastAsia"/>
          <w:highlight w:val="none"/>
        </w:rPr>
        <w:t>月</w:t>
      </w:r>
      <w:r>
        <w:rPr>
          <w:rFonts w:hint="eastAsia"/>
          <w:highlight w:val="none"/>
          <w:lang w:val="en-US" w:eastAsia="zh-CN"/>
        </w:rPr>
        <w:t xml:space="preserve"> 8 </w:t>
      </w:r>
      <w:r>
        <w:rPr>
          <w:rFonts w:hint="eastAsia"/>
          <w:highlight w:val="none"/>
        </w:rPr>
        <w:t>日</w:t>
      </w:r>
      <w:r>
        <w:rPr>
          <w:rFonts w:hint="eastAsia"/>
          <w:highlight w:val="none"/>
          <w:lang w:val="en-US" w:eastAsia="zh-CN"/>
        </w:rPr>
        <w:t xml:space="preserve"> 9 </w:t>
      </w:r>
      <w:r>
        <w:rPr>
          <w:rFonts w:hint="eastAsia"/>
          <w:highlight w:val="none"/>
        </w:rPr>
        <w:t>时</w:t>
      </w:r>
      <w:r>
        <w:rPr>
          <w:rFonts w:hint="eastAsia"/>
          <w:highlight w:val="none"/>
          <w:lang w:val="en-US" w:eastAsia="zh-CN"/>
        </w:rPr>
        <w:t xml:space="preserve"> 30 </w:t>
      </w:r>
      <w:r>
        <w:rPr>
          <w:rFonts w:hint="eastAsia"/>
          <w:highlight w:val="none"/>
        </w:rPr>
        <w:t>分（北京时间）</w:t>
      </w:r>
    </w:p>
    <w:p w14:paraId="22CDF256">
      <w:pPr>
        <w:ind w:firstLine="420"/>
        <w:rPr>
          <w:highlight w:val="none"/>
        </w:rPr>
      </w:pPr>
      <w:r>
        <w:rPr>
          <w:rFonts w:hint="eastAsia"/>
          <w:highlight w:val="none"/>
        </w:rPr>
        <w:t>3.2 获取时间和方式：从</w:t>
      </w:r>
      <w:r>
        <w:rPr>
          <w:rFonts w:hint="eastAsia"/>
          <w:highlight w:val="none"/>
          <w:lang w:val="en-US" w:eastAsia="zh-CN"/>
        </w:rPr>
        <w:t xml:space="preserve">2025 </w:t>
      </w:r>
      <w:r>
        <w:rPr>
          <w:rFonts w:hint="eastAsia"/>
          <w:highlight w:val="none"/>
        </w:rPr>
        <w:t>年</w:t>
      </w:r>
      <w:r>
        <w:rPr>
          <w:rFonts w:hint="eastAsia"/>
          <w:highlight w:val="none"/>
          <w:lang w:val="en-US" w:eastAsia="zh-CN"/>
        </w:rPr>
        <w:t xml:space="preserve"> 11 </w:t>
      </w:r>
      <w:r>
        <w:rPr>
          <w:rFonts w:hint="eastAsia"/>
          <w:highlight w:val="none"/>
        </w:rPr>
        <w:t>月</w:t>
      </w:r>
      <w:r>
        <w:rPr>
          <w:rFonts w:hint="eastAsia"/>
          <w:highlight w:val="none"/>
          <w:lang w:val="en-US" w:eastAsia="zh-CN"/>
        </w:rPr>
        <w:t xml:space="preserve"> 21 </w:t>
      </w:r>
      <w:r>
        <w:rPr>
          <w:rFonts w:hint="eastAsia"/>
          <w:highlight w:val="none"/>
        </w:rPr>
        <w:t>日到响应截止时间，在重庆市公共资源交易网（www.cqggzy.com）下载询比文件。</w:t>
      </w:r>
    </w:p>
    <w:p w14:paraId="51D699AB">
      <w:pPr>
        <w:ind w:firstLine="420"/>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lang w:val="en-US" w:eastAsia="zh-CN"/>
        </w:rPr>
        <w:t xml:space="preserve">     </w:t>
      </w:r>
      <w:r>
        <w:rPr>
          <w:rFonts w:hint="eastAsia"/>
          <w:lang w:val="en-US" w:eastAsia="zh-CN"/>
        </w:rPr>
        <w:t>2025</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w:t>
      </w:r>
      <w:r>
        <w:rPr>
          <w:rFonts w:hint="eastAsia"/>
          <w:highlight w:val="none"/>
        </w:rPr>
        <w:t>（北京时间）前自行在重庆市公共资源交易网（http://www.cqggzy.com/）询比公告的“我要提问”栏目匿名提出。响应人未提出，则视为响应人已全面确认询比文件内容。</w:t>
      </w:r>
      <w:bookmarkStart w:id="346" w:name="_GoBack"/>
      <w:bookmarkEnd w:id="346"/>
    </w:p>
    <w:p w14:paraId="30D21974">
      <w:pPr>
        <w:ind w:firstLine="420"/>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72732F0">
      <w:pPr>
        <w:pStyle w:val="3"/>
        <w:rPr>
          <w:highlight w:val="none"/>
        </w:rPr>
      </w:pPr>
      <w:bookmarkStart w:id="20" w:name="_Toc55379221"/>
      <w:r>
        <w:rPr>
          <w:rFonts w:hint="eastAsia"/>
          <w:highlight w:val="none"/>
        </w:rPr>
        <w:t>4. 响应保证金的递交</w:t>
      </w:r>
      <w:bookmarkEnd w:id="17"/>
      <w:bookmarkEnd w:id="18"/>
      <w:bookmarkEnd w:id="19"/>
      <w:bookmarkEnd w:id="20"/>
    </w:p>
    <w:p w14:paraId="05D9D2B8">
      <w:pPr>
        <w:ind w:firstLine="420"/>
        <w:rPr>
          <w:highlight w:val="none"/>
        </w:rPr>
      </w:pPr>
      <w:bookmarkStart w:id="21" w:name="_Toc89675131"/>
      <w:bookmarkStart w:id="22" w:name="_Toc469574668"/>
      <w:bookmarkStart w:id="23" w:name="_Toc297817091"/>
      <w:bookmarkStart w:id="24" w:name="_Toc55379222"/>
      <w:r>
        <w:rPr>
          <w:rFonts w:hint="eastAsia"/>
          <w:highlight w:val="none"/>
        </w:rPr>
        <w:t>4.1 响应保证金的金额：</w:t>
      </w:r>
      <w:r>
        <w:rPr>
          <w:b/>
          <w:bCs/>
          <w:highlight w:val="none"/>
          <w:u w:val="single"/>
        </w:rPr>
        <w:t>70,000</w:t>
      </w:r>
      <w:r>
        <w:rPr>
          <w:rFonts w:hint="eastAsia"/>
          <w:b/>
          <w:bCs/>
          <w:highlight w:val="none"/>
          <w:u w:val="single"/>
        </w:rPr>
        <w:t>元整（大写：</w:t>
      </w:r>
      <w:r>
        <w:rPr>
          <w:b/>
          <w:bCs/>
          <w:highlight w:val="none"/>
          <w:u w:val="single"/>
        </w:rPr>
        <w:t>柒万元整</w:t>
      </w:r>
      <w:r>
        <w:rPr>
          <w:rFonts w:hint="eastAsia"/>
          <w:b/>
          <w:bCs/>
          <w:highlight w:val="none"/>
          <w:u w:val="single"/>
        </w:rPr>
        <w:t>）</w:t>
      </w:r>
      <w:r>
        <w:rPr>
          <w:rFonts w:hint="eastAsia"/>
          <w:highlight w:val="none"/>
        </w:rPr>
        <w:t>。</w:t>
      </w:r>
    </w:p>
    <w:p w14:paraId="107592CC">
      <w:pPr>
        <w:ind w:firstLine="420"/>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98D4732">
      <w:pPr>
        <w:ind w:firstLine="422"/>
        <w:rPr>
          <w:b/>
          <w:bCs/>
          <w:highlight w:val="none"/>
        </w:rPr>
      </w:pPr>
      <w:r>
        <w:rPr>
          <w:rFonts w:hint="eastAsia"/>
          <w:b/>
          <w:bCs/>
          <w:highlight w:val="none"/>
        </w:rPr>
        <w:t>响应人可在付款凭证备注栏中注明项目简称。可简写成：</w:t>
      </w:r>
      <w:r>
        <w:rPr>
          <w:b/>
          <w:bCs/>
          <w:highlight w:val="none"/>
          <w:u w:val="single"/>
        </w:rPr>
        <w:t>三峡银行交易风控</w:t>
      </w:r>
      <w:r>
        <w:rPr>
          <w:rFonts w:hint="eastAsia"/>
          <w:b/>
          <w:bCs/>
          <w:highlight w:val="none"/>
          <w:u w:val="single"/>
        </w:rPr>
        <w:t>项目</w:t>
      </w:r>
      <w:r>
        <w:rPr>
          <w:rFonts w:hint="eastAsia"/>
          <w:b/>
          <w:bCs/>
          <w:highlight w:val="none"/>
        </w:rPr>
        <w:t>。</w:t>
      </w:r>
    </w:p>
    <w:p w14:paraId="0BF10DA7">
      <w:pPr>
        <w:ind w:firstLine="420"/>
        <w:rPr>
          <w:highlight w:val="none"/>
        </w:rPr>
      </w:pPr>
      <w:r>
        <w:rPr>
          <w:rFonts w:hint="eastAsia"/>
          <w:highlight w:val="none"/>
        </w:rPr>
        <w:t>4.3 响应保证金递交的截止时间同响应截止时间。响应保证金以重庆市公共资源交易中心询比现场展示的保证金交纳情况为准。</w:t>
      </w:r>
    </w:p>
    <w:p w14:paraId="39A573E5">
      <w:pPr>
        <w:ind w:firstLine="420"/>
        <w:rPr>
          <w:highlight w:val="none"/>
        </w:rPr>
      </w:pPr>
      <w:r>
        <w:rPr>
          <w:rFonts w:hint="eastAsia"/>
          <w:highlight w:val="none"/>
        </w:rPr>
        <w:t>4.</w:t>
      </w:r>
      <w:r>
        <w:rPr>
          <w:highlight w:val="none"/>
        </w:rPr>
        <w:t>4</w:t>
      </w:r>
      <w:r>
        <w:rPr>
          <w:rFonts w:hint="eastAsia"/>
          <w:highlight w:val="none"/>
        </w:rPr>
        <w:t xml:space="preserve"> 响应保证金专用账户如下：</w:t>
      </w:r>
    </w:p>
    <w:p w14:paraId="1B5BE2D3">
      <w:pPr>
        <w:ind w:firstLine="420"/>
        <w:rPr>
          <w:highlight w:val="none"/>
        </w:rPr>
      </w:pPr>
      <w:r>
        <w:rPr>
          <w:rFonts w:hint="eastAsia"/>
          <w:highlight w:val="none"/>
        </w:rPr>
        <w:t>详见重庆市公共资源交易网（www.cqggzy.com）对应本项目询比公告信息栏中的保证金信息。</w:t>
      </w:r>
    </w:p>
    <w:p w14:paraId="2F1968D5">
      <w:pPr>
        <w:pStyle w:val="3"/>
        <w:rPr>
          <w:highlight w:val="none"/>
        </w:rPr>
      </w:pPr>
      <w:r>
        <w:rPr>
          <w:rFonts w:hint="eastAsia"/>
          <w:highlight w:val="none"/>
        </w:rPr>
        <w:t>5. 市场主体信息登记</w:t>
      </w:r>
    </w:p>
    <w:p w14:paraId="7CD78559">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73239C98">
      <w:pPr>
        <w:pStyle w:val="3"/>
        <w:rPr>
          <w:highlight w:val="none"/>
        </w:rPr>
      </w:pPr>
      <w:r>
        <w:rPr>
          <w:rFonts w:hint="eastAsia"/>
          <w:highlight w:val="none"/>
        </w:rPr>
        <w:t>6. 响应文件的递交</w:t>
      </w:r>
    </w:p>
    <w:p w14:paraId="383B5766">
      <w:pPr>
        <w:ind w:firstLine="420"/>
        <w:rPr>
          <w:highlight w:val="none"/>
        </w:rPr>
      </w:pPr>
      <w:bookmarkStart w:id="25" w:name="_Toc469574669"/>
      <w:bookmarkStart w:id="26" w:name="_Toc55379223"/>
      <w:bookmarkStart w:id="27" w:name="_Toc89675132"/>
      <w:r>
        <w:rPr>
          <w:rFonts w:hint="eastAsia"/>
          <w:highlight w:val="none"/>
        </w:rPr>
        <w:t>6.1 响应文件现场递交时间为</w:t>
      </w:r>
      <w:r>
        <w:rPr>
          <w:rFonts w:hint="eastAsia"/>
          <w:highlight w:val="none"/>
          <w:lang w:val="en-US" w:eastAsia="zh-CN"/>
        </w:rPr>
        <w:t xml:space="preserve"> 2025 </w:t>
      </w:r>
      <w:r>
        <w:rPr>
          <w:rFonts w:hint="eastAsia"/>
          <w:highlight w:val="none"/>
        </w:rPr>
        <w:t>年</w:t>
      </w:r>
      <w:r>
        <w:rPr>
          <w:rFonts w:hint="eastAsia"/>
          <w:highlight w:val="none"/>
          <w:lang w:val="en-US" w:eastAsia="zh-CN"/>
        </w:rPr>
        <w:t xml:space="preserve"> 12 </w:t>
      </w:r>
      <w:r>
        <w:rPr>
          <w:rFonts w:hint="eastAsia"/>
          <w:highlight w:val="none"/>
        </w:rPr>
        <w:t>月</w:t>
      </w:r>
      <w:r>
        <w:rPr>
          <w:rFonts w:hint="eastAsia"/>
          <w:highlight w:val="none"/>
          <w:lang w:val="en-US" w:eastAsia="zh-CN"/>
        </w:rPr>
        <w:t xml:space="preserve"> 8 </w:t>
      </w:r>
      <w:r>
        <w:rPr>
          <w:rFonts w:hint="eastAsia"/>
          <w:highlight w:val="none"/>
        </w:rPr>
        <w:t>日</w:t>
      </w:r>
      <w:r>
        <w:rPr>
          <w:rFonts w:hint="eastAsia"/>
          <w:highlight w:val="none"/>
          <w:lang w:val="en-US" w:eastAsia="zh-CN"/>
        </w:rPr>
        <w:t xml:space="preserve"> 9 </w:t>
      </w:r>
      <w:r>
        <w:rPr>
          <w:rFonts w:hint="eastAsia"/>
          <w:highlight w:val="none"/>
        </w:rPr>
        <w:t>时</w:t>
      </w:r>
      <w:r>
        <w:rPr>
          <w:rFonts w:hint="eastAsia"/>
          <w:highlight w:val="none"/>
          <w:lang w:val="en-US" w:eastAsia="zh-CN"/>
        </w:rPr>
        <w:t xml:space="preserve"> 00 </w:t>
      </w:r>
      <w:r>
        <w:rPr>
          <w:rFonts w:hint="eastAsia"/>
          <w:highlight w:val="none"/>
        </w:rPr>
        <w:t>分(北京时间)至响应截止时间。</w:t>
      </w:r>
    </w:p>
    <w:p w14:paraId="5794B859">
      <w:pPr>
        <w:ind w:firstLine="420"/>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7F71156E">
      <w:pPr>
        <w:ind w:firstLine="420"/>
        <w:rPr>
          <w:highlight w:val="none"/>
        </w:rPr>
      </w:pPr>
      <w:r>
        <w:rPr>
          <w:rFonts w:hint="eastAsia"/>
          <w:highlight w:val="none"/>
        </w:rPr>
        <w:t>6.3 逾期送达的响应文件，不予接收。</w:t>
      </w:r>
    </w:p>
    <w:p w14:paraId="30501AC4">
      <w:pPr>
        <w:pStyle w:val="3"/>
        <w:rPr>
          <w:highlight w:val="none"/>
        </w:rPr>
      </w:pPr>
      <w:r>
        <w:rPr>
          <w:rFonts w:hint="eastAsia"/>
          <w:highlight w:val="none"/>
        </w:rPr>
        <w:t>7. 发布公告的媒介</w:t>
      </w:r>
      <w:bookmarkEnd w:id="25"/>
      <w:bookmarkEnd w:id="26"/>
      <w:bookmarkEnd w:id="27"/>
    </w:p>
    <w:p w14:paraId="0C1FAA26">
      <w:pPr>
        <w:ind w:firstLine="420"/>
        <w:rPr>
          <w:highlight w:val="none"/>
        </w:rPr>
      </w:pPr>
      <w:bookmarkStart w:id="28" w:name="_Toc55379224"/>
      <w:bookmarkStart w:id="29" w:name="_Toc250565211"/>
      <w:bookmarkStart w:id="30" w:name="_Toc469574670"/>
      <w:bookmarkStart w:id="31" w:name="_Toc89675133"/>
      <w:r>
        <w:rPr>
          <w:rFonts w:hint="eastAsia"/>
          <w:highlight w:val="none"/>
        </w:rPr>
        <w:t>本次询比公告同时在《重庆市公共资源交易网（www.cqggzy.com）》《重庆三峡银行官网（https://www.ccqtgb.com）》和《中国招标投标公共服务平台（http://www.cebpubservice.com）》上发布。</w:t>
      </w:r>
    </w:p>
    <w:p w14:paraId="35CF1839">
      <w:pPr>
        <w:pStyle w:val="3"/>
        <w:rPr>
          <w:highlight w:val="none"/>
        </w:rPr>
      </w:pPr>
      <w:r>
        <w:rPr>
          <w:rFonts w:hint="eastAsia"/>
          <w:highlight w:val="none"/>
        </w:rPr>
        <w:t>8. 联系方式</w:t>
      </w:r>
      <w:bookmarkEnd w:id="28"/>
      <w:bookmarkEnd w:id="29"/>
      <w:bookmarkEnd w:id="30"/>
      <w:bookmarkEnd w:id="31"/>
    </w:p>
    <w:p w14:paraId="64E100D2">
      <w:pPr>
        <w:ind w:firstLine="420"/>
        <w:rPr>
          <w:highlight w:val="none"/>
        </w:rPr>
      </w:pPr>
    </w:p>
    <w:tbl>
      <w:tblPr>
        <w:tblStyle w:val="23"/>
        <w:tblW w:w="8423" w:type="dxa"/>
        <w:tblInd w:w="0" w:type="dxa"/>
        <w:tblLayout w:type="fixed"/>
        <w:tblCellMar>
          <w:top w:w="0" w:type="dxa"/>
          <w:left w:w="108" w:type="dxa"/>
          <w:bottom w:w="0" w:type="dxa"/>
          <w:right w:w="108" w:type="dxa"/>
        </w:tblCellMar>
      </w:tblPr>
      <w:tblGrid>
        <w:gridCol w:w="3943"/>
        <w:gridCol w:w="4480"/>
      </w:tblGrid>
      <w:tr w14:paraId="63564740">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6E96862">
            <w:pPr>
              <w:ind w:firstLine="0" w:firstLineChars="0"/>
              <w:jc w:val="left"/>
              <w:rPr>
                <w:highlight w:val="none"/>
              </w:rPr>
            </w:pPr>
            <w:r>
              <w:rPr>
                <w:rFonts w:hint="eastAsia"/>
                <w:highlight w:val="none"/>
              </w:rPr>
              <w:t>8.1 项目需求咨询</w:t>
            </w:r>
          </w:p>
        </w:tc>
      </w:tr>
      <w:tr w14:paraId="62157F4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FF83F4F">
            <w:pPr>
              <w:ind w:firstLine="0" w:firstLineChars="0"/>
              <w:jc w:val="left"/>
              <w:rPr>
                <w:rFonts w:cs="宋体"/>
                <w:szCs w:val="21"/>
                <w:highlight w:val="none"/>
              </w:rPr>
            </w:pPr>
            <w:r>
              <w:rPr>
                <w:rFonts w:hint="eastAsia"/>
                <w:highlight w:val="none"/>
              </w:rPr>
              <w:t>项目联系人：</w:t>
            </w:r>
            <w:r>
              <w:rPr>
                <w:highlight w:val="none"/>
              </w:rPr>
              <w:t>杨老师、崔老师</w:t>
            </w:r>
          </w:p>
        </w:tc>
        <w:tc>
          <w:tcPr>
            <w:tcW w:w="4480" w:type="dxa"/>
            <w:tcBorders>
              <w:top w:val="nil"/>
              <w:left w:val="nil"/>
              <w:bottom w:val="nil"/>
              <w:right w:val="single" w:color="auto" w:sz="4" w:space="0"/>
            </w:tcBorders>
          </w:tcPr>
          <w:p w14:paraId="71A1AA77">
            <w:pPr>
              <w:ind w:firstLine="0" w:firstLineChars="0"/>
              <w:jc w:val="left"/>
              <w:rPr>
                <w:rFonts w:cs="宋体"/>
                <w:szCs w:val="21"/>
                <w:highlight w:val="none"/>
              </w:rPr>
            </w:pPr>
            <w:r>
              <w:rPr>
                <w:rFonts w:hint="eastAsia"/>
                <w:highlight w:val="none"/>
              </w:rPr>
              <w:t>联系方式：</w:t>
            </w:r>
            <w:r>
              <w:rPr>
                <w:highlight w:val="none"/>
              </w:rPr>
              <w:t>15736005977、17723046733</w:t>
            </w:r>
          </w:p>
        </w:tc>
      </w:tr>
      <w:tr w14:paraId="3BD8151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C1B8B6">
            <w:pPr>
              <w:ind w:firstLine="0" w:firstLineChars="0"/>
              <w:jc w:val="left"/>
              <w:rPr>
                <w:highlight w:val="none"/>
              </w:rPr>
            </w:pPr>
          </w:p>
        </w:tc>
      </w:tr>
      <w:tr w14:paraId="1E4004B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BAE715E">
            <w:pPr>
              <w:ind w:firstLine="0" w:firstLineChars="0"/>
              <w:jc w:val="left"/>
              <w:rPr>
                <w:highlight w:val="none"/>
              </w:rPr>
            </w:pPr>
            <w:r>
              <w:rPr>
                <w:rFonts w:hint="eastAsia"/>
                <w:highlight w:val="none"/>
              </w:rPr>
              <w:t>8.2 项目流程咨询</w:t>
            </w:r>
          </w:p>
        </w:tc>
      </w:tr>
      <w:tr w14:paraId="63F652F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015A6A">
            <w:pPr>
              <w:ind w:firstLine="0" w:firstLineChars="0"/>
              <w:jc w:val="left"/>
              <w:rPr>
                <w:highlight w:val="none"/>
              </w:rPr>
            </w:pPr>
            <w:r>
              <w:rPr>
                <w:rFonts w:hint="eastAsia"/>
                <w:highlight w:val="none"/>
              </w:rPr>
              <w:t>平台服务机构：重庆联合产权交易所集团股份有限公司</w:t>
            </w:r>
          </w:p>
        </w:tc>
      </w:tr>
      <w:tr w14:paraId="3BBF9154">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BDAED34">
            <w:pPr>
              <w:ind w:firstLine="0" w:firstLineChars="0"/>
              <w:jc w:val="left"/>
              <w:rPr>
                <w:rFonts w:cs="宋体"/>
                <w:szCs w:val="21"/>
                <w:highlight w:val="none"/>
              </w:rPr>
            </w:pPr>
            <w:r>
              <w:rPr>
                <w:rFonts w:hint="eastAsia"/>
                <w:highlight w:val="none"/>
              </w:rPr>
              <w:t>平台联系人：邵</w:t>
            </w:r>
            <w:r>
              <w:rPr>
                <w:highlight w:val="none"/>
              </w:rPr>
              <w:t>老师</w:t>
            </w:r>
          </w:p>
        </w:tc>
        <w:tc>
          <w:tcPr>
            <w:tcW w:w="4480" w:type="dxa"/>
            <w:tcBorders>
              <w:top w:val="nil"/>
              <w:left w:val="nil"/>
              <w:bottom w:val="nil"/>
              <w:right w:val="single" w:color="auto" w:sz="4" w:space="0"/>
            </w:tcBorders>
          </w:tcPr>
          <w:p w14:paraId="18CAEBAA">
            <w:pPr>
              <w:ind w:firstLine="0" w:firstLineChars="0"/>
              <w:jc w:val="left"/>
              <w:rPr>
                <w:rFonts w:cs="宋体"/>
                <w:szCs w:val="21"/>
                <w:highlight w:val="none"/>
              </w:rPr>
            </w:pPr>
            <w:r>
              <w:rPr>
                <w:rFonts w:hint="eastAsia"/>
                <w:highlight w:val="none"/>
              </w:rPr>
              <w:t>联系方式：023-63627002</w:t>
            </w:r>
          </w:p>
        </w:tc>
      </w:tr>
      <w:tr w14:paraId="413A148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3722AD">
            <w:pPr>
              <w:ind w:firstLine="0" w:firstLineChars="0"/>
              <w:jc w:val="left"/>
              <w:rPr>
                <w:highlight w:val="none"/>
              </w:rPr>
            </w:pPr>
          </w:p>
        </w:tc>
      </w:tr>
      <w:tr w14:paraId="015B24C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33268F">
            <w:pPr>
              <w:ind w:firstLine="0" w:firstLineChars="0"/>
              <w:jc w:val="left"/>
              <w:rPr>
                <w:highlight w:val="none"/>
              </w:rPr>
            </w:pPr>
            <w:r>
              <w:rPr>
                <w:rFonts w:hint="eastAsia"/>
                <w:highlight w:val="none"/>
              </w:rPr>
              <w:t>8.3 采购人联系方式</w:t>
            </w:r>
          </w:p>
        </w:tc>
      </w:tr>
      <w:tr w14:paraId="755D967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09E9E44">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002A647C">
            <w:pPr>
              <w:ind w:firstLine="0" w:firstLineChars="0"/>
              <w:jc w:val="left"/>
              <w:rPr>
                <w:rFonts w:cs="宋体"/>
                <w:szCs w:val="21"/>
                <w:highlight w:val="none"/>
              </w:rPr>
            </w:pPr>
            <w:r>
              <w:rPr>
                <w:rFonts w:hint="eastAsia"/>
                <w:highlight w:val="none"/>
              </w:rPr>
              <w:t>联系方式：023-88890395</w:t>
            </w:r>
          </w:p>
        </w:tc>
      </w:tr>
      <w:tr w14:paraId="51B9224F">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2632CC4">
            <w:pPr>
              <w:ind w:firstLine="0" w:firstLineChars="0"/>
              <w:jc w:val="left"/>
              <w:rPr>
                <w:highlight w:val="none"/>
              </w:rPr>
            </w:pPr>
            <w:r>
              <w:rPr>
                <w:rFonts w:hint="eastAsia"/>
                <w:highlight w:val="none"/>
              </w:rPr>
              <w:t>采购人地址：重庆市渝北区嘉州路88号中渝国际都会4号写字楼21层</w:t>
            </w:r>
          </w:p>
        </w:tc>
      </w:tr>
    </w:tbl>
    <w:p w14:paraId="46661900">
      <w:pPr>
        <w:ind w:firstLine="420"/>
        <w:rPr>
          <w:highlight w:val="none"/>
        </w:rPr>
      </w:pPr>
    </w:p>
    <w:p w14:paraId="55D9E8D8">
      <w:pPr>
        <w:spacing w:line="240" w:lineRule="auto"/>
        <w:ind w:firstLine="0" w:firstLineChars="0"/>
        <w:jc w:val="right"/>
        <w:rPr>
          <w:highlight w:val="none"/>
        </w:rPr>
      </w:pPr>
      <w:r>
        <w:rPr>
          <w:rFonts w:hint="eastAsia"/>
          <w:highlight w:val="none"/>
        </w:rPr>
        <w:t>重庆三峡银行股份有限公司</w:t>
      </w:r>
    </w:p>
    <w:p w14:paraId="23C68A20">
      <w:pPr>
        <w:ind w:firstLine="420"/>
        <w:jc w:val="right"/>
        <w:rPr>
          <w:highlight w:val="none"/>
        </w:rPr>
      </w:pPr>
      <w:r>
        <w:rPr>
          <w:rFonts w:hint="eastAsia"/>
          <w:highlight w:val="none"/>
        </w:rPr>
        <w:t>2025年</w:t>
      </w:r>
      <w:r>
        <w:rPr>
          <w:rFonts w:hint="eastAsia"/>
          <w:highlight w:val="none"/>
          <w:lang w:val="en-US" w:eastAsia="zh-CN"/>
        </w:rPr>
        <w:t xml:space="preserve"> 11 </w:t>
      </w:r>
      <w:r>
        <w:rPr>
          <w:rFonts w:hint="eastAsia"/>
          <w:highlight w:val="none"/>
        </w:rPr>
        <w:t>月</w:t>
      </w:r>
      <w:r>
        <w:rPr>
          <w:rFonts w:hint="eastAsia"/>
          <w:highlight w:val="none"/>
          <w:lang w:val="en-US" w:eastAsia="zh-CN"/>
        </w:rPr>
        <w:t xml:space="preserve"> 21 </w:t>
      </w:r>
      <w:r>
        <w:rPr>
          <w:rFonts w:hint="eastAsia"/>
          <w:highlight w:val="none"/>
        </w:rPr>
        <w:t>日</w:t>
      </w:r>
    </w:p>
    <w:p w14:paraId="12ADB76F">
      <w:pPr>
        <w:ind w:firstLine="420"/>
        <w:rPr>
          <w:highlight w:val="none"/>
        </w:rPr>
      </w:pPr>
      <w:r>
        <w:rPr>
          <w:highlight w:val="none"/>
        </w:rPr>
        <w:br w:type="page"/>
      </w:r>
      <w:bookmarkStart w:id="32" w:name="_Toc303066033"/>
      <w:bookmarkStart w:id="33" w:name="_Toc89675159"/>
    </w:p>
    <w:p w14:paraId="2D62CD94">
      <w:pPr>
        <w:pStyle w:val="2"/>
        <w:rPr>
          <w:highlight w:val="none"/>
        </w:rPr>
      </w:pPr>
      <w:bookmarkStart w:id="34" w:name="_Toc21437"/>
      <w:bookmarkStart w:id="35" w:name="_Toc25660"/>
      <w:bookmarkStart w:id="36" w:name="_Toc15671"/>
      <w:bookmarkStart w:id="37" w:name="_Toc11144"/>
      <w:r>
        <w:rPr>
          <w:rFonts w:hint="eastAsia"/>
          <w:highlight w:val="none"/>
        </w:rPr>
        <w:t>第二章 响应人须知</w:t>
      </w:r>
      <w:bookmarkEnd w:id="32"/>
      <w:bookmarkEnd w:id="33"/>
      <w:bookmarkEnd w:id="34"/>
      <w:bookmarkEnd w:id="35"/>
      <w:bookmarkEnd w:id="36"/>
      <w:bookmarkEnd w:id="37"/>
    </w:p>
    <w:p w14:paraId="42757FB5">
      <w:pPr>
        <w:pStyle w:val="3"/>
        <w:rPr>
          <w:highlight w:val="none"/>
        </w:rPr>
      </w:pPr>
      <w:bookmarkStart w:id="38" w:name="_Toc89675160"/>
      <w:r>
        <w:rPr>
          <w:rFonts w:hint="eastAsia"/>
          <w:highlight w:val="none"/>
        </w:rPr>
        <w:t>1. 采购人</w:t>
      </w:r>
    </w:p>
    <w:p w14:paraId="30B10D89">
      <w:pPr>
        <w:ind w:firstLine="420"/>
        <w:rPr>
          <w:highlight w:val="none"/>
        </w:rPr>
      </w:pPr>
      <w:r>
        <w:rPr>
          <w:highlight w:val="none"/>
        </w:rPr>
        <w:t>重庆三峡银行股份有限公司</w:t>
      </w:r>
      <w:r>
        <w:rPr>
          <w:rFonts w:hint="eastAsia"/>
          <w:highlight w:val="none"/>
        </w:rPr>
        <w:t>。</w:t>
      </w:r>
    </w:p>
    <w:bookmarkEnd w:id="38"/>
    <w:p w14:paraId="1360FEE3">
      <w:pPr>
        <w:pStyle w:val="3"/>
        <w:rPr>
          <w:highlight w:val="none"/>
        </w:rPr>
      </w:pPr>
      <w:bookmarkStart w:id="39" w:name="_Toc89675161"/>
      <w:r>
        <w:rPr>
          <w:rFonts w:hint="eastAsia"/>
          <w:highlight w:val="none"/>
        </w:rPr>
        <w:t xml:space="preserve">2. </w:t>
      </w:r>
      <w:bookmarkEnd w:id="39"/>
      <w:r>
        <w:rPr>
          <w:rFonts w:hint="eastAsia"/>
          <w:highlight w:val="none"/>
        </w:rPr>
        <w:t>响应人</w:t>
      </w:r>
    </w:p>
    <w:p w14:paraId="0B1F1433">
      <w:pPr>
        <w:ind w:firstLine="420"/>
        <w:rPr>
          <w:highlight w:val="none"/>
        </w:rPr>
      </w:pPr>
      <w:r>
        <w:rPr>
          <w:rFonts w:hint="eastAsia"/>
          <w:highlight w:val="none"/>
        </w:rPr>
        <w:t>为采购人提供工程、货物和服务的承包商、供货商和服务商。</w:t>
      </w:r>
    </w:p>
    <w:p w14:paraId="425691D0">
      <w:pPr>
        <w:pStyle w:val="4"/>
        <w:ind w:firstLine="422"/>
        <w:rPr>
          <w:highlight w:val="none"/>
        </w:rPr>
      </w:pPr>
      <w:r>
        <w:rPr>
          <w:rFonts w:hint="eastAsia"/>
          <w:highlight w:val="none"/>
        </w:rPr>
        <w:t>2.1 合格响应人条件</w:t>
      </w:r>
    </w:p>
    <w:p w14:paraId="0E24B5A0">
      <w:pPr>
        <w:ind w:firstLine="420"/>
        <w:rPr>
          <w:highlight w:val="none"/>
        </w:rPr>
      </w:pPr>
      <w:r>
        <w:rPr>
          <w:rFonts w:hint="eastAsia"/>
          <w:highlight w:val="none"/>
        </w:rPr>
        <w:t>合格响应人应完全符合询比文件第一章中规定的响应人资格条件，并对询比文件作出实质性响应。</w:t>
      </w:r>
    </w:p>
    <w:p w14:paraId="31588588">
      <w:pPr>
        <w:pStyle w:val="4"/>
        <w:ind w:firstLine="422"/>
        <w:rPr>
          <w:highlight w:val="none"/>
        </w:rPr>
      </w:pPr>
      <w:r>
        <w:rPr>
          <w:rFonts w:hint="eastAsia"/>
          <w:highlight w:val="none"/>
        </w:rPr>
        <w:t>2.2 响应人的风险</w:t>
      </w:r>
    </w:p>
    <w:p w14:paraId="2C07740C">
      <w:pPr>
        <w:ind w:firstLine="420"/>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34FBA855">
      <w:pPr>
        <w:pStyle w:val="3"/>
        <w:rPr>
          <w:highlight w:val="none"/>
        </w:rPr>
      </w:pPr>
      <w:bookmarkStart w:id="40" w:name="_Toc89675162"/>
      <w:r>
        <w:rPr>
          <w:rFonts w:hint="eastAsia"/>
          <w:highlight w:val="none"/>
        </w:rPr>
        <w:t xml:space="preserve">3. </w:t>
      </w:r>
      <w:bookmarkEnd w:id="40"/>
      <w:r>
        <w:rPr>
          <w:rFonts w:hint="eastAsia"/>
          <w:highlight w:val="none"/>
        </w:rPr>
        <w:t>询比文件</w:t>
      </w:r>
    </w:p>
    <w:p w14:paraId="357592A8">
      <w:pPr>
        <w:ind w:firstLine="420"/>
        <w:rPr>
          <w:highlight w:val="none"/>
        </w:rPr>
      </w:pPr>
      <w:r>
        <w:rPr>
          <w:rFonts w:hint="eastAsia"/>
          <w:highlight w:val="none"/>
        </w:rPr>
        <w:t>采购人根据自身采购方案或需求编制的采购文件。</w:t>
      </w:r>
    </w:p>
    <w:p w14:paraId="7A87FF55">
      <w:pPr>
        <w:ind w:firstLine="420"/>
        <w:rPr>
          <w:highlight w:val="none"/>
        </w:rPr>
      </w:pPr>
      <w:r>
        <w:rPr>
          <w:rFonts w:hint="eastAsia"/>
          <w:highlight w:val="none"/>
        </w:rPr>
        <w:t>询比文件是响应人编制响应文件的依据，是评审委员会评判依据和标准。询比文件也是采购人与成交供应商签订合同的基础。</w:t>
      </w:r>
    </w:p>
    <w:p w14:paraId="4E5B6AF2">
      <w:pPr>
        <w:ind w:firstLine="420"/>
        <w:rPr>
          <w:highlight w:val="none"/>
        </w:rPr>
      </w:pPr>
      <w:r>
        <w:rPr>
          <w:rFonts w:hint="eastAsia"/>
          <w:highlight w:val="none"/>
        </w:rPr>
        <w:t>采购人对询比文件所作的一切有效的书面通知、修改及补充，都是询比文件不可分割的部分。</w:t>
      </w:r>
    </w:p>
    <w:p w14:paraId="2422A48D">
      <w:pPr>
        <w:pStyle w:val="3"/>
        <w:rPr>
          <w:highlight w:val="none"/>
        </w:rPr>
      </w:pPr>
      <w:bookmarkStart w:id="41" w:name="_Toc89675163"/>
      <w:r>
        <w:rPr>
          <w:rFonts w:hint="eastAsia"/>
          <w:highlight w:val="none"/>
        </w:rPr>
        <w:t xml:space="preserve">4. </w:t>
      </w:r>
      <w:bookmarkEnd w:id="41"/>
      <w:r>
        <w:rPr>
          <w:rFonts w:hint="eastAsia"/>
          <w:highlight w:val="none"/>
        </w:rPr>
        <w:t>响应</w:t>
      </w:r>
    </w:p>
    <w:p w14:paraId="600F7882">
      <w:pPr>
        <w:ind w:firstLine="420"/>
        <w:rPr>
          <w:highlight w:val="none"/>
        </w:rPr>
      </w:pPr>
      <w:r>
        <w:rPr>
          <w:rFonts w:hint="eastAsia"/>
          <w:highlight w:val="none"/>
        </w:rPr>
        <w:t>响应人应当按照询比文件的要求编制响应文件，并对询比文件提出的要求和条件作出实质性响应。</w:t>
      </w:r>
    </w:p>
    <w:p w14:paraId="4C8EF169">
      <w:pPr>
        <w:pStyle w:val="4"/>
        <w:ind w:firstLine="422"/>
        <w:rPr>
          <w:highlight w:val="none"/>
        </w:rPr>
      </w:pPr>
      <w:r>
        <w:rPr>
          <w:rFonts w:hint="eastAsia"/>
          <w:highlight w:val="none"/>
        </w:rPr>
        <w:t>4.1 响应文件</w:t>
      </w:r>
    </w:p>
    <w:p w14:paraId="22D02F59">
      <w:pPr>
        <w:ind w:firstLine="420"/>
        <w:rPr>
          <w:highlight w:val="none"/>
        </w:rPr>
      </w:pPr>
      <w:r>
        <w:rPr>
          <w:rFonts w:hint="eastAsia"/>
          <w:highlight w:val="none"/>
        </w:rPr>
        <w:t>参与询比活动的响应人按照询比文件的要求编制提交的要约文件的统称。</w:t>
      </w:r>
    </w:p>
    <w:p w14:paraId="27B539E2">
      <w:pPr>
        <w:pStyle w:val="4"/>
        <w:ind w:firstLine="422"/>
        <w:rPr>
          <w:highlight w:val="none"/>
        </w:rPr>
      </w:pPr>
      <w:r>
        <w:rPr>
          <w:rFonts w:hint="eastAsia"/>
          <w:highlight w:val="none"/>
        </w:rPr>
        <w:t>4.2 响应文件组成</w:t>
      </w:r>
    </w:p>
    <w:p w14:paraId="6E7A50B1">
      <w:pPr>
        <w:ind w:firstLine="420"/>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65767BFA">
      <w:pPr>
        <w:pStyle w:val="4"/>
        <w:ind w:firstLine="422"/>
        <w:rPr>
          <w:highlight w:val="none"/>
        </w:rPr>
      </w:pPr>
      <w:r>
        <w:rPr>
          <w:rFonts w:hint="eastAsia"/>
          <w:highlight w:val="none"/>
        </w:rPr>
        <w:t>4.3 联合响应</w:t>
      </w:r>
    </w:p>
    <w:p w14:paraId="0D7F1265">
      <w:pPr>
        <w:ind w:firstLine="420"/>
        <w:rPr>
          <w:highlight w:val="none"/>
        </w:rPr>
      </w:pPr>
      <w:r>
        <w:rPr>
          <w:rFonts w:hint="eastAsia"/>
          <w:highlight w:val="none"/>
        </w:rPr>
        <w:t>本询比项目不接受联合响应</w:t>
      </w:r>
    </w:p>
    <w:p w14:paraId="5EF167BC">
      <w:pPr>
        <w:pStyle w:val="4"/>
        <w:ind w:firstLine="422"/>
        <w:rPr>
          <w:highlight w:val="none"/>
        </w:rPr>
      </w:pPr>
      <w:r>
        <w:rPr>
          <w:rFonts w:hint="eastAsia"/>
          <w:highlight w:val="none"/>
        </w:rPr>
        <w:t>4.4 响应有效期</w:t>
      </w:r>
    </w:p>
    <w:p w14:paraId="6E25763B">
      <w:pPr>
        <w:ind w:firstLine="420"/>
        <w:rPr>
          <w:highlight w:val="none"/>
        </w:rPr>
      </w:pPr>
      <w:r>
        <w:rPr>
          <w:rFonts w:hint="eastAsia"/>
          <w:highlight w:val="none"/>
        </w:rPr>
        <w:t>响应有效期为响应截止时间后90天内。</w:t>
      </w:r>
    </w:p>
    <w:p w14:paraId="2E359498">
      <w:pPr>
        <w:pStyle w:val="4"/>
        <w:ind w:firstLine="422"/>
        <w:rPr>
          <w:highlight w:val="none"/>
        </w:rPr>
      </w:pPr>
      <w:r>
        <w:rPr>
          <w:rFonts w:hint="eastAsia"/>
          <w:highlight w:val="none"/>
        </w:rPr>
        <w:t>4.5 响应保证金</w:t>
      </w:r>
    </w:p>
    <w:p w14:paraId="58925911">
      <w:pPr>
        <w:ind w:firstLine="420"/>
        <w:rPr>
          <w:highlight w:val="none"/>
        </w:rPr>
      </w:pPr>
      <w:r>
        <w:rPr>
          <w:rFonts w:hint="eastAsia"/>
          <w:highlight w:val="none"/>
        </w:rPr>
        <w:t>4.5.1 响应人应在响应截止时间前，按询比文件第一章规定向采购人缴纳响应保证金。</w:t>
      </w:r>
    </w:p>
    <w:p w14:paraId="016FD6D1">
      <w:pPr>
        <w:ind w:firstLine="420"/>
        <w:rPr>
          <w:highlight w:val="none"/>
        </w:rPr>
      </w:pPr>
      <w:r>
        <w:rPr>
          <w:rFonts w:hint="eastAsia"/>
          <w:highlight w:val="none"/>
        </w:rPr>
        <w:t>4.5.2 响应保证金为响应的有效约束条件。</w:t>
      </w:r>
    </w:p>
    <w:p w14:paraId="3A90CA25">
      <w:pPr>
        <w:ind w:firstLine="420"/>
        <w:rPr>
          <w:highlight w:val="none"/>
        </w:rPr>
      </w:pPr>
      <w:r>
        <w:rPr>
          <w:rFonts w:hint="eastAsia"/>
          <w:highlight w:val="none"/>
        </w:rPr>
        <w:t>4.5.3 响应保证金有效期与响应文件有效期一致。</w:t>
      </w:r>
    </w:p>
    <w:p w14:paraId="5FA7CC73">
      <w:pPr>
        <w:ind w:firstLine="420"/>
        <w:rPr>
          <w:highlight w:val="none"/>
        </w:rPr>
      </w:pPr>
      <w:r>
        <w:rPr>
          <w:rFonts w:hint="eastAsia"/>
          <w:highlight w:val="none"/>
        </w:rPr>
        <w:t>4.5.4 响应保证金币种应与响应报价币种相同。</w:t>
      </w:r>
    </w:p>
    <w:p w14:paraId="435B495E">
      <w:pPr>
        <w:ind w:firstLine="420"/>
        <w:rPr>
          <w:highlight w:val="none"/>
        </w:rPr>
      </w:pPr>
      <w:r>
        <w:rPr>
          <w:rFonts w:hint="eastAsia"/>
          <w:highlight w:val="none"/>
        </w:rPr>
        <w:t>4.5.5 响应保证金的退还：</w:t>
      </w:r>
    </w:p>
    <w:p w14:paraId="201A8314">
      <w:pPr>
        <w:ind w:firstLine="420"/>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34234745">
      <w:pPr>
        <w:ind w:firstLine="420"/>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4871F3F6">
      <w:pPr>
        <w:ind w:firstLine="420"/>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56A912A9">
      <w:pPr>
        <w:ind w:firstLine="420"/>
        <w:rPr>
          <w:highlight w:val="none"/>
        </w:rPr>
      </w:pPr>
      <w:r>
        <w:rPr>
          <w:rFonts w:hint="eastAsia"/>
          <w:highlight w:val="none"/>
        </w:rPr>
        <w:t>4.5.6 响应人有下列情形之一的，响应保证金将不予退还：</w:t>
      </w:r>
    </w:p>
    <w:p w14:paraId="2F3DC59F">
      <w:pPr>
        <w:ind w:firstLine="420"/>
        <w:rPr>
          <w:highlight w:val="none"/>
        </w:rPr>
      </w:pPr>
      <w:r>
        <w:rPr>
          <w:rFonts w:hint="eastAsia"/>
          <w:highlight w:val="none"/>
        </w:rPr>
        <w:t>4.5.6.1 响应人在响应有效期内撤销响应文件的；</w:t>
      </w:r>
    </w:p>
    <w:p w14:paraId="6FD331A3">
      <w:pPr>
        <w:ind w:firstLine="420"/>
        <w:rPr>
          <w:highlight w:val="none"/>
        </w:rPr>
      </w:pPr>
      <w:r>
        <w:rPr>
          <w:rFonts w:hint="eastAsia"/>
          <w:highlight w:val="none"/>
        </w:rPr>
        <w:t>4.5.6.2 响应人在响应过程中弄虚作假，提供虚假材料的；</w:t>
      </w:r>
    </w:p>
    <w:p w14:paraId="142421FE">
      <w:pPr>
        <w:ind w:firstLine="420"/>
        <w:rPr>
          <w:highlight w:val="none"/>
        </w:rPr>
      </w:pPr>
      <w:r>
        <w:rPr>
          <w:rFonts w:hint="eastAsia"/>
          <w:highlight w:val="none"/>
        </w:rPr>
        <w:t>4.5.6.3 成交供应商无故弃选或无正当理由不与采购人签订合同的；</w:t>
      </w:r>
    </w:p>
    <w:p w14:paraId="4938D6C7">
      <w:pPr>
        <w:ind w:firstLine="420"/>
        <w:rPr>
          <w:highlight w:val="none"/>
        </w:rPr>
      </w:pPr>
      <w:r>
        <w:rPr>
          <w:rFonts w:hint="eastAsia"/>
          <w:highlight w:val="none"/>
        </w:rPr>
        <w:t>4.5.6.4 成交供应商将成交项目转让给他人或者在响应文件中未说明且未经询比单位同意，将成交项目分包给他人的；</w:t>
      </w:r>
    </w:p>
    <w:p w14:paraId="24947167">
      <w:pPr>
        <w:ind w:firstLine="420"/>
        <w:rPr>
          <w:highlight w:val="none"/>
        </w:rPr>
      </w:pPr>
      <w:r>
        <w:rPr>
          <w:rFonts w:hint="eastAsia"/>
          <w:highlight w:val="none"/>
        </w:rPr>
        <w:t>4.5.6.5 成交供应商拒绝履行合同义务的；</w:t>
      </w:r>
    </w:p>
    <w:p w14:paraId="6DCF3F7A">
      <w:pPr>
        <w:ind w:firstLine="420"/>
        <w:rPr>
          <w:highlight w:val="none"/>
        </w:rPr>
      </w:pPr>
      <w:r>
        <w:rPr>
          <w:rFonts w:hint="eastAsia"/>
          <w:highlight w:val="none"/>
        </w:rPr>
        <w:t>4.5.6.6 其他严重扰乱询比程序的；</w:t>
      </w:r>
    </w:p>
    <w:p w14:paraId="42C31AF7">
      <w:pPr>
        <w:pStyle w:val="4"/>
        <w:ind w:firstLine="422"/>
        <w:rPr>
          <w:highlight w:val="none"/>
        </w:rPr>
      </w:pPr>
      <w:r>
        <w:rPr>
          <w:rFonts w:hint="eastAsia"/>
          <w:highlight w:val="none"/>
        </w:rPr>
        <w:t>4.6 响应文件的份数和签署</w:t>
      </w:r>
    </w:p>
    <w:p w14:paraId="51EE4215">
      <w:pPr>
        <w:ind w:firstLine="420"/>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C69FCFD">
      <w:pPr>
        <w:ind w:firstLine="420"/>
        <w:rPr>
          <w:highlight w:val="none"/>
        </w:rPr>
      </w:pPr>
      <w:r>
        <w:rPr>
          <w:rFonts w:hint="eastAsia"/>
          <w:highlight w:val="none"/>
        </w:rPr>
        <w:t>4.6.2 响应文件正本中，每一页均应由响应人加盖公章，其中规定格式的文件应当按要求签名和加盖响应人公章。</w:t>
      </w:r>
    </w:p>
    <w:p w14:paraId="491B5C30">
      <w:pPr>
        <w:ind w:firstLine="420"/>
        <w:rPr>
          <w:highlight w:val="none"/>
        </w:rPr>
      </w:pPr>
      <w:r>
        <w:rPr>
          <w:rFonts w:hint="eastAsia"/>
          <w:highlight w:val="none"/>
        </w:rPr>
        <w:t>4.6.3 若响应人对响应文件的错处作必要修改，则应在修改处加盖响应人公章或由法人或委托代理人签字确认。</w:t>
      </w:r>
    </w:p>
    <w:p w14:paraId="39AC74F4">
      <w:pPr>
        <w:ind w:firstLine="420"/>
        <w:rPr>
          <w:highlight w:val="none"/>
        </w:rPr>
      </w:pPr>
      <w:r>
        <w:rPr>
          <w:rFonts w:hint="eastAsia"/>
          <w:highlight w:val="none"/>
        </w:rPr>
        <w:t>4.6.4 电报、电话、邮寄、传真形式的响应文件概不接受。</w:t>
      </w:r>
    </w:p>
    <w:p w14:paraId="280F947A">
      <w:pPr>
        <w:pStyle w:val="4"/>
        <w:ind w:firstLine="422"/>
        <w:rPr>
          <w:highlight w:val="none"/>
        </w:rPr>
      </w:pPr>
      <w:r>
        <w:rPr>
          <w:rFonts w:hint="eastAsia"/>
          <w:highlight w:val="none"/>
        </w:rPr>
        <w:t>4.7 响应文件的密封与标记</w:t>
      </w:r>
    </w:p>
    <w:p w14:paraId="78BFCC02">
      <w:pPr>
        <w:ind w:firstLine="420"/>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10251B3">
      <w:pPr>
        <w:ind w:firstLine="420"/>
        <w:rPr>
          <w:highlight w:val="none"/>
        </w:rPr>
      </w:pPr>
      <w:r>
        <w:rPr>
          <w:rFonts w:hint="eastAsia"/>
          <w:highlight w:val="none"/>
        </w:rPr>
        <w:t>如果未按上述规定进行密封和标记，则其响应将作为无效响应处理。</w:t>
      </w:r>
    </w:p>
    <w:p w14:paraId="01052C4E">
      <w:pPr>
        <w:pStyle w:val="4"/>
        <w:ind w:firstLine="422"/>
        <w:rPr>
          <w:highlight w:val="none"/>
        </w:rPr>
      </w:pPr>
      <w:r>
        <w:rPr>
          <w:rFonts w:hint="eastAsia"/>
          <w:highlight w:val="none"/>
        </w:rPr>
        <w:t>4.8 响应报价</w:t>
      </w:r>
    </w:p>
    <w:p w14:paraId="3E814B95">
      <w:pPr>
        <w:ind w:firstLine="420"/>
        <w:rPr>
          <w:highlight w:val="none"/>
        </w:rPr>
      </w:pPr>
      <w:r>
        <w:rPr>
          <w:rFonts w:hint="eastAsia"/>
          <w:highlight w:val="none"/>
        </w:rPr>
        <w:t>4.8.1 响应人应严格按照“响应文件格式”填写报价。</w:t>
      </w:r>
    </w:p>
    <w:p w14:paraId="013D6328">
      <w:pPr>
        <w:ind w:firstLine="420"/>
        <w:rPr>
          <w:highlight w:val="none"/>
        </w:rPr>
      </w:pPr>
      <w:r>
        <w:rPr>
          <w:rFonts w:hint="eastAsia"/>
          <w:highlight w:val="none"/>
        </w:rPr>
        <w:t>4.8.2 响应人的报价为一次性报价，即在响应有效期内响应价格固定不变。</w:t>
      </w:r>
    </w:p>
    <w:p w14:paraId="2B11B42C">
      <w:pPr>
        <w:ind w:firstLine="420"/>
        <w:rPr>
          <w:highlight w:val="none"/>
        </w:rPr>
      </w:pPr>
      <w:r>
        <w:rPr>
          <w:rFonts w:hint="eastAsia"/>
          <w:highlight w:val="none"/>
        </w:rPr>
        <w:t>4.8.3 本项目只接受一个响应报价，有选择的或有条件的响应将不予接受。</w:t>
      </w:r>
    </w:p>
    <w:p w14:paraId="6139D021">
      <w:pPr>
        <w:ind w:firstLine="420"/>
        <w:rPr>
          <w:highlight w:val="none"/>
        </w:rPr>
      </w:pPr>
      <w:r>
        <w:rPr>
          <w:rFonts w:hint="eastAsia"/>
          <w:highlight w:val="none"/>
        </w:rPr>
        <w:t>4.8.4 响应报价不得高于最高限价。</w:t>
      </w:r>
    </w:p>
    <w:p w14:paraId="01F266A9">
      <w:pPr>
        <w:pStyle w:val="4"/>
        <w:ind w:firstLine="422"/>
        <w:rPr>
          <w:highlight w:val="none"/>
        </w:rPr>
      </w:pPr>
      <w:r>
        <w:rPr>
          <w:rFonts w:hint="eastAsia"/>
          <w:highlight w:val="none"/>
        </w:rPr>
        <w:t>4.9 修正错误</w:t>
      </w:r>
    </w:p>
    <w:p w14:paraId="4B5902F6">
      <w:pPr>
        <w:ind w:firstLine="420"/>
        <w:rPr>
          <w:highlight w:val="none"/>
        </w:rPr>
      </w:pPr>
      <w:r>
        <w:rPr>
          <w:rFonts w:hint="eastAsia"/>
          <w:highlight w:val="none"/>
        </w:rPr>
        <w:t>若响应文件出现计算或表达上的错误，修正错误的原则如下：</w:t>
      </w:r>
    </w:p>
    <w:p w14:paraId="30D37F99">
      <w:pPr>
        <w:ind w:firstLine="420"/>
        <w:rPr>
          <w:highlight w:val="none"/>
        </w:rPr>
      </w:pPr>
      <w:r>
        <w:rPr>
          <w:rFonts w:hint="eastAsia"/>
          <w:highlight w:val="none"/>
        </w:rPr>
        <w:t>4.9.1 响应文件的大写金额和小写金额不一致的，以大写金额为准；</w:t>
      </w:r>
    </w:p>
    <w:p w14:paraId="3CD2CE19">
      <w:pPr>
        <w:ind w:firstLine="420"/>
        <w:rPr>
          <w:highlight w:val="none"/>
        </w:rPr>
      </w:pPr>
      <w:r>
        <w:rPr>
          <w:rFonts w:hint="eastAsia"/>
          <w:highlight w:val="none"/>
        </w:rPr>
        <w:t>4.9.2 总价金额与按单价汇总金额不一致的，以单价金额计算结果为准；</w:t>
      </w:r>
    </w:p>
    <w:p w14:paraId="7E3973CA">
      <w:pPr>
        <w:ind w:firstLine="420"/>
        <w:rPr>
          <w:highlight w:val="none"/>
        </w:rPr>
      </w:pPr>
      <w:r>
        <w:rPr>
          <w:rFonts w:hint="eastAsia"/>
          <w:highlight w:val="none"/>
        </w:rPr>
        <w:t>4.9.3 单价金额小数点有明显错位的，应以总价为准，并修正单价；</w:t>
      </w:r>
    </w:p>
    <w:p w14:paraId="7D1BFCFF">
      <w:pPr>
        <w:ind w:firstLine="420"/>
        <w:rPr>
          <w:highlight w:val="none"/>
        </w:rPr>
      </w:pPr>
      <w:r>
        <w:rPr>
          <w:rFonts w:hint="eastAsia"/>
          <w:highlight w:val="none"/>
        </w:rPr>
        <w:t>4.9.4 对不同文字文本响应文件的解释发生异议的，以中文文本为准。</w:t>
      </w:r>
    </w:p>
    <w:p w14:paraId="35C5C324">
      <w:pPr>
        <w:ind w:firstLine="420"/>
        <w:rPr>
          <w:highlight w:val="none"/>
        </w:rPr>
      </w:pPr>
      <w:r>
        <w:rPr>
          <w:rFonts w:hint="eastAsia"/>
          <w:highlight w:val="none"/>
        </w:rPr>
        <w:t>4.9.5 含税金额与不含税金额不一致的，以含税金额为准。</w:t>
      </w:r>
    </w:p>
    <w:p w14:paraId="7EDC0355">
      <w:pPr>
        <w:ind w:firstLine="420"/>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978CA1D">
      <w:pPr>
        <w:pStyle w:val="3"/>
        <w:rPr>
          <w:highlight w:val="none"/>
        </w:rPr>
      </w:pPr>
      <w:bookmarkStart w:id="42" w:name="_Toc89675166"/>
      <w:r>
        <w:rPr>
          <w:rFonts w:hint="eastAsia"/>
          <w:highlight w:val="none"/>
        </w:rPr>
        <w:t>5. 询比程序</w:t>
      </w:r>
    </w:p>
    <w:p w14:paraId="09EEACA8">
      <w:pPr>
        <w:ind w:firstLine="420"/>
        <w:rPr>
          <w:highlight w:val="none"/>
        </w:rPr>
      </w:pPr>
      <w:r>
        <w:rPr>
          <w:rFonts w:hint="eastAsia"/>
          <w:highlight w:val="none"/>
        </w:rPr>
        <w:t>主持人按下列程序进行询比：</w:t>
      </w:r>
    </w:p>
    <w:p w14:paraId="24624EA6">
      <w:pPr>
        <w:ind w:firstLine="420"/>
        <w:rPr>
          <w:highlight w:val="none"/>
        </w:rPr>
      </w:pPr>
      <w:r>
        <w:rPr>
          <w:rFonts w:hint="eastAsia"/>
          <w:highlight w:val="none"/>
        </w:rPr>
        <w:t>5.1 宣布询比纪律；</w:t>
      </w:r>
    </w:p>
    <w:p w14:paraId="6A6FF0D2">
      <w:pPr>
        <w:ind w:firstLine="420"/>
        <w:rPr>
          <w:highlight w:val="none"/>
        </w:rPr>
      </w:pPr>
      <w:r>
        <w:rPr>
          <w:rFonts w:hint="eastAsia"/>
          <w:highlight w:val="none"/>
        </w:rPr>
        <w:t>5.2 宣布采购人、唱标人、记录人、监督人等有关人员姓名；</w:t>
      </w:r>
    </w:p>
    <w:p w14:paraId="6376A32B">
      <w:pPr>
        <w:ind w:firstLine="420"/>
        <w:rPr>
          <w:highlight w:val="none"/>
        </w:rPr>
      </w:pPr>
      <w:r>
        <w:rPr>
          <w:rFonts w:hint="eastAsia"/>
          <w:highlight w:val="none"/>
        </w:rPr>
        <w:t>5.3 公布在响应截止时间前递交响应文件的响应人名称，并点名确认响应人是否派人到场；</w:t>
      </w:r>
    </w:p>
    <w:p w14:paraId="595EA4A0">
      <w:pPr>
        <w:ind w:firstLine="420"/>
        <w:rPr>
          <w:highlight w:val="none"/>
        </w:rPr>
      </w:pPr>
      <w:r>
        <w:rPr>
          <w:rFonts w:hint="eastAsia"/>
          <w:highlight w:val="none"/>
        </w:rPr>
        <w:t>5.4 展示响应保证金，响应保证金缴款不全或有误的，则记录在案交由评审委员会评审；</w:t>
      </w:r>
    </w:p>
    <w:p w14:paraId="1EDE7F92">
      <w:pPr>
        <w:ind w:firstLine="420"/>
        <w:rPr>
          <w:highlight w:val="none"/>
        </w:rPr>
      </w:pPr>
      <w:r>
        <w:rPr>
          <w:rFonts w:hint="eastAsia"/>
          <w:highlight w:val="none"/>
        </w:rPr>
        <w:t>5.5 封装情况检查：响应人或者其推选的代表检查各响应文件的封装情况并确认；</w:t>
      </w:r>
    </w:p>
    <w:p w14:paraId="58D0B7AA">
      <w:pPr>
        <w:ind w:firstLine="420"/>
        <w:rPr>
          <w:highlight w:val="none"/>
        </w:rPr>
      </w:pPr>
      <w:r>
        <w:rPr>
          <w:rFonts w:hint="eastAsia"/>
          <w:highlight w:val="none"/>
        </w:rPr>
        <w:t>5.6 设有最高限价的，公布最高限价；</w:t>
      </w:r>
    </w:p>
    <w:p w14:paraId="5A22D45D">
      <w:pPr>
        <w:ind w:firstLine="420"/>
        <w:rPr>
          <w:highlight w:val="none"/>
        </w:rPr>
      </w:pPr>
      <w:r>
        <w:rPr>
          <w:rFonts w:hint="eastAsia"/>
          <w:highlight w:val="none"/>
        </w:rPr>
        <w:t>5.7 开启响应文件；</w:t>
      </w:r>
    </w:p>
    <w:p w14:paraId="0539EB4D">
      <w:pPr>
        <w:ind w:firstLine="420"/>
        <w:rPr>
          <w:highlight w:val="none"/>
        </w:rPr>
      </w:pPr>
      <w:r>
        <w:rPr>
          <w:rFonts w:hint="eastAsia"/>
          <w:highlight w:val="none"/>
        </w:rPr>
        <w:t>5.8 采购人代表、响应人代表、监督人、记录人等有关人员在询比记录上签字确认；</w:t>
      </w:r>
    </w:p>
    <w:p w14:paraId="1A049196">
      <w:pPr>
        <w:ind w:firstLine="420"/>
        <w:rPr>
          <w:highlight w:val="none"/>
        </w:rPr>
      </w:pPr>
      <w:r>
        <w:rPr>
          <w:rFonts w:hint="eastAsia"/>
          <w:highlight w:val="none"/>
        </w:rPr>
        <w:t>5.9 询比结束。</w:t>
      </w:r>
    </w:p>
    <w:p w14:paraId="3C51EC34">
      <w:pPr>
        <w:pStyle w:val="3"/>
        <w:rPr>
          <w:highlight w:val="none"/>
        </w:rPr>
      </w:pPr>
      <w:r>
        <w:rPr>
          <w:rFonts w:hint="eastAsia"/>
          <w:highlight w:val="none"/>
        </w:rPr>
        <w:t>6. 评审</w:t>
      </w:r>
    </w:p>
    <w:p w14:paraId="2DDF5006">
      <w:pPr>
        <w:ind w:firstLine="420"/>
        <w:rPr>
          <w:highlight w:val="none"/>
        </w:rPr>
      </w:pPr>
      <w:r>
        <w:rPr>
          <w:rFonts w:hint="eastAsia"/>
          <w:highlight w:val="none"/>
        </w:rPr>
        <w:t>见第四章内容。</w:t>
      </w:r>
    </w:p>
    <w:p w14:paraId="6B0DB471">
      <w:pPr>
        <w:pStyle w:val="3"/>
        <w:rPr>
          <w:highlight w:val="none"/>
        </w:rPr>
      </w:pPr>
      <w:r>
        <w:rPr>
          <w:rFonts w:hint="eastAsia"/>
          <w:highlight w:val="none"/>
        </w:rPr>
        <w:t xml:space="preserve">7. </w:t>
      </w:r>
      <w:bookmarkEnd w:id="42"/>
      <w:r>
        <w:rPr>
          <w:rFonts w:hint="eastAsia"/>
          <w:highlight w:val="none"/>
        </w:rPr>
        <w:t>确定成交供应商</w:t>
      </w:r>
    </w:p>
    <w:p w14:paraId="07D05115">
      <w:pPr>
        <w:ind w:firstLine="420"/>
        <w:rPr>
          <w:highlight w:val="none"/>
        </w:rPr>
      </w:pPr>
      <w:r>
        <w:rPr>
          <w:rFonts w:hint="eastAsia"/>
          <w:highlight w:val="none"/>
        </w:rPr>
        <w:t>7.1 确定成交供应商原则</w:t>
      </w:r>
    </w:p>
    <w:p w14:paraId="5DC35A2F">
      <w:pPr>
        <w:ind w:firstLine="420"/>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2A67A8D3">
      <w:pPr>
        <w:ind w:firstLine="420"/>
        <w:rPr>
          <w:highlight w:val="none"/>
        </w:rPr>
      </w:pPr>
      <w:r>
        <w:rPr>
          <w:rFonts w:hint="eastAsia"/>
          <w:highlight w:val="none"/>
        </w:rPr>
        <w:t>7.2 不承诺最低价格成交。</w:t>
      </w:r>
    </w:p>
    <w:p w14:paraId="65C461C5">
      <w:pPr>
        <w:ind w:firstLine="420"/>
        <w:rPr>
          <w:highlight w:val="none"/>
        </w:rPr>
      </w:pPr>
      <w:r>
        <w:rPr>
          <w:rFonts w:hint="eastAsia"/>
          <w:highlight w:val="none"/>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39E7A878">
      <w:pPr>
        <w:pStyle w:val="3"/>
        <w:rPr>
          <w:highlight w:val="none"/>
        </w:rPr>
      </w:pPr>
      <w:bookmarkStart w:id="43" w:name="_Toc12245"/>
      <w:bookmarkStart w:id="44" w:name="_Toc89675168"/>
      <w:r>
        <w:rPr>
          <w:rFonts w:hint="eastAsia"/>
          <w:highlight w:val="none"/>
        </w:rPr>
        <w:t>8. 签订合同</w:t>
      </w:r>
      <w:bookmarkEnd w:id="43"/>
      <w:bookmarkEnd w:id="44"/>
    </w:p>
    <w:p w14:paraId="0736DEA3">
      <w:pPr>
        <w:ind w:firstLine="420"/>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F07BAED">
      <w:pPr>
        <w:ind w:firstLine="420"/>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69AFA47">
      <w:pPr>
        <w:ind w:firstLine="420"/>
        <w:rPr>
          <w:highlight w:val="none"/>
        </w:rPr>
      </w:pPr>
      <w:r>
        <w:rPr>
          <w:rFonts w:hint="eastAsia"/>
          <w:highlight w:val="none"/>
        </w:rPr>
        <w:t>8.3 询比文件、成交供应商的响应文件及澄清文件等，均为签订合同的依据。</w:t>
      </w:r>
    </w:p>
    <w:p w14:paraId="42804A03">
      <w:pPr>
        <w:ind w:firstLine="420"/>
        <w:rPr>
          <w:highlight w:val="none"/>
        </w:rPr>
      </w:pPr>
      <w:r>
        <w:rPr>
          <w:rFonts w:hint="eastAsia"/>
          <w:highlight w:val="none"/>
        </w:rPr>
        <w:t>8.4 合同生效条款由供需双方约定，法律、行政法规规定应当办理批准、登记等手续后生效的合同，依照其规定。</w:t>
      </w:r>
    </w:p>
    <w:p w14:paraId="4EA43539">
      <w:pPr>
        <w:ind w:firstLine="420"/>
        <w:rPr>
          <w:highlight w:val="none"/>
        </w:rPr>
      </w:pPr>
      <w:r>
        <w:rPr>
          <w:rFonts w:hint="eastAsia"/>
          <w:highlight w:val="none"/>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0C9AA746">
      <w:pPr>
        <w:ind w:firstLine="420"/>
        <w:rPr>
          <w:highlight w:val="none"/>
        </w:rPr>
      </w:pPr>
      <w:r>
        <w:rPr>
          <w:rFonts w:hint="eastAsia"/>
          <w:highlight w:val="none"/>
        </w:rPr>
        <w:t>8.6 该项目不允许任何形式的转包。</w:t>
      </w:r>
    </w:p>
    <w:p w14:paraId="240FDA8F">
      <w:pPr>
        <w:pStyle w:val="3"/>
        <w:rPr>
          <w:highlight w:val="none"/>
        </w:rPr>
      </w:pPr>
      <w:r>
        <w:rPr>
          <w:rFonts w:hint="eastAsia"/>
          <w:highlight w:val="none"/>
        </w:rPr>
        <w:t>9. 纪律与要求</w:t>
      </w:r>
    </w:p>
    <w:p w14:paraId="0F406749">
      <w:pPr>
        <w:ind w:firstLine="420"/>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34C70C00">
      <w:pPr>
        <w:ind w:firstLine="420"/>
        <w:rPr>
          <w:highlight w:val="none"/>
        </w:rPr>
      </w:pPr>
      <w:r>
        <w:rPr>
          <w:rFonts w:hint="eastAsia"/>
          <w:highlight w:val="none"/>
        </w:rPr>
        <w:t>9.1 有下列情形之一的，属于响应人相互串通响应：</w:t>
      </w:r>
    </w:p>
    <w:p w14:paraId="5324237B">
      <w:pPr>
        <w:ind w:firstLine="420"/>
        <w:rPr>
          <w:highlight w:val="none"/>
        </w:rPr>
      </w:pPr>
      <w:r>
        <w:rPr>
          <w:rFonts w:hint="eastAsia"/>
          <w:highlight w:val="none"/>
        </w:rPr>
        <w:t>9.1.1 响应人之间协商响应报价等响应文件的实质性内容；</w:t>
      </w:r>
    </w:p>
    <w:p w14:paraId="2C720A77">
      <w:pPr>
        <w:ind w:firstLine="420"/>
        <w:rPr>
          <w:highlight w:val="none"/>
        </w:rPr>
      </w:pPr>
      <w:r>
        <w:rPr>
          <w:rFonts w:hint="eastAsia"/>
          <w:highlight w:val="none"/>
        </w:rPr>
        <w:t>9.1.2 响应人之间约定成交供应商；</w:t>
      </w:r>
    </w:p>
    <w:p w14:paraId="2E083679">
      <w:pPr>
        <w:ind w:firstLine="420"/>
        <w:rPr>
          <w:highlight w:val="none"/>
        </w:rPr>
      </w:pPr>
      <w:r>
        <w:rPr>
          <w:rFonts w:hint="eastAsia"/>
          <w:highlight w:val="none"/>
        </w:rPr>
        <w:t>9.1.3 响应人之间约定部分响应人放弃响应或者成交；</w:t>
      </w:r>
    </w:p>
    <w:p w14:paraId="0C1E7F20">
      <w:pPr>
        <w:ind w:firstLine="420"/>
        <w:rPr>
          <w:highlight w:val="none"/>
        </w:rPr>
      </w:pPr>
      <w:r>
        <w:rPr>
          <w:rFonts w:hint="eastAsia"/>
          <w:highlight w:val="none"/>
        </w:rPr>
        <w:t>9.1.4 属于同一集团、协会、商会等组织成员的响应人按照该组织要求协同响应；</w:t>
      </w:r>
    </w:p>
    <w:p w14:paraId="08FFA6D3">
      <w:pPr>
        <w:ind w:firstLine="420"/>
        <w:rPr>
          <w:highlight w:val="none"/>
        </w:rPr>
      </w:pPr>
      <w:r>
        <w:rPr>
          <w:rFonts w:hint="eastAsia"/>
          <w:highlight w:val="none"/>
        </w:rPr>
        <w:t>9.1.5 响应人之间为谋取成交或者排斥特定响应人而采取的其他联合行动。</w:t>
      </w:r>
    </w:p>
    <w:p w14:paraId="52AFA8F8">
      <w:pPr>
        <w:ind w:firstLine="420"/>
        <w:rPr>
          <w:highlight w:val="none"/>
        </w:rPr>
      </w:pPr>
      <w:r>
        <w:rPr>
          <w:rFonts w:hint="eastAsia"/>
          <w:highlight w:val="none"/>
        </w:rPr>
        <w:t>9.2 有下列情形之一的，视为响应人相互串通响应：</w:t>
      </w:r>
    </w:p>
    <w:p w14:paraId="37F21467">
      <w:pPr>
        <w:ind w:firstLine="420"/>
        <w:rPr>
          <w:highlight w:val="none"/>
        </w:rPr>
      </w:pPr>
      <w:r>
        <w:rPr>
          <w:rFonts w:hint="eastAsia"/>
          <w:highlight w:val="none"/>
        </w:rPr>
        <w:t>9.2.1 不同响应人的响应文件由同一单位或者个人编制；</w:t>
      </w:r>
    </w:p>
    <w:p w14:paraId="5D0572E1">
      <w:pPr>
        <w:ind w:firstLine="420"/>
        <w:rPr>
          <w:highlight w:val="none"/>
        </w:rPr>
      </w:pPr>
      <w:r>
        <w:rPr>
          <w:rFonts w:hint="eastAsia"/>
          <w:highlight w:val="none"/>
        </w:rPr>
        <w:t>9.2.2 不同响应人委托同一单位或者个人办理响应事宜；</w:t>
      </w:r>
    </w:p>
    <w:p w14:paraId="35151C2C">
      <w:pPr>
        <w:ind w:firstLine="420"/>
        <w:rPr>
          <w:highlight w:val="none"/>
        </w:rPr>
      </w:pPr>
      <w:r>
        <w:rPr>
          <w:rFonts w:hint="eastAsia"/>
          <w:highlight w:val="none"/>
        </w:rPr>
        <w:t>9.2.3 不同响应人的响应文件载明的项目管理成员为同一人；</w:t>
      </w:r>
    </w:p>
    <w:p w14:paraId="05E6962F">
      <w:pPr>
        <w:ind w:firstLine="420"/>
        <w:rPr>
          <w:highlight w:val="none"/>
        </w:rPr>
      </w:pPr>
      <w:r>
        <w:rPr>
          <w:rFonts w:hint="eastAsia"/>
          <w:highlight w:val="none"/>
        </w:rPr>
        <w:t>9.2.4 不同响应人的响应文件相互混装；</w:t>
      </w:r>
    </w:p>
    <w:p w14:paraId="7A1C4683">
      <w:pPr>
        <w:ind w:firstLine="420"/>
        <w:rPr>
          <w:highlight w:val="none"/>
        </w:rPr>
      </w:pPr>
      <w:r>
        <w:rPr>
          <w:rFonts w:hint="eastAsia"/>
          <w:highlight w:val="none"/>
        </w:rPr>
        <w:t>9.2.5 不同响应人的响应保证金从同一单位或者个人的账户转出。</w:t>
      </w:r>
    </w:p>
    <w:p w14:paraId="29CA0DB2">
      <w:pPr>
        <w:ind w:firstLine="420"/>
        <w:rPr>
          <w:highlight w:val="none"/>
        </w:rPr>
      </w:pPr>
      <w:r>
        <w:rPr>
          <w:rFonts w:hint="eastAsia"/>
          <w:highlight w:val="none"/>
        </w:rPr>
        <w:t>9.3 使用通过受让或者租借等方式获取的资格、资质证书响应的，属于以他人名义响应。</w:t>
      </w:r>
    </w:p>
    <w:p w14:paraId="477C341D">
      <w:pPr>
        <w:ind w:firstLine="420"/>
        <w:rPr>
          <w:highlight w:val="none"/>
        </w:rPr>
      </w:pPr>
      <w:r>
        <w:rPr>
          <w:rFonts w:hint="eastAsia"/>
          <w:highlight w:val="none"/>
        </w:rPr>
        <w:t>9.4 响应人有下列情形之一的，属于弄虚作假的行为：</w:t>
      </w:r>
    </w:p>
    <w:p w14:paraId="02E81D32">
      <w:pPr>
        <w:ind w:firstLine="420"/>
        <w:rPr>
          <w:highlight w:val="none"/>
        </w:rPr>
      </w:pPr>
      <w:r>
        <w:rPr>
          <w:rFonts w:hint="eastAsia"/>
          <w:highlight w:val="none"/>
        </w:rPr>
        <w:t>9.4.1 使用伪造、变造的许可证件；</w:t>
      </w:r>
    </w:p>
    <w:p w14:paraId="1DB4C6C8">
      <w:pPr>
        <w:ind w:firstLine="420"/>
        <w:rPr>
          <w:highlight w:val="none"/>
        </w:rPr>
      </w:pPr>
      <w:r>
        <w:rPr>
          <w:rFonts w:hint="eastAsia"/>
          <w:highlight w:val="none"/>
        </w:rPr>
        <w:t>9.4.2 提供虚假的财务状况或者虚假业绩；</w:t>
      </w:r>
    </w:p>
    <w:p w14:paraId="3B3AA24D">
      <w:pPr>
        <w:ind w:firstLine="420"/>
        <w:rPr>
          <w:highlight w:val="none"/>
        </w:rPr>
      </w:pPr>
      <w:r>
        <w:rPr>
          <w:rFonts w:hint="eastAsia"/>
          <w:highlight w:val="none"/>
        </w:rPr>
        <w:t>9.4.3 提供虚假的项目负责人或者主要技术人员简历、劳动关系证明；</w:t>
      </w:r>
    </w:p>
    <w:p w14:paraId="537144EE">
      <w:pPr>
        <w:ind w:firstLine="420"/>
        <w:rPr>
          <w:highlight w:val="none"/>
        </w:rPr>
      </w:pPr>
      <w:r>
        <w:rPr>
          <w:rFonts w:hint="eastAsia"/>
          <w:highlight w:val="none"/>
        </w:rPr>
        <w:t>9.4.4 提供虚假的信用状况；</w:t>
      </w:r>
    </w:p>
    <w:p w14:paraId="3B6E39F3">
      <w:pPr>
        <w:ind w:firstLine="420"/>
        <w:rPr>
          <w:highlight w:val="none"/>
        </w:rPr>
      </w:pPr>
      <w:r>
        <w:rPr>
          <w:rFonts w:hint="eastAsia"/>
          <w:highlight w:val="none"/>
        </w:rPr>
        <w:t>9.4.5 其它弄虚作假的行为。</w:t>
      </w:r>
    </w:p>
    <w:p w14:paraId="0EB1F0CD">
      <w:pPr>
        <w:ind w:firstLine="420"/>
        <w:rPr>
          <w:highlight w:val="none"/>
        </w:rPr>
      </w:pPr>
      <w:r>
        <w:rPr>
          <w:rFonts w:hint="eastAsia"/>
          <w:highlight w:val="none"/>
        </w:rPr>
        <w:t>针对以上情况，采购人有权没收响应人的响应保证金，并保留进一步追究由此带来损失的权利。</w:t>
      </w:r>
    </w:p>
    <w:p w14:paraId="5B6FB3ED">
      <w:pPr>
        <w:pStyle w:val="3"/>
        <w:rPr>
          <w:highlight w:val="none"/>
        </w:rPr>
      </w:pPr>
      <w:bookmarkStart w:id="45" w:name="_Toc89675169"/>
      <w:r>
        <w:rPr>
          <w:rFonts w:hint="eastAsia"/>
          <w:highlight w:val="none"/>
        </w:rPr>
        <w:t>10. 提问、质疑、投诉</w:t>
      </w:r>
    </w:p>
    <w:p w14:paraId="67566190">
      <w:pPr>
        <w:ind w:firstLine="420"/>
        <w:rPr>
          <w:highlight w:val="none"/>
        </w:rPr>
      </w:pPr>
      <w:r>
        <w:rPr>
          <w:rFonts w:hint="eastAsia"/>
          <w:highlight w:val="none"/>
        </w:rPr>
        <w:t>10.1 补遗内容可能影响响应文件编制的，须在响应截止时间3日前发布，发布时间至响应截止时间不足3日的，须相应延后响应截止时间。</w:t>
      </w:r>
    </w:p>
    <w:p w14:paraId="77E9C2AD">
      <w:pPr>
        <w:ind w:firstLine="420"/>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DDE603B">
      <w:pPr>
        <w:ind w:firstLine="420"/>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371E9B2A">
      <w:pPr>
        <w:ind w:firstLine="420"/>
        <w:rPr>
          <w:highlight w:val="none"/>
        </w:rPr>
      </w:pPr>
      <w:r>
        <w:rPr>
          <w:rFonts w:hint="eastAsia"/>
          <w:highlight w:val="none"/>
        </w:rPr>
        <w:t>10.4 响应人对采购人的答复不满意或者有质疑，可向采购人纪检监察部投诉。</w:t>
      </w:r>
    </w:p>
    <w:p w14:paraId="2C336B08">
      <w:pPr>
        <w:ind w:firstLine="420"/>
        <w:rPr>
          <w:highlight w:val="none"/>
        </w:rPr>
      </w:pPr>
      <w:r>
        <w:rPr>
          <w:rFonts w:hint="eastAsia"/>
          <w:highlight w:val="none"/>
        </w:rPr>
        <w:t>采购质疑邮箱：</w:t>
      </w:r>
      <w:r>
        <w:rPr>
          <w:highlight w:val="none"/>
        </w:rPr>
        <w:t>sx.jcb@ccqtgb.com</w:t>
      </w:r>
    </w:p>
    <w:p w14:paraId="4B9DE467">
      <w:pPr>
        <w:ind w:firstLine="420"/>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14:paraId="03501CBD">
      <w:pPr>
        <w:pStyle w:val="3"/>
        <w:rPr>
          <w:highlight w:val="none"/>
        </w:rPr>
      </w:pPr>
      <w:bookmarkStart w:id="47" w:name="_Toc15059431"/>
      <w:bookmarkStart w:id="48" w:name="_Toc11439"/>
      <w:bookmarkStart w:id="49" w:name="_Toc89675157"/>
      <w:bookmarkStart w:id="50" w:name="_Toc275199618"/>
      <w:bookmarkStart w:id="51" w:name="_Toc440628924"/>
      <w:r>
        <w:rPr>
          <w:rFonts w:hint="eastAsia"/>
          <w:highlight w:val="none"/>
        </w:rPr>
        <w:t>11. 无效响应条款</w:t>
      </w:r>
      <w:bookmarkEnd w:id="47"/>
      <w:bookmarkEnd w:id="48"/>
      <w:bookmarkEnd w:id="49"/>
      <w:bookmarkEnd w:id="50"/>
      <w:bookmarkEnd w:id="51"/>
    </w:p>
    <w:p w14:paraId="336B1F8E">
      <w:pPr>
        <w:ind w:firstLine="420"/>
        <w:rPr>
          <w:highlight w:val="none"/>
        </w:rPr>
      </w:pPr>
      <w:r>
        <w:rPr>
          <w:rFonts w:hint="eastAsia"/>
          <w:highlight w:val="none"/>
        </w:rPr>
        <w:t>响应人或其响应文件出现下列情况之一者，应为无效响应：</w:t>
      </w:r>
    </w:p>
    <w:p w14:paraId="2FA65A77">
      <w:pPr>
        <w:ind w:firstLine="420"/>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1BE9437A">
      <w:pPr>
        <w:ind w:firstLine="420"/>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5ECE544B">
      <w:pPr>
        <w:ind w:firstLine="420"/>
        <w:rPr>
          <w:highlight w:val="none"/>
        </w:rPr>
      </w:pPr>
      <w:r>
        <w:rPr>
          <w:rFonts w:hint="eastAsia"/>
          <w:highlight w:val="none"/>
        </w:rPr>
        <w:t>11.3 响应人超出其营业执照或事业单位法人证书上经营范围（业务范围）响应的。</w:t>
      </w:r>
    </w:p>
    <w:p w14:paraId="2C84AB32">
      <w:pPr>
        <w:ind w:firstLine="420"/>
        <w:rPr>
          <w:highlight w:val="none"/>
        </w:rPr>
      </w:pPr>
      <w:r>
        <w:rPr>
          <w:rFonts w:hint="eastAsia"/>
          <w:highlight w:val="none"/>
        </w:rPr>
        <w:t>11.4 单位负责人为同一人或者存在直接控股、管理关系的不同响应人，不得参加同一合同项下的采购活动。</w:t>
      </w:r>
    </w:p>
    <w:p w14:paraId="78A870DB">
      <w:pPr>
        <w:ind w:firstLine="420"/>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0FE7DA3">
      <w:pPr>
        <w:ind w:firstLine="420"/>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E26CE9F">
      <w:pPr>
        <w:ind w:firstLine="420"/>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1D1A611">
      <w:pPr>
        <w:ind w:firstLine="420"/>
        <w:rPr>
          <w:highlight w:val="none"/>
        </w:rPr>
      </w:pPr>
      <w:r>
        <w:rPr>
          <w:rFonts w:hint="eastAsia"/>
          <w:highlight w:val="none"/>
        </w:rPr>
        <w:t>11.8 响应报价</w:t>
      </w:r>
      <w:r>
        <w:rPr>
          <w:highlight w:val="none"/>
        </w:rPr>
        <w:t>超出最高限价的</w:t>
      </w:r>
      <w:r>
        <w:rPr>
          <w:rFonts w:hint="eastAsia"/>
          <w:highlight w:val="none"/>
        </w:rPr>
        <w:t>。</w:t>
      </w:r>
    </w:p>
    <w:p w14:paraId="42DCC134">
      <w:pPr>
        <w:ind w:firstLine="420"/>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29ECB85E">
      <w:pPr>
        <w:ind w:firstLine="420"/>
        <w:rPr>
          <w:highlight w:val="none"/>
        </w:rPr>
      </w:pPr>
      <w:r>
        <w:rPr>
          <w:rFonts w:hint="eastAsia"/>
          <w:highlight w:val="none"/>
        </w:rPr>
        <w:t>11.10 出现影响询比公正的违法、违规行为的。</w:t>
      </w:r>
    </w:p>
    <w:p w14:paraId="7969A4C5">
      <w:pPr>
        <w:ind w:firstLine="420"/>
        <w:rPr>
          <w:highlight w:val="none"/>
        </w:rPr>
      </w:pPr>
      <w:r>
        <w:rPr>
          <w:rFonts w:hint="eastAsia"/>
          <w:highlight w:val="none"/>
        </w:rPr>
        <w:t>11.11 与采购人、评审专家、其他响应人恶意串通。</w:t>
      </w:r>
    </w:p>
    <w:p w14:paraId="64E3035D">
      <w:pPr>
        <w:ind w:firstLine="420"/>
        <w:rPr>
          <w:highlight w:val="none"/>
        </w:rPr>
      </w:pPr>
      <w:r>
        <w:rPr>
          <w:rFonts w:hint="eastAsia"/>
          <w:highlight w:val="none"/>
        </w:rPr>
        <w:t>11.12 参与响应的法人发生合并、分立、破产等重大变化后，不再具备询比要求的资格条件的。</w:t>
      </w:r>
    </w:p>
    <w:p w14:paraId="7404F2E7">
      <w:pPr>
        <w:ind w:firstLine="420"/>
        <w:rPr>
          <w:highlight w:val="none"/>
        </w:rPr>
      </w:pPr>
      <w:r>
        <w:rPr>
          <w:rFonts w:hint="eastAsia"/>
          <w:highlight w:val="none"/>
        </w:rPr>
        <w:t>11.13 提供虚假材料谋取成交资格的。</w:t>
      </w:r>
    </w:p>
    <w:p w14:paraId="7CE78C3D">
      <w:pPr>
        <w:ind w:firstLine="420"/>
        <w:rPr>
          <w:highlight w:val="none"/>
        </w:rPr>
      </w:pPr>
      <w:r>
        <w:rPr>
          <w:rFonts w:hint="eastAsia"/>
          <w:highlight w:val="none"/>
        </w:rPr>
        <w:t>11.14 响应文件含有采购人不能接受的附件条件的。</w:t>
      </w:r>
    </w:p>
    <w:p w14:paraId="59FBF7F8">
      <w:pPr>
        <w:pStyle w:val="3"/>
        <w:rPr>
          <w:highlight w:val="none"/>
        </w:rPr>
      </w:pPr>
      <w:r>
        <w:rPr>
          <w:rFonts w:hint="eastAsia"/>
          <w:highlight w:val="none"/>
        </w:rPr>
        <w:t>12. 询比失败情形</w:t>
      </w:r>
    </w:p>
    <w:p w14:paraId="3264D004">
      <w:pPr>
        <w:ind w:firstLine="420"/>
        <w:rPr>
          <w:highlight w:val="none"/>
        </w:rPr>
      </w:pPr>
      <w:r>
        <w:rPr>
          <w:rFonts w:hint="eastAsia"/>
          <w:highlight w:val="none"/>
        </w:rPr>
        <w:t>12.1 出现以下情形本次询比失败：</w:t>
      </w:r>
    </w:p>
    <w:p w14:paraId="608D0B02">
      <w:pPr>
        <w:ind w:firstLine="420"/>
        <w:rPr>
          <w:highlight w:val="none"/>
        </w:rPr>
      </w:pPr>
      <w:r>
        <w:rPr>
          <w:rFonts w:hint="eastAsia"/>
          <w:highlight w:val="none"/>
        </w:rPr>
        <w:t>12.1.1 首次询比的项目，截至响应截止时间，响应人少于3个的。</w:t>
      </w:r>
    </w:p>
    <w:p w14:paraId="1DEC389A">
      <w:pPr>
        <w:ind w:firstLine="420"/>
        <w:rPr>
          <w:highlight w:val="none"/>
        </w:rPr>
      </w:pPr>
      <w:r>
        <w:rPr>
          <w:rFonts w:hint="eastAsia"/>
          <w:highlight w:val="none"/>
        </w:rPr>
        <w:t>12.1.2 经评审委员会评审后否决所有响应的。</w:t>
      </w:r>
    </w:p>
    <w:p w14:paraId="0A441C81">
      <w:pPr>
        <w:ind w:firstLine="420"/>
        <w:rPr>
          <w:highlight w:val="none"/>
        </w:rPr>
      </w:pPr>
      <w:r>
        <w:rPr>
          <w:rFonts w:hint="eastAsia"/>
          <w:highlight w:val="none"/>
        </w:rPr>
        <w:t>12.1.3 法律法规规定的其他情形。</w:t>
      </w:r>
    </w:p>
    <w:p w14:paraId="720628F2">
      <w:pPr>
        <w:ind w:firstLine="420"/>
        <w:rPr>
          <w:highlight w:val="none"/>
        </w:rPr>
      </w:pPr>
      <w:r>
        <w:rPr>
          <w:rFonts w:hint="eastAsia"/>
          <w:highlight w:val="none"/>
        </w:rPr>
        <w:t>12.2 重新询比和不再询比</w:t>
      </w:r>
    </w:p>
    <w:p w14:paraId="715DD2EF">
      <w:pPr>
        <w:ind w:firstLine="420"/>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bookmarkEnd w:id="45"/>
    <w:p w14:paraId="377200F4">
      <w:pPr>
        <w:pStyle w:val="3"/>
        <w:rPr>
          <w:highlight w:val="none"/>
        </w:rPr>
      </w:pPr>
      <w:r>
        <w:rPr>
          <w:rFonts w:hint="eastAsia"/>
          <w:highlight w:val="none"/>
        </w:rPr>
        <w:t>13. 终止询比</w:t>
      </w:r>
    </w:p>
    <w:p w14:paraId="2B9B5A4C">
      <w:pPr>
        <w:ind w:firstLine="420"/>
        <w:rPr>
          <w:highlight w:val="none"/>
        </w:rPr>
      </w:pPr>
      <w:r>
        <w:rPr>
          <w:rFonts w:hint="eastAsia"/>
          <w:highlight w:val="none"/>
        </w:rPr>
        <w:t>13.1 因情况发生变化或其他原因造成该项目取消的，本次询比自动终止，双方互不承担责任，采购人有息退还响应保证金。</w:t>
      </w:r>
    </w:p>
    <w:p w14:paraId="01E3DE4B">
      <w:pPr>
        <w:ind w:firstLine="420"/>
        <w:rPr>
          <w:highlight w:val="none"/>
        </w:rPr>
      </w:pPr>
      <w:r>
        <w:rPr>
          <w:rFonts w:hint="eastAsia"/>
          <w:highlight w:val="none"/>
        </w:rPr>
        <w:t>13.2 签订合同之前，采购人发现成交供应商经营、财务状况发生较大变化或存在违法行为，采购人认为可能影响其履约能力的，采购人可废除成交供应商资格。</w:t>
      </w:r>
    </w:p>
    <w:p w14:paraId="1DD39E11">
      <w:pPr>
        <w:pStyle w:val="3"/>
        <w:rPr>
          <w:highlight w:val="none"/>
        </w:rPr>
      </w:pPr>
      <w:r>
        <w:rPr>
          <w:rFonts w:hint="eastAsia"/>
          <w:highlight w:val="none"/>
        </w:rPr>
        <w:t>14. 参与项目费用</w:t>
      </w:r>
    </w:p>
    <w:p w14:paraId="5A63BC35">
      <w:pPr>
        <w:ind w:firstLine="420"/>
        <w:rPr>
          <w:highlight w:val="none"/>
        </w:rPr>
      </w:pPr>
      <w:r>
        <w:rPr>
          <w:rFonts w:hint="eastAsia"/>
          <w:highlight w:val="none"/>
        </w:rPr>
        <w:t>响应人参与本询比项目时，一切与响应有关的费用均由响应人自理。</w:t>
      </w:r>
    </w:p>
    <w:p w14:paraId="3F38196B">
      <w:pPr>
        <w:ind w:firstLine="420"/>
        <w:rPr>
          <w:highlight w:val="none"/>
        </w:rPr>
      </w:pPr>
      <w:r>
        <w:rPr>
          <w:rFonts w:hint="eastAsia"/>
          <w:highlight w:val="none"/>
        </w:rPr>
        <w:t>本项目平台服务费按成交金额的5‰收取，不足1.5万元的，按1.5万元收取，由成交供应商向重庆联合产权交易所集团股份有限公司支付。成交供应商应在领取成交通知书时一次性缴纳，请各响应人综合考虑进行报价。</w:t>
      </w:r>
    </w:p>
    <w:p w14:paraId="6633E161">
      <w:pPr>
        <w:ind w:firstLine="420"/>
        <w:rPr>
          <w:highlight w:val="none"/>
        </w:rPr>
      </w:pPr>
      <w:r>
        <w:rPr>
          <w:highlight w:val="none"/>
        </w:rPr>
        <w:br w:type="page"/>
      </w:r>
    </w:p>
    <w:p w14:paraId="6F5A3953">
      <w:pPr>
        <w:pStyle w:val="2"/>
        <w:rPr>
          <w:highlight w:val="none"/>
        </w:rPr>
      </w:pPr>
      <w:bookmarkStart w:id="52" w:name="_Toc2772"/>
      <w:bookmarkStart w:id="53" w:name="_Toc2800"/>
      <w:bookmarkStart w:id="54" w:name="_Toc12347"/>
      <w:bookmarkStart w:id="55" w:name="_Toc10517"/>
      <w:r>
        <w:rPr>
          <w:rFonts w:hint="eastAsia"/>
          <w:highlight w:val="none"/>
        </w:rPr>
        <w:t>第三章 项目要求</w:t>
      </w:r>
      <w:bookmarkEnd w:id="52"/>
      <w:bookmarkEnd w:id="53"/>
      <w:bookmarkEnd w:id="54"/>
      <w:bookmarkEnd w:id="55"/>
    </w:p>
    <w:p w14:paraId="7356255A">
      <w:pPr>
        <w:pStyle w:val="3"/>
        <w:ind w:left="360" w:hanging="360"/>
        <w:rPr>
          <w:highlight w:val="none"/>
        </w:rPr>
      </w:pPr>
      <w:r>
        <w:rPr>
          <w:highlight w:val="none"/>
        </w:rPr>
        <w:t>1.</w:t>
      </w:r>
      <w:r>
        <w:rPr>
          <w:rFonts w:hint="eastAsia"/>
          <w:highlight w:val="none"/>
        </w:rPr>
        <w:t>业务需求</w:t>
      </w:r>
    </w:p>
    <w:p w14:paraId="4AE3E5CE">
      <w:pPr>
        <w:ind w:firstLine="420"/>
        <w:rPr>
          <w:szCs w:val="24"/>
          <w:highlight w:val="none"/>
        </w:rPr>
      </w:pPr>
      <w:r>
        <w:rPr>
          <w:rFonts w:hint="eastAsia"/>
          <w:szCs w:val="24"/>
          <w:highlight w:val="none"/>
        </w:rPr>
        <w:t>本项目旨在构建以“双盾三枢”为核心业务架构的智能交易风控系统，满足本行反欺诈工作更加平台化、模块化、标准化的发展要求。通过整合全渠道风险数据、强化智能决策能力、贯通联防联控机制，实现风险防控体系的全面升级。平台以“主动防御、精准识别、敏捷响应”为核心理念，聚焦交易与账户双维安全，依托数据、模型与运营三大中枢的协同运作，推动风险防控从单点被动处置向全域主动治理转型。通过打通业务条线壁垒、深化AI技术应用、构建生态联防网络，最终形成覆盖业务全场景、贯穿风险全周期、融合决策全智能的立体化风控体系，全面提升欺诈风险识别精度、处置效率与合规水平，为我行业务稳健发展及数字化转型构筑坚实的安全屏障。</w:t>
      </w:r>
    </w:p>
    <w:p w14:paraId="23F3F045">
      <w:pPr>
        <w:ind w:firstLine="420"/>
        <w:rPr>
          <w:szCs w:val="24"/>
          <w:highlight w:val="none"/>
        </w:rPr>
      </w:pPr>
      <w:r>
        <w:rPr>
          <w:rFonts w:hint="eastAsia"/>
          <w:szCs w:val="24"/>
          <w:highlight w:val="none"/>
        </w:rPr>
        <w:t>本项目实施</w:t>
      </w:r>
      <w:r>
        <w:rPr>
          <w:szCs w:val="24"/>
          <w:highlight w:val="none"/>
        </w:rPr>
        <w:t>范围主要包括两方面，</w:t>
      </w:r>
      <w:r>
        <w:rPr>
          <w:rFonts w:hint="eastAsia"/>
          <w:szCs w:val="24"/>
          <w:highlight w:val="none"/>
        </w:rPr>
        <w:t>一</w:t>
      </w:r>
      <w:r>
        <w:rPr>
          <w:szCs w:val="24"/>
          <w:highlight w:val="none"/>
        </w:rPr>
        <w:t>是业务咨询，包括交易反欺诈和账户分级分类整体的体系规划、</w:t>
      </w:r>
      <w:r>
        <w:rPr>
          <w:rFonts w:hint="eastAsia"/>
          <w:szCs w:val="24"/>
          <w:highlight w:val="none"/>
        </w:rPr>
        <w:t>规则</w:t>
      </w:r>
      <w:r>
        <w:rPr>
          <w:szCs w:val="24"/>
          <w:highlight w:val="none"/>
        </w:rPr>
        <w:t>模型及运营处置体系的规划、交易反欺诈、反电诈及账户分级分类</w:t>
      </w:r>
      <w:r>
        <w:rPr>
          <w:rFonts w:hint="eastAsia"/>
          <w:szCs w:val="24"/>
          <w:highlight w:val="none"/>
        </w:rPr>
        <w:t>规则</w:t>
      </w:r>
      <w:r>
        <w:rPr>
          <w:szCs w:val="24"/>
          <w:highlight w:val="none"/>
        </w:rPr>
        <w:t>模型建设</w:t>
      </w:r>
      <w:r>
        <w:rPr>
          <w:rFonts w:hint="eastAsia"/>
          <w:szCs w:val="24"/>
          <w:highlight w:val="none"/>
        </w:rPr>
        <w:t>；二</w:t>
      </w:r>
      <w:r>
        <w:rPr>
          <w:szCs w:val="24"/>
          <w:highlight w:val="none"/>
        </w:rPr>
        <w:t>是基础平台的建设，包括实时交易反欺诈、实时/准实时反电诈及账户分级分类平台的建设。</w:t>
      </w:r>
    </w:p>
    <w:p w14:paraId="60555823">
      <w:pPr>
        <w:ind w:firstLine="0" w:firstLineChars="0"/>
        <w:rPr>
          <w:szCs w:val="24"/>
          <w:highlight w:val="none"/>
        </w:rPr>
      </w:pPr>
    </w:p>
    <w:p w14:paraId="45232516">
      <w:pPr>
        <w:pStyle w:val="4"/>
        <w:ind w:firstLine="422"/>
        <w:rPr>
          <w:szCs w:val="24"/>
          <w:highlight w:val="none"/>
        </w:rPr>
      </w:pPr>
      <w:r>
        <w:rPr>
          <w:rFonts w:hint="eastAsia"/>
          <w:szCs w:val="24"/>
          <w:highlight w:val="none"/>
        </w:rPr>
        <w:t>1.1业务咨询需求清单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6E8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705285D2">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28E4B869">
            <w:pPr>
              <w:spacing w:line="240" w:lineRule="auto"/>
              <w:ind w:firstLine="0" w:firstLineChars="0"/>
              <w:jc w:val="center"/>
              <w:rPr>
                <w:b/>
                <w:bCs/>
                <w:highlight w:val="none"/>
              </w:rPr>
            </w:pPr>
            <w:r>
              <w:rPr>
                <w:rFonts w:hint="eastAsia"/>
                <w:b/>
                <w:bCs/>
                <w:highlight w:val="none"/>
              </w:rPr>
              <w:t>咨询板块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69835601">
            <w:pPr>
              <w:spacing w:line="240" w:lineRule="auto"/>
              <w:ind w:firstLine="0" w:firstLineChars="0"/>
              <w:jc w:val="center"/>
              <w:rPr>
                <w:b/>
                <w:bCs/>
                <w:highlight w:val="none"/>
              </w:rPr>
            </w:pPr>
            <w:r>
              <w:rPr>
                <w:rFonts w:hint="eastAsia"/>
                <w:b/>
                <w:bCs/>
                <w:highlight w:val="none"/>
              </w:rPr>
              <w:t>咨询内容</w:t>
            </w:r>
          </w:p>
        </w:tc>
      </w:tr>
      <w:tr w14:paraId="2172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593896B8">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6AFB00B6">
            <w:pPr>
              <w:spacing w:line="240" w:lineRule="auto"/>
              <w:ind w:firstLine="0" w:firstLineChars="0"/>
              <w:jc w:val="center"/>
              <w:rPr>
                <w:rFonts w:ascii="宋体" w:cs="宋体"/>
                <w:szCs w:val="21"/>
                <w:highlight w:val="none"/>
              </w:rPr>
            </w:pPr>
            <w:bookmarkStart w:id="56" w:name="OLE_LINK3"/>
            <w:r>
              <w:rPr>
                <w:rFonts w:hint="eastAsia" w:ascii="宋体" w:cs="宋体"/>
                <w:szCs w:val="21"/>
                <w:highlight w:val="none"/>
              </w:rPr>
              <w:t>交易风控管理体系咨询</w:t>
            </w:r>
            <w:bookmarkEnd w:id="56"/>
          </w:p>
        </w:tc>
        <w:tc>
          <w:tcPr>
            <w:tcW w:w="5981" w:type="dxa"/>
            <w:tcBorders>
              <w:top w:val="single" w:color="auto" w:sz="4" w:space="0"/>
              <w:left w:val="single" w:color="auto" w:sz="4" w:space="0"/>
              <w:bottom w:val="single" w:color="auto" w:sz="4" w:space="0"/>
              <w:right w:val="single" w:color="auto" w:sz="4" w:space="0"/>
            </w:tcBorders>
          </w:tcPr>
          <w:p w14:paraId="3A57273A">
            <w:pPr>
              <w:widowControl/>
              <w:autoSpaceDE/>
              <w:autoSpaceDN/>
              <w:spacing w:line="240" w:lineRule="auto"/>
              <w:ind w:firstLine="420"/>
              <w:rPr>
                <w:highlight w:val="none"/>
              </w:rPr>
            </w:pPr>
            <w:bookmarkStart w:id="57" w:name="OLE_LINK9"/>
            <w:bookmarkStart w:id="58" w:name="OLE_LINK18"/>
            <w:r>
              <w:rPr>
                <w:rFonts w:hint="eastAsia"/>
                <w:highlight w:val="none"/>
              </w:rPr>
              <w:t>构建全面、符合我行实际的交易风控管理体系，涵盖以下内容：</w:t>
            </w:r>
          </w:p>
          <w:bookmarkEnd w:id="57"/>
          <w:p w14:paraId="3C889F22">
            <w:pPr>
              <w:widowControl/>
              <w:autoSpaceDE/>
              <w:autoSpaceDN/>
              <w:spacing w:line="240" w:lineRule="auto"/>
              <w:ind w:firstLine="420"/>
              <w:rPr>
                <w:highlight w:val="none"/>
              </w:rPr>
            </w:pPr>
            <w:r>
              <w:rPr>
                <w:rFonts w:hint="eastAsia"/>
                <w:highlight w:val="none"/>
              </w:rPr>
              <w:t>1.1战略目标规划：结合我行</w:t>
            </w:r>
            <w:r>
              <w:rPr>
                <w:highlight w:val="none"/>
              </w:rPr>
              <w:t>战略发展方向和实际业务需求</w:t>
            </w:r>
            <w:r>
              <w:rPr>
                <w:rFonts w:hint="eastAsia"/>
                <w:highlight w:val="none"/>
              </w:rPr>
              <w:t>，制定交易风控管理目标。</w:t>
            </w:r>
          </w:p>
          <w:p w14:paraId="604DA4A1">
            <w:pPr>
              <w:widowControl/>
              <w:autoSpaceDE/>
              <w:autoSpaceDN/>
              <w:spacing w:line="240" w:lineRule="auto"/>
              <w:ind w:firstLine="420"/>
              <w:rPr>
                <w:highlight w:val="none"/>
              </w:rPr>
            </w:pPr>
            <w:r>
              <w:rPr>
                <w:rFonts w:hint="eastAsia"/>
                <w:highlight w:val="none"/>
              </w:rPr>
              <w:t>1.2组织架构设计：根据我行部门职责及同业参考</w:t>
            </w:r>
            <w:r>
              <w:rPr>
                <w:highlight w:val="none"/>
              </w:rPr>
              <w:t>，</w:t>
            </w:r>
            <w:r>
              <w:rPr>
                <w:rFonts w:hint="eastAsia"/>
                <w:highlight w:val="none"/>
              </w:rPr>
              <w:t>提供</w:t>
            </w:r>
            <w:r>
              <w:rPr>
                <w:highlight w:val="none"/>
              </w:rPr>
              <w:t>合理的组织架构</w:t>
            </w:r>
            <w:r>
              <w:rPr>
                <w:rFonts w:hint="eastAsia"/>
                <w:highlight w:val="none"/>
              </w:rPr>
              <w:t>建议</w:t>
            </w:r>
            <w:r>
              <w:rPr>
                <w:highlight w:val="none"/>
              </w:rPr>
              <w:t>，明确各部门职责</w:t>
            </w:r>
            <w:r>
              <w:rPr>
                <w:rFonts w:hint="eastAsia"/>
                <w:highlight w:val="none"/>
              </w:rPr>
              <w:t>范围，</w:t>
            </w:r>
            <w:r>
              <w:rPr>
                <w:highlight w:val="none"/>
              </w:rPr>
              <w:t>​</w:t>
            </w:r>
            <w:r>
              <w:rPr>
                <w:rFonts w:hint="eastAsia"/>
                <w:highlight w:val="none"/>
              </w:rPr>
              <w:t>提出科学的</w:t>
            </w:r>
            <w:r>
              <w:rPr>
                <w:highlight w:val="none"/>
              </w:rPr>
              <w:t>岗位设置与人员分工</w:t>
            </w:r>
            <w:r>
              <w:rPr>
                <w:rFonts w:hint="eastAsia"/>
                <w:highlight w:val="none"/>
              </w:rPr>
              <w:t>建议</w:t>
            </w:r>
            <w:r>
              <w:rPr>
                <w:highlight w:val="none"/>
              </w:rPr>
              <w:t>，</w:t>
            </w:r>
            <w:r>
              <w:rPr>
                <w:rFonts w:hint="eastAsia"/>
                <w:highlight w:val="none"/>
              </w:rPr>
              <w:t>明确</w:t>
            </w:r>
            <w:r>
              <w:rPr>
                <w:highlight w:val="none"/>
              </w:rPr>
              <w:t>各岗位职责、任职要求</w:t>
            </w:r>
            <w:r>
              <w:rPr>
                <w:rFonts w:hint="eastAsia"/>
                <w:highlight w:val="none"/>
              </w:rPr>
              <w:t>及</w:t>
            </w:r>
            <w:r>
              <w:rPr>
                <w:highlight w:val="none"/>
              </w:rPr>
              <w:t>工作</w:t>
            </w:r>
            <w:r>
              <w:rPr>
                <w:rFonts w:hint="eastAsia"/>
                <w:highlight w:val="none"/>
              </w:rPr>
              <w:t>内容</w:t>
            </w:r>
            <w:r>
              <w:rPr>
                <w:highlight w:val="none"/>
              </w:rPr>
              <w:t>。</w:t>
            </w:r>
          </w:p>
          <w:p w14:paraId="1DB1A70E">
            <w:pPr>
              <w:widowControl/>
              <w:autoSpaceDE/>
              <w:autoSpaceDN/>
              <w:spacing w:line="240" w:lineRule="auto"/>
              <w:ind w:firstLine="420"/>
              <w:rPr>
                <w:highlight w:val="none"/>
              </w:rPr>
            </w:pPr>
            <w:r>
              <w:rPr>
                <w:rFonts w:hint="eastAsia"/>
                <w:highlight w:val="none"/>
              </w:rPr>
              <w:t>1.3制度体系建设：</w:t>
            </w:r>
            <w:bookmarkStart w:id="59" w:name="OLE_LINK6"/>
            <w:r>
              <w:rPr>
                <w:rFonts w:hint="eastAsia"/>
                <w:highlight w:val="none"/>
              </w:rPr>
              <w:t>建立健全交易风控管理办法及操作规程，明确管理机制要求，制定工作流程，明确全流程管理规范。</w:t>
            </w:r>
          </w:p>
          <w:p w14:paraId="43629383">
            <w:pPr>
              <w:widowControl/>
              <w:autoSpaceDE/>
              <w:autoSpaceDN/>
              <w:spacing w:line="240" w:lineRule="auto"/>
              <w:ind w:firstLine="420" w:firstLineChars="0"/>
              <w:rPr>
                <w:highlight w:val="none"/>
              </w:rPr>
            </w:pPr>
            <w:r>
              <w:rPr>
                <w:rFonts w:hint="eastAsia"/>
                <w:highlight w:val="none"/>
              </w:rPr>
              <w:t>1.4实施规范制定：明确交易风控</w:t>
            </w:r>
            <w:bookmarkStart w:id="60" w:name="OLE_LINK16"/>
            <w:r>
              <w:rPr>
                <w:rFonts w:hint="eastAsia"/>
                <w:highlight w:val="none"/>
              </w:rPr>
              <w:t>设计与部署工作规范要求</w:t>
            </w:r>
            <w:bookmarkEnd w:id="60"/>
            <w:r>
              <w:rPr>
                <w:rFonts w:hint="eastAsia"/>
                <w:highlight w:val="none"/>
              </w:rPr>
              <w:t>，具体涵盖数据接入</w:t>
            </w:r>
            <w:r>
              <w:rPr>
                <w:highlight w:val="none"/>
              </w:rPr>
              <w:t>标准</w:t>
            </w:r>
            <w:r>
              <w:rPr>
                <w:rFonts w:hint="eastAsia"/>
                <w:highlight w:val="none"/>
              </w:rPr>
              <w:t>及字段命名规范，指标、策略命名规范与分类管理标准，</w:t>
            </w:r>
            <w:r>
              <w:rPr>
                <w:highlight w:val="none"/>
              </w:rPr>
              <w:t>构建通用</w:t>
            </w:r>
            <w:r>
              <w:rPr>
                <w:rFonts w:hint="eastAsia"/>
                <w:highlight w:val="none"/>
              </w:rPr>
              <w:t>指标库与</w:t>
            </w:r>
            <w:r>
              <w:rPr>
                <w:highlight w:val="none"/>
              </w:rPr>
              <w:t>风控规则模型知识库</w:t>
            </w:r>
            <w:r>
              <w:rPr>
                <w:rFonts w:hint="eastAsia"/>
                <w:highlight w:val="none"/>
              </w:rPr>
              <w:t>。</w:t>
            </w:r>
          </w:p>
          <w:p w14:paraId="37C1D0BF">
            <w:pPr>
              <w:widowControl/>
              <w:autoSpaceDE/>
              <w:autoSpaceDN/>
              <w:spacing w:line="240" w:lineRule="auto"/>
              <w:ind w:firstLine="420" w:firstLineChars="0"/>
              <w:rPr>
                <w:highlight w:val="none"/>
              </w:rPr>
            </w:pPr>
            <w:bookmarkStart w:id="61" w:name="OLE_LINK14"/>
            <w:r>
              <w:rPr>
                <w:rFonts w:hint="eastAsia"/>
                <w:highlight w:val="none"/>
              </w:rPr>
              <w:t>1.5运营</w:t>
            </w:r>
            <w:r>
              <w:rPr>
                <w:highlight w:val="none"/>
              </w:rPr>
              <w:t>体系</w:t>
            </w:r>
            <w:r>
              <w:rPr>
                <w:rFonts w:hint="eastAsia"/>
                <w:highlight w:val="none"/>
              </w:rPr>
              <w:t>搭建</w:t>
            </w:r>
            <w:r>
              <w:rPr>
                <w:highlight w:val="none"/>
              </w:rPr>
              <w:t>：</w:t>
            </w:r>
            <w:r>
              <w:rPr>
                <w:rFonts w:hint="eastAsia"/>
                <w:highlight w:val="none"/>
              </w:rPr>
              <w:t>一是基于不同风险等级，建立差异化</w:t>
            </w:r>
            <w:r>
              <w:rPr>
                <w:highlight w:val="none"/>
              </w:rPr>
              <w:t>核查</w:t>
            </w:r>
            <w:r>
              <w:rPr>
                <w:rFonts w:hint="eastAsia"/>
                <w:highlight w:val="none"/>
              </w:rPr>
              <w:t>处置工作</w:t>
            </w:r>
            <w:r>
              <w:rPr>
                <w:highlight w:val="none"/>
              </w:rPr>
              <w:t>流程</w:t>
            </w:r>
            <w:bookmarkEnd w:id="61"/>
            <w:r>
              <w:rPr>
                <w:rFonts w:hint="eastAsia"/>
                <w:highlight w:val="none"/>
              </w:rPr>
              <w:t>；二是</w:t>
            </w:r>
            <w:r>
              <w:rPr>
                <w:highlight w:val="none"/>
              </w:rPr>
              <w:t>构建规则</w:t>
            </w:r>
            <w:r>
              <w:rPr>
                <w:rFonts w:hint="eastAsia"/>
                <w:highlight w:val="none"/>
              </w:rPr>
              <w:t>模型</w:t>
            </w:r>
            <w:r>
              <w:rPr>
                <w:highlight w:val="none"/>
              </w:rPr>
              <w:t>设计</w:t>
            </w:r>
            <w:r>
              <w:rPr>
                <w:rFonts w:hint="eastAsia"/>
                <w:highlight w:val="none"/>
              </w:rPr>
              <w:t>、</w:t>
            </w:r>
            <w:r>
              <w:rPr>
                <w:highlight w:val="none"/>
              </w:rPr>
              <w:t>调优</w:t>
            </w:r>
            <w:r>
              <w:rPr>
                <w:rFonts w:hint="eastAsia"/>
                <w:highlight w:val="none"/>
              </w:rPr>
              <w:t>、评估、监测及退出</w:t>
            </w:r>
            <w:r>
              <w:rPr>
                <w:highlight w:val="none"/>
              </w:rPr>
              <w:t>的</w:t>
            </w:r>
            <w:r>
              <w:rPr>
                <w:rFonts w:hint="eastAsia"/>
                <w:highlight w:val="none"/>
              </w:rPr>
              <w:t>标准化流程与方法，以及从风控调用、规则命中到核查处置各环节量化监测指标，通过定期监测报表，为规则模型分析、优化及退出提供数据支撑，指导行内人员自主分析调优，提升风控自主运营能力。</w:t>
            </w:r>
            <w:bookmarkEnd w:id="58"/>
            <w:bookmarkEnd w:id="59"/>
          </w:p>
        </w:tc>
      </w:tr>
      <w:tr w14:paraId="2AA4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E62ED0C">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242CA7E6">
            <w:pPr>
              <w:spacing w:line="240" w:lineRule="auto"/>
              <w:ind w:firstLine="0" w:firstLineChars="0"/>
              <w:jc w:val="center"/>
              <w:rPr>
                <w:highlight w:val="none"/>
              </w:rPr>
            </w:pPr>
            <w:r>
              <w:rPr>
                <w:rFonts w:hint="eastAsia" w:ascii="宋体" w:cs="宋体"/>
                <w:szCs w:val="21"/>
                <w:highlight w:val="none"/>
              </w:rPr>
              <w:t>实时交易反欺诈业务咨询</w:t>
            </w:r>
          </w:p>
        </w:tc>
        <w:tc>
          <w:tcPr>
            <w:tcW w:w="5981" w:type="dxa"/>
            <w:tcBorders>
              <w:top w:val="single" w:color="auto" w:sz="4" w:space="0"/>
              <w:left w:val="single" w:color="auto" w:sz="4" w:space="0"/>
              <w:bottom w:val="single" w:color="auto" w:sz="4" w:space="0"/>
              <w:right w:val="single" w:color="auto" w:sz="4" w:space="0"/>
            </w:tcBorders>
          </w:tcPr>
          <w:p w14:paraId="6031E16B">
            <w:pPr>
              <w:widowControl/>
              <w:autoSpaceDE/>
              <w:autoSpaceDN/>
              <w:spacing w:line="240" w:lineRule="auto"/>
              <w:ind w:firstLine="420"/>
              <w:jc w:val="left"/>
              <w:rPr>
                <w:highlight w:val="none"/>
              </w:rPr>
            </w:pPr>
            <w:bookmarkStart w:id="62" w:name="OLE_LINK11"/>
            <w:r>
              <w:rPr>
                <w:rFonts w:hint="eastAsia"/>
                <w:highlight w:val="none"/>
              </w:rPr>
              <w:t>2.</w:t>
            </w:r>
            <w:r>
              <w:rPr>
                <w:highlight w:val="none"/>
              </w:rPr>
              <w:t>1</w:t>
            </w:r>
            <w:r>
              <w:rPr>
                <w:rFonts w:hint="eastAsia"/>
                <w:highlight w:val="none"/>
              </w:rPr>
              <w:t>风险分析：针对我行当前各渠道交易场景进行风险分析，结合渠道业务特点，全面梳理面临的欺诈风险类型、发生的欺诈案件，以及同业在相似渠道上的风险情况。整体输出需要接入的渠道、交易场景，需要覆盖的风险点、风险类型，包</w:t>
            </w:r>
            <w:bookmarkStart w:id="63" w:name="OLE_LINK4"/>
            <w:r>
              <w:rPr>
                <w:rFonts w:hint="eastAsia"/>
                <w:highlight w:val="none"/>
              </w:rPr>
              <w:t>括但不限于账户盗用、身份冒用、欺诈交易、黑灰产攻击、</w:t>
            </w:r>
            <w:r>
              <w:rPr>
                <w:highlight w:val="none"/>
              </w:rPr>
              <w:t>薅羊毛、</w:t>
            </w:r>
            <w:r>
              <w:rPr>
                <w:rFonts w:hint="eastAsia"/>
                <w:highlight w:val="none"/>
              </w:rPr>
              <w:t>诱导客户操作等交易风险</w:t>
            </w:r>
            <w:bookmarkEnd w:id="63"/>
            <w:r>
              <w:rPr>
                <w:rFonts w:hint="eastAsia"/>
                <w:highlight w:val="none"/>
              </w:rPr>
              <w:t>。</w:t>
            </w:r>
          </w:p>
          <w:p w14:paraId="74A1AEEB">
            <w:pPr>
              <w:widowControl/>
              <w:autoSpaceDE/>
              <w:autoSpaceDN/>
              <w:spacing w:line="240" w:lineRule="auto"/>
              <w:ind w:firstLine="420"/>
              <w:jc w:val="left"/>
              <w:rPr>
                <w:highlight w:val="none"/>
              </w:rPr>
            </w:pPr>
            <w:r>
              <w:rPr>
                <w:rFonts w:hint="eastAsia"/>
                <w:highlight w:val="none"/>
              </w:rPr>
              <w:t>2.2规则设计：一是基于风险现状分析结，结合行业专家经验，设计全新风控规则及特征指标；二是对于行内已有风控规则进行策略有效性评估，对需要保留的规则进行指标及阈值调优，提高策略准确度；三是对照监管</w:t>
            </w:r>
            <w:r>
              <w:rPr>
                <w:highlight w:val="none"/>
              </w:rPr>
              <w:t>文件</w:t>
            </w:r>
            <w:r>
              <w:rPr>
                <w:rFonts w:hint="eastAsia"/>
                <w:highlight w:val="none"/>
              </w:rPr>
              <w:t>要求</w:t>
            </w:r>
            <w:r>
              <w:rPr>
                <w:highlight w:val="none"/>
              </w:rPr>
              <w:t>，梳理监管风控需求，</w:t>
            </w:r>
            <w:r>
              <w:rPr>
                <w:rFonts w:hint="eastAsia"/>
                <w:highlight w:val="none"/>
              </w:rPr>
              <w:t>完成配套交易反欺诈规则设计，满足合规要求</w:t>
            </w:r>
            <w:r>
              <w:rPr>
                <w:highlight w:val="none"/>
              </w:rPr>
              <w:t>。</w:t>
            </w:r>
            <w:r>
              <w:rPr>
                <w:rFonts w:hint="eastAsia"/>
                <w:highlight w:val="none"/>
              </w:rPr>
              <w:t>最终整合三类规则，结合我行渠道业务流程特点以及所支持的验证管控策略进行流程设计，最终产出覆盖全渠道的交易风控规则体系。</w:t>
            </w:r>
            <w:bookmarkStart w:id="64" w:name="OLE_LINK8"/>
          </w:p>
          <w:p w14:paraId="79C06088">
            <w:pPr>
              <w:widowControl/>
              <w:autoSpaceDE/>
              <w:autoSpaceDN/>
              <w:spacing w:line="240" w:lineRule="auto"/>
              <w:ind w:firstLine="420"/>
              <w:jc w:val="left"/>
              <w:rPr>
                <w:highlight w:val="none"/>
              </w:rPr>
            </w:pPr>
            <w:r>
              <w:rPr>
                <w:rFonts w:hint="eastAsia"/>
                <w:highlight w:val="none"/>
              </w:rPr>
              <w:t>2.3规则部署测试：</w:t>
            </w:r>
            <w:bookmarkEnd w:id="64"/>
            <w:r>
              <w:rPr>
                <w:rFonts w:hint="eastAsia"/>
                <w:highlight w:val="none"/>
              </w:rPr>
              <w:t>基于确认后的风控规则完成其在新平台上的部署，并通过测试验证。</w:t>
            </w:r>
          </w:p>
          <w:p w14:paraId="644448A6">
            <w:pPr>
              <w:widowControl/>
              <w:autoSpaceDE/>
              <w:autoSpaceDN/>
              <w:spacing w:line="240" w:lineRule="auto"/>
              <w:ind w:firstLine="420"/>
              <w:jc w:val="left"/>
              <w:rPr>
                <w:highlight w:val="none"/>
              </w:rPr>
            </w:pPr>
            <w:bookmarkStart w:id="65" w:name="OLE_LINK25"/>
            <w:r>
              <w:rPr>
                <w:rFonts w:hint="eastAsia"/>
                <w:highlight w:val="none"/>
              </w:rPr>
              <w:t>2.4规则运行监测：系统上线试运行期间，密切跟踪规则运行情况，及时评估规则有效性并开展策略调优，确保规则正式上线运行。</w:t>
            </w:r>
            <w:bookmarkEnd w:id="62"/>
            <w:bookmarkEnd w:id="65"/>
          </w:p>
        </w:tc>
      </w:tr>
      <w:tr w14:paraId="7893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711DFDF3">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26A44099">
            <w:pPr>
              <w:spacing w:line="240" w:lineRule="auto"/>
              <w:ind w:firstLine="0" w:firstLineChars="0"/>
              <w:jc w:val="center"/>
              <w:rPr>
                <w:highlight w:val="none"/>
              </w:rPr>
            </w:pPr>
            <w:r>
              <w:rPr>
                <w:rFonts w:hint="eastAsia" w:ascii="宋体" w:cs="宋体"/>
                <w:szCs w:val="21"/>
                <w:highlight w:val="none"/>
              </w:rPr>
              <w:t>实时/准实时反电诈业务咨询</w:t>
            </w:r>
          </w:p>
        </w:tc>
        <w:tc>
          <w:tcPr>
            <w:tcW w:w="5981" w:type="dxa"/>
            <w:tcBorders>
              <w:top w:val="single" w:color="auto" w:sz="4" w:space="0"/>
              <w:left w:val="single" w:color="auto" w:sz="4" w:space="0"/>
              <w:bottom w:val="single" w:color="auto" w:sz="4" w:space="0"/>
              <w:right w:val="single" w:color="auto" w:sz="4" w:space="0"/>
            </w:tcBorders>
          </w:tcPr>
          <w:p w14:paraId="064F0806">
            <w:pPr>
              <w:spacing w:line="240" w:lineRule="auto"/>
              <w:ind w:firstLine="0" w:firstLineChars="0"/>
              <w:jc w:val="left"/>
              <w:rPr>
                <w:highlight w:val="none"/>
              </w:rPr>
            </w:pPr>
            <w:r>
              <w:rPr>
                <w:rFonts w:hint="eastAsia"/>
                <w:highlight w:val="none"/>
              </w:rPr>
              <w:t xml:space="preserve">    3.</w:t>
            </w:r>
            <w:r>
              <w:rPr>
                <w:highlight w:val="none"/>
              </w:rPr>
              <w:t>1</w:t>
            </w:r>
            <w:r>
              <w:rPr>
                <w:rFonts w:hint="eastAsia"/>
                <w:highlight w:val="none"/>
              </w:rPr>
              <w:t>电诈风险特征分析：全面梳理我行</w:t>
            </w:r>
            <w:r>
              <w:rPr>
                <w:highlight w:val="none"/>
              </w:rPr>
              <w:t>账户体系下各渠道、各</w:t>
            </w:r>
            <w:r>
              <w:rPr>
                <w:rFonts w:hint="eastAsia"/>
                <w:highlight w:val="none"/>
              </w:rPr>
              <w:t>交易环节</w:t>
            </w:r>
            <w:r>
              <w:rPr>
                <w:highlight w:val="none"/>
              </w:rPr>
              <w:t>中针对电信诈骗</w:t>
            </w:r>
            <w:r>
              <w:rPr>
                <w:rFonts w:hint="eastAsia"/>
                <w:highlight w:val="none"/>
              </w:rPr>
              <w:t>可能存在的风险场景，包括但不限于</w:t>
            </w:r>
            <w:r>
              <w:rPr>
                <w:highlight w:val="none"/>
              </w:rPr>
              <w:t>涉案账户交易</w:t>
            </w:r>
            <w:r>
              <w:rPr>
                <w:rFonts w:hint="eastAsia"/>
                <w:highlight w:val="none"/>
              </w:rPr>
              <w:t>、</w:t>
            </w:r>
            <w:r>
              <w:rPr>
                <w:highlight w:val="none"/>
              </w:rPr>
              <w:t>关联交易</w:t>
            </w:r>
            <w:r>
              <w:rPr>
                <w:rFonts w:hint="eastAsia"/>
                <w:highlight w:val="none"/>
              </w:rPr>
              <w:t>、</w:t>
            </w:r>
            <w:r>
              <w:rPr>
                <w:highlight w:val="none"/>
              </w:rPr>
              <w:t>团伙异常行为、新开户</w:t>
            </w:r>
            <w:r>
              <w:rPr>
                <w:rFonts w:hint="eastAsia"/>
                <w:highlight w:val="none"/>
              </w:rPr>
              <w:t>、</w:t>
            </w:r>
            <w:r>
              <w:rPr>
                <w:highlight w:val="none"/>
              </w:rPr>
              <w:t>高风险交易</w:t>
            </w:r>
            <w:r>
              <w:rPr>
                <w:rFonts w:hint="eastAsia"/>
                <w:highlight w:val="none"/>
              </w:rPr>
              <w:t>、诱导</w:t>
            </w:r>
            <w:r>
              <w:rPr>
                <w:highlight w:val="none"/>
              </w:rPr>
              <w:t>受害人转移资金</w:t>
            </w:r>
            <w:r>
              <w:rPr>
                <w:rFonts w:hint="eastAsia"/>
                <w:highlight w:val="none"/>
              </w:rPr>
              <w:t>等交易风险，基于我行历史涉案账户交易数据，分析提炼</w:t>
            </w:r>
            <w:r>
              <w:rPr>
                <w:highlight w:val="none"/>
              </w:rPr>
              <w:t>涉诈账户的客户特征、开户特征和交易特征</w:t>
            </w:r>
            <w:r>
              <w:rPr>
                <w:rFonts w:hint="eastAsia"/>
                <w:highlight w:val="none"/>
              </w:rPr>
              <w:t>。</w:t>
            </w:r>
          </w:p>
          <w:p w14:paraId="20F38AE0">
            <w:pPr>
              <w:spacing w:line="240" w:lineRule="auto"/>
              <w:ind w:firstLine="420"/>
              <w:jc w:val="left"/>
              <w:rPr>
                <w:highlight w:val="none"/>
              </w:rPr>
            </w:pPr>
            <w:r>
              <w:rPr>
                <w:rFonts w:hint="eastAsia"/>
                <w:highlight w:val="none"/>
              </w:rPr>
              <w:t>3.2反电诈规则模型设计：针对识别出的各类风险场景，以及反赌反诈监管要求，一是设计全新</w:t>
            </w:r>
            <w:r>
              <w:rPr>
                <w:highlight w:val="none"/>
              </w:rPr>
              <w:t>基于我行客户及账户体系</w:t>
            </w:r>
            <w:r>
              <w:rPr>
                <w:rFonts w:hint="eastAsia"/>
                <w:highlight w:val="none"/>
              </w:rPr>
              <w:t>下</w:t>
            </w:r>
            <w:r>
              <w:rPr>
                <w:highlight w:val="none"/>
              </w:rPr>
              <w:t>全流程实时</w:t>
            </w:r>
            <w:r>
              <w:rPr>
                <w:rFonts w:hint="eastAsia"/>
                <w:highlight w:val="none"/>
              </w:rPr>
              <w:t>/</w:t>
            </w:r>
            <w:r>
              <w:rPr>
                <w:highlight w:val="none"/>
              </w:rPr>
              <w:t>准实时反电诈风控</w:t>
            </w:r>
            <w:r>
              <w:rPr>
                <w:rFonts w:hint="eastAsia"/>
                <w:highlight w:val="none"/>
              </w:rPr>
              <w:t>规则；二是根据行内已有电诈黑灰样本，分析其</w:t>
            </w:r>
            <w:r>
              <w:rPr>
                <w:highlight w:val="none"/>
              </w:rPr>
              <w:t>账户资产、交易</w:t>
            </w:r>
            <w:r>
              <w:rPr>
                <w:rFonts w:hint="eastAsia"/>
                <w:highlight w:val="none"/>
              </w:rPr>
              <w:t>、</w:t>
            </w:r>
            <w:r>
              <w:rPr>
                <w:highlight w:val="none"/>
              </w:rPr>
              <w:t>行为</w:t>
            </w:r>
            <w:r>
              <w:rPr>
                <w:rFonts w:hint="eastAsia"/>
                <w:highlight w:val="none"/>
              </w:rPr>
              <w:t>设备</w:t>
            </w:r>
            <w:r>
              <w:rPr>
                <w:highlight w:val="none"/>
              </w:rPr>
              <w:t>等</w:t>
            </w:r>
            <w:r>
              <w:rPr>
                <w:rFonts w:hint="eastAsia"/>
                <w:highlight w:val="none"/>
              </w:rPr>
              <w:t>数据</w:t>
            </w:r>
            <w:r>
              <w:rPr>
                <w:highlight w:val="none"/>
              </w:rPr>
              <w:t>，采用逻辑回归、XGBoost等机器学习算法构建对私反赌反诈机器学习模型</w:t>
            </w:r>
            <w:r>
              <w:rPr>
                <w:rFonts w:hint="eastAsia"/>
                <w:highlight w:val="none"/>
              </w:rPr>
              <w:t>，提升涉案账户精准识别能力，</w:t>
            </w:r>
            <w:r>
              <w:rPr>
                <w:highlight w:val="none"/>
              </w:rPr>
              <w:t>并给我行人员做代码级培训。</w:t>
            </w:r>
            <w:r>
              <w:rPr>
                <w:rFonts w:hint="eastAsia"/>
                <w:highlight w:val="none"/>
              </w:rPr>
              <w:t>最终输出完整的具备</w:t>
            </w:r>
            <w:r>
              <w:rPr>
                <w:highlight w:val="none"/>
              </w:rPr>
              <w:t>风险主动防御和实时拦截能力</w:t>
            </w:r>
            <w:r>
              <w:rPr>
                <w:rFonts w:hint="eastAsia"/>
                <w:highlight w:val="none"/>
              </w:rPr>
              <w:t>的反电诈规则模型。</w:t>
            </w:r>
          </w:p>
          <w:p w14:paraId="3A236BCC">
            <w:pPr>
              <w:spacing w:line="240" w:lineRule="auto"/>
              <w:ind w:firstLine="0" w:firstLineChars="0"/>
              <w:jc w:val="left"/>
              <w:rPr>
                <w:rFonts w:ascii="宋体" w:cs="宋体"/>
                <w:bCs/>
                <w:szCs w:val="21"/>
                <w:highlight w:val="none"/>
              </w:rPr>
            </w:pPr>
            <w:r>
              <w:rPr>
                <w:rFonts w:hint="eastAsia"/>
                <w:bCs/>
                <w:highlight w:val="none"/>
              </w:rPr>
              <w:t xml:space="preserve">    </w:t>
            </w:r>
            <w:r>
              <w:rPr>
                <w:rFonts w:hint="eastAsia"/>
                <w:highlight w:val="none"/>
              </w:rPr>
              <w:t>3.3处置体系设计：</w:t>
            </w:r>
            <w:r>
              <w:rPr>
                <w:rFonts w:ascii="宋体" w:cs="宋体"/>
                <w:szCs w:val="21"/>
                <w:highlight w:val="none"/>
              </w:rPr>
              <w:t>结合客户账户使用与服务体验，</w:t>
            </w:r>
            <w:r>
              <w:rPr>
                <w:rFonts w:hint="eastAsia" w:ascii="宋体" w:cs="宋体"/>
                <w:szCs w:val="21"/>
                <w:highlight w:val="none"/>
              </w:rPr>
              <w:t>根据不同的反电诈规则</w:t>
            </w:r>
            <w:r>
              <w:rPr>
                <w:rFonts w:ascii="宋体" w:cs="宋体"/>
                <w:szCs w:val="21"/>
                <w:highlight w:val="none"/>
              </w:rPr>
              <w:t>模型</w:t>
            </w:r>
            <w:r>
              <w:rPr>
                <w:rFonts w:hint="eastAsia" w:ascii="宋体" w:cs="宋体"/>
                <w:bCs/>
                <w:szCs w:val="21"/>
                <w:highlight w:val="none"/>
              </w:rPr>
              <w:t>建立</w:t>
            </w:r>
            <w:r>
              <w:rPr>
                <w:rFonts w:ascii="宋体" w:cs="宋体"/>
                <w:bCs/>
                <w:szCs w:val="21"/>
                <w:highlight w:val="none"/>
              </w:rPr>
              <w:t>动态的账户管控及限额调整体系，</w:t>
            </w:r>
            <w:r>
              <w:rPr>
                <w:rFonts w:hint="eastAsia" w:ascii="宋体" w:cs="宋体"/>
                <w:bCs/>
                <w:szCs w:val="21"/>
                <w:highlight w:val="none"/>
              </w:rPr>
              <w:t>针对不同风险表现的账户构建不同的处置策略，避免传统“一刀切”的做法，在严控风险的同时，保证正常客户的账户开立及使用需求</w:t>
            </w:r>
            <w:r>
              <w:rPr>
                <w:rFonts w:ascii="宋体" w:cs="宋体"/>
                <w:bCs/>
                <w:szCs w:val="21"/>
                <w:highlight w:val="none"/>
              </w:rPr>
              <w:t>。</w:t>
            </w:r>
          </w:p>
          <w:p w14:paraId="7BEB4254">
            <w:pPr>
              <w:spacing w:line="240" w:lineRule="auto"/>
              <w:ind w:firstLine="420"/>
              <w:jc w:val="left"/>
              <w:rPr>
                <w:highlight w:val="none"/>
              </w:rPr>
            </w:pPr>
            <w:bookmarkStart w:id="66" w:name="OLE_LINK19"/>
            <w:r>
              <w:rPr>
                <w:rFonts w:hint="eastAsia"/>
                <w:highlight w:val="none"/>
              </w:rPr>
              <w:t>3.</w:t>
            </w:r>
            <w:bookmarkEnd w:id="66"/>
            <w:r>
              <w:rPr>
                <w:rFonts w:hint="eastAsia"/>
                <w:highlight w:val="none"/>
              </w:rPr>
              <w:t>4</w:t>
            </w:r>
            <w:r>
              <w:rPr>
                <w:rFonts w:hint="eastAsia"/>
                <w:bCs/>
                <w:highlight w:val="none"/>
              </w:rPr>
              <w:t>规则模型开发及部署：完成反电诈规则模型在系统中开发、部署及测试工作，通过验收后进行上线试运行。</w:t>
            </w:r>
          </w:p>
          <w:p w14:paraId="0B5C8CD3">
            <w:pPr>
              <w:spacing w:line="240" w:lineRule="auto"/>
              <w:ind w:firstLine="420"/>
              <w:jc w:val="left"/>
              <w:rPr>
                <w:highlight w:val="none"/>
              </w:rPr>
            </w:pPr>
            <w:r>
              <w:rPr>
                <w:rFonts w:hint="eastAsia"/>
                <w:highlight w:val="none"/>
              </w:rPr>
              <w:t>3.5</w:t>
            </w:r>
            <w:r>
              <w:rPr>
                <w:rFonts w:hint="eastAsia" w:ascii="宋体" w:cs="宋体"/>
                <w:bCs/>
                <w:szCs w:val="21"/>
                <w:highlight w:val="none"/>
              </w:rPr>
              <w:t>规则模型效果监控及调优：基于规则模型运行数据，</w:t>
            </w:r>
            <w:r>
              <w:rPr>
                <w:rFonts w:hint="eastAsia" w:ascii="宋体" w:cs="宋体"/>
                <w:szCs w:val="21"/>
                <w:highlight w:val="none"/>
              </w:rPr>
              <w:t>评估反电诈</w:t>
            </w:r>
            <w:r>
              <w:rPr>
                <w:rFonts w:ascii="宋体" w:cs="宋体"/>
                <w:szCs w:val="21"/>
                <w:highlight w:val="none"/>
              </w:rPr>
              <w:t>模型运行的有效性，</w:t>
            </w:r>
            <w:r>
              <w:rPr>
                <w:rFonts w:hint="eastAsia" w:ascii="宋体" w:cs="宋体"/>
                <w:bCs/>
                <w:szCs w:val="21"/>
                <w:highlight w:val="none"/>
              </w:rPr>
              <w:t>及时进行规则模型调优并转入正式运行，</w:t>
            </w:r>
            <w:r>
              <w:rPr>
                <w:rFonts w:ascii="宋体" w:cs="宋体"/>
                <w:szCs w:val="21"/>
                <w:highlight w:val="none"/>
              </w:rPr>
              <w:t>实现</w:t>
            </w:r>
            <w:r>
              <w:rPr>
                <w:rFonts w:hint="eastAsia" w:ascii="宋体" w:cs="宋体"/>
                <w:szCs w:val="21"/>
                <w:highlight w:val="none"/>
              </w:rPr>
              <w:t>精准高效</w:t>
            </w:r>
            <w:r>
              <w:rPr>
                <w:rFonts w:ascii="宋体" w:cs="宋体"/>
                <w:szCs w:val="21"/>
                <w:highlight w:val="none"/>
              </w:rPr>
              <w:t>预警</w:t>
            </w:r>
            <w:r>
              <w:rPr>
                <w:rFonts w:hint="eastAsia" w:ascii="宋体" w:cs="宋体"/>
                <w:szCs w:val="21"/>
                <w:highlight w:val="none"/>
              </w:rPr>
              <w:t>，降低对客户</w:t>
            </w:r>
            <w:r>
              <w:rPr>
                <w:rFonts w:ascii="宋体" w:cs="宋体"/>
                <w:szCs w:val="21"/>
                <w:highlight w:val="none"/>
              </w:rPr>
              <w:t>正常交易</w:t>
            </w:r>
            <w:r>
              <w:rPr>
                <w:rFonts w:hint="eastAsia" w:ascii="宋体" w:cs="宋体"/>
                <w:szCs w:val="21"/>
                <w:highlight w:val="none"/>
              </w:rPr>
              <w:t>的</w:t>
            </w:r>
            <w:r>
              <w:rPr>
                <w:rFonts w:ascii="宋体" w:cs="宋体"/>
                <w:szCs w:val="21"/>
                <w:highlight w:val="none"/>
              </w:rPr>
              <w:t>打扰。</w:t>
            </w:r>
          </w:p>
        </w:tc>
      </w:tr>
      <w:tr w14:paraId="31C5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35762E6">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0A79EEB2">
            <w:pPr>
              <w:spacing w:line="240" w:lineRule="auto"/>
              <w:ind w:firstLine="0" w:firstLineChars="0"/>
              <w:jc w:val="center"/>
              <w:rPr>
                <w:highlight w:val="none"/>
              </w:rPr>
            </w:pPr>
            <w:bookmarkStart w:id="67" w:name="OLE_LINK7"/>
            <w:r>
              <w:rPr>
                <w:rFonts w:hint="eastAsia" w:ascii="宋体" w:cs="宋体"/>
                <w:szCs w:val="21"/>
                <w:highlight w:val="none"/>
              </w:rPr>
              <w:t>账户分级分类业务咨询</w:t>
            </w:r>
            <w:bookmarkEnd w:id="67"/>
          </w:p>
        </w:tc>
        <w:tc>
          <w:tcPr>
            <w:tcW w:w="5981" w:type="dxa"/>
            <w:tcBorders>
              <w:top w:val="single" w:color="auto" w:sz="4" w:space="0"/>
              <w:left w:val="single" w:color="auto" w:sz="4" w:space="0"/>
              <w:bottom w:val="single" w:color="auto" w:sz="4" w:space="0"/>
              <w:right w:val="single" w:color="auto" w:sz="4" w:space="0"/>
            </w:tcBorders>
          </w:tcPr>
          <w:p w14:paraId="02C6CDAD">
            <w:pPr>
              <w:adjustRightInd w:val="0"/>
              <w:snapToGrid w:val="0"/>
              <w:spacing w:line="240" w:lineRule="auto"/>
              <w:ind w:firstLine="420"/>
              <w:jc w:val="left"/>
              <w:rPr>
                <w:rFonts w:ascii="宋体" w:cs="宋体"/>
                <w:szCs w:val="21"/>
                <w:highlight w:val="none"/>
              </w:rPr>
            </w:pPr>
            <w:r>
              <w:rPr>
                <w:rFonts w:hint="eastAsia"/>
                <w:bCs/>
                <w:highlight w:val="none"/>
              </w:rPr>
              <w:t>4.</w:t>
            </w:r>
            <w:r>
              <w:rPr>
                <w:bCs/>
                <w:highlight w:val="none"/>
              </w:rPr>
              <w:t>1</w:t>
            </w:r>
            <w:r>
              <w:rPr>
                <w:rFonts w:ascii="宋体" w:cs="宋体"/>
                <w:szCs w:val="21"/>
                <w:highlight w:val="none"/>
              </w:rPr>
              <w:t>根据</w:t>
            </w:r>
            <w:r>
              <w:rPr>
                <w:highlight w:val="none"/>
              </w:rPr>
              <w:t>我行账户及客户特征</w:t>
            </w:r>
            <w:r>
              <w:rPr>
                <w:rFonts w:hint="eastAsia"/>
                <w:highlight w:val="none"/>
              </w:rPr>
              <w:t>，</w:t>
            </w:r>
            <w:r>
              <w:rPr>
                <w:highlight w:val="none"/>
              </w:rPr>
              <w:t>构建账户分级分类规则库，建立我行客户及账户体系下全流程的分级分类评价体系。</w:t>
            </w:r>
            <w:r>
              <w:rPr>
                <w:rFonts w:ascii="宋体" w:cs="宋体"/>
                <w:szCs w:val="21"/>
                <w:highlight w:val="none"/>
              </w:rPr>
              <w:t>基于我行账户及客户基本信息、交易信息、关联信息及其他外部数据，根据不同的业务场景，在账户的不同业务环节，通过差异化的账户评级策略，对账户风险进行量化评估并形成对应的风险等级，包括但不限于针对新开账户、存量账户的增量、全量风险评定。</w:t>
            </w:r>
            <w:r>
              <w:rPr>
                <w:rFonts w:hint="eastAsia" w:ascii="宋体" w:cs="宋体"/>
                <w:szCs w:val="21"/>
                <w:highlight w:val="none"/>
              </w:rPr>
              <w:t>对确认后的</w:t>
            </w:r>
            <w:r>
              <w:rPr>
                <w:rFonts w:hint="eastAsia"/>
                <w:highlight w:val="none"/>
              </w:rPr>
              <w:t>账户分类分级模型进行系统部署配置，及配套数据指标测试。</w:t>
            </w:r>
          </w:p>
          <w:p w14:paraId="1FCD235E">
            <w:pPr>
              <w:adjustRightInd w:val="0"/>
              <w:snapToGrid w:val="0"/>
              <w:spacing w:line="240" w:lineRule="auto"/>
              <w:ind w:firstLine="420"/>
              <w:jc w:val="left"/>
              <w:rPr>
                <w:rFonts w:hint="eastAsia" w:ascii="方正兰亭黑_GBK" w:hAnsi="方正兰亭黑_GBK" w:cs="方正兰亭黑_GBK"/>
                <w:szCs w:val="21"/>
                <w:highlight w:val="none"/>
              </w:rPr>
            </w:pPr>
            <w:r>
              <w:rPr>
                <w:rFonts w:hAnsi="方正兰亭黑_GBK"/>
                <w:bCs/>
                <w:highlight w:val="none"/>
              </w:rPr>
              <w:t>4.2针</w:t>
            </w:r>
            <w:r>
              <w:rPr>
                <w:rFonts w:ascii="方正兰亭黑_GBK" w:hAnsi="方正兰亭黑_GBK" w:cs="方正兰亭黑_GBK"/>
                <w:bCs/>
                <w:highlight w:val="none"/>
              </w:rPr>
              <w:t>对</w:t>
            </w:r>
            <w:r>
              <w:rPr>
                <w:rFonts w:ascii="方正兰亭黑_GBK" w:hAnsi="方正兰亭黑_GBK" w:cs="方正兰亭黑_GBK"/>
                <w:szCs w:val="21"/>
                <w:highlight w:val="none"/>
              </w:rPr>
              <w:t>不同的账户风险等级制定</w:t>
            </w:r>
            <w:r>
              <w:rPr>
                <w:rFonts w:hint="eastAsia" w:ascii="方正兰亭黑_GBK" w:hAnsi="方正兰亭黑_GBK" w:cs="方正兰亭黑_GBK"/>
                <w:szCs w:val="21"/>
                <w:highlight w:val="none"/>
              </w:rPr>
              <w:t>不同的管控措施，包括</w:t>
            </w:r>
            <w:r>
              <w:rPr>
                <w:rFonts w:ascii="方正兰亭黑_GBK" w:hAnsi="方正兰亭黑_GBK" w:cs="方正兰亭黑_GBK"/>
                <w:szCs w:val="21"/>
                <w:highlight w:val="none"/>
              </w:rPr>
              <w:t>账户功能权限</w:t>
            </w:r>
            <w:r>
              <w:rPr>
                <w:rFonts w:hint="eastAsia" w:ascii="方正兰亭黑_GBK" w:hAnsi="方正兰亭黑_GBK" w:cs="方正兰亭黑_GBK"/>
                <w:szCs w:val="21"/>
                <w:highlight w:val="none"/>
              </w:rPr>
              <w:t>、</w:t>
            </w:r>
            <w:r>
              <w:rPr>
                <w:rFonts w:ascii="方正兰亭黑_GBK" w:hAnsi="方正兰亭黑_GBK" w:cs="方正兰亭黑_GBK"/>
                <w:szCs w:val="21"/>
                <w:highlight w:val="none"/>
              </w:rPr>
              <w:t>限额</w:t>
            </w:r>
            <w:r>
              <w:rPr>
                <w:rFonts w:hint="eastAsia" w:ascii="方正兰亭黑_GBK" w:hAnsi="方正兰亭黑_GBK" w:cs="方正兰亭黑_GBK"/>
                <w:szCs w:val="21"/>
                <w:highlight w:val="none"/>
              </w:rPr>
              <w:t>调整等</w:t>
            </w:r>
            <w:r>
              <w:rPr>
                <w:rFonts w:ascii="方正兰亭黑_GBK" w:hAnsi="方正兰亭黑_GBK" w:cs="方正兰亭黑_GBK"/>
                <w:szCs w:val="21"/>
                <w:highlight w:val="none"/>
              </w:rPr>
              <w:t>，为合理设定非柜面渠道统一限额或单一渠道限额提供指标支撑；针对存续期账户，可根据动态调整的账户风险级别，对账户实行不同管控措施。</w:t>
            </w:r>
          </w:p>
          <w:p w14:paraId="1BD28580">
            <w:pPr>
              <w:adjustRightInd w:val="0"/>
              <w:snapToGrid w:val="0"/>
              <w:spacing w:line="240" w:lineRule="auto"/>
              <w:ind w:firstLine="420"/>
              <w:rPr>
                <w:bCs/>
                <w:highlight w:val="none"/>
              </w:rPr>
            </w:pPr>
            <w:r>
              <w:rPr>
                <w:rFonts w:hint="eastAsia"/>
                <w:bCs/>
                <w:highlight w:val="none"/>
              </w:rPr>
              <w:t>4.3</w:t>
            </w:r>
            <w:r>
              <w:rPr>
                <w:bCs/>
                <w:highlight w:val="none"/>
              </w:rPr>
              <w:t>在综合分析和研究了各地区关于“账户分级分类”监管指导意见文件的基础上，结合我行的实际情况，提供与客户功能需求相匹配、风险水平相当的精细化银行账户服务咨询及政策指导，防范支付结算风险的同时，提升金融服务的可得性与便利性。</w:t>
            </w:r>
          </w:p>
          <w:p w14:paraId="76583A64">
            <w:pPr>
              <w:adjustRightInd w:val="0"/>
              <w:snapToGrid w:val="0"/>
              <w:spacing w:line="240" w:lineRule="auto"/>
              <w:ind w:firstLine="420"/>
              <w:rPr>
                <w:highlight w:val="none"/>
              </w:rPr>
            </w:pPr>
            <w:r>
              <w:rPr>
                <w:rFonts w:hint="eastAsia"/>
                <w:bCs/>
                <w:highlight w:val="none"/>
              </w:rPr>
              <w:t>4.4分级分类规则调优：服务期限内</w:t>
            </w:r>
            <w:r>
              <w:rPr>
                <w:rFonts w:hint="eastAsia" w:ascii="宋体" w:cs="宋体"/>
                <w:szCs w:val="21"/>
                <w:highlight w:val="none"/>
              </w:rPr>
              <w:t>定期分析评级分布合理性时，对比历史基准及业务预期，评估不同等级账户的占比是否合理，是否存在过度集中或遗漏风险点，并及时调整模型参数。</w:t>
            </w:r>
          </w:p>
        </w:tc>
      </w:tr>
    </w:tbl>
    <w:p w14:paraId="6E781869">
      <w:pPr>
        <w:pStyle w:val="4"/>
        <w:ind w:firstLine="422"/>
        <w:rPr>
          <w:szCs w:val="24"/>
          <w:highlight w:val="none"/>
        </w:rPr>
      </w:pPr>
      <w:r>
        <w:rPr>
          <w:rFonts w:hint="eastAsia"/>
          <w:szCs w:val="24"/>
          <w:highlight w:val="none"/>
        </w:rPr>
        <w:t>1.2基础平台建设需求清单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3764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104D6E6E">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05923639">
            <w:pPr>
              <w:spacing w:line="240" w:lineRule="auto"/>
              <w:ind w:firstLine="0" w:firstLineChars="0"/>
              <w:jc w:val="center"/>
              <w:rPr>
                <w:b/>
                <w:bCs/>
                <w:highlight w:val="none"/>
              </w:rPr>
            </w:pPr>
            <w:r>
              <w:rPr>
                <w:rFonts w:hint="eastAsia"/>
                <w:b/>
                <w:bCs/>
                <w:highlight w:val="none"/>
              </w:rPr>
              <w:t>功能模块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5536EE64">
            <w:pPr>
              <w:spacing w:line="240" w:lineRule="auto"/>
              <w:ind w:firstLine="0" w:firstLineChars="0"/>
              <w:rPr>
                <w:b/>
                <w:bCs/>
                <w:highlight w:val="none"/>
              </w:rPr>
            </w:pPr>
            <w:r>
              <w:rPr>
                <w:rFonts w:hint="eastAsia"/>
                <w:b/>
                <w:bCs/>
                <w:highlight w:val="none"/>
              </w:rPr>
              <w:t>功能描述</w:t>
            </w:r>
          </w:p>
        </w:tc>
      </w:tr>
      <w:tr w14:paraId="6DFC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D5DA436">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2C7161CB">
            <w:pPr>
              <w:spacing w:line="240" w:lineRule="auto"/>
              <w:ind w:firstLine="0" w:firstLineChars="0"/>
              <w:jc w:val="center"/>
              <w:rPr>
                <w:highlight w:val="none"/>
              </w:rPr>
            </w:pPr>
            <w:r>
              <w:rPr>
                <w:rFonts w:hint="eastAsia" w:ascii="宋体" w:cs="宋体"/>
                <w:szCs w:val="21"/>
                <w:highlight w:val="none"/>
              </w:rPr>
              <w:t>数据处理</w:t>
            </w:r>
          </w:p>
        </w:tc>
        <w:tc>
          <w:tcPr>
            <w:tcW w:w="5981" w:type="dxa"/>
            <w:tcBorders>
              <w:top w:val="single" w:color="auto" w:sz="4" w:space="0"/>
              <w:left w:val="single" w:color="auto" w:sz="4" w:space="0"/>
              <w:bottom w:val="single" w:color="auto" w:sz="4" w:space="0"/>
              <w:right w:val="single" w:color="auto" w:sz="4" w:space="0"/>
            </w:tcBorders>
          </w:tcPr>
          <w:p w14:paraId="14C168BD">
            <w:pPr>
              <w:widowControl/>
              <w:autoSpaceDE/>
              <w:autoSpaceDN/>
              <w:spacing w:line="240" w:lineRule="auto"/>
              <w:ind w:firstLine="210" w:firstLineChars="100"/>
              <w:jc w:val="left"/>
              <w:rPr>
                <w:highlight w:val="none"/>
              </w:rPr>
            </w:pPr>
            <w:r>
              <w:rPr>
                <w:rFonts w:hint="eastAsia"/>
                <w:highlight w:val="none"/>
              </w:rPr>
              <w:t>1.1.具备完善的数据的接入与预处理能力（支持在平台配置化调用外部API）。支持与行内或监管要求的各种业务系统对接；</w:t>
            </w:r>
          </w:p>
          <w:p w14:paraId="5ADBD2C8">
            <w:pPr>
              <w:widowControl/>
              <w:autoSpaceDE/>
              <w:autoSpaceDN/>
              <w:spacing w:line="240" w:lineRule="auto"/>
              <w:ind w:firstLine="210" w:firstLineChars="100"/>
              <w:jc w:val="left"/>
              <w:rPr>
                <w:highlight w:val="none"/>
              </w:rPr>
            </w:pPr>
            <w:r>
              <w:rPr>
                <w:rFonts w:hint="eastAsia"/>
                <w:highlight w:val="none"/>
              </w:rPr>
              <w:t>1.2.系统产生的数据资源支持作为数据源给行内其他系统使用；</w:t>
            </w:r>
          </w:p>
          <w:p w14:paraId="3E321E5E">
            <w:pPr>
              <w:widowControl/>
              <w:autoSpaceDE/>
              <w:autoSpaceDN/>
              <w:spacing w:line="240" w:lineRule="auto"/>
              <w:ind w:firstLine="210" w:firstLineChars="100"/>
              <w:jc w:val="left"/>
              <w:rPr>
                <w:highlight w:val="none"/>
              </w:rPr>
            </w:pPr>
            <w:r>
              <w:rPr>
                <w:rFonts w:hint="eastAsia"/>
                <w:highlight w:val="none"/>
              </w:rPr>
              <w:t>1.3.具备多源头交易流水数据的转换、清洗、加工等自动化预处理能力；</w:t>
            </w:r>
          </w:p>
          <w:p w14:paraId="23C3E294">
            <w:pPr>
              <w:widowControl/>
              <w:autoSpaceDE/>
              <w:autoSpaceDN/>
              <w:spacing w:line="240" w:lineRule="auto"/>
              <w:ind w:firstLine="210" w:firstLineChars="100"/>
              <w:jc w:val="left"/>
              <w:rPr>
                <w:highlight w:val="none"/>
              </w:rPr>
            </w:pPr>
            <w:r>
              <w:rPr>
                <w:rFonts w:hint="eastAsia"/>
                <w:highlight w:val="none"/>
              </w:rPr>
              <w:t>1.4支持渠道原始字段数据转换（映射），例如手机银行的客户账户字段为payer_acct_no、ATM为card_no，风控可统一将各渠道字段映射为cust_acct_num；</w:t>
            </w:r>
          </w:p>
          <w:p w14:paraId="2CD806DB">
            <w:pPr>
              <w:widowControl/>
              <w:autoSpaceDE/>
              <w:autoSpaceDN/>
              <w:spacing w:line="240" w:lineRule="auto"/>
              <w:ind w:firstLine="210" w:firstLineChars="100"/>
              <w:jc w:val="left"/>
              <w:rPr>
                <w:highlight w:val="none"/>
              </w:rPr>
            </w:pPr>
            <w:r>
              <w:rPr>
                <w:rFonts w:hint="eastAsia"/>
                <w:highlight w:val="none"/>
              </w:rPr>
              <w:t>1.5支持连接外部数据库并使用该数据库的表及字段；</w:t>
            </w:r>
          </w:p>
          <w:p w14:paraId="768BD726">
            <w:pPr>
              <w:widowControl/>
              <w:autoSpaceDE/>
              <w:autoSpaceDN/>
              <w:spacing w:line="240" w:lineRule="auto"/>
              <w:ind w:firstLine="210" w:firstLineChars="100"/>
              <w:jc w:val="left"/>
              <w:rPr>
                <w:highlight w:val="none"/>
              </w:rPr>
            </w:pPr>
            <w:r>
              <w:rPr>
                <w:rFonts w:hint="eastAsia"/>
                <w:highlight w:val="none"/>
              </w:rPr>
              <w:t>1.6具备同时接入多种源头数据的能力，如直连业务渠道、准实时交易数据源以及大数据平台等内部数据；</w:t>
            </w:r>
          </w:p>
          <w:p w14:paraId="6DC9B39B">
            <w:pPr>
              <w:widowControl/>
              <w:autoSpaceDE/>
              <w:autoSpaceDN/>
              <w:spacing w:line="240" w:lineRule="auto"/>
              <w:ind w:firstLine="210" w:firstLineChars="100"/>
              <w:jc w:val="left"/>
              <w:rPr>
                <w:highlight w:val="none"/>
              </w:rPr>
            </w:pPr>
            <w:r>
              <w:rPr>
                <w:rFonts w:hint="eastAsia"/>
                <w:highlight w:val="none"/>
              </w:rPr>
              <w:t>1.7名单、交易详情等涉及客户敏感信息的字段支持对客户敏感信息脱敏，支持针对不同的系统用户设置不同的脱敏规则；</w:t>
            </w:r>
          </w:p>
        </w:tc>
      </w:tr>
      <w:tr w14:paraId="71F8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tcPr>
          <w:p w14:paraId="7CE0C495">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55E277D9">
            <w:pPr>
              <w:spacing w:line="240" w:lineRule="auto"/>
              <w:ind w:firstLine="0" w:firstLineChars="0"/>
              <w:jc w:val="center"/>
              <w:rPr>
                <w:highlight w:val="none"/>
              </w:rPr>
            </w:pPr>
            <w:r>
              <w:rPr>
                <w:rFonts w:hint="eastAsia" w:ascii="宋体" w:cs="宋体"/>
                <w:szCs w:val="21"/>
                <w:highlight w:val="none"/>
              </w:rPr>
              <w:t>名单管理</w:t>
            </w:r>
          </w:p>
        </w:tc>
        <w:tc>
          <w:tcPr>
            <w:tcW w:w="5981" w:type="dxa"/>
            <w:tcBorders>
              <w:top w:val="single" w:color="auto" w:sz="4" w:space="0"/>
              <w:left w:val="single" w:color="auto" w:sz="4" w:space="0"/>
              <w:bottom w:val="single" w:color="auto" w:sz="4" w:space="0"/>
              <w:right w:val="single" w:color="auto" w:sz="4" w:space="0"/>
            </w:tcBorders>
          </w:tcPr>
          <w:p w14:paraId="6C1C9313">
            <w:pPr>
              <w:spacing w:line="240" w:lineRule="auto"/>
              <w:ind w:firstLine="210" w:firstLineChars="100"/>
              <w:rPr>
                <w:highlight w:val="none"/>
              </w:rPr>
            </w:pPr>
            <w:r>
              <w:rPr>
                <w:highlight w:val="none"/>
              </w:rPr>
              <w:t>2.1</w:t>
            </w:r>
            <w:r>
              <w:rPr>
                <w:rFonts w:hint="eastAsia"/>
                <w:highlight w:val="none"/>
              </w:rPr>
              <w:t>支持动态名单，即在命中特定规则后推送名单内容到该名单，并且支持名单的有效期配置（分钟级）；</w:t>
            </w:r>
          </w:p>
          <w:p w14:paraId="1F43388A">
            <w:pPr>
              <w:spacing w:line="240" w:lineRule="auto"/>
              <w:ind w:firstLine="210" w:firstLineChars="100"/>
              <w:rPr>
                <w:highlight w:val="none"/>
              </w:rPr>
            </w:pPr>
            <w:r>
              <w:rPr>
                <w:highlight w:val="none"/>
              </w:rPr>
              <w:t>2.2</w:t>
            </w:r>
            <w:r>
              <w:rPr>
                <w:rFonts w:hint="eastAsia"/>
                <w:highlight w:val="none"/>
              </w:rPr>
              <w:t>支持多维名单（两个及以上维度的名单，比如客户号+设备指纹两个维度组成名单内容）；</w:t>
            </w:r>
          </w:p>
          <w:p w14:paraId="70DCCAB1">
            <w:pPr>
              <w:spacing w:line="240" w:lineRule="auto"/>
              <w:ind w:firstLine="210" w:firstLineChars="100"/>
              <w:rPr>
                <w:highlight w:val="none"/>
              </w:rPr>
            </w:pPr>
            <w:r>
              <w:rPr>
                <w:highlight w:val="none"/>
              </w:rPr>
              <w:t>2.3</w:t>
            </w:r>
            <w:r>
              <w:rPr>
                <w:rFonts w:hint="eastAsia"/>
                <w:highlight w:val="none"/>
              </w:rPr>
              <w:t>支持远程调用API对名单进行增删改查；</w:t>
            </w:r>
          </w:p>
          <w:p w14:paraId="6158C9DB">
            <w:pPr>
              <w:spacing w:line="240" w:lineRule="auto"/>
              <w:ind w:firstLine="210" w:firstLineChars="100"/>
              <w:rPr>
                <w:highlight w:val="none"/>
              </w:rPr>
            </w:pPr>
            <w:r>
              <w:rPr>
                <w:highlight w:val="none"/>
              </w:rPr>
              <w:t>2.4</w:t>
            </w:r>
            <w:r>
              <w:rPr>
                <w:rFonts w:hint="eastAsia"/>
                <w:highlight w:val="none"/>
              </w:rPr>
              <w:t>支持基于名单数据配置指标并应用于规则；</w:t>
            </w:r>
          </w:p>
          <w:p w14:paraId="2644C395">
            <w:pPr>
              <w:spacing w:line="240" w:lineRule="auto"/>
              <w:ind w:firstLine="210" w:firstLineChars="100"/>
              <w:rPr>
                <w:highlight w:val="none"/>
              </w:rPr>
            </w:pPr>
            <w:r>
              <w:rPr>
                <w:highlight w:val="none"/>
              </w:rPr>
              <w:t>2.5系统需支持黑名单、白名单、灰名单或者其他自定义类型名单数据的导入、导出、批量及单笔录入、数据启停和删除</w:t>
            </w:r>
            <w:r>
              <w:rPr>
                <w:rFonts w:hint="eastAsia"/>
                <w:highlight w:val="none"/>
              </w:rPr>
              <w:t>、名单有效期设置（分钟级）、名单生效和失效时间设置</w:t>
            </w:r>
            <w:r>
              <w:rPr>
                <w:highlight w:val="none"/>
              </w:rPr>
              <w:t>等各项管理、维护功能</w:t>
            </w:r>
            <w:r>
              <w:rPr>
                <w:rFonts w:hint="eastAsia"/>
                <w:highlight w:val="none"/>
              </w:rPr>
              <w:t>；</w:t>
            </w:r>
          </w:p>
          <w:p w14:paraId="370FE99F">
            <w:pPr>
              <w:spacing w:line="240" w:lineRule="auto"/>
              <w:ind w:firstLine="210" w:firstLineChars="100"/>
              <w:rPr>
                <w:highlight w:val="none"/>
              </w:rPr>
            </w:pPr>
            <w:r>
              <w:rPr>
                <w:highlight w:val="none"/>
              </w:rPr>
              <w:t>2.6支持自定义名单库、名单维度（如客户号、卡号、证件号、手机号、设备号等）和名单附加属性（如风险等级、名单类型、来源、生效/失效日期、操作记录等）的维护功能</w:t>
            </w:r>
            <w:r>
              <w:rPr>
                <w:rFonts w:hint="eastAsia"/>
                <w:highlight w:val="none"/>
              </w:rPr>
              <w:t>；</w:t>
            </w:r>
          </w:p>
          <w:p w14:paraId="78823EF7">
            <w:pPr>
              <w:spacing w:line="240" w:lineRule="auto"/>
              <w:ind w:firstLine="210" w:firstLineChars="100"/>
              <w:rPr>
                <w:highlight w:val="none"/>
              </w:rPr>
            </w:pPr>
            <w:r>
              <w:rPr>
                <w:highlight w:val="none"/>
              </w:rPr>
              <w:t>2.7支持自定义“规则免疫名单”，对某个/某些客户，设定某个/某些规则或模型对其免疫（不做干预）</w:t>
            </w:r>
            <w:r>
              <w:rPr>
                <w:rFonts w:hint="eastAsia"/>
                <w:highlight w:val="none"/>
              </w:rPr>
              <w:t>；</w:t>
            </w:r>
          </w:p>
          <w:p w14:paraId="37B69180">
            <w:pPr>
              <w:spacing w:line="240" w:lineRule="auto"/>
              <w:ind w:firstLine="210" w:firstLineChars="100"/>
              <w:rPr>
                <w:highlight w:val="none"/>
              </w:rPr>
            </w:pPr>
            <w:r>
              <w:rPr>
                <w:highlight w:val="none"/>
              </w:rPr>
              <w:t>2.8</w:t>
            </w:r>
            <w:r>
              <w:rPr>
                <w:rFonts w:hint="eastAsia"/>
                <w:highlight w:val="none"/>
              </w:rPr>
              <w:t>支持名单库或者名单操作管理的双人复核或者审批机制</w:t>
            </w:r>
          </w:p>
        </w:tc>
      </w:tr>
      <w:tr w14:paraId="0DF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E15137B">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399949E6">
            <w:pPr>
              <w:spacing w:line="240" w:lineRule="auto"/>
              <w:ind w:firstLine="0" w:firstLineChars="0"/>
              <w:jc w:val="center"/>
              <w:rPr>
                <w:highlight w:val="none"/>
              </w:rPr>
            </w:pPr>
            <w:r>
              <w:rPr>
                <w:rFonts w:hint="eastAsia" w:ascii="宋体" w:cs="宋体"/>
                <w:szCs w:val="21"/>
                <w:highlight w:val="none"/>
              </w:rPr>
              <w:t>系统对接</w:t>
            </w:r>
          </w:p>
        </w:tc>
        <w:tc>
          <w:tcPr>
            <w:tcW w:w="5981" w:type="dxa"/>
            <w:tcBorders>
              <w:top w:val="single" w:color="auto" w:sz="4" w:space="0"/>
              <w:left w:val="single" w:color="auto" w:sz="4" w:space="0"/>
              <w:bottom w:val="single" w:color="auto" w:sz="4" w:space="0"/>
              <w:right w:val="single" w:color="auto" w:sz="4" w:space="0"/>
            </w:tcBorders>
          </w:tcPr>
          <w:p w14:paraId="48B4CBE7">
            <w:pPr>
              <w:spacing w:line="240" w:lineRule="auto"/>
              <w:ind w:firstLine="210" w:firstLineChars="100"/>
              <w:rPr>
                <w:highlight w:val="none"/>
              </w:rPr>
            </w:pPr>
            <w:r>
              <w:rPr>
                <w:highlight w:val="none"/>
              </w:rPr>
              <w:t>3.1</w:t>
            </w:r>
            <w:r>
              <w:rPr>
                <w:rFonts w:hint="eastAsia"/>
                <w:highlight w:val="none"/>
              </w:rPr>
              <w:t>支持对接的行内渠道包括：手机银行、个人网银、微信银行、企业网银（含移动端）、银联、ATM、柜面、智能柜台等。同时支持行内自行扩展接入其他渠道；</w:t>
            </w:r>
          </w:p>
          <w:p w14:paraId="5AFF4478">
            <w:pPr>
              <w:spacing w:line="240" w:lineRule="auto"/>
              <w:ind w:firstLine="210" w:firstLineChars="100"/>
              <w:rPr>
                <w:highlight w:val="none"/>
              </w:rPr>
            </w:pPr>
            <w:r>
              <w:rPr>
                <w:highlight w:val="none"/>
              </w:rPr>
              <w:t>3.2支持与行内业务系统或监管要求的行外系统对接，将风险策略指令发送至各系统平台，执行相应管控操作。支持对接的平台包括但不限于金融反诈一体化平台、</w:t>
            </w:r>
            <w:r>
              <w:rPr>
                <w:rFonts w:hint="eastAsia"/>
                <w:highlight w:val="none"/>
              </w:rPr>
              <w:t>运营预警监督系统、</w:t>
            </w:r>
            <w:r>
              <w:rPr>
                <w:highlight w:val="none"/>
              </w:rPr>
              <w:t>短信平台、客服中心、核心系统等</w:t>
            </w:r>
            <w:r>
              <w:rPr>
                <w:rFonts w:hint="eastAsia"/>
                <w:highlight w:val="none"/>
              </w:rPr>
              <w:t>；</w:t>
            </w:r>
          </w:p>
        </w:tc>
      </w:tr>
      <w:tr w14:paraId="09B9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CB77730">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15643280">
            <w:pPr>
              <w:spacing w:line="240" w:lineRule="auto"/>
              <w:ind w:firstLine="0" w:firstLineChars="0"/>
              <w:jc w:val="center"/>
              <w:rPr>
                <w:highlight w:val="none"/>
              </w:rPr>
            </w:pPr>
            <w:r>
              <w:rPr>
                <w:rFonts w:hint="eastAsia" w:ascii="宋体" w:cs="宋体"/>
                <w:szCs w:val="21"/>
                <w:highlight w:val="none"/>
              </w:rPr>
              <w:t>指标</w:t>
            </w:r>
          </w:p>
        </w:tc>
        <w:tc>
          <w:tcPr>
            <w:tcW w:w="5981" w:type="dxa"/>
            <w:tcBorders>
              <w:top w:val="single" w:color="auto" w:sz="4" w:space="0"/>
              <w:left w:val="single" w:color="auto" w:sz="4" w:space="0"/>
              <w:bottom w:val="single" w:color="auto" w:sz="4" w:space="0"/>
              <w:right w:val="single" w:color="auto" w:sz="4" w:space="0"/>
            </w:tcBorders>
          </w:tcPr>
          <w:p w14:paraId="3FF2059B">
            <w:pPr>
              <w:widowControl/>
              <w:autoSpaceDE/>
              <w:autoSpaceDN/>
              <w:spacing w:line="240" w:lineRule="auto"/>
              <w:ind w:firstLine="210" w:firstLineChars="100"/>
              <w:jc w:val="left"/>
              <w:rPr>
                <w:highlight w:val="none"/>
              </w:rPr>
            </w:pPr>
            <w:r>
              <w:rPr>
                <w:highlight w:val="none"/>
              </w:rPr>
              <w:t>4.1</w:t>
            </w:r>
            <w:r>
              <w:rPr>
                <w:rFonts w:hint="eastAsia"/>
                <w:highlight w:val="none"/>
              </w:rPr>
              <w:t>支持指标冷启动，配置上线后，立即回跑历史数据补全指标值；</w:t>
            </w:r>
          </w:p>
          <w:p w14:paraId="42CDF27C">
            <w:pPr>
              <w:widowControl/>
              <w:autoSpaceDE/>
              <w:autoSpaceDN/>
              <w:spacing w:line="240" w:lineRule="auto"/>
              <w:ind w:firstLine="210" w:firstLineChars="100"/>
              <w:jc w:val="left"/>
              <w:rPr>
                <w:highlight w:val="none"/>
              </w:rPr>
            </w:pPr>
            <w:r>
              <w:rPr>
                <w:highlight w:val="none"/>
              </w:rPr>
              <w:t>4.2支持各类指标可视化、易理解的配置管理方式。支持指标新建、修改、复制、移动、删除、分组、测试、上下线等全生命周期管理能力</w:t>
            </w:r>
            <w:r>
              <w:rPr>
                <w:rFonts w:hint="eastAsia"/>
                <w:highlight w:val="none"/>
              </w:rPr>
              <w:t>；</w:t>
            </w:r>
          </w:p>
          <w:p w14:paraId="71DC5D74">
            <w:pPr>
              <w:widowControl/>
              <w:autoSpaceDE/>
              <w:autoSpaceDN/>
              <w:spacing w:line="240" w:lineRule="auto"/>
              <w:ind w:firstLine="210" w:firstLineChars="100"/>
              <w:jc w:val="left"/>
              <w:rPr>
                <w:highlight w:val="none"/>
              </w:rPr>
            </w:pPr>
            <w:r>
              <w:rPr>
                <w:highlight w:val="none"/>
              </w:rPr>
              <w:t>4.3支持查看指标库全局视图、查看指标关联引用关系、支持</w:t>
            </w:r>
            <w:r>
              <w:rPr>
                <w:rFonts w:hint="eastAsia"/>
                <w:highlight w:val="none"/>
              </w:rPr>
              <w:t>指标</w:t>
            </w:r>
            <w:r>
              <w:rPr>
                <w:highlight w:val="none"/>
              </w:rPr>
              <w:t>被引用后，限制该</w:t>
            </w:r>
            <w:r>
              <w:rPr>
                <w:rFonts w:hint="eastAsia"/>
                <w:highlight w:val="none"/>
              </w:rPr>
              <w:t>指标</w:t>
            </w:r>
            <w:r>
              <w:rPr>
                <w:highlight w:val="none"/>
              </w:rPr>
              <w:t>编辑操作，以防止误操作</w:t>
            </w:r>
            <w:r>
              <w:rPr>
                <w:rFonts w:hint="eastAsia"/>
                <w:highlight w:val="none"/>
              </w:rPr>
              <w:t>；支持监测指标关联脚本资产的内存占用及引用情况，便于定期清除系统内占用内存高且不被引用的指标资产；</w:t>
            </w:r>
          </w:p>
          <w:p w14:paraId="2DFA2640">
            <w:pPr>
              <w:widowControl/>
              <w:autoSpaceDE/>
              <w:autoSpaceDN/>
              <w:spacing w:line="240" w:lineRule="auto"/>
              <w:ind w:firstLine="210" w:firstLineChars="100"/>
              <w:jc w:val="left"/>
              <w:rPr>
                <w:highlight w:val="none"/>
              </w:rPr>
            </w:pPr>
            <w:r>
              <w:rPr>
                <w:highlight w:val="none"/>
              </w:rPr>
              <w:t>4.4支持跨渠道跨场景联防联控类</w:t>
            </w:r>
            <w:r>
              <w:rPr>
                <w:rFonts w:hint="eastAsia"/>
                <w:highlight w:val="none"/>
              </w:rPr>
              <w:t>指标</w:t>
            </w:r>
            <w:r>
              <w:rPr>
                <w:highlight w:val="none"/>
              </w:rPr>
              <w:t>计算</w:t>
            </w:r>
            <w:r>
              <w:rPr>
                <w:rFonts w:hint="eastAsia"/>
                <w:highlight w:val="none"/>
              </w:rPr>
              <w:t>；</w:t>
            </w:r>
          </w:p>
          <w:p w14:paraId="709A2982">
            <w:pPr>
              <w:widowControl/>
              <w:autoSpaceDE/>
              <w:autoSpaceDN/>
              <w:spacing w:line="240" w:lineRule="auto"/>
              <w:ind w:firstLine="210" w:firstLineChars="100"/>
              <w:jc w:val="left"/>
              <w:rPr>
                <w:highlight w:val="none"/>
              </w:rPr>
            </w:pPr>
            <w:r>
              <w:rPr>
                <w:highlight w:val="none"/>
              </w:rPr>
              <w:t>4.5具备忽略部分时间窗口的变量计算能力，例如：剔除最近12小时的数据</w:t>
            </w:r>
            <w:r>
              <w:rPr>
                <w:rFonts w:hint="eastAsia"/>
                <w:highlight w:val="none"/>
              </w:rPr>
              <w:t>；</w:t>
            </w:r>
          </w:p>
          <w:p w14:paraId="65374C45">
            <w:pPr>
              <w:widowControl/>
              <w:autoSpaceDE/>
              <w:autoSpaceDN/>
              <w:spacing w:line="240" w:lineRule="auto"/>
              <w:ind w:firstLine="210" w:firstLineChars="100"/>
              <w:jc w:val="left"/>
              <w:rPr>
                <w:highlight w:val="none"/>
              </w:rPr>
            </w:pPr>
            <w:r>
              <w:rPr>
                <w:highlight w:val="none"/>
              </w:rPr>
              <w:t>4.6支持</w:t>
            </w:r>
            <w:r>
              <w:rPr>
                <w:rFonts w:hint="eastAsia"/>
                <w:highlight w:val="none"/>
              </w:rPr>
              <w:t>指标</w:t>
            </w:r>
            <w:r>
              <w:rPr>
                <w:highlight w:val="none"/>
              </w:rPr>
              <w:t>分类管理</w:t>
            </w:r>
            <w:r>
              <w:rPr>
                <w:rFonts w:hint="eastAsia"/>
                <w:highlight w:val="none"/>
              </w:rPr>
              <w:t>；</w:t>
            </w:r>
          </w:p>
          <w:p w14:paraId="1575F093">
            <w:pPr>
              <w:widowControl/>
              <w:autoSpaceDE/>
              <w:autoSpaceDN/>
              <w:spacing w:line="240" w:lineRule="auto"/>
              <w:ind w:firstLine="210" w:firstLineChars="100"/>
              <w:jc w:val="left"/>
              <w:rPr>
                <w:highlight w:val="none"/>
              </w:rPr>
            </w:pPr>
            <w:r>
              <w:rPr>
                <w:highlight w:val="none"/>
              </w:rPr>
              <w:t>4.7</w:t>
            </w:r>
            <w:r>
              <w:rPr>
                <w:rFonts w:hint="eastAsia"/>
                <w:highlight w:val="none"/>
              </w:rPr>
              <w:t>边界验证：支持指标计算时可选择是否包含当前笔交易的数值；</w:t>
            </w:r>
          </w:p>
          <w:p w14:paraId="689AF464">
            <w:pPr>
              <w:widowControl/>
              <w:autoSpaceDE/>
              <w:autoSpaceDN/>
              <w:spacing w:line="240" w:lineRule="auto"/>
              <w:ind w:firstLine="210" w:firstLineChars="100"/>
              <w:jc w:val="left"/>
              <w:rPr>
                <w:highlight w:val="none"/>
              </w:rPr>
            </w:pPr>
            <w:r>
              <w:rPr>
                <w:highlight w:val="none"/>
              </w:rPr>
              <w:t>4.8支持指标计算模板（10种及以上），每个指标模版都要支持指标配置样例等</w:t>
            </w:r>
            <w:r>
              <w:rPr>
                <w:rFonts w:hint="eastAsia"/>
                <w:highlight w:val="none"/>
              </w:rPr>
              <w:t>；</w:t>
            </w:r>
          </w:p>
          <w:p w14:paraId="1B9E9AFD">
            <w:pPr>
              <w:widowControl/>
              <w:autoSpaceDE/>
              <w:autoSpaceDN/>
              <w:spacing w:line="240" w:lineRule="auto"/>
              <w:ind w:firstLine="0" w:firstLineChars="0"/>
              <w:jc w:val="left"/>
              <w:rPr>
                <w:highlight w:val="none"/>
              </w:rPr>
            </w:pPr>
            <w:r>
              <w:rPr>
                <w:highlight w:val="none"/>
              </w:rPr>
              <w:t>支持部分复杂指标的模块化配置包含二维关联统计模版、链式统计模版、复合运算模版</w:t>
            </w:r>
            <w:r>
              <w:rPr>
                <w:rFonts w:hint="eastAsia"/>
                <w:highlight w:val="none"/>
              </w:rPr>
              <w:t>；</w:t>
            </w:r>
            <w:r>
              <w:rPr>
                <w:highlight w:val="none"/>
              </w:rPr>
              <w:t>二维关联统计模板（在关联对象的基础上进行二次关联查找，并对二次查找后的对象进行函数统计</w:t>
            </w:r>
            <w:r>
              <w:rPr>
                <w:rFonts w:hint="eastAsia"/>
                <w:highlight w:val="none"/>
              </w:rPr>
              <w:t>，例如近1天同账号关联交易对手的最大交易金额</w:t>
            </w:r>
            <w:r>
              <w:rPr>
                <w:highlight w:val="none"/>
              </w:rPr>
              <w:t>）；链式统计模板（如：同银行卡登录后10分钟内，修改支付密码或修改登录密码或修改限额，随后30分钟内进行金额大于等于5000元的转账）；复合运算模板：基于多个字段或不同的指标进行函数运算</w:t>
            </w:r>
            <w:r>
              <w:rPr>
                <w:rFonts w:hint="eastAsia"/>
                <w:highlight w:val="none"/>
              </w:rPr>
              <w:t>；</w:t>
            </w:r>
          </w:p>
          <w:p w14:paraId="2EAC9CA6">
            <w:pPr>
              <w:widowControl/>
              <w:autoSpaceDE/>
              <w:autoSpaceDN/>
              <w:spacing w:line="240" w:lineRule="auto"/>
              <w:ind w:firstLine="210" w:firstLineChars="100"/>
              <w:jc w:val="left"/>
              <w:rPr>
                <w:highlight w:val="none"/>
              </w:rPr>
            </w:pPr>
            <w:r>
              <w:rPr>
                <w:highlight w:val="none"/>
              </w:rPr>
              <w:t>4.9支持指标上下线双人复核及审批机制</w:t>
            </w:r>
            <w:r>
              <w:rPr>
                <w:rFonts w:hint="eastAsia"/>
                <w:highlight w:val="none"/>
              </w:rPr>
              <w:t>；</w:t>
            </w:r>
          </w:p>
          <w:p w14:paraId="2F0263BF">
            <w:pPr>
              <w:widowControl/>
              <w:autoSpaceDE/>
              <w:autoSpaceDN/>
              <w:spacing w:line="240" w:lineRule="auto"/>
              <w:ind w:firstLine="0" w:firstLineChars="0"/>
              <w:jc w:val="left"/>
              <w:rPr>
                <w:highlight w:val="none"/>
              </w:rPr>
            </w:pPr>
          </w:p>
        </w:tc>
      </w:tr>
      <w:tr w14:paraId="44AC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9EDD46D">
            <w:pPr>
              <w:spacing w:line="240" w:lineRule="auto"/>
              <w:ind w:firstLine="0" w:firstLineChars="0"/>
              <w:jc w:val="center"/>
              <w:rPr>
                <w:highlight w:val="none"/>
              </w:rPr>
            </w:pPr>
            <w:r>
              <w:rPr>
                <w:rFonts w:hint="eastAsia"/>
                <w:highlight w:val="none"/>
              </w:rPr>
              <w:t>5</w:t>
            </w:r>
          </w:p>
        </w:tc>
        <w:tc>
          <w:tcPr>
            <w:tcW w:w="1812" w:type="dxa"/>
            <w:tcBorders>
              <w:top w:val="single" w:color="auto" w:sz="4" w:space="0"/>
              <w:left w:val="single" w:color="auto" w:sz="4" w:space="0"/>
              <w:bottom w:val="single" w:color="auto" w:sz="4" w:space="0"/>
              <w:right w:val="single" w:color="auto" w:sz="4" w:space="0"/>
            </w:tcBorders>
          </w:tcPr>
          <w:p w14:paraId="23FB1BD6">
            <w:pPr>
              <w:spacing w:line="240" w:lineRule="auto"/>
              <w:ind w:firstLine="0" w:firstLineChars="0"/>
              <w:jc w:val="center"/>
              <w:rPr>
                <w:highlight w:val="none"/>
              </w:rPr>
            </w:pPr>
            <w:r>
              <w:rPr>
                <w:rFonts w:hint="eastAsia"/>
                <w:highlight w:val="none"/>
              </w:rPr>
              <w:t>智能决策引擎</w:t>
            </w:r>
          </w:p>
        </w:tc>
        <w:tc>
          <w:tcPr>
            <w:tcW w:w="5981" w:type="dxa"/>
            <w:tcBorders>
              <w:top w:val="single" w:color="auto" w:sz="4" w:space="0"/>
              <w:left w:val="single" w:color="auto" w:sz="4" w:space="0"/>
              <w:bottom w:val="single" w:color="auto" w:sz="4" w:space="0"/>
              <w:right w:val="single" w:color="auto" w:sz="4" w:space="0"/>
            </w:tcBorders>
          </w:tcPr>
          <w:p w14:paraId="7367AA18">
            <w:pPr>
              <w:widowControl/>
              <w:autoSpaceDE/>
              <w:autoSpaceDN/>
              <w:spacing w:line="240" w:lineRule="auto"/>
              <w:ind w:firstLine="210" w:firstLineChars="100"/>
              <w:jc w:val="left"/>
              <w:rPr>
                <w:highlight w:val="none"/>
              </w:rPr>
            </w:pPr>
            <w:r>
              <w:rPr>
                <w:highlight w:val="none"/>
              </w:rPr>
              <w:t>5.1</w:t>
            </w:r>
            <w:r>
              <w:rPr>
                <w:rFonts w:hint="eastAsia"/>
                <w:highlight w:val="none"/>
              </w:rPr>
              <w:t>支持海量数据场景下快速流水级决策，实现从实时、准实时、离线不同时效的计算及决策方式；</w:t>
            </w:r>
          </w:p>
          <w:p w14:paraId="6AF55440">
            <w:pPr>
              <w:widowControl/>
              <w:autoSpaceDE/>
              <w:autoSpaceDN/>
              <w:spacing w:line="240" w:lineRule="auto"/>
              <w:ind w:firstLine="210" w:firstLineChars="100"/>
              <w:jc w:val="left"/>
              <w:rPr>
                <w:highlight w:val="none"/>
              </w:rPr>
            </w:pPr>
            <w:r>
              <w:rPr>
                <w:highlight w:val="none"/>
              </w:rPr>
              <w:t>5.2支持批式场景下，基于逐笔流水进行指标计算和决策，更加敏感地识别出中间态风险数据</w:t>
            </w:r>
            <w:r>
              <w:rPr>
                <w:rFonts w:hint="eastAsia"/>
                <w:highlight w:val="none"/>
              </w:rPr>
              <w:t>；</w:t>
            </w:r>
          </w:p>
          <w:p w14:paraId="60AE0D10">
            <w:pPr>
              <w:widowControl/>
              <w:autoSpaceDE/>
              <w:autoSpaceDN/>
              <w:spacing w:line="240" w:lineRule="auto"/>
              <w:ind w:firstLine="210" w:firstLineChars="100"/>
              <w:jc w:val="left"/>
              <w:rPr>
                <w:highlight w:val="none"/>
              </w:rPr>
            </w:pPr>
            <w:r>
              <w:rPr>
                <w:highlight w:val="none"/>
              </w:rPr>
              <w:t>5.3决策引擎支持跨渠道、跨交易类型的综合风险识别能力和决策能力</w:t>
            </w:r>
            <w:r>
              <w:rPr>
                <w:rFonts w:hint="eastAsia"/>
                <w:highlight w:val="none"/>
              </w:rPr>
              <w:t>；</w:t>
            </w:r>
          </w:p>
          <w:p w14:paraId="10381BB9">
            <w:pPr>
              <w:widowControl/>
              <w:autoSpaceDE/>
              <w:autoSpaceDN/>
              <w:spacing w:line="240" w:lineRule="auto"/>
              <w:ind w:firstLine="210" w:firstLineChars="100"/>
              <w:jc w:val="left"/>
              <w:rPr>
                <w:highlight w:val="none"/>
              </w:rPr>
            </w:pPr>
            <w:r>
              <w:rPr>
                <w:highlight w:val="none"/>
              </w:rPr>
              <w:t>5.4支持对满足部分条件的客户群体或具体名单中的客户群体执行特定规则决策</w:t>
            </w:r>
            <w:r>
              <w:rPr>
                <w:rFonts w:hint="eastAsia"/>
                <w:highlight w:val="none"/>
              </w:rPr>
              <w:t>；</w:t>
            </w:r>
          </w:p>
          <w:p w14:paraId="538C33D0">
            <w:pPr>
              <w:widowControl/>
              <w:autoSpaceDE/>
              <w:autoSpaceDN/>
              <w:spacing w:line="240" w:lineRule="auto"/>
              <w:ind w:firstLine="210" w:firstLineChars="100"/>
              <w:jc w:val="left"/>
              <w:rPr>
                <w:highlight w:val="none"/>
              </w:rPr>
            </w:pPr>
            <w:r>
              <w:rPr>
                <w:highlight w:val="none"/>
              </w:rPr>
              <w:t>5.5支持PMML格式的模型文件，并实现模型的列表管理、模型文件的上传、下载、测试、查询等功能</w:t>
            </w:r>
            <w:r>
              <w:rPr>
                <w:rFonts w:hint="eastAsia"/>
                <w:highlight w:val="none"/>
              </w:rPr>
              <w:t>；</w:t>
            </w:r>
          </w:p>
        </w:tc>
      </w:tr>
      <w:tr w14:paraId="1941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EAF2DC2">
            <w:pPr>
              <w:spacing w:line="240" w:lineRule="auto"/>
              <w:ind w:firstLine="0" w:firstLineChars="0"/>
              <w:jc w:val="center"/>
              <w:rPr>
                <w:highlight w:val="none"/>
              </w:rPr>
            </w:pPr>
            <w:r>
              <w:rPr>
                <w:rFonts w:hint="eastAsia"/>
                <w:highlight w:val="none"/>
              </w:rPr>
              <w:t>6</w:t>
            </w:r>
          </w:p>
        </w:tc>
        <w:tc>
          <w:tcPr>
            <w:tcW w:w="1812" w:type="dxa"/>
            <w:tcBorders>
              <w:top w:val="single" w:color="auto" w:sz="4" w:space="0"/>
              <w:left w:val="single" w:color="auto" w:sz="4" w:space="0"/>
              <w:bottom w:val="single" w:color="auto" w:sz="4" w:space="0"/>
              <w:right w:val="single" w:color="auto" w:sz="4" w:space="0"/>
            </w:tcBorders>
          </w:tcPr>
          <w:p w14:paraId="117B38BB">
            <w:pPr>
              <w:spacing w:line="240" w:lineRule="auto"/>
              <w:ind w:firstLine="0" w:firstLineChars="0"/>
              <w:jc w:val="center"/>
              <w:rPr>
                <w:rFonts w:ascii="宋体" w:cs="宋体"/>
                <w:szCs w:val="21"/>
                <w:highlight w:val="none"/>
              </w:rPr>
            </w:pPr>
            <w:r>
              <w:rPr>
                <w:rFonts w:hint="eastAsia" w:ascii="宋体" w:cs="宋体"/>
                <w:szCs w:val="21"/>
                <w:highlight w:val="none"/>
              </w:rPr>
              <w:t>规则配置管理</w:t>
            </w:r>
          </w:p>
        </w:tc>
        <w:tc>
          <w:tcPr>
            <w:tcW w:w="5981" w:type="dxa"/>
            <w:tcBorders>
              <w:top w:val="single" w:color="auto" w:sz="4" w:space="0"/>
              <w:left w:val="single" w:color="auto" w:sz="4" w:space="0"/>
              <w:bottom w:val="single" w:color="auto" w:sz="4" w:space="0"/>
              <w:right w:val="single" w:color="auto" w:sz="4" w:space="0"/>
            </w:tcBorders>
          </w:tcPr>
          <w:p w14:paraId="3F3C1BD3">
            <w:pPr>
              <w:widowControl/>
              <w:autoSpaceDE/>
              <w:autoSpaceDN/>
              <w:spacing w:line="240" w:lineRule="auto"/>
              <w:ind w:firstLine="210" w:firstLineChars="100"/>
              <w:jc w:val="left"/>
              <w:rPr>
                <w:highlight w:val="none"/>
              </w:rPr>
            </w:pPr>
            <w:r>
              <w:rPr>
                <w:highlight w:val="none"/>
              </w:rPr>
              <w:t>6.1</w:t>
            </w:r>
            <w:r>
              <w:rPr>
                <w:rFonts w:hint="eastAsia"/>
                <w:highlight w:val="none"/>
              </w:rPr>
              <w:t>支持规则新建、修改、复制、移动、删除、测试、上下线、试运行等全生命周期管理能力。配置过程可视化、易理解；</w:t>
            </w:r>
          </w:p>
          <w:p w14:paraId="000448D8">
            <w:pPr>
              <w:widowControl/>
              <w:autoSpaceDE/>
              <w:autoSpaceDN/>
              <w:spacing w:line="240" w:lineRule="auto"/>
              <w:ind w:firstLine="210" w:firstLineChars="100"/>
              <w:jc w:val="left"/>
              <w:rPr>
                <w:highlight w:val="none"/>
              </w:rPr>
            </w:pPr>
            <w:r>
              <w:rPr>
                <w:highlight w:val="none"/>
              </w:rPr>
              <w:t>6.2</w:t>
            </w:r>
            <w:r>
              <w:rPr>
                <w:rFonts w:hint="eastAsia"/>
                <w:highlight w:val="none"/>
              </w:rPr>
              <w:t>支持多种规则参数配置，包括但不限于事件参数、字段、策略、风险类型、风险等级、决策标签等；</w:t>
            </w:r>
          </w:p>
          <w:p w14:paraId="3F6B3C1E">
            <w:pPr>
              <w:widowControl/>
              <w:autoSpaceDE/>
              <w:autoSpaceDN/>
              <w:spacing w:line="240" w:lineRule="auto"/>
              <w:ind w:firstLine="210" w:firstLineChars="100"/>
              <w:jc w:val="left"/>
              <w:rPr>
                <w:highlight w:val="none"/>
              </w:rPr>
            </w:pPr>
            <w:r>
              <w:rPr>
                <w:highlight w:val="none"/>
              </w:rPr>
              <w:t>6.3</w:t>
            </w:r>
            <w:r>
              <w:rPr>
                <w:rFonts w:hint="eastAsia"/>
                <w:highlight w:val="none"/>
              </w:rPr>
              <w:t>支持引用名单、机器学习模型出参等资源配置规则；</w:t>
            </w:r>
          </w:p>
          <w:p w14:paraId="0FEE26D7">
            <w:pPr>
              <w:widowControl/>
              <w:autoSpaceDE/>
              <w:autoSpaceDN/>
              <w:spacing w:line="240" w:lineRule="auto"/>
              <w:ind w:firstLine="210" w:firstLineChars="100"/>
              <w:jc w:val="left"/>
              <w:rPr>
                <w:highlight w:val="none"/>
              </w:rPr>
            </w:pPr>
            <w:r>
              <w:rPr>
                <w:highlight w:val="none"/>
              </w:rPr>
              <w:t>6.4</w:t>
            </w:r>
            <w:r>
              <w:rPr>
                <w:rFonts w:hint="eastAsia"/>
                <w:highlight w:val="none"/>
              </w:rPr>
              <w:t>支持规则历史版本查看、对比分析以及版本回滚，支持规则相似性检测；</w:t>
            </w:r>
          </w:p>
          <w:p w14:paraId="3E54C293">
            <w:pPr>
              <w:widowControl/>
              <w:autoSpaceDE/>
              <w:autoSpaceDN/>
              <w:spacing w:line="240" w:lineRule="auto"/>
              <w:ind w:firstLine="210" w:firstLineChars="100"/>
              <w:jc w:val="left"/>
              <w:rPr>
                <w:highlight w:val="none"/>
              </w:rPr>
            </w:pPr>
            <w:r>
              <w:rPr>
                <w:highlight w:val="none"/>
              </w:rPr>
              <w:t>6.5</w:t>
            </w:r>
            <w:r>
              <w:rPr>
                <w:rFonts w:hint="eastAsia"/>
                <w:highlight w:val="none"/>
              </w:rPr>
              <w:t>支持规则正式运行、试运行等多种运行模式；</w:t>
            </w:r>
          </w:p>
          <w:p w14:paraId="54B94B48">
            <w:pPr>
              <w:widowControl/>
              <w:autoSpaceDE/>
              <w:autoSpaceDN/>
              <w:spacing w:line="240" w:lineRule="auto"/>
              <w:ind w:firstLine="210" w:firstLineChars="100"/>
              <w:jc w:val="left"/>
              <w:rPr>
                <w:highlight w:val="none"/>
              </w:rPr>
            </w:pPr>
            <w:r>
              <w:rPr>
                <w:highlight w:val="none"/>
              </w:rPr>
              <w:t>6.6</w:t>
            </w:r>
            <w:r>
              <w:rPr>
                <w:rFonts w:hint="eastAsia"/>
                <w:highlight w:val="none"/>
              </w:rPr>
              <w:t>支持多种规则触发模式，包括评分模式、最坏匹配、首次匹配等；</w:t>
            </w:r>
          </w:p>
          <w:p w14:paraId="6389E6BD">
            <w:pPr>
              <w:widowControl/>
              <w:autoSpaceDE/>
              <w:autoSpaceDN/>
              <w:spacing w:line="240" w:lineRule="auto"/>
              <w:ind w:firstLine="210" w:firstLineChars="100"/>
              <w:jc w:val="left"/>
              <w:rPr>
                <w:highlight w:val="none"/>
              </w:rPr>
            </w:pPr>
            <w:r>
              <w:rPr>
                <w:highlight w:val="none"/>
              </w:rPr>
              <w:t>6.7</w:t>
            </w:r>
            <w:r>
              <w:rPr>
                <w:rFonts w:hint="eastAsia"/>
                <w:highlight w:val="none"/>
              </w:rPr>
              <w:t>支持关系引用查询，对于系统配置项的互相引用情况进行关联查询，包括规则集、规则、指标、字段等之间相互引用情况；</w:t>
            </w:r>
          </w:p>
          <w:p w14:paraId="3C65DBD8">
            <w:pPr>
              <w:widowControl/>
              <w:autoSpaceDE/>
              <w:autoSpaceDN/>
              <w:spacing w:line="240" w:lineRule="auto"/>
              <w:ind w:firstLine="210" w:firstLineChars="100"/>
              <w:jc w:val="left"/>
              <w:rPr>
                <w:highlight w:val="none"/>
              </w:rPr>
            </w:pPr>
            <w:r>
              <w:rPr>
                <w:highlight w:val="none"/>
              </w:rPr>
              <w:t>6.8</w:t>
            </w:r>
            <w:r>
              <w:rPr>
                <w:rFonts w:hint="eastAsia"/>
                <w:highlight w:val="none"/>
              </w:rPr>
              <w:t>支持返回渠道信息的丰富性，包括命中规则、自定义字段、特定指标信息；</w:t>
            </w:r>
          </w:p>
          <w:p w14:paraId="2AAFB8A0">
            <w:pPr>
              <w:widowControl/>
              <w:autoSpaceDE/>
              <w:autoSpaceDN/>
              <w:spacing w:line="240" w:lineRule="auto"/>
              <w:ind w:firstLine="210" w:firstLineChars="100"/>
              <w:jc w:val="left"/>
              <w:rPr>
                <w:highlight w:val="none"/>
              </w:rPr>
            </w:pPr>
            <w:r>
              <w:rPr>
                <w:highlight w:val="none"/>
              </w:rPr>
              <w:t>6.9</w:t>
            </w:r>
            <w:r>
              <w:rPr>
                <w:rFonts w:hint="eastAsia"/>
                <w:highlight w:val="none"/>
              </w:rPr>
              <w:t>支持事件回溯（回跑历史数据分析新规则的效果），1）对规则回溯结果进行界面可视化，可验证规则的触发率、触发账户、关联流水等，预估一段时间内的触发量；2）支持结合黑样本数据，对规则进行批量执行，预测规则识别能力，展示风险触发时序图、评价指标（如查全率、查准率、召回率、错误率）及触发的流水明细；3）支持对验证中规则的阈值、逻辑关系进行调整，规则中关联的指标在规则条件变化后，批量执行规则时可自动重新计算指标，并更新规则效果；</w:t>
            </w:r>
          </w:p>
          <w:p w14:paraId="324A8CB8">
            <w:pPr>
              <w:widowControl/>
              <w:autoSpaceDE/>
              <w:autoSpaceDN/>
              <w:spacing w:line="240" w:lineRule="auto"/>
              <w:ind w:firstLine="210" w:firstLineChars="100"/>
              <w:jc w:val="left"/>
              <w:rPr>
                <w:highlight w:val="none"/>
              </w:rPr>
            </w:pPr>
            <w:r>
              <w:rPr>
                <w:highlight w:val="none"/>
              </w:rPr>
              <w:t>6.10</w:t>
            </w:r>
            <w:r>
              <w:rPr>
                <w:rFonts w:hint="eastAsia"/>
                <w:highlight w:val="none"/>
              </w:rPr>
              <w:t>支持规则或规则集的上下线双人复核及审批机制，系统内置多种针对不同决策资产的复核流程，业务人员可根据实际业务灵活配置各类型操作的复核或审批流程，并控制流程的启用/停用；</w:t>
            </w:r>
          </w:p>
          <w:p w14:paraId="71054A54">
            <w:pPr>
              <w:widowControl/>
              <w:autoSpaceDE/>
              <w:autoSpaceDN/>
              <w:spacing w:line="240" w:lineRule="auto"/>
              <w:ind w:firstLine="210" w:firstLineChars="100"/>
              <w:jc w:val="left"/>
              <w:rPr>
                <w:highlight w:val="none"/>
              </w:rPr>
            </w:pPr>
            <w:r>
              <w:rPr>
                <w:highlight w:val="none"/>
              </w:rPr>
              <w:t>6.11</w:t>
            </w:r>
            <w:r>
              <w:rPr>
                <w:rFonts w:hint="eastAsia"/>
                <w:highlight w:val="none"/>
              </w:rPr>
              <w:t>支持按照业务部门、业务渠道、业务类型区分配置规则；</w:t>
            </w:r>
          </w:p>
          <w:p w14:paraId="73017066">
            <w:pPr>
              <w:widowControl/>
              <w:autoSpaceDE/>
              <w:autoSpaceDN/>
              <w:spacing w:line="240" w:lineRule="auto"/>
              <w:ind w:firstLine="210" w:firstLineChars="100"/>
              <w:jc w:val="left"/>
              <w:rPr>
                <w:highlight w:val="none"/>
              </w:rPr>
            </w:pPr>
            <w:r>
              <w:rPr>
                <w:highlight w:val="none"/>
              </w:rPr>
              <w:t>6.12</w:t>
            </w:r>
            <w:r>
              <w:rPr>
                <w:rFonts w:hint="eastAsia"/>
                <w:highlight w:val="none"/>
              </w:rPr>
              <w:t>支持对决策平台资产内容进行导入导出，包含字段库、事件、指标组和指标、脚本、模型、规则/规则包等；</w:t>
            </w:r>
          </w:p>
        </w:tc>
      </w:tr>
      <w:tr w14:paraId="443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0DC438F">
            <w:pPr>
              <w:spacing w:line="240" w:lineRule="auto"/>
              <w:ind w:firstLine="0" w:firstLineChars="0"/>
              <w:jc w:val="center"/>
              <w:rPr>
                <w:highlight w:val="none"/>
              </w:rPr>
            </w:pPr>
            <w:r>
              <w:rPr>
                <w:rFonts w:hint="eastAsia"/>
                <w:highlight w:val="none"/>
              </w:rPr>
              <w:t>7</w:t>
            </w:r>
          </w:p>
        </w:tc>
        <w:tc>
          <w:tcPr>
            <w:tcW w:w="1812" w:type="dxa"/>
            <w:tcBorders>
              <w:top w:val="single" w:color="auto" w:sz="4" w:space="0"/>
              <w:left w:val="single" w:color="auto" w:sz="4" w:space="0"/>
              <w:bottom w:val="single" w:color="auto" w:sz="4" w:space="0"/>
              <w:right w:val="single" w:color="auto" w:sz="4" w:space="0"/>
            </w:tcBorders>
          </w:tcPr>
          <w:p w14:paraId="6D18708E">
            <w:pPr>
              <w:spacing w:line="240" w:lineRule="auto"/>
              <w:ind w:firstLine="0" w:firstLineChars="0"/>
              <w:jc w:val="center"/>
              <w:rPr>
                <w:rFonts w:ascii="宋体" w:cs="宋体"/>
                <w:szCs w:val="21"/>
                <w:highlight w:val="none"/>
              </w:rPr>
            </w:pPr>
            <w:r>
              <w:rPr>
                <w:rFonts w:hint="eastAsia" w:ascii="宋体" w:cs="宋体"/>
                <w:szCs w:val="21"/>
                <w:highlight w:val="none"/>
              </w:rPr>
              <w:t>账户分级分类</w:t>
            </w:r>
          </w:p>
        </w:tc>
        <w:tc>
          <w:tcPr>
            <w:tcW w:w="5981" w:type="dxa"/>
            <w:tcBorders>
              <w:top w:val="single" w:color="auto" w:sz="4" w:space="0"/>
              <w:left w:val="single" w:color="auto" w:sz="4" w:space="0"/>
              <w:bottom w:val="single" w:color="auto" w:sz="4" w:space="0"/>
              <w:right w:val="single" w:color="auto" w:sz="4" w:space="0"/>
            </w:tcBorders>
          </w:tcPr>
          <w:p w14:paraId="5DA2ECD9">
            <w:pPr>
              <w:widowControl/>
              <w:autoSpaceDE/>
              <w:autoSpaceDN/>
              <w:spacing w:line="240" w:lineRule="auto"/>
              <w:ind w:firstLine="210" w:firstLineChars="100"/>
              <w:jc w:val="left"/>
              <w:rPr>
                <w:highlight w:val="none"/>
              </w:rPr>
            </w:pPr>
            <w:r>
              <w:rPr>
                <w:highlight w:val="none"/>
              </w:rPr>
              <w:t>7.1</w:t>
            </w:r>
            <w:r>
              <w:rPr>
                <w:rFonts w:hint="eastAsia"/>
                <w:highlight w:val="none"/>
              </w:rPr>
              <w:t>具备开户、存续阶段的账户评级能力，支持新开账户在开户时实时开展账户分级分类，并定期进行检测；</w:t>
            </w:r>
          </w:p>
          <w:p w14:paraId="4E652503">
            <w:pPr>
              <w:widowControl/>
              <w:autoSpaceDE/>
              <w:autoSpaceDN/>
              <w:spacing w:line="240" w:lineRule="auto"/>
              <w:ind w:firstLine="210" w:firstLineChars="100"/>
              <w:jc w:val="left"/>
              <w:rPr>
                <w:highlight w:val="none"/>
              </w:rPr>
            </w:pPr>
            <w:r>
              <w:rPr>
                <w:highlight w:val="none"/>
              </w:rPr>
              <w:t>7.2支持构成开户评级的指标、规则配置</w:t>
            </w:r>
            <w:r>
              <w:rPr>
                <w:rFonts w:hint="eastAsia"/>
                <w:highlight w:val="none"/>
              </w:rPr>
              <w:t>；</w:t>
            </w:r>
          </w:p>
          <w:p w14:paraId="1949B850">
            <w:pPr>
              <w:widowControl/>
              <w:autoSpaceDE/>
              <w:autoSpaceDN/>
              <w:spacing w:line="240" w:lineRule="auto"/>
              <w:ind w:firstLine="210" w:firstLineChars="100"/>
              <w:jc w:val="left"/>
              <w:rPr>
                <w:highlight w:val="none"/>
              </w:rPr>
            </w:pPr>
            <w:r>
              <w:rPr>
                <w:highlight w:val="none"/>
              </w:rPr>
              <w:t>7.3支持基于开户流水，实时输出开户评级结果</w:t>
            </w:r>
            <w:r>
              <w:rPr>
                <w:rFonts w:hint="eastAsia"/>
                <w:highlight w:val="none"/>
              </w:rPr>
              <w:t>；</w:t>
            </w:r>
          </w:p>
          <w:p w14:paraId="3C308ED5">
            <w:pPr>
              <w:widowControl/>
              <w:autoSpaceDE/>
              <w:autoSpaceDN/>
              <w:spacing w:line="240" w:lineRule="auto"/>
              <w:ind w:firstLine="210" w:firstLineChars="100"/>
              <w:jc w:val="left"/>
              <w:rPr>
                <w:highlight w:val="none"/>
              </w:rPr>
            </w:pPr>
            <w:r>
              <w:rPr>
                <w:highlight w:val="none"/>
              </w:rPr>
              <w:t>7.4支持流水维度的开户评级结果和触发规则的结果展示</w:t>
            </w:r>
            <w:r>
              <w:rPr>
                <w:rFonts w:hint="eastAsia"/>
                <w:highlight w:val="none"/>
              </w:rPr>
              <w:t>；</w:t>
            </w:r>
          </w:p>
          <w:p w14:paraId="2DE45CF1">
            <w:pPr>
              <w:widowControl/>
              <w:autoSpaceDE/>
              <w:autoSpaceDN/>
              <w:spacing w:line="240" w:lineRule="auto"/>
              <w:ind w:firstLine="210" w:firstLineChars="100"/>
              <w:jc w:val="left"/>
              <w:rPr>
                <w:highlight w:val="none"/>
              </w:rPr>
            </w:pPr>
            <w:r>
              <w:rPr>
                <w:highlight w:val="none"/>
              </w:rPr>
              <w:t>7.5需支持存续账户评级指标、规则配置</w:t>
            </w:r>
            <w:r>
              <w:rPr>
                <w:rFonts w:hint="eastAsia"/>
                <w:highlight w:val="none"/>
              </w:rPr>
              <w:t>；</w:t>
            </w:r>
          </w:p>
          <w:p w14:paraId="2CCE620B">
            <w:pPr>
              <w:widowControl/>
              <w:autoSpaceDE/>
              <w:autoSpaceDN/>
              <w:spacing w:line="240" w:lineRule="auto"/>
              <w:ind w:firstLine="210" w:firstLineChars="100"/>
              <w:jc w:val="left"/>
              <w:rPr>
                <w:highlight w:val="none"/>
              </w:rPr>
            </w:pPr>
            <w:r>
              <w:rPr>
                <w:highlight w:val="none"/>
              </w:rPr>
              <w:t>7.6支持存续期账户的全量离线评级，并输出评级结果</w:t>
            </w:r>
            <w:r>
              <w:rPr>
                <w:rFonts w:hint="eastAsia"/>
                <w:highlight w:val="none"/>
              </w:rPr>
              <w:t>；</w:t>
            </w:r>
          </w:p>
          <w:p w14:paraId="04940755">
            <w:pPr>
              <w:widowControl/>
              <w:autoSpaceDE/>
              <w:autoSpaceDN/>
              <w:spacing w:line="240" w:lineRule="auto"/>
              <w:ind w:firstLine="210" w:firstLineChars="100"/>
              <w:jc w:val="left"/>
              <w:rPr>
                <w:highlight w:val="none"/>
              </w:rPr>
            </w:pPr>
            <w:r>
              <w:rPr>
                <w:highlight w:val="none"/>
              </w:rPr>
              <w:t>7.7支持账户存续评级结果和历史评级结果查看，并支持按需根据时间排序查看账户重点行为记录，包括开户、变更、风险处置等</w:t>
            </w:r>
            <w:r>
              <w:rPr>
                <w:rFonts w:hint="eastAsia"/>
                <w:highlight w:val="none"/>
              </w:rPr>
              <w:t>；</w:t>
            </w:r>
          </w:p>
          <w:p w14:paraId="3DE9F85C">
            <w:pPr>
              <w:widowControl/>
              <w:autoSpaceDE/>
              <w:autoSpaceDN/>
              <w:spacing w:line="240" w:lineRule="auto"/>
              <w:ind w:firstLine="210" w:firstLineChars="100"/>
              <w:jc w:val="left"/>
              <w:rPr>
                <w:highlight w:val="none"/>
              </w:rPr>
            </w:pPr>
            <w:r>
              <w:rPr>
                <w:highlight w:val="none"/>
              </w:rPr>
              <w:t>7.8支持历史评级结果比对（即本次与历史评级结果的变化趋势比对、相同账户不同时间段的变化情况）</w:t>
            </w:r>
            <w:r>
              <w:rPr>
                <w:rFonts w:hint="eastAsia"/>
                <w:highlight w:val="none"/>
              </w:rPr>
              <w:t>；</w:t>
            </w:r>
          </w:p>
          <w:p w14:paraId="53E9A8E7">
            <w:pPr>
              <w:widowControl/>
              <w:autoSpaceDE/>
              <w:autoSpaceDN/>
              <w:spacing w:line="240" w:lineRule="auto"/>
              <w:ind w:firstLine="210" w:firstLineChars="100"/>
              <w:jc w:val="left"/>
              <w:rPr>
                <w:highlight w:val="none"/>
              </w:rPr>
            </w:pPr>
            <w:r>
              <w:rPr>
                <w:highlight w:val="none"/>
              </w:rPr>
              <w:t>7.9支持对系统评级结果进行人工自定义认定修改，并自定义有效期；支持灵活调整分级分类等级；</w:t>
            </w:r>
          </w:p>
          <w:p w14:paraId="46018AB2">
            <w:pPr>
              <w:widowControl/>
              <w:autoSpaceDE/>
              <w:autoSpaceDN/>
              <w:spacing w:line="240" w:lineRule="auto"/>
              <w:ind w:firstLine="210" w:firstLineChars="100"/>
              <w:jc w:val="left"/>
              <w:rPr>
                <w:highlight w:val="none"/>
              </w:rPr>
            </w:pPr>
            <w:r>
              <w:rPr>
                <w:highlight w:val="none"/>
              </w:rPr>
              <w:t>7.10</w:t>
            </w:r>
            <w:r>
              <w:rPr>
                <w:rFonts w:hint="eastAsia"/>
                <w:highlight w:val="none"/>
              </w:rPr>
              <w:t>支持</w:t>
            </w:r>
            <w:r>
              <w:rPr>
                <w:highlight w:val="none"/>
              </w:rPr>
              <w:t>对每次账户分级分类结果进行统计分析（全行级、按机构、按时间、按客户、按账户等多维度），并支持对历史分类结果进行分析</w:t>
            </w:r>
            <w:r>
              <w:rPr>
                <w:rFonts w:hint="eastAsia"/>
                <w:highlight w:val="none"/>
              </w:rPr>
              <w:t>比对</w:t>
            </w:r>
            <w:r>
              <w:rPr>
                <w:highlight w:val="none"/>
              </w:rPr>
              <w:t>；</w:t>
            </w:r>
          </w:p>
        </w:tc>
      </w:tr>
      <w:tr w14:paraId="63F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83A7A3B">
            <w:pPr>
              <w:spacing w:line="240" w:lineRule="auto"/>
              <w:ind w:firstLine="0" w:firstLineChars="0"/>
              <w:jc w:val="center"/>
              <w:rPr>
                <w:highlight w:val="none"/>
              </w:rPr>
            </w:pPr>
            <w:r>
              <w:rPr>
                <w:rFonts w:hint="eastAsia"/>
                <w:highlight w:val="none"/>
              </w:rPr>
              <w:t>8</w:t>
            </w:r>
          </w:p>
        </w:tc>
        <w:tc>
          <w:tcPr>
            <w:tcW w:w="1812" w:type="dxa"/>
            <w:tcBorders>
              <w:top w:val="single" w:color="auto" w:sz="4" w:space="0"/>
              <w:left w:val="single" w:color="auto" w:sz="4" w:space="0"/>
              <w:bottom w:val="single" w:color="auto" w:sz="4" w:space="0"/>
              <w:right w:val="single" w:color="auto" w:sz="4" w:space="0"/>
            </w:tcBorders>
          </w:tcPr>
          <w:p w14:paraId="267007FF">
            <w:pPr>
              <w:spacing w:line="240" w:lineRule="auto"/>
              <w:ind w:firstLine="0" w:firstLineChars="0"/>
              <w:jc w:val="center"/>
              <w:rPr>
                <w:rFonts w:ascii="宋体" w:cs="宋体"/>
                <w:szCs w:val="21"/>
                <w:highlight w:val="none"/>
              </w:rPr>
            </w:pPr>
            <w:r>
              <w:rPr>
                <w:rFonts w:hint="eastAsia" w:ascii="宋体" w:cs="宋体"/>
                <w:szCs w:val="21"/>
                <w:highlight w:val="none"/>
              </w:rPr>
              <w:t>运营分析</w:t>
            </w:r>
          </w:p>
        </w:tc>
        <w:tc>
          <w:tcPr>
            <w:tcW w:w="5981" w:type="dxa"/>
            <w:tcBorders>
              <w:top w:val="single" w:color="auto" w:sz="4" w:space="0"/>
              <w:left w:val="single" w:color="auto" w:sz="4" w:space="0"/>
              <w:bottom w:val="single" w:color="auto" w:sz="4" w:space="0"/>
              <w:right w:val="single" w:color="auto" w:sz="4" w:space="0"/>
            </w:tcBorders>
          </w:tcPr>
          <w:p w14:paraId="32EF7DF5">
            <w:pPr>
              <w:widowControl/>
              <w:autoSpaceDE/>
              <w:autoSpaceDN/>
              <w:spacing w:line="240" w:lineRule="auto"/>
              <w:ind w:firstLine="210" w:firstLineChars="100"/>
              <w:jc w:val="left"/>
              <w:rPr>
                <w:highlight w:val="none"/>
              </w:rPr>
            </w:pPr>
            <w:r>
              <w:rPr>
                <w:highlight w:val="none"/>
              </w:rPr>
              <w:t>8.1</w:t>
            </w:r>
            <w:r>
              <w:rPr>
                <w:rFonts w:hint="eastAsia"/>
                <w:highlight w:val="none"/>
              </w:rPr>
              <w:t>支持统计策略命中次数，可按渠道、场景、特定维度（例如客户号）分别统计，支持将策略命中次数作为指标供规则使用；</w:t>
            </w:r>
          </w:p>
          <w:p w14:paraId="28BFDBF3">
            <w:pPr>
              <w:widowControl/>
              <w:autoSpaceDE/>
              <w:autoSpaceDN/>
              <w:spacing w:line="240" w:lineRule="auto"/>
              <w:ind w:firstLine="210" w:firstLineChars="100"/>
              <w:jc w:val="left"/>
              <w:rPr>
                <w:highlight w:val="none"/>
              </w:rPr>
            </w:pPr>
            <w:r>
              <w:rPr>
                <w:highlight w:val="none"/>
              </w:rPr>
              <w:t>8.2支持查询风控事件（展示交易详情及策略命中情况），支持批量下载</w:t>
            </w:r>
            <w:r>
              <w:rPr>
                <w:rFonts w:hint="eastAsia"/>
                <w:highlight w:val="none"/>
              </w:rPr>
              <w:t>；</w:t>
            </w:r>
          </w:p>
          <w:p w14:paraId="6365B8BD">
            <w:pPr>
              <w:widowControl/>
              <w:autoSpaceDE/>
              <w:autoSpaceDN/>
              <w:spacing w:line="240" w:lineRule="auto"/>
              <w:ind w:firstLine="210" w:firstLineChars="100"/>
              <w:jc w:val="left"/>
              <w:rPr>
                <w:highlight w:val="none"/>
              </w:rPr>
            </w:pPr>
            <w:r>
              <w:rPr>
                <w:highlight w:val="none"/>
              </w:rPr>
              <w:t>8.3风险详情展示信息全面，可分别展示正式上线风控</w:t>
            </w:r>
            <w:r>
              <w:rPr>
                <w:rFonts w:hint="eastAsia"/>
                <w:highlight w:val="none"/>
              </w:rPr>
              <w:t>规则</w:t>
            </w:r>
            <w:r>
              <w:rPr>
                <w:highlight w:val="none"/>
              </w:rPr>
              <w:t>命中详情和试运行风控</w:t>
            </w:r>
            <w:r>
              <w:rPr>
                <w:rFonts w:hint="eastAsia"/>
                <w:highlight w:val="none"/>
              </w:rPr>
              <w:t>规则</w:t>
            </w:r>
            <w:r>
              <w:rPr>
                <w:highlight w:val="none"/>
              </w:rPr>
              <w:t>命中详情，同时可进一步查看每条</w:t>
            </w:r>
            <w:r>
              <w:rPr>
                <w:rFonts w:hint="eastAsia"/>
                <w:highlight w:val="none"/>
              </w:rPr>
              <w:t>规则</w:t>
            </w:r>
            <w:r>
              <w:rPr>
                <w:highlight w:val="none"/>
              </w:rPr>
              <w:t>涉及的所有</w:t>
            </w:r>
            <w:r>
              <w:rPr>
                <w:rFonts w:hint="eastAsia"/>
                <w:highlight w:val="none"/>
              </w:rPr>
              <w:t>指标</w:t>
            </w:r>
            <w:r>
              <w:rPr>
                <w:highlight w:val="none"/>
              </w:rPr>
              <w:t>详情</w:t>
            </w:r>
            <w:r>
              <w:rPr>
                <w:rFonts w:hint="eastAsia"/>
                <w:highlight w:val="none"/>
              </w:rPr>
              <w:t>；</w:t>
            </w:r>
          </w:p>
          <w:p w14:paraId="506D2518">
            <w:pPr>
              <w:widowControl/>
              <w:autoSpaceDE/>
              <w:autoSpaceDN/>
              <w:spacing w:line="240" w:lineRule="auto"/>
              <w:ind w:firstLine="210" w:firstLineChars="100"/>
              <w:jc w:val="left"/>
              <w:rPr>
                <w:highlight w:val="none"/>
              </w:rPr>
            </w:pPr>
            <w:r>
              <w:rPr>
                <w:highlight w:val="none"/>
              </w:rPr>
              <w:t>8.4支持对策略上线一段时间内的决策情况进行分析展示，查看策略的运行情况</w:t>
            </w:r>
            <w:r>
              <w:rPr>
                <w:rFonts w:hint="eastAsia"/>
                <w:highlight w:val="none"/>
              </w:rPr>
              <w:t>；</w:t>
            </w:r>
          </w:p>
          <w:p w14:paraId="0634DBEB">
            <w:pPr>
              <w:widowControl/>
              <w:autoSpaceDE/>
              <w:autoSpaceDN/>
              <w:spacing w:line="240" w:lineRule="auto"/>
              <w:ind w:firstLine="210" w:firstLineChars="100"/>
              <w:jc w:val="left"/>
              <w:rPr>
                <w:highlight w:val="none"/>
              </w:rPr>
            </w:pPr>
            <w:r>
              <w:rPr>
                <w:highlight w:val="none"/>
              </w:rPr>
              <w:t>8.5</w:t>
            </w:r>
            <w:r>
              <w:rPr>
                <w:rFonts w:hint="eastAsia"/>
                <w:highlight w:val="none"/>
              </w:rPr>
              <w:t>支持</w:t>
            </w:r>
            <w:r>
              <w:rPr>
                <w:highlight w:val="none"/>
              </w:rPr>
              <w:t>客户命中情况统计查询（在一个页面查询不同渠道的策略命中及处置情况）或者在账户分级分类结果展示相关信息</w:t>
            </w:r>
            <w:r>
              <w:rPr>
                <w:rFonts w:hint="eastAsia"/>
                <w:highlight w:val="none"/>
              </w:rPr>
              <w:t>；</w:t>
            </w:r>
          </w:p>
          <w:p w14:paraId="34E583D0">
            <w:pPr>
              <w:widowControl/>
              <w:autoSpaceDE/>
              <w:autoSpaceDN/>
              <w:spacing w:line="240" w:lineRule="auto"/>
              <w:ind w:firstLine="210" w:firstLineChars="100"/>
              <w:jc w:val="left"/>
              <w:rPr>
                <w:highlight w:val="none"/>
              </w:rPr>
            </w:pPr>
            <w:r>
              <w:rPr>
                <w:highlight w:val="none"/>
              </w:rPr>
              <w:t>8.6</w:t>
            </w:r>
            <w:r>
              <w:rPr>
                <w:rFonts w:hint="eastAsia"/>
                <w:highlight w:val="none"/>
              </w:rPr>
              <w:t>支持</w:t>
            </w:r>
            <w:r>
              <w:rPr>
                <w:highlight w:val="none"/>
              </w:rPr>
              <w:t>以账户的维度，统计分析出一段时间内，该账户的“交易概括”、“资金关联概括”、“风险特征”、“关联分析”等信息</w:t>
            </w:r>
            <w:r>
              <w:rPr>
                <w:rFonts w:hint="eastAsia"/>
                <w:highlight w:val="none"/>
              </w:rPr>
              <w:t>；</w:t>
            </w:r>
          </w:p>
        </w:tc>
      </w:tr>
      <w:tr w14:paraId="46F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97270B6">
            <w:pPr>
              <w:spacing w:line="240" w:lineRule="auto"/>
              <w:ind w:firstLine="0" w:firstLineChars="0"/>
              <w:jc w:val="center"/>
              <w:rPr>
                <w:highlight w:val="none"/>
              </w:rPr>
            </w:pPr>
            <w:r>
              <w:rPr>
                <w:rFonts w:hint="eastAsia"/>
                <w:highlight w:val="none"/>
              </w:rPr>
              <w:t>9</w:t>
            </w:r>
          </w:p>
        </w:tc>
        <w:tc>
          <w:tcPr>
            <w:tcW w:w="1812" w:type="dxa"/>
            <w:tcBorders>
              <w:top w:val="single" w:color="auto" w:sz="4" w:space="0"/>
              <w:left w:val="single" w:color="auto" w:sz="4" w:space="0"/>
              <w:bottom w:val="single" w:color="auto" w:sz="4" w:space="0"/>
              <w:right w:val="single" w:color="auto" w:sz="4" w:space="0"/>
            </w:tcBorders>
          </w:tcPr>
          <w:p w14:paraId="765ACFCE">
            <w:pPr>
              <w:spacing w:line="240" w:lineRule="auto"/>
              <w:ind w:firstLine="0" w:firstLineChars="0"/>
              <w:jc w:val="center"/>
              <w:rPr>
                <w:rFonts w:ascii="宋体" w:cs="宋体"/>
                <w:szCs w:val="21"/>
                <w:highlight w:val="none"/>
              </w:rPr>
            </w:pPr>
            <w:r>
              <w:rPr>
                <w:rFonts w:hint="eastAsia" w:ascii="宋体" w:cs="宋体"/>
                <w:szCs w:val="21"/>
                <w:highlight w:val="none"/>
              </w:rPr>
              <w:t>核查处置</w:t>
            </w:r>
          </w:p>
        </w:tc>
        <w:tc>
          <w:tcPr>
            <w:tcW w:w="5981" w:type="dxa"/>
            <w:tcBorders>
              <w:top w:val="single" w:color="auto" w:sz="4" w:space="0"/>
              <w:left w:val="single" w:color="auto" w:sz="4" w:space="0"/>
              <w:bottom w:val="single" w:color="auto" w:sz="4" w:space="0"/>
              <w:right w:val="single" w:color="auto" w:sz="4" w:space="0"/>
            </w:tcBorders>
          </w:tcPr>
          <w:p w14:paraId="14E2FBF0">
            <w:pPr>
              <w:widowControl/>
              <w:autoSpaceDE/>
              <w:autoSpaceDN/>
              <w:spacing w:line="240" w:lineRule="auto"/>
              <w:ind w:firstLine="210" w:firstLineChars="100"/>
              <w:jc w:val="left"/>
              <w:rPr>
                <w:highlight w:val="none"/>
              </w:rPr>
            </w:pPr>
            <w:r>
              <w:rPr>
                <w:highlight w:val="none"/>
              </w:rPr>
              <w:t>9.1</w:t>
            </w:r>
            <w:r>
              <w:rPr>
                <w:rFonts w:hint="eastAsia"/>
                <w:highlight w:val="none"/>
              </w:rPr>
              <w:t>支持实时（在线交易预警）、准实时（结算账户动账交易秒级预警）、事后（账户）等多种类型核查单的推送及处置；</w:t>
            </w:r>
          </w:p>
          <w:p w14:paraId="62E7E174">
            <w:pPr>
              <w:widowControl/>
              <w:autoSpaceDE/>
              <w:autoSpaceDN/>
              <w:spacing w:line="240" w:lineRule="auto"/>
              <w:ind w:firstLine="210" w:firstLineChars="100"/>
              <w:jc w:val="left"/>
              <w:rPr>
                <w:highlight w:val="none"/>
              </w:rPr>
            </w:pPr>
            <w:r>
              <w:rPr>
                <w:highlight w:val="none"/>
              </w:rPr>
              <w:t>9.2支持风控规则触发和人工提报</w:t>
            </w:r>
            <w:r>
              <w:rPr>
                <w:rFonts w:hint="eastAsia"/>
                <w:highlight w:val="none"/>
              </w:rPr>
              <w:t>生成核查单</w:t>
            </w:r>
            <w:r>
              <w:rPr>
                <w:highlight w:val="none"/>
              </w:rPr>
              <w:t>；</w:t>
            </w:r>
          </w:p>
          <w:p w14:paraId="74C112FA">
            <w:pPr>
              <w:widowControl/>
              <w:autoSpaceDE/>
              <w:autoSpaceDN/>
              <w:spacing w:line="240" w:lineRule="auto"/>
              <w:ind w:firstLine="210" w:firstLineChars="100"/>
              <w:jc w:val="left"/>
              <w:rPr>
                <w:highlight w:val="none"/>
              </w:rPr>
            </w:pPr>
            <w:r>
              <w:rPr>
                <w:highlight w:val="none"/>
              </w:rPr>
              <w:t>9.3支持系统自动分配、手动分配任务；</w:t>
            </w:r>
          </w:p>
          <w:p w14:paraId="2E01F9FB">
            <w:pPr>
              <w:widowControl/>
              <w:autoSpaceDE/>
              <w:autoSpaceDN/>
              <w:spacing w:line="240" w:lineRule="auto"/>
              <w:ind w:firstLine="210" w:firstLineChars="100"/>
              <w:jc w:val="left"/>
              <w:rPr>
                <w:highlight w:val="none"/>
              </w:rPr>
            </w:pPr>
            <w:r>
              <w:rPr>
                <w:highlight w:val="none"/>
              </w:rPr>
              <w:t>9.4支持按照业务归属机构、岗位、所属渠道、交易环节、任务来源、处置结果、风险标签自动分配至对应审核人员；</w:t>
            </w:r>
          </w:p>
          <w:p w14:paraId="1CDFE116">
            <w:pPr>
              <w:widowControl/>
              <w:autoSpaceDE/>
              <w:autoSpaceDN/>
              <w:spacing w:line="240" w:lineRule="auto"/>
              <w:ind w:firstLine="210" w:firstLineChars="100"/>
              <w:jc w:val="left"/>
              <w:rPr>
                <w:highlight w:val="none"/>
              </w:rPr>
            </w:pPr>
            <w:r>
              <w:rPr>
                <w:highlight w:val="none"/>
              </w:rPr>
              <w:t>9.5支持灵活配置审核流，如有些核查单只需要一级审核，有些核查单需要二级审核；</w:t>
            </w:r>
          </w:p>
          <w:p w14:paraId="53CAC6BB">
            <w:pPr>
              <w:widowControl/>
              <w:autoSpaceDE/>
              <w:autoSpaceDN/>
              <w:spacing w:line="240" w:lineRule="auto"/>
              <w:ind w:firstLine="210" w:firstLineChars="100"/>
              <w:jc w:val="left"/>
              <w:rPr>
                <w:highlight w:val="none"/>
              </w:rPr>
            </w:pPr>
            <w:r>
              <w:rPr>
                <w:highlight w:val="none"/>
              </w:rPr>
              <w:t>9.6支持转派任务到具体的审核人员；支持跨机构流转核实单（即支持A机构将核实单转发至B机构）</w:t>
            </w:r>
            <w:r>
              <w:rPr>
                <w:rFonts w:hint="eastAsia"/>
                <w:highlight w:val="none"/>
              </w:rPr>
              <w:t>；</w:t>
            </w:r>
          </w:p>
          <w:p w14:paraId="2536E78D">
            <w:pPr>
              <w:widowControl/>
              <w:autoSpaceDE/>
              <w:autoSpaceDN/>
              <w:spacing w:line="240" w:lineRule="auto"/>
              <w:ind w:firstLine="210" w:firstLineChars="100"/>
              <w:jc w:val="left"/>
              <w:rPr>
                <w:highlight w:val="none"/>
              </w:rPr>
            </w:pPr>
            <w:r>
              <w:rPr>
                <w:highlight w:val="none"/>
              </w:rPr>
              <w:t>9.7支持提炼事件中的关键主体属性，如设备指纹、IP、银行卡号、手机号等信息，并支持审核人员录黑至对应的名单集中，形成风控闭环；</w:t>
            </w:r>
          </w:p>
          <w:p w14:paraId="465DCA1D">
            <w:pPr>
              <w:widowControl/>
              <w:autoSpaceDE/>
              <w:autoSpaceDN/>
              <w:spacing w:line="240" w:lineRule="auto"/>
              <w:ind w:firstLine="210" w:firstLineChars="100"/>
              <w:jc w:val="left"/>
              <w:rPr>
                <w:highlight w:val="none"/>
              </w:rPr>
            </w:pPr>
            <w:r>
              <w:rPr>
                <w:highlight w:val="none"/>
              </w:rPr>
              <w:t>9.8支持归档功能，将不同审核结果的核查单进行分类管理且核查结果报表支持下载；</w:t>
            </w:r>
          </w:p>
          <w:p w14:paraId="171F95BA">
            <w:pPr>
              <w:widowControl/>
              <w:autoSpaceDE/>
              <w:autoSpaceDN/>
              <w:spacing w:line="240" w:lineRule="auto"/>
              <w:ind w:firstLine="210" w:firstLineChars="100"/>
              <w:jc w:val="left"/>
              <w:rPr>
                <w:highlight w:val="none"/>
              </w:rPr>
            </w:pPr>
            <w:r>
              <w:rPr>
                <w:highlight w:val="none"/>
              </w:rPr>
              <w:t>9.9核查处置状态实时展示、筛选</w:t>
            </w:r>
            <w:r>
              <w:rPr>
                <w:rFonts w:hint="eastAsia"/>
                <w:highlight w:val="none"/>
              </w:rPr>
              <w:t>，支持查看核查流程节点</w:t>
            </w:r>
            <w:r>
              <w:rPr>
                <w:highlight w:val="none"/>
              </w:rPr>
              <w:t>；</w:t>
            </w:r>
          </w:p>
          <w:p w14:paraId="31BFB638">
            <w:pPr>
              <w:widowControl/>
              <w:autoSpaceDE/>
              <w:autoSpaceDN/>
              <w:spacing w:line="240" w:lineRule="auto"/>
              <w:ind w:firstLine="210" w:firstLineChars="100"/>
              <w:jc w:val="left"/>
              <w:rPr>
                <w:highlight w:val="none"/>
              </w:rPr>
            </w:pPr>
            <w:r>
              <w:rPr>
                <w:highlight w:val="none"/>
              </w:rPr>
              <w:t>9.10支持将核查单以账户维度进行合并预警</w:t>
            </w:r>
            <w:r>
              <w:rPr>
                <w:rFonts w:hint="eastAsia"/>
                <w:highlight w:val="none"/>
              </w:rPr>
              <w:t>；</w:t>
            </w:r>
          </w:p>
          <w:p w14:paraId="22BE5E48">
            <w:pPr>
              <w:widowControl/>
              <w:autoSpaceDE/>
              <w:autoSpaceDN/>
              <w:spacing w:line="240" w:lineRule="auto"/>
              <w:ind w:firstLine="210" w:firstLineChars="100"/>
              <w:jc w:val="left"/>
              <w:rPr>
                <w:highlight w:val="none"/>
              </w:rPr>
            </w:pPr>
            <w:r>
              <w:rPr>
                <w:highlight w:val="none"/>
              </w:rPr>
              <w:t>9.11支持在核查单中嵌入支行尽职调查及审核材料查询流程；</w:t>
            </w:r>
          </w:p>
          <w:p w14:paraId="7C33C51F">
            <w:pPr>
              <w:widowControl/>
              <w:autoSpaceDE/>
              <w:autoSpaceDN/>
              <w:spacing w:line="240" w:lineRule="auto"/>
              <w:ind w:firstLine="210" w:firstLineChars="100"/>
              <w:jc w:val="left"/>
              <w:rPr>
                <w:highlight w:val="none"/>
              </w:rPr>
            </w:pPr>
            <w:r>
              <w:rPr>
                <w:highlight w:val="none"/>
              </w:rPr>
              <w:t>9.12</w:t>
            </w:r>
            <w:r>
              <w:rPr>
                <w:rFonts w:hint="eastAsia"/>
                <w:highlight w:val="none"/>
              </w:rPr>
              <w:t>支持查看登陆账号的待办事项（包括待审核事件、案件或待复核案件）、已办事项（已办事件、已办案件）；支持按照角色自定义系统初始页面（运营条线核查人员，需要将待办事项页面设为首页）；</w:t>
            </w:r>
          </w:p>
          <w:p w14:paraId="691E35B6">
            <w:pPr>
              <w:widowControl/>
              <w:autoSpaceDE/>
              <w:autoSpaceDN/>
              <w:spacing w:line="240" w:lineRule="auto"/>
              <w:ind w:firstLine="210" w:firstLineChars="100"/>
              <w:jc w:val="left"/>
              <w:rPr>
                <w:highlight w:val="none"/>
              </w:rPr>
            </w:pPr>
            <w:r>
              <w:rPr>
                <w:highlight w:val="none"/>
              </w:rPr>
              <w:t>9.13</w:t>
            </w:r>
            <w:r>
              <w:rPr>
                <w:rFonts w:hint="eastAsia"/>
                <w:highlight w:val="none"/>
              </w:rPr>
              <w:t>账户管控：支持配置账户的管控逻辑，支持账户管控措施动态调整；支持根据核心系统（风控系统直接对接核心）对应的管控措施，灵活调整管控措施，核心管控接口的参数支持在风控平台参数化配置；</w:t>
            </w:r>
          </w:p>
        </w:tc>
      </w:tr>
      <w:tr w14:paraId="5AC5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53CEE845">
            <w:pPr>
              <w:spacing w:line="240" w:lineRule="auto"/>
              <w:ind w:firstLine="0" w:firstLineChars="0"/>
              <w:jc w:val="center"/>
              <w:rPr>
                <w:highlight w:val="none"/>
              </w:rPr>
            </w:pPr>
            <w:r>
              <w:rPr>
                <w:rFonts w:hint="eastAsia"/>
                <w:highlight w:val="none"/>
              </w:rPr>
              <w:t>10</w:t>
            </w:r>
          </w:p>
        </w:tc>
        <w:tc>
          <w:tcPr>
            <w:tcW w:w="1812" w:type="dxa"/>
            <w:tcBorders>
              <w:top w:val="single" w:color="auto" w:sz="4" w:space="0"/>
              <w:left w:val="single" w:color="auto" w:sz="4" w:space="0"/>
              <w:bottom w:val="single" w:color="auto" w:sz="4" w:space="0"/>
              <w:right w:val="single" w:color="auto" w:sz="4" w:space="0"/>
            </w:tcBorders>
          </w:tcPr>
          <w:p w14:paraId="43B18BCA">
            <w:pPr>
              <w:spacing w:line="240" w:lineRule="auto"/>
              <w:ind w:firstLine="0" w:firstLineChars="0"/>
              <w:jc w:val="center"/>
              <w:rPr>
                <w:rFonts w:ascii="宋体" w:cs="宋体"/>
                <w:szCs w:val="21"/>
                <w:highlight w:val="none"/>
              </w:rPr>
            </w:pPr>
            <w:r>
              <w:rPr>
                <w:rFonts w:hint="eastAsia" w:ascii="宋体" w:cs="宋体"/>
                <w:szCs w:val="21"/>
                <w:highlight w:val="none"/>
              </w:rPr>
              <w:t>驾驶舱业务监控</w:t>
            </w:r>
          </w:p>
        </w:tc>
        <w:tc>
          <w:tcPr>
            <w:tcW w:w="5981" w:type="dxa"/>
            <w:tcBorders>
              <w:top w:val="single" w:color="auto" w:sz="4" w:space="0"/>
              <w:left w:val="single" w:color="auto" w:sz="4" w:space="0"/>
              <w:bottom w:val="single" w:color="auto" w:sz="4" w:space="0"/>
              <w:right w:val="single" w:color="auto" w:sz="4" w:space="0"/>
            </w:tcBorders>
          </w:tcPr>
          <w:p w14:paraId="0D4C8D5E">
            <w:pPr>
              <w:widowControl/>
              <w:autoSpaceDE/>
              <w:autoSpaceDN/>
              <w:spacing w:line="240" w:lineRule="auto"/>
              <w:ind w:firstLine="210" w:firstLineChars="100"/>
              <w:jc w:val="left"/>
              <w:rPr>
                <w:highlight w:val="none"/>
              </w:rPr>
            </w:pPr>
            <w:r>
              <w:rPr>
                <w:highlight w:val="none"/>
              </w:rPr>
              <w:t>10.1</w:t>
            </w:r>
            <w:r>
              <w:rPr>
                <w:rFonts w:hint="eastAsia"/>
                <w:highlight w:val="none"/>
              </w:rPr>
              <w:t>平台的统计报表、监控图表、监控指标等展示支持针对行内需求定制化开发；支持简洁、直观、美观的驾驶舱展现形式，便于业务人员及时了解系统关键信息；</w:t>
            </w:r>
          </w:p>
          <w:p w14:paraId="4CD7FF7A">
            <w:pPr>
              <w:widowControl/>
              <w:autoSpaceDE/>
              <w:autoSpaceDN/>
              <w:spacing w:line="240" w:lineRule="auto"/>
              <w:ind w:firstLine="210" w:firstLineChars="100"/>
              <w:jc w:val="left"/>
              <w:rPr>
                <w:highlight w:val="none"/>
              </w:rPr>
            </w:pPr>
            <w:r>
              <w:rPr>
                <w:highlight w:val="none"/>
              </w:rPr>
              <w:t>10.2</w:t>
            </w:r>
            <w:r>
              <w:rPr>
                <w:rFonts w:hint="eastAsia"/>
                <w:highlight w:val="none"/>
              </w:rPr>
              <w:t>支持</w:t>
            </w:r>
            <w:r>
              <w:rPr>
                <w:highlight w:val="none"/>
              </w:rPr>
              <w:t>展示系统目前维护的所有策略、规则等风控资产情况，支持按照所有及细分渠道、事件展示</w:t>
            </w:r>
            <w:r>
              <w:rPr>
                <w:rFonts w:hint="eastAsia"/>
                <w:highlight w:val="none"/>
              </w:rPr>
              <w:t>；支持系统对风控规则进行定期评估，分析规则命中情况及误拦截情况，并根据结果对规则进行分析，并提出可优化规则建议；</w:t>
            </w:r>
          </w:p>
          <w:p w14:paraId="1570CB3B">
            <w:pPr>
              <w:widowControl/>
              <w:autoSpaceDE/>
              <w:autoSpaceDN/>
              <w:spacing w:line="240" w:lineRule="auto"/>
              <w:ind w:firstLine="210" w:firstLineChars="100"/>
              <w:jc w:val="left"/>
              <w:rPr>
                <w:highlight w:val="none"/>
              </w:rPr>
            </w:pPr>
            <w:r>
              <w:rPr>
                <w:highlight w:val="none"/>
              </w:rPr>
              <w:t>10.3</w:t>
            </w:r>
            <w:r>
              <w:rPr>
                <w:rFonts w:hint="eastAsia"/>
                <w:highlight w:val="none"/>
              </w:rPr>
              <w:t>支持</w:t>
            </w:r>
            <w:r>
              <w:rPr>
                <w:highlight w:val="none"/>
              </w:rPr>
              <w:t>展示系统目前维护的所有名单情况，以及规则管理和数据量变化情况</w:t>
            </w:r>
            <w:r>
              <w:rPr>
                <w:rFonts w:hint="eastAsia"/>
                <w:highlight w:val="none"/>
              </w:rPr>
              <w:t>；</w:t>
            </w:r>
          </w:p>
          <w:p w14:paraId="23315D18">
            <w:pPr>
              <w:widowControl/>
              <w:autoSpaceDE/>
              <w:autoSpaceDN/>
              <w:spacing w:line="240" w:lineRule="auto"/>
              <w:ind w:firstLine="210" w:firstLineChars="100"/>
              <w:jc w:val="left"/>
              <w:rPr>
                <w:highlight w:val="none"/>
              </w:rPr>
            </w:pPr>
            <w:r>
              <w:rPr>
                <w:highlight w:val="none"/>
              </w:rPr>
              <w:t>10.4</w:t>
            </w:r>
            <w:r>
              <w:rPr>
                <w:rFonts w:hint="eastAsia"/>
                <w:highlight w:val="none"/>
              </w:rPr>
              <w:t>支持展示指定时间范围内的系统调用及规则执行情况；</w:t>
            </w:r>
          </w:p>
          <w:p w14:paraId="37CD2036">
            <w:pPr>
              <w:widowControl/>
              <w:autoSpaceDE/>
              <w:autoSpaceDN/>
              <w:spacing w:line="240" w:lineRule="auto"/>
              <w:ind w:firstLine="210" w:firstLineChars="100"/>
              <w:jc w:val="left"/>
              <w:rPr>
                <w:highlight w:val="none"/>
              </w:rPr>
            </w:pPr>
            <w:r>
              <w:rPr>
                <w:highlight w:val="none"/>
              </w:rPr>
              <w:t>10.5支持报表种类：需包含规则有效性统计报表、规则触警统计报表。报表统计层级支持一级分支机构、一级机构下属网点、业务条线等多种维度</w:t>
            </w:r>
            <w:r>
              <w:rPr>
                <w:rFonts w:hint="eastAsia"/>
                <w:highlight w:val="none"/>
              </w:rPr>
              <w:t>；</w:t>
            </w:r>
          </w:p>
          <w:p w14:paraId="53597DD3">
            <w:pPr>
              <w:widowControl/>
              <w:autoSpaceDE/>
              <w:autoSpaceDN/>
              <w:spacing w:line="240" w:lineRule="auto"/>
              <w:ind w:firstLine="210" w:firstLineChars="100"/>
              <w:jc w:val="left"/>
              <w:rPr>
                <w:highlight w:val="none"/>
              </w:rPr>
            </w:pPr>
            <w:r>
              <w:rPr>
                <w:highlight w:val="none"/>
              </w:rPr>
              <w:t>10.6报表权限：需支持区分机构、部门、业务条线的报表查看、下载权限。例如，某网点A无法查看另一网点B的报表数据，但A与B属同一个上级机构C，C可查看A以及B的报表数据</w:t>
            </w:r>
            <w:r>
              <w:rPr>
                <w:rFonts w:hint="eastAsia"/>
                <w:highlight w:val="none"/>
              </w:rPr>
              <w:t>；</w:t>
            </w:r>
          </w:p>
          <w:p w14:paraId="2B3CE910">
            <w:pPr>
              <w:widowControl/>
              <w:autoSpaceDE/>
              <w:autoSpaceDN/>
              <w:spacing w:line="240" w:lineRule="auto"/>
              <w:ind w:firstLine="210" w:firstLineChars="100"/>
              <w:jc w:val="left"/>
              <w:rPr>
                <w:highlight w:val="none"/>
              </w:rPr>
            </w:pPr>
            <w:r>
              <w:rPr>
                <w:highlight w:val="none"/>
              </w:rPr>
              <w:t>10.7支持用户画像功能，展示当前客户基本信息及关联账户信息，客户关联图谱展示，为用户进一步挖掘客户关联关系提供更为全面的视角</w:t>
            </w:r>
            <w:r>
              <w:rPr>
                <w:rFonts w:hint="eastAsia"/>
                <w:highlight w:val="none"/>
              </w:rPr>
              <w:t>；</w:t>
            </w:r>
          </w:p>
        </w:tc>
      </w:tr>
      <w:tr w14:paraId="68A2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FE565C2">
            <w:pPr>
              <w:spacing w:line="240" w:lineRule="auto"/>
              <w:ind w:firstLine="0" w:firstLineChars="0"/>
              <w:jc w:val="center"/>
              <w:rPr>
                <w:highlight w:val="none"/>
              </w:rPr>
            </w:pPr>
            <w:r>
              <w:rPr>
                <w:rFonts w:hint="eastAsia"/>
                <w:highlight w:val="none"/>
              </w:rPr>
              <w:t>11</w:t>
            </w:r>
          </w:p>
        </w:tc>
        <w:tc>
          <w:tcPr>
            <w:tcW w:w="1812" w:type="dxa"/>
            <w:tcBorders>
              <w:top w:val="single" w:color="auto" w:sz="4" w:space="0"/>
              <w:left w:val="single" w:color="auto" w:sz="4" w:space="0"/>
              <w:bottom w:val="single" w:color="auto" w:sz="4" w:space="0"/>
              <w:right w:val="single" w:color="auto" w:sz="4" w:space="0"/>
            </w:tcBorders>
          </w:tcPr>
          <w:p w14:paraId="4E7DB78A">
            <w:pPr>
              <w:spacing w:line="240" w:lineRule="auto"/>
              <w:ind w:firstLine="0" w:firstLineChars="0"/>
              <w:jc w:val="center"/>
              <w:rPr>
                <w:rFonts w:ascii="宋体" w:cs="宋体"/>
                <w:szCs w:val="21"/>
                <w:highlight w:val="none"/>
              </w:rPr>
            </w:pPr>
            <w:r>
              <w:rPr>
                <w:rFonts w:hint="eastAsia" w:ascii="宋体" w:cs="宋体"/>
                <w:szCs w:val="21"/>
                <w:highlight w:val="none"/>
              </w:rPr>
              <w:t>系统管理</w:t>
            </w:r>
          </w:p>
        </w:tc>
        <w:tc>
          <w:tcPr>
            <w:tcW w:w="5981" w:type="dxa"/>
            <w:tcBorders>
              <w:top w:val="single" w:color="auto" w:sz="4" w:space="0"/>
              <w:left w:val="single" w:color="auto" w:sz="4" w:space="0"/>
              <w:bottom w:val="single" w:color="auto" w:sz="4" w:space="0"/>
              <w:right w:val="single" w:color="auto" w:sz="4" w:space="0"/>
            </w:tcBorders>
          </w:tcPr>
          <w:p w14:paraId="47F710E9">
            <w:pPr>
              <w:widowControl/>
              <w:autoSpaceDE/>
              <w:autoSpaceDN/>
              <w:spacing w:line="240" w:lineRule="auto"/>
              <w:ind w:firstLine="210" w:firstLineChars="100"/>
              <w:jc w:val="left"/>
              <w:rPr>
                <w:highlight w:val="none"/>
              </w:rPr>
            </w:pPr>
            <w:r>
              <w:rPr>
                <w:highlight w:val="none"/>
              </w:rPr>
              <w:t>11.1</w:t>
            </w:r>
            <w:r>
              <w:rPr>
                <w:rFonts w:hint="eastAsia"/>
                <w:highlight w:val="none"/>
              </w:rPr>
              <w:t>具备系统管理能力，用于管理系统使用过程中一些配置内容。如操作日志、规则编码配置、指标编码配置、安全配置等；</w:t>
            </w:r>
          </w:p>
          <w:p w14:paraId="6C508412">
            <w:pPr>
              <w:widowControl/>
              <w:autoSpaceDE/>
              <w:autoSpaceDN/>
              <w:spacing w:line="240" w:lineRule="auto"/>
              <w:ind w:firstLine="210" w:firstLineChars="100"/>
              <w:jc w:val="left"/>
              <w:rPr>
                <w:highlight w:val="none"/>
              </w:rPr>
            </w:pPr>
            <w:r>
              <w:rPr>
                <w:highlight w:val="none"/>
              </w:rPr>
              <w:t>11.2授权管理：1）支持对人员进行机构、角色和渠道应用的授权管理；2）支持授权下放，超级管理员可以将指定的系统权限的分配权给到机构、岗位或者特定人员，再由机构、岗位或者特定人员对其下属人员进行权限分配</w:t>
            </w:r>
            <w:r>
              <w:rPr>
                <w:rFonts w:hint="eastAsia"/>
                <w:highlight w:val="none"/>
              </w:rPr>
              <w:t>；</w:t>
            </w:r>
          </w:p>
          <w:p w14:paraId="67E7A70A">
            <w:pPr>
              <w:widowControl/>
              <w:autoSpaceDE/>
              <w:autoSpaceDN/>
              <w:spacing w:line="240" w:lineRule="auto"/>
              <w:ind w:firstLine="210" w:firstLineChars="100"/>
              <w:jc w:val="left"/>
              <w:rPr>
                <w:highlight w:val="none"/>
              </w:rPr>
            </w:pPr>
            <w:r>
              <w:rPr>
                <w:highlight w:val="none"/>
              </w:rPr>
              <w:t>11.3支持设立常规操作用户，将尽量多的常规操作权限赋予该用户，履行超管账户的“最小使用”原则；</w:t>
            </w:r>
          </w:p>
          <w:p w14:paraId="3D001841">
            <w:pPr>
              <w:widowControl/>
              <w:autoSpaceDE/>
              <w:autoSpaceDN/>
              <w:spacing w:line="240" w:lineRule="auto"/>
              <w:ind w:firstLine="210" w:firstLineChars="100"/>
              <w:jc w:val="left"/>
              <w:rPr>
                <w:highlight w:val="none"/>
              </w:rPr>
            </w:pPr>
            <w:r>
              <w:rPr>
                <w:highlight w:val="none"/>
              </w:rPr>
              <w:t>11.4</w:t>
            </w:r>
            <w:r>
              <w:rPr>
                <w:rFonts w:hint="eastAsia"/>
                <w:highlight w:val="none"/>
              </w:rPr>
              <w:t>支持同步行内其他系统的用户角色、角色关系、用户权限等；支持对接行内统一认证平台；</w:t>
            </w:r>
          </w:p>
          <w:p w14:paraId="47AF457D">
            <w:pPr>
              <w:widowControl/>
              <w:autoSpaceDE/>
              <w:autoSpaceDN/>
              <w:spacing w:line="240" w:lineRule="auto"/>
              <w:ind w:firstLine="210" w:firstLineChars="100"/>
              <w:jc w:val="left"/>
              <w:rPr>
                <w:highlight w:val="none"/>
              </w:rPr>
            </w:pPr>
            <w:r>
              <w:rPr>
                <w:highlight w:val="none"/>
              </w:rPr>
              <w:t>11.5</w:t>
            </w:r>
            <w:r>
              <w:rPr>
                <w:rFonts w:hint="eastAsia"/>
                <w:highlight w:val="none"/>
              </w:rPr>
              <w:t>对用户权限管理</w:t>
            </w:r>
            <w:r>
              <w:rPr>
                <w:highlight w:val="none"/>
              </w:rPr>
              <w:t>支持按照“双人原则”，所有操作均需复核（复核人和操作人不能为同一人）</w:t>
            </w:r>
            <w:r>
              <w:rPr>
                <w:rFonts w:hint="eastAsia"/>
                <w:highlight w:val="none"/>
              </w:rPr>
              <w:t>；</w:t>
            </w:r>
          </w:p>
          <w:p w14:paraId="2A099804">
            <w:pPr>
              <w:widowControl/>
              <w:autoSpaceDE/>
              <w:autoSpaceDN/>
              <w:spacing w:line="240" w:lineRule="auto"/>
              <w:ind w:firstLine="210" w:firstLineChars="100"/>
              <w:jc w:val="left"/>
              <w:rPr>
                <w:highlight w:val="none"/>
              </w:rPr>
            </w:pPr>
            <w:r>
              <w:rPr>
                <w:highlight w:val="none"/>
              </w:rPr>
              <w:t>11.6超管账户能够自定义，不能使用admin</w:t>
            </w:r>
            <w:r>
              <w:rPr>
                <w:rFonts w:hint="eastAsia"/>
                <w:highlight w:val="none"/>
              </w:rPr>
              <w:t>；</w:t>
            </w:r>
          </w:p>
          <w:p w14:paraId="4D198F7E">
            <w:pPr>
              <w:widowControl/>
              <w:autoSpaceDE/>
              <w:autoSpaceDN/>
              <w:spacing w:line="240" w:lineRule="auto"/>
              <w:ind w:firstLine="210" w:firstLineChars="100"/>
              <w:jc w:val="left"/>
              <w:rPr>
                <w:highlight w:val="none"/>
              </w:rPr>
            </w:pPr>
            <w:r>
              <w:rPr>
                <w:highlight w:val="none"/>
              </w:rPr>
              <w:t>11.7支持账户密码固定周期强制更换，比如90天必须强制账户更换密码</w:t>
            </w:r>
            <w:r>
              <w:rPr>
                <w:rFonts w:hint="eastAsia"/>
                <w:highlight w:val="none"/>
              </w:rPr>
              <w:t>；支持灵活配置密码强弱规则；</w:t>
            </w:r>
          </w:p>
        </w:tc>
      </w:tr>
    </w:tbl>
    <w:p w14:paraId="465BF453">
      <w:pPr>
        <w:ind w:firstLine="420"/>
        <w:rPr>
          <w:highlight w:val="none"/>
        </w:rPr>
      </w:pPr>
    </w:p>
    <w:p w14:paraId="50B8F0D7">
      <w:pPr>
        <w:pStyle w:val="3"/>
        <w:ind w:left="360" w:hanging="360"/>
        <w:rPr>
          <w:highlight w:val="none"/>
        </w:rPr>
      </w:pPr>
      <w:r>
        <w:rPr>
          <w:highlight w:val="none"/>
        </w:rPr>
        <w:t>2.</w:t>
      </w:r>
      <w:r>
        <w:rPr>
          <w:rFonts w:hint="eastAsia"/>
          <w:highlight w:val="none"/>
        </w:rPr>
        <w:t>技术要求</w:t>
      </w:r>
    </w:p>
    <w:p w14:paraId="61FC3607">
      <w:pPr>
        <w:pStyle w:val="4"/>
        <w:ind w:firstLine="422"/>
        <w:rPr>
          <w:szCs w:val="24"/>
          <w:highlight w:val="none"/>
        </w:rPr>
      </w:pPr>
      <w:r>
        <w:rPr>
          <w:rFonts w:hint="eastAsia"/>
          <w:szCs w:val="24"/>
          <w:highlight w:val="none"/>
        </w:rPr>
        <w:t>2</w:t>
      </w:r>
      <w:r>
        <w:rPr>
          <w:szCs w:val="24"/>
          <w:highlight w:val="none"/>
        </w:rPr>
        <w:t xml:space="preserve">.1 </w:t>
      </w:r>
      <w:r>
        <w:rPr>
          <w:rFonts w:hint="eastAsia"/>
          <w:szCs w:val="24"/>
          <w:highlight w:val="none"/>
        </w:rPr>
        <w:t>总体原则</w:t>
      </w:r>
    </w:p>
    <w:p w14:paraId="23B1A727">
      <w:pPr>
        <w:ind w:firstLine="420"/>
        <w:rPr>
          <w:szCs w:val="24"/>
          <w:highlight w:val="none"/>
        </w:rPr>
      </w:pPr>
      <w:r>
        <w:rPr>
          <w:rFonts w:hint="eastAsia"/>
          <w:szCs w:val="24"/>
          <w:highlight w:val="none"/>
        </w:rPr>
        <w:t>系统的建设应遵循集成性、先进性、可扩展性、稳定性、安全性、经济性、前瞻性和可维护性相结合的原则。</w:t>
      </w:r>
    </w:p>
    <w:p w14:paraId="71663943">
      <w:pPr>
        <w:ind w:firstLine="420"/>
        <w:rPr>
          <w:szCs w:val="24"/>
          <w:highlight w:val="none"/>
        </w:rPr>
      </w:pPr>
      <w:r>
        <w:rPr>
          <w:szCs w:val="24"/>
          <w:highlight w:val="none"/>
        </w:rPr>
        <w:t xml:space="preserve">2.1.1 </w:t>
      </w:r>
      <w:r>
        <w:rPr>
          <w:rFonts w:hint="eastAsia"/>
          <w:szCs w:val="24"/>
          <w:highlight w:val="none"/>
        </w:rPr>
        <w:t>集成性：系统建设需充分考虑与其它系统的集成，能快速与采购人其它业务和管理系统的集成。</w:t>
      </w:r>
    </w:p>
    <w:p w14:paraId="79AFC515">
      <w:pPr>
        <w:ind w:firstLine="420"/>
        <w:rPr>
          <w:szCs w:val="24"/>
          <w:highlight w:val="none"/>
        </w:rPr>
      </w:pPr>
      <w:r>
        <w:rPr>
          <w:szCs w:val="24"/>
          <w:highlight w:val="none"/>
        </w:rPr>
        <w:t>2.1.</w:t>
      </w:r>
      <w:r>
        <w:rPr>
          <w:rFonts w:hint="eastAsia"/>
          <w:szCs w:val="24"/>
          <w:highlight w:val="none"/>
        </w:rPr>
        <w:t>2 先进性：软件系统的选择与开发应在满足业务需求的基础上具有易改造、易升级、易操作、易维护等特点。</w:t>
      </w:r>
    </w:p>
    <w:p w14:paraId="6728BFAC">
      <w:pPr>
        <w:ind w:firstLine="420"/>
        <w:rPr>
          <w:szCs w:val="24"/>
          <w:highlight w:val="none"/>
        </w:rPr>
      </w:pPr>
      <w:r>
        <w:rPr>
          <w:szCs w:val="24"/>
          <w:highlight w:val="none"/>
        </w:rPr>
        <w:t>2.1.</w:t>
      </w:r>
      <w:r>
        <w:rPr>
          <w:rFonts w:hint="eastAsia"/>
          <w:szCs w:val="24"/>
          <w:highlight w:val="none"/>
        </w:rPr>
        <w:t>3 可扩展性：支持业务和系统的可扩展，支持行业应用可扩展，具有向后兼容的能力。</w:t>
      </w:r>
    </w:p>
    <w:p w14:paraId="214E0BDE">
      <w:pPr>
        <w:ind w:firstLine="420"/>
        <w:rPr>
          <w:szCs w:val="24"/>
          <w:highlight w:val="none"/>
        </w:rPr>
      </w:pPr>
      <w:r>
        <w:rPr>
          <w:szCs w:val="24"/>
          <w:highlight w:val="none"/>
        </w:rPr>
        <w:t>2.1.</w:t>
      </w:r>
      <w:r>
        <w:rPr>
          <w:rFonts w:hint="eastAsia"/>
          <w:szCs w:val="24"/>
          <w:highlight w:val="none"/>
        </w:rPr>
        <w:t>4 稳定性：系统要确保系统平稳运行，支持7×24小时连续运行，满足高峰处理的需要。</w:t>
      </w:r>
    </w:p>
    <w:p w14:paraId="4A2A0A15">
      <w:pPr>
        <w:ind w:firstLine="420"/>
        <w:rPr>
          <w:szCs w:val="24"/>
          <w:highlight w:val="none"/>
        </w:rPr>
      </w:pPr>
      <w:r>
        <w:rPr>
          <w:szCs w:val="24"/>
          <w:highlight w:val="none"/>
        </w:rPr>
        <w:t>2.1.</w:t>
      </w:r>
      <w:r>
        <w:rPr>
          <w:rFonts w:hint="eastAsia"/>
          <w:szCs w:val="24"/>
          <w:highlight w:val="none"/>
        </w:rPr>
        <w:t>5 安全性：</w:t>
      </w:r>
    </w:p>
    <w:p w14:paraId="49D19794">
      <w:pPr>
        <w:ind w:firstLine="420"/>
        <w:rPr>
          <w:szCs w:val="24"/>
          <w:highlight w:val="none"/>
        </w:rPr>
      </w:pPr>
      <w:r>
        <w:rPr>
          <w:szCs w:val="24"/>
          <w:highlight w:val="none"/>
        </w:rPr>
        <w:t>1</w:t>
      </w:r>
      <w:r>
        <w:rPr>
          <w:rFonts w:hint="eastAsia"/>
          <w:szCs w:val="24"/>
          <w:highlight w:val="none"/>
        </w:rPr>
        <w:t>）系统必须建立在成熟稳定的硬件环境和应用软件基础上，通过完善的备份恢复策略、安全控制机制、可靠的运行管理监控和故障处理手段来保障系统的运行稳定、安全。</w:t>
      </w:r>
    </w:p>
    <w:p w14:paraId="08B0DB57">
      <w:pPr>
        <w:ind w:firstLine="420"/>
        <w:rPr>
          <w:szCs w:val="24"/>
          <w:highlight w:val="none"/>
        </w:rPr>
      </w:pPr>
      <w:r>
        <w:rPr>
          <w:szCs w:val="24"/>
          <w:highlight w:val="none"/>
        </w:rPr>
        <w:t>2</w:t>
      </w:r>
      <w:r>
        <w:rPr>
          <w:rFonts w:hint="eastAsia"/>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3DB5287">
      <w:pPr>
        <w:ind w:firstLine="420"/>
        <w:rPr>
          <w:szCs w:val="24"/>
          <w:highlight w:val="none"/>
        </w:rPr>
      </w:pPr>
      <w:r>
        <w:rPr>
          <w:szCs w:val="24"/>
          <w:highlight w:val="none"/>
        </w:rPr>
        <w:t>2.1.</w:t>
      </w:r>
      <w:r>
        <w:rPr>
          <w:rFonts w:hint="eastAsia"/>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0FF9C82F">
      <w:pPr>
        <w:ind w:firstLine="420"/>
        <w:rPr>
          <w:szCs w:val="24"/>
          <w:highlight w:val="none"/>
        </w:rPr>
      </w:pPr>
      <w:r>
        <w:rPr>
          <w:szCs w:val="24"/>
          <w:highlight w:val="none"/>
        </w:rPr>
        <w:t>2.1.</w:t>
      </w:r>
      <w:r>
        <w:rPr>
          <w:rFonts w:hint="eastAsia"/>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7C815CF5">
      <w:pPr>
        <w:ind w:firstLine="420"/>
        <w:rPr>
          <w:szCs w:val="24"/>
          <w:highlight w:val="none"/>
        </w:rPr>
      </w:pPr>
      <w:r>
        <w:rPr>
          <w:szCs w:val="24"/>
          <w:highlight w:val="none"/>
        </w:rPr>
        <w:t>2.1.</w:t>
      </w:r>
      <w:r>
        <w:rPr>
          <w:rFonts w:hint="eastAsia"/>
          <w:szCs w:val="24"/>
          <w:highlight w:val="none"/>
        </w:rPr>
        <w:t>8 可维护性：系统可维护，运行成本可控。</w:t>
      </w:r>
    </w:p>
    <w:p w14:paraId="09D81174">
      <w:pPr>
        <w:pStyle w:val="4"/>
        <w:ind w:firstLine="422"/>
        <w:rPr>
          <w:szCs w:val="24"/>
          <w:highlight w:val="none"/>
        </w:rPr>
      </w:pPr>
      <w:r>
        <w:rPr>
          <w:rFonts w:hint="eastAsia"/>
          <w:szCs w:val="24"/>
          <w:highlight w:val="none"/>
        </w:rPr>
        <w:t>2.2 用户体验要求</w:t>
      </w:r>
    </w:p>
    <w:p w14:paraId="412238BA">
      <w:pPr>
        <w:ind w:firstLine="420"/>
        <w:rPr>
          <w:szCs w:val="24"/>
          <w:highlight w:val="none"/>
        </w:rPr>
      </w:pPr>
      <w:r>
        <w:rPr>
          <w:rFonts w:hint="eastAsia"/>
          <w:szCs w:val="24"/>
          <w:highlight w:val="none"/>
        </w:rPr>
        <w:t>界面可根据用户需求灵活更改（增强标签分类特性），注重用户体验，使系统各项功能易见、易学、易用。</w:t>
      </w:r>
    </w:p>
    <w:p w14:paraId="58E70A24">
      <w:pPr>
        <w:ind w:firstLine="420"/>
        <w:rPr>
          <w:szCs w:val="24"/>
          <w:highlight w:val="none"/>
        </w:rPr>
      </w:pPr>
      <w:r>
        <w:rPr>
          <w:rFonts w:hint="eastAsia"/>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327CE75D">
      <w:pPr>
        <w:pStyle w:val="4"/>
        <w:ind w:firstLine="422"/>
        <w:rPr>
          <w:szCs w:val="24"/>
          <w:highlight w:val="none"/>
        </w:rPr>
      </w:pPr>
      <w:r>
        <w:rPr>
          <w:rFonts w:hint="eastAsia"/>
          <w:szCs w:val="24"/>
          <w:highlight w:val="none"/>
        </w:rPr>
        <w:t>2</w:t>
      </w:r>
      <w:r>
        <w:rPr>
          <w:szCs w:val="24"/>
          <w:highlight w:val="none"/>
        </w:rPr>
        <w:t xml:space="preserve">.3 </w:t>
      </w:r>
      <w:r>
        <w:rPr>
          <w:rFonts w:hint="eastAsia"/>
          <w:szCs w:val="24"/>
          <w:highlight w:val="none"/>
        </w:rPr>
        <w:t>系统技术架构要求</w:t>
      </w:r>
    </w:p>
    <w:p w14:paraId="7CC49DEB">
      <w:pPr>
        <w:ind w:firstLine="420"/>
        <w:rPr>
          <w:szCs w:val="24"/>
          <w:highlight w:val="none"/>
        </w:rPr>
      </w:pPr>
      <w:r>
        <w:rPr>
          <w:rFonts w:hint="eastAsia"/>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DEB36FC">
      <w:pPr>
        <w:ind w:firstLine="420"/>
        <w:rPr>
          <w:szCs w:val="24"/>
          <w:highlight w:val="none"/>
        </w:rPr>
      </w:pPr>
      <w:r>
        <w:rPr>
          <w:rFonts w:hint="eastAsia"/>
          <w:szCs w:val="24"/>
          <w:highlight w:val="none"/>
        </w:rPr>
        <w:t>2）系统技术架构合理，数据结构合理，避免数据冗余，具有良好的扩展性、维护性和稳定性。如服务限流机制、服务降级机制等服务管控机制的应用，保障系统稳定运行。</w:t>
      </w:r>
    </w:p>
    <w:p w14:paraId="63A929B3">
      <w:pPr>
        <w:ind w:firstLine="420"/>
        <w:rPr>
          <w:szCs w:val="24"/>
          <w:highlight w:val="none"/>
        </w:rPr>
      </w:pPr>
      <w:r>
        <w:rPr>
          <w:rFonts w:hint="eastAsia"/>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6BB1B528">
      <w:pPr>
        <w:ind w:firstLine="420"/>
        <w:rPr>
          <w:szCs w:val="24"/>
          <w:highlight w:val="none"/>
        </w:rPr>
      </w:pPr>
      <w:r>
        <w:rPr>
          <w:rFonts w:hint="eastAsia"/>
          <w:szCs w:val="24"/>
          <w:highlight w:val="none"/>
        </w:rPr>
        <w:t>4）支持集群部署方式，适应采购人未来业务发展的需要。应用系统之间逻辑独立、启停服务时系统间不相互影响的部署方案。应用系统应支持双活跨数据中心的部署方案。</w:t>
      </w:r>
    </w:p>
    <w:p w14:paraId="1B7FA669">
      <w:pPr>
        <w:ind w:firstLine="420"/>
        <w:rPr>
          <w:szCs w:val="24"/>
          <w:highlight w:val="none"/>
        </w:rPr>
      </w:pPr>
      <w:r>
        <w:rPr>
          <w:rFonts w:hint="eastAsia"/>
          <w:szCs w:val="24"/>
          <w:highlight w:val="none"/>
        </w:rPr>
        <w:t>5）系统支持域名部署。</w:t>
      </w:r>
    </w:p>
    <w:p w14:paraId="0B1FCCC2">
      <w:pPr>
        <w:pStyle w:val="4"/>
        <w:ind w:firstLine="422"/>
        <w:rPr>
          <w:szCs w:val="24"/>
          <w:highlight w:val="none"/>
        </w:rPr>
      </w:pPr>
      <w:r>
        <w:rPr>
          <w:szCs w:val="24"/>
          <w:highlight w:val="none"/>
        </w:rPr>
        <w:t xml:space="preserve">2.4 </w:t>
      </w:r>
      <w:r>
        <w:rPr>
          <w:rFonts w:hint="eastAsia"/>
          <w:szCs w:val="24"/>
          <w:highlight w:val="none"/>
        </w:rPr>
        <w:t>系统性能要求</w:t>
      </w:r>
    </w:p>
    <w:p w14:paraId="5DFEF44F">
      <w:pPr>
        <w:ind w:firstLine="420"/>
        <w:rPr>
          <w:szCs w:val="24"/>
          <w:highlight w:val="none"/>
        </w:rPr>
      </w:pPr>
      <w:r>
        <w:rPr>
          <w:rFonts w:hint="eastAsia"/>
          <w:szCs w:val="24"/>
          <w:highlight w:val="none"/>
        </w:rPr>
        <w:t>1）应具有高效的运行效率，能通过负载均衡、流量控制、消息缓存等机制，提供大规模、高并发量的交易处理能力，满足登陆、查询、日终批量等性能需求；</w:t>
      </w:r>
    </w:p>
    <w:p w14:paraId="18EF5FA1">
      <w:pPr>
        <w:ind w:firstLine="420"/>
        <w:rPr>
          <w:szCs w:val="24"/>
          <w:highlight w:val="none"/>
        </w:rPr>
      </w:pPr>
      <w:r>
        <w:rPr>
          <w:rFonts w:hint="eastAsia"/>
          <w:szCs w:val="24"/>
          <w:highlight w:val="none"/>
        </w:rPr>
        <w:t>2）系统必须提供平台级的负载均衡和容错能力；</w:t>
      </w:r>
    </w:p>
    <w:p w14:paraId="323470AA">
      <w:pPr>
        <w:ind w:firstLine="420"/>
        <w:rPr>
          <w:szCs w:val="24"/>
          <w:highlight w:val="none"/>
        </w:rPr>
      </w:pPr>
      <w:r>
        <w:rPr>
          <w:rFonts w:hint="eastAsia"/>
          <w:szCs w:val="24"/>
          <w:highlight w:val="none"/>
        </w:rPr>
        <w:t>3）主机系统能够保持7*24稳定的不间断运行，从系统软硬件平台及网络等方面来保证系统的稳定性；</w:t>
      </w:r>
    </w:p>
    <w:p w14:paraId="20D3070C">
      <w:pPr>
        <w:ind w:firstLine="420"/>
        <w:rPr>
          <w:szCs w:val="24"/>
          <w:highlight w:val="none"/>
        </w:rPr>
      </w:pPr>
      <w:r>
        <w:rPr>
          <w:rFonts w:hint="eastAsia"/>
          <w:szCs w:val="24"/>
          <w:highlight w:val="none"/>
        </w:rPr>
        <w:t>4）可用率：系统总体平均可用率在99.99%以上。</w:t>
      </w:r>
    </w:p>
    <w:p w14:paraId="5AC2104E">
      <w:pPr>
        <w:pStyle w:val="4"/>
        <w:ind w:firstLine="422"/>
        <w:rPr>
          <w:szCs w:val="24"/>
          <w:highlight w:val="none"/>
        </w:rPr>
      </w:pPr>
      <w:r>
        <w:rPr>
          <w:rFonts w:hint="eastAsia"/>
          <w:szCs w:val="24"/>
          <w:highlight w:val="none"/>
        </w:rPr>
        <w:t>2</w:t>
      </w:r>
      <w:r>
        <w:rPr>
          <w:szCs w:val="24"/>
          <w:highlight w:val="none"/>
        </w:rPr>
        <w:t xml:space="preserve">.5 </w:t>
      </w:r>
      <w:r>
        <w:rPr>
          <w:rFonts w:hint="eastAsia"/>
          <w:szCs w:val="24"/>
          <w:highlight w:val="none"/>
        </w:rPr>
        <w:t>安全性要求</w:t>
      </w:r>
    </w:p>
    <w:p w14:paraId="61F85BF9">
      <w:pPr>
        <w:ind w:firstLine="420"/>
        <w:rPr>
          <w:szCs w:val="24"/>
          <w:highlight w:val="none"/>
        </w:rPr>
      </w:pPr>
      <w:r>
        <w:rPr>
          <w:rFonts w:hint="eastAsia"/>
          <w:szCs w:val="24"/>
          <w:highlight w:val="none"/>
        </w:rPr>
        <w:t>为确保信息安全，采取的措施包括但不限于以下：</w:t>
      </w:r>
    </w:p>
    <w:p w14:paraId="0FED3EEB">
      <w:pPr>
        <w:ind w:firstLine="420"/>
        <w:rPr>
          <w:szCs w:val="24"/>
          <w:highlight w:val="none"/>
        </w:rPr>
      </w:pPr>
      <w:r>
        <w:rPr>
          <w:rFonts w:hint="eastAsia"/>
          <w:szCs w:val="24"/>
          <w:highlight w:val="none"/>
        </w:rPr>
        <w:t>1）平台安全：架构设计符合安全性要求，平台软件达到安全设计标准且不低于同业相关系统要求。</w:t>
      </w:r>
    </w:p>
    <w:p w14:paraId="1B938096">
      <w:pPr>
        <w:ind w:firstLine="420"/>
        <w:rPr>
          <w:szCs w:val="24"/>
          <w:highlight w:val="none"/>
        </w:rPr>
      </w:pPr>
      <w:r>
        <w:rPr>
          <w:rFonts w:hint="eastAsia"/>
          <w:szCs w:val="24"/>
          <w:highlight w:val="none"/>
        </w:rPr>
        <w:t>2）数据安全：支持文档安全软件整合技术，从而做到数据传输加密、远程安全访问、数据存储加密，数据部署网络区域应支持入侵检测与防御系统、防火墙的应用。</w:t>
      </w:r>
    </w:p>
    <w:p w14:paraId="04B8AB59">
      <w:pPr>
        <w:ind w:firstLine="420"/>
        <w:rPr>
          <w:szCs w:val="24"/>
          <w:highlight w:val="none"/>
        </w:rPr>
      </w:pPr>
      <w:r>
        <w:rPr>
          <w:rFonts w:hint="eastAsia"/>
          <w:szCs w:val="24"/>
          <w:highlight w:val="none"/>
        </w:rPr>
        <w:t>3）容灾备份：支持各种容灾的软硬件设备的使用等。</w:t>
      </w:r>
    </w:p>
    <w:p w14:paraId="3B92394B">
      <w:pPr>
        <w:ind w:firstLine="420"/>
        <w:rPr>
          <w:szCs w:val="24"/>
          <w:highlight w:val="none"/>
        </w:rPr>
      </w:pPr>
      <w:r>
        <w:rPr>
          <w:rFonts w:hint="eastAsia"/>
          <w:szCs w:val="24"/>
          <w:highlight w:val="none"/>
        </w:rPr>
        <w:t>4）管理安全：提供完善的日志功能，能够记录系统使用人员的关键操作，保证系统应用的安全。</w:t>
      </w:r>
    </w:p>
    <w:p w14:paraId="73ACC26B">
      <w:pPr>
        <w:ind w:firstLine="420"/>
        <w:rPr>
          <w:szCs w:val="24"/>
          <w:highlight w:val="none"/>
        </w:rPr>
      </w:pPr>
      <w:r>
        <w:rPr>
          <w:rFonts w:hint="eastAsia"/>
          <w:szCs w:val="24"/>
          <w:highlight w:val="none"/>
        </w:rPr>
        <w:t>5）密码策略：初始密码强制更改、启用验证码、密码过期控制、密码错误次数控制、密码强度设置等，不得以明文的方式保存任何相关密码，防止暴力破解和恶意攻击。</w:t>
      </w:r>
    </w:p>
    <w:p w14:paraId="45AB6A59">
      <w:pPr>
        <w:ind w:firstLine="420"/>
        <w:rPr>
          <w:szCs w:val="24"/>
          <w:highlight w:val="none"/>
        </w:rPr>
      </w:pPr>
      <w:r>
        <w:rPr>
          <w:rFonts w:hint="eastAsia"/>
          <w:szCs w:val="24"/>
          <w:highlight w:val="none"/>
        </w:rPr>
        <w:t>6）系统严密、灵活的访问安全控制；</w:t>
      </w:r>
    </w:p>
    <w:p w14:paraId="5C1BAC53">
      <w:pPr>
        <w:ind w:firstLine="420"/>
        <w:rPr>
          <w:szCs w:val="24"/>
          <w:highlight w:val="none"/>
        </w:rPr>
      </w:pPr>
      <w:r>
        <w:rPr>
          <w:rFonts w:hint="eastAsia"/>
          <w:szCs w:val="24"/>
          <w:highlight w:val="none"/>
        </w:rPr>
        <w:t>7）系统有整体的用户/权限管理体系，可统一进行用户/权限的管理，实现到字段级的查询、修改、管理权限控制；</w:t>
      </w:r>
    </w:p>
    <w:p w14:paraId="2CAEDDBF">
      <w:pPr>
        <w:ind w:firstLine="420"/>
        <w:rPr>
          <w:rStyle w:val="27"/>
          <w:highlight w:val="none"/>
        </w:rPr>
      </w:pPr>
      <w:r>
        <w:rPr>
          <w:rFonts w:hint="eastAsia"/>
          <w:szCs w:val="24"/>
          <w:highlight w:val="none"/>
        </w:rPr>
        <w:t>8）系统开发必须满足采购</w:t>
      </w:r>
      <w:r>
        <w:rPr>
          <w:szCs w:val="24"/>
          <w:highlight w:val="none"/>
        </w:rPr>
        <w:t>人</w:t>
      </w:r>
      <w:r>
        <w:rPr>
          <w:rFonts w:hint="eastAsia"/>
          <w:szCs w:val="24"/>
          <w:highlight w:val="none"/>
        </w:rPr>
        <w:t>软件研发项目安全需求基线要求。</w:t>
      </w:r>
      <w:r>
        <w:rPr>
          <w:rStyle w:val="27"/>
          <w:highlight w:val="none"/>
        </w:rPr>
        <w:t>具体如下表所示：</w:t>
      </w:r>
    </w:p>
    <w:tbl>
      <w:tblPr>
        <w:tblStyle w:val="23"/>
        <w:tblW w:w="8951" w:type="dxa"/>
        <w:jc w:val="center"/>
        <w:tblLayout w:type="fixed"/>
        <w:tblCellMar>
          <w:top w:w="0" w:type="dxa"/>
          <w:left w:w="108" w:type="dxa"/>
          <w:bottom w:w="0" w:type="dxa"/>
          <w:right w:w="108" w:type="dxa"/>
        </w:tblCellMar>
      </w:tblPr>
      <w:tblGrid>
        <w:gridCol w:w="1091"/>
        <w:gridCol w:w="968"/>
        <w:gridCol w:w="6892"/>
      </w:tblGrid>
      <w:tr w14:paraId="3097D50A">
        <w:tblPrEx>
          <w:tblCellMar>
            <w:top w:w="0" w:type="dxa"/>
            <w:left w:w="108" w:type="dxa"/>
            <w:bottom w:w="0" w:type="dxa"/>
            <w:right w:w="108" w:type="dxa"/>
          </w:tblCellMar>
        </w:tblPrEx>
        <w:trPr>
          <w:trHeight w:val="240"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BFBFBF"/>
            <w:vAlign w:val="center"/>
          </w:tcPr>
          <w:p w14:paraId="4B7DA9F3">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类别</w:t>
            </w:r>
          </w:p>
        </w:tc>
        <w:tc>
          <w:tcPr>
            <w:tcW w:w="968" w:type="dxa"/>
            <w:tcBorders>
              <w:top w:val="single" w:color="auto" w:sz="4" w:space="0"/>
              <w:left w:val="nil"/>
              <w:bottom w:val="single" w:color="auto" w:sz="4" w:space="0"/>
              <w:right w:val="single" w:color="auto" w:sz="4" w:space="0"/>
            </w:tcBorders>
            <w:shd w:val="clear" w:color="000000" w:fill="BFBFBF"/>
            <w:vAlign w:val="center"/>
          </w:tcPr>
          <w:p w14:paraId="2EEDA6A5">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子类</w:t>
            </w:r>
          </w:p>
        </w:tc>
        <w:tc>
          <w:tcPr>
            <w:tcW w:w="6892" w:type="dxa"/>
            <w:tcBorders>
              <w:top w:val="single" w:color="auto" w:sz="4" w:space="0"/>
              <w:left w:val="nil"/>
              <w:bottom w:val="single" w:color="auto" w:sz="4" w:space="0"/>
              <w:right w:val="single" w:color="auto" w:sz="4" w:space="0"/>
            </w:tcBorders>
            <w:shd w:val="clear" w:color="000000" w:fill="BFBFBF"/>
            <w:vAlign w:val="center"/>
          </w:tcPr>
          <w:p w14:paraId="6E1ED9D6">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安全需求</w:t>
            </w:r>
          </w:p>
        </w:tc>
      </w:tr>
      <w:tr w14:paraId="415A2714">
        <w:tblPrEx>
          <w:tblCellMar>
            <w:top w:w="0" w:type="dxa"/>
            <w:left w:w="108" w:type="dxa"/>
            <w:bottom w:w="0" w:type="dxa"/>
            <w:right w:w="108" w:type="dxa"/>
          </w:tblCellMar>
        </w:tblPrEx>
        <w:trPr>
          <w:trHeight w:val="841"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4BD4A27F">
            <w:pPr>
              <w:snapToGrid w:val="0"/>
              <w:ind w:firstLine="0" w:firstLineChars="0"/>
              <w:rPr>
                <w:rFonts w:eastAsia="方正仿宋_GBK" w:cs="Times New Roman"/>
                <w:sz w:val="20"/>
                <w:highlight w:val="none"/>
              </w:rPr>
            </w:pPr>
            <w:r>
              <w:rPr>
                <w:rFonts w:eastAsia="方正仿宋_GBK" w:cs="Times New Roman"/>
                <w:sz w:val="20"/>
                <w:highlight w:val="none"/>
              </w:rPr>
              <w:t>身份认证</w:t>
            </w:r>
          </w:p>
        </w:tc>
        <w:tc>
          <w:tcPr>
            <w:tcW w:w="968" w:type="dxa"/>
            <w:tcBorders>
              <w:top w:val="single" w:color="auto" w:sz="4" w:space="0"/>
              <w:left w:val="nil"/>
              <w:bottom w:val="single" w:color="auto" w:sz="4" w:space="0"/>
              <w:right w:val="single" w:color="auto" w:sz="4" w:space="0"/>
            </w:tcBorders>
            <w:vAlign w:val="center"/>
          </w:tcPr>
          <w:p w14:paraId="376AAF04">
            <w:pPr>
              <w:snapToGrid w:val="0"/>
              <w:ind w:firstLine="0" w:firstLineChars="0"/>
              <w:rPr>
                <w:rFonts w:eastAsia="方正仿宋_GBK" w:cs="Times New Roman"/>
                <w:sz w:val="20"/>
                <w:highlight w:val="none"/>
              </w:rPr>
            </w:pPr>
            <w:r>
              <w:rPr>
                <w:rFonts w:eastAsia="方正仿宋_GBK" w:cs="Times New Roman"/>
                <w:sz w:val="20"/>
                <w:highlight w:val="none"/>
              </w:rPr>
              <w:t>口令安全策略</w:t>
            </w:r>
          </w:p>
        </w:tc>
        <w:tc>
          <w:tcPr>
            <w:tcW w:w="6892" w:type="dxa"/>
            <w:tcBorders>
              <w:top w:val="single" w:color="auto" w:sz="4" w:space="0"/>
              <w:left w:val="nil"/>
              <w:bottom w:val="single" w:color="auto" w:sz="4" w:space="0"/>
              <w:right w:val="single" w:color="auto" w:sz="4" w:space="0"/>
            </w:tcBorders>
            <w:vAlign w:val="center"/>
          </w:tcPr>
          <w:p w14:paraId="12C8EDDE">
            <w:pPr>
              <w:snapToGrid w:val="0"/>
              <w:ind w:firstLine="0" w:firstLineChars="0"/>
              <w:rPr>
                <w:rFonts w:eastAsia="方正仿宋_GBK" w:cs="Times New Roman"/>
                <w:sz w:val="20"/>
                <w:highlight w:val="none"/>
              </w:rPr>
            </w:pPr>
            <w:r>
              <w:rPr>
                <w:rFonts w:eastAsia="方正仿宋_GBK" w:cs="Times New Roman"/>
                <w:sz w:val="20"/>
                <w:highlight w:val="none"/>
              </w:rPr>
              <w:t>应用系统应具有口令复杂度限制功能，并在设置密码、修改密码、重置密码的时候进行密码复杂度校验：</w:t>
            </w:r>
            <w:r>
              <w:rPr>
                <w:rFonts w:eastAsia="方正仿宋_GBK" w:cs="Times New Roman"/>
                <w:sz w:val="20"/>
                <w:highlight w:val="none"/>
              </w:rPr>
              <w:br w:type="textWrapping"/>
            </w:r>
            <w:r>
              <w:rPr>
                <w:rFonts w:eastAsia="方正仿宋_GBK" w:cs="Times New Roman"/>
                <w:sz w:val="20"/>
                <w:highlight w:val="none"/>
              </w:rPr>
              <w:t>（1）口令复杂度要求：长度8位及以上，至少包含大写，小写字母，数字，特殊字符中的三种或三种以上；</w:t>
            </w:r>
            <w:r>
              <w:rPr>
                <w:rFonts w:eastAsia="方正仿宋_GBK" w:cs="Times New Roman"/>
                <w:sz w:val="20"/>
                <w:highlight w:val="none"/>
              </w:rPr>
              <w:br w:type="textWrapping"/>
            </w:r>
            <w:r>
              <w:rPr>
                <w:rFonts w:eastAsia="方正仿宋_GBK" w:cs="Times New Roman"/>
                <w:sz w:val="20"/>
                <w:highlight w:val="none"/>
              </w:rPr>
              <w:t>（2）不能使用和用户名相同的密码；</w:t>
            </w:r>
            <w:r>
              <w:rPr>
                <w:rFonts w:eastAsia="方正仿宋_GBK" w:cs="Times New Roman"/>
                <w:sz w:val="20"/>
                <w:highlight w:val="none"/>
              </w:rPr>
              <w:br w:type="textWrapping"/>
            </w:r>
            <w:r>
              <w:rPr>
                <w:rFonts w:eastAsia="方正仿宋_GBK" w:cs="Times New Roman"/>
                <w:sz w:val="20"/>
                <w:highlight w:val="none"/>
              </w:rPr>
              <w:t>（3）避免使用默认口令，如果使用，应在用户首次登录时，强制用户修改密码。</w:t>
            </w:r>
            <w:r>
              <w:rPr>
                <w:rFonts w:eastAsia="方正仿宋_GBK" w:cs="Times New Roman"/>
                <w:sz w:val="20"/>
                <w:highlight w:val="none"/>
              </w:rPr>
              <w:br w:type="textWrapping"/>
            </w:r>
            <w:r>
              <w:rPr>
                <w:rFonts w:eastAsia="方正仿宋_GBK" w:cs="Times New Roman"/>
                <w:sz w:val="20"/>
                <w:highlight w:val="none"/>
              </w:rPr>
              <w:t>（4）系统各用户应根据使用场景定期更改密码，设置密码更新周期频率（最长不超过90天）。</w:t>
            </w:r>
          </w:p>
        </w:tc>
      </w:tr>
      <w:tr w14:paraId="01D6A8F1">
        <w:tblPrEx>
          <w:tblCellMar>
            <w:top w:w="0" w:type="dxa"/>
            <w:left w:w="108" w:type="dxa"/>
            <w:bottom w:w="0" w:type="dxa"/>
            <w:right w:w="108" w:type="dxa"/>
          </w:tblCellMar>
        </w:tblPrEx>
        <w:trPr>
          <w:trHeight w:val="1263"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3A9A0468">
            <w:pPr>
              <w:ind w:firstLine="420"/>
              <w:rPr>
                <w:highlight w:val="none"/>
              </w:rPr>
            </w:pPr>
          </w:p>
        </w:tc>
        <w:tc>
          <w:tcPr>
            <w:tcW w:w="968" w:type="dxa"/>
            <w:tcBorders>
              <w:top w:val="nil"/>
              <w:left w:val="nil"/>
              <w:bottom w:val="single" w:color="auto" w:sz="4" w:space="0"/>
              <w:right w:val="single" w:color="auto" w:sz="4" w:space="0"/>
            </w:tcBorders>
            <w:vAlign w:val="center"/>
          </w:tcPr>
          <w:p w14:paraId="41A7D0F7">
            <w:pPr>
              <w:snapToGrid w:val="0"/>
              <w:ind w:firstLine="0" w:firstLineChars="0"/>
              <w:rPr>
                <w:rFonts w:eastAsia="方正仿宋_GBK" w:cs="Times New Roman"/>
                <w:sz w:val="20"/>
                <w:highlight w:val="none"/>
              </w:rPr>
            </w:pPr>
            <w:r>
              <w:rPr>
                <w:rFonts w:eastAsia="方正仿宋_GBK" w:cs="Times New Roman"/>
                <w:sz w:val="20"/>
                <w:highlight w:val="none"/>
              </w:rPr>
              <w:t>口令加密传输</w:t>
            </w:r>
          </w:p>
        </w:tc>
        <w:tc>
          <w:tcPr>
            <w:tcW w:w="6892" w:type="dxa"/>
            <w:tcBorders>
              <w:top w:val="nil"/>
              <w:left w:val="nil"/>
              <w:bottom w:val="single" w:color="auto" w:sz="4" w:space="0"/>
              <w:right w:val="single" w:color="auto" w:sz="4" w:space="0"/>
            </w:tcBorders>
            <w:vAlign w:val="center"/>
          </w:tcPr>
          <w:p w14:paraId="5E085CA2">
            <w:pPr>
              <w:snapToGrid w:val="0"/>
              <w:ind w:firstLine="0" w:firstLineChars="0"/>
              <w:rPr>
                <w:rFonts w:eastAsia="方正仿宋_GBK" w:cs="Times New Roman"/>
                <w:sz w:val="20"/>
                <w:highlight w:val="none"/>
              </w:rPr>
            </w:pPr>
            <w:r>
              <w:rPr>
                <w:rFonts w:eastAsia="方正仿宋_GBK" w:cs="Times New Roman"/>
                <w:sz w:val="20"/>
                <w:highlight w:val="none"/>
              </w:rPr>
              <w:t>用户口令在传输过程中需进行加密，建议使用md5加盐(随机数)、sha2、pbkdf2等方式进行加密传输，禁止直接使用明文传输，禁止直接使用MD5、sha1等弱加密方式。</w:t>
            </w:r>
          </w:p>
        </w:tc>
      </w:tr>
      <w:tr w14:paraId="4008049C">
        <w:tblPrEx>
          <w:tblCellMar>
            <w:top w:w="0" w:type="dxa"/>
            <w:left w:w="108" w:type="dxa"/>
            <w:bottom w:w="0" w:type="dxa"/>
            <w:right w:w="108" w:type="dxa"/>
          </w:tblCellMar>
        </w:tblPrEx>
        <w:trPr>
          <w:trHeight w:val="2455"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231BE338">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7FE8A1A0">
            <w:pPr>
              <w:snapToGrid w:val="0"/>
              <w:ind w:firstLine="0" w:firstLineChars="0"/>
              <w:rPr>
                <w:rFonts w:eastAsia="方正仿宋_GBK" w:cs="Times New Roman"/>
                <w:sz w:val="20"/>
                <w:highlight w:val="none"/>
              </w:rPr>
            </w:pPr>
            <w:r>
              <w:rPr>
                <w:rFonts w:eastAsia="方正仿宋_GBK" w:cs="Times New Roman"/>
                <w:sz w:val="20"/>
                <w:highlight w:val="none"/>
              </w:rPr>
              <w:t>防暴力猜解</w:t>
            </w:r>
          </w:p>
        </w:tc>
        <w:tc>
          <w:tcPr>
            <w:tcW w:w="6892" w:type="dxa"/>
            <w:tcBorders>
              <w:top w:val="single" w:color="auto" w:sz="4" w:space="0"/>
              <w:left w:val="single" w:color="auto" w:sz="4" w:space="0"/>
              <w:bottom w:val="single" w:color="auto" w:sz="4" w:space="0"/>
              <w:right w:val="single" w:color="auto" w:sz="4" w:space="0"/>
            </w:tcBorders>
            <w:vAlign w:val="center"/>
          </w:tcPr>
          <w:p w14:paraId="1A8D7681">
            <w:pPr>
              <w:snapToGrid w:val="0"/>
              <w:ind w:firstLine="0" w:firstLineChars="0"/>
              <w:rPr>
                <w:rFonts w:eastAsia="方正仿宋_GBK" w:cs="Times New Roman"/>
                <w:sz w:val="20"/>
                <w:highlight w:val="none"/>
              </w:rPr>
            </w:pPr>
            <w:r>
              <w:rPr>
                <w:rFonts w:eastAsia="方正仿宋_GBK" w:cs="Times New Roman"/>
                <w:sz w:val="20"/>
                <w:highlight w:val="none"/>
              </w:rPr>
              <w:t>身份认证时，应防止暴力猜解账号口令：</w:t>
            </w:r>
            <w:r>
              <w:rPr>
                <w:rFonts w:eastAsia="方正仿宋_GBK" w:cs="Times New Roman"/>
                <w:sz w:val="20"/>
                <w:highlight w:val="none"/>
              </w:rPr>
              <w:br w:type="textWrapping"/>
            </w:r>
            <w:r>
              <w:rPr>
                <w:rFonts w:eastAsia="方正仿宋_GBK" w:cs="Times New Roman"/>
                <w:sz w:val="20"/>
                <w:highlight w:val="none"/>
              </w:rPr>
              <w:t>（1）在登录认证失败时给出通用的错误提示（如“账号或密码错误”），不能透露用户ID是否存在等信息。</w:t>
            </w:r>
            <w:r>
              <w:rPr>
                <w:rFonts w:eastAsia="方正仿宋_GBK" w:cs="Times New Roman"/>
                <w:sz w:val="20"/>
                <w:highlight w:val="none"/>
              </w:rPr>
              <w:br w:type="textWrapping"/>
            </w:r>
            <w:r>
              <w:rPr>
                <w:rFonts w:eastAsia="方正仿宋_GBK" w:cs="Times New Roman"/>
                <w:sz w:val="20"/>
                <w:highlight w:val="none"/>
              </w:rPr>
              <w:t>（2）记录尝试次数，当超过阈值时（例如五次），限制访问（限制IP或锁定用户，锁定时间及解锁方式自行确定）。</w:t>
            </w:r>
            <w:r>
              <w:rPr>
                <w:rFonts w:eastAsia="方正仿宋_GBK" w:cs="Times New Roman"/>
                <w:sz w:val="20"/>
                <w:highlight w:val="none"/>
              </w:rPr>
              <w:br w:type="textWrapping"/>
            </w:r>
            <w:r>
              <w:rPr>
                <w:rFonts w:eastAsia="方正仿宋_GBK" w:cs="Times New Roman"/>
                <w:sz w:val="20"/>
                <w:highlight w:val="none"/>
              </w:rPr>
              <w:t>（3）使用图片验证码防止暴力破解。</w:t>
            </w:r>
          </w:p>
        </w:tc>
      </w:tr>
      <w:tr w14:paraId="28A83DCD">
        <w:tblPrEx>
          <w:tblCellMar>
            <w:top w:w="0" w:type="dxa"/>
            <w:left w:w="108" w:type="dxa"/>
            <w:bottom w:w="0" w:type="dxa"/>
            <w:right w:w="108" w:type="dxa"/>
          </w:tblCellMar>
        </w:tblPrEx>
        <w:trPr>
          <w:trHeight w:val="762"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FFFFFF"/>
            <w:vAlign w:val="center"/>
          </w:tcPr>
          <w:p w14:paraId="0EA5B508">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968" w:type="dxa"/>
            <w:tcBorders>
              <w:top w:val="single" w:color="auto" w:sz="4" w:space="0"/>
              <w:left w:val="nil"/>
              <w:bottom w:val="single" w:color="auto" w:sz="4" w:space="0"/>
              <w:right w:val="single" w:color="auto" w:sz="4" w:space="0"/>
            </w:tcBorders>
            <w:vAlign w:val="center"/>
          </w:tcPr>
          <w:p w14:paraId="061EBE04">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6892" w:type="dxa"/>
            <w:tcBorders>
              <w:top w:val="single" w:color="auto" w:sz="4" w:space="0"/>
              <w:left w:val="nil"/>
              <w:bottom w:val="single" w:color="auto" w:sz="4" w:space="0"/>
              <w:right w:val="single" w:color="auto" w:sz="4" w:space="0"/>
            </w:tcBorders>
            <w:vAlign w:val="center"/>
          </w:tcPr>
          <w:p w14:paraId="646C4537">
            <w:pPr>
              <w:snapToGrid w:val="0"/>
              <w:ind w:firstLine="0" w:firstLineChars="0"/>
              <w:rPr>
                <w:rFonts w:eastAsia="方正仿宋_GBK" w:cs="Times New Roman"/>
                <w:sz w:val="20"/>
                <w:highlight w:val="none"/>
              </w:rPr>
            </w:pPr>
            <w:r>
              <w:rPr>
                <w:rFonts w:eastAsia="方正仿宋_GBK" w:cs="Times New Roman"/>
                <w:sz w:val="20"/>
                <w:highlight w:val="none"/>
              </w:rPr>
              <w:t>禁止将账号口令等敏感信息明文或简单编码存放在Cookie中。</w:t>
            </w:r>
          </w:p>
        </w:tc>
      </w:tr>
      <w:tr w14:paraId="6D35AF76">
        <w:tblPrEx>
          <w:tblCellMar>
            <w:top w:w="0" w:type="dxa"/>
            <w:left w:w="108" w:type="dxa"/>
            <w:bottom w:w="0" w:type="dxa"/>
            <w:right w:w="108" w:type="dxa"/>
          </w:tblCellMar>
        </w:tblPrEx>
        <w:trPr>
          <w:trHeight w:val="840" w:hRule="atLeast"/>
          <w:jc w:val="center"/>
        </w:trPr>
        <w:tc>
          <w:tcPr>
            <w:tcW w:w="1091" w:type="dxa"/>
            <w:vMerge w:val="restart"/>
            <w:tcBorders>
              <w:top w:val="nil"/>
              <w:left w:val="single" w:color="auto" w:sz="4" w:space="0"/>
              <w:bottom w:val="single" w:color="auto" w:sz="4" w:space="0"/>
              <w:right w:val="single" w:color="auto" w:sz="4" w:space="0"/>
            </w:tcBorders>
            <w:vAlign w:val="center"/>
          </w:tcPr>
          <w:p w14:paraId="5957ADC0">
            <w:pPr>
              <w:snapToGrid w:val="0"/>
              <w:ind w:firstLine="0" w:firstLineChars="0"/>
              <w:rPr>
                <w:rFonts w:eastAsia="方正仿宋_GBK" w:cs="Times New Roman"/>
                <w:sz w:val="20"/>
                <w:highlight w:val="none"/>
              </w:rPr>
            </w:pPr>
            <w:r>
              <w:rPr>
                <w:rFonts w:eastAsia="方正仿宋_GBK" w:cs="Times New Roman"/>
                <w:sz w:val="20"/>
                <w:highlight w:val="none"/>
              </w:rPr>
              <w:t>访问控制</w:t>
            </w:r>
          </w:p>
        </w:tc>
        <w:tc>
          <w:tcPr>
            <w:tcW w:w="968" w:type="dxa"/>
            <w:tcBorders>
              <w:top w:val="nil"/>
              <w:left w:val="nil"/>
              <w:bottom w:val="single" w:color="auto" w:sz="4" w:space="0"/>
              <w:right w:val="single" w:color="auto" w:sz="4" w:space="0"/>
            </w:tcBorders>
            <w:vAlign w:val="center"/>
          </w:tcPr>
          <w:p w14:paraId="13B17525">
            <w:pPr>
              <w:snapToGrid w:val="0"/>
              <w:ind w:firstLine="0" w:firstLineChars="0"/>
              <w:rPr>
                <w:rFonts w:eastAsia="方正仿宋_GBK" w:cs="Times New Roman"/>
                <w:sz w:val="20"/>
                <w:highlight w:val="none"/>
              </w:rPr>
            </w:pPr>
            <w:r>
              <w:rPr>
                <w:rFonts w:eastAsia="方正仿宋_GBK" w:cs="Times New Roman"/>
                <w:sz w:val="20"/>
                <w:highlight w:val="none"/>
              </w:rPr>
              <w:t>未授权访问</w:t>
            </w:r>
          </w:p>
        </w:tc>
        <w:tc>
          <w:tcPr>
            <w:tcW w:w="6892" w:type="dxa"/>
            <w:tcBorders>
              <w:top w:val="nil"/>
              <w:left w:val="nil"/>
              <w:bottom w:val="single" w:color="auto" w:sz="4" w:space="0"/>
              <w:right w:val="single" w:color="auto" w:sz="4" w:space="0"/>
            </w:tcBorders>
            <w:vAlign w:val="center"/>
          </w:tcPr>
          <w:p w14:paraId="19E7D07B">
            <w:pPr>
              <w:snapToGrid w:val="0"/>
              <w:ind w:firstLine="0" w:firstLineChars="0"/>
              <w:rPr>
                <w:rFonts w:eastAsia="方正仿宋_GBK" w:cs="Times New Roman"/>
                <w:sz w:val="20"/>
                <w:highlight w:val="none"/>
              </w:rPr>
            </w:pPr>
            <w:r>
              <w:rPr>
                <w:rFonts w:eastAsia="方正仿宋_GBK" w:cs="Times New Roman"/>
                <w:sz w:val="20"/>
                <w:highlight w:val="none"/>
              </w:rPr>
              <w:t>应建立安全的访问控制机制，禁止未登录用户访问用户登录后的资源、页面或URL。</w:t>
            </w:r>
          </w:p>
        </w:tc>
      </w:tr>
      <w:tr w14:paraId="0367CBD2">
        <w:tblPrEx>
          <w:tblCellMar>
            <w:top w:w="0" w:type="dxa"/>
            <w:left w:w="108" w:type="dxa"/>
            <w:bottom w:w="0" w:type="dxa"/>
            <w:right w:w="108" w:type="dxa"/>
          </w:tblCellMar>
        </w:tblPrEx>
        <w:trPr>
          <w:trHeight w:val="123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3F992539">
            <w:pPr>
              <w:ind w:firstLine="420"/>
              <w:rPr>
                <w:highlight w:val="none"/>
              </w:rPr>
            </w:pPr>
          </w:p>
        </w:tc>
        <w:tc>
          <w:tcPr>
            <w:tcW w:w="968" w:type="dxa"/>
            <w:tcBorders>
              <w:top w:val="nil"/>
              <w:left w:val="nil"/>
              <w:bottom w:val="single" w:color="auto" w:sz="4" w:space="0"/>
              <w:right w:val="single" w:color="auto" w:sz="4" w:space="0"/>
            </w:tcBorders>
            <w:vAlign w:val="center"/>
          </w:tcPr>
          <w:p w14:paraId="7135D026">
            <w:pPr>
              <w:snapToGrid w:val="0"/>
              <w:ind w:firstLine="0" w:firstLineChars="0"/>
              <w:rPr>
                <w:rFonts w:eastAsia="方正仿宋_GBK" w:cs="Times New Roman"/>
                <w:sz w:val="20"/>
                <w:highlight w:val="none"/>
              </w:rPr>
            </w:pPr>
            <w:r>
              <w:rPr>
                <w:rFonts w:eastAsia="方正仿宋_GBK" w:cs="Times New Roman"/>
                <w:sz w:val="20"/>
                <w:highlight w:val="none"/>
              </w:rPr>
              <w:t>防水平越权</w:t>
            </w:r>
          </w:p>
        </w:tc>
        <w:tc>
          <w:tcPr>
            <w:tcW w:w="6892" w:type="dxa"/>
            <w:tcBorders>
              <w:top w:val="nil"/>
              <w:left w:val="nil"/>
              <w:bottom w:val="single" w:color="auto" w:sz="4" w:space="0"/>
              <w:right w:val="single" w:color="auto" w:sz="4" w:space="0"/>
            </w:tcBorders>
            <w:vAlign w:val="center"/>
          </w:tcPr>
          <w:p w14:paraId="387F36D8">
            <w:pPr>
              <w:snapToGrid w:val="0"/>
              <w:ind w:firstLine="0" w:firstLineChars="0"/>
              <w:rPr>
                <w:rFonts w:eastAsia="方正仿宋_GBK" w:cs="Times New Roman"/>
                <w:sz w:val="20"/>
                <w:highlight w:val="none"/>
              </w:rPr>
            </w:pPr>
            <w:r>
              <w:rPr>
                <w:rFonts w:eastAsia="方正仿宋_GBK" w:cs="Times New Roman"/>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68BE4688">
        <w:tblPrEx>
          <w:tblCellMar>
            <w:top w:w="0" w:type="dxa"/>
            <w:left w:w="108" w:type="dxa"/>
            <w:bottom w:w="0" w:type="dxa"/>
            <w:right w:w="108" w:type="dxa"/>
          </w:tblCellMar>
        </w:tblPrEx>
        <w:trPr>
          <w:trHeight w:val="175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4002F87A">
            <w:pPr>
              <w:ind w:firstLine="420"/>
              <w:rPr>
                <w:highlight w:val="none"/>
              </w:rPr>
            </w:pPr>
          </w:p>
        </w:tc>
        <w:tc>
          <w:tcPr>
            <w:tcW w:w="968" w:type="dxa"/>
            <w:tcBorders>
              <w:top w:val="nil"/>
              <w:left w:val="nil"/>
              <w:bottom w:val="single" w:color="auto" w:sz="4" w:space="0"/>
              <w:right w:val="single" w:color="auto" w:sz="4" w:space="0"/>
            </w:tcBorders>
            <w:vAlign w:val="center"/>
          </w:tcPr>
          <w:p w14:paraId="4D033B35">
            <w:pPr>
              <w:snapToGrid w:val="0"/>
              <w:ind w:firstLine="0" w:firstLineChars="0"/>
              <w:rPr>
                <w:rFonts w:eastAsia="方正仿宋_GBK" w:cs="Times New Roman"/>
                <w:sz w:val="20"/>
                <w:highlight w:val="none"/>
              </w:rPr>
            </w:pPr>
            <w:r>
              <w:rPr>
                <w:rFonts w:eastAsia="方正仿宋_GBK" w:cs="Times New Roman"/>
                <w:sz w:val="20"/>
                <w:highlight w:val="none"/>
              </w:rPr>
              <w:t>防垂直越权</w:t>
            </w:r>
          </w:p>
        </w:tc>
        <w:tc>
          <w:tcPr>
            <w:tcW w:w="6892" w:type="dxa"/>
            <w:tcBorders>
              <w:top w:val="nil"/>
              <w:left w:val="nil"/>
              <w:bottom w:val="single" w:color="auto" w:sz="4" w:space="0"/>
              <w:right w:val="single" w:color="auto" w:sz="4" w:space="0"/>
            </w:tcBorders>
            <w:vAlign w:val="center"/>
          </w:tcPr>
          <w:p w14:paraId="100346C2">
            <w:pPr>
              <w:snapToGrid w:val="0"/>
              <w:ind w:firstLine="0" w:firstLineChars="0"/>
              <w:rPr>
                <w:rFonts w:eastAsia="方正仿宋_GBK" w:cs="Times New Roman"/>
                <w:sz w:val="20"/>
                <w:highlight w:val="none"/>
              </w:rPr>
            </w:pPr>
            <w:r>
              <w:rPr>
                <w:rFonts w:eastAsia="方正仿宋_GBK" w:cs="Times New Roman"/>
                <w:sz w:val="20"/>
                <w:highlight w:val="none"/>
              </w:rPr>
              <w:t>（1）授予不同账户为完成各自承担任务所需的最小权限，应严格限制默认账户或预设账户的权限，禁止将所有权限集中在某一预设账户上。</w:t>
            </w:r>
            <w:r>
              <w:rPr>
                <w:rFonts w:eastAsia="方正仿宋_GBK" w:cs="Times New Roman"/>
                <w:sz w:val="20"/>
                <w:highlight w:val="none"/>
              </w:rPr>
              <w:br w:type="textWrapping"/>
            </w:r>
            <w:r>
              <w:rPr>
                <w:rFonts w:eastAsia="方正仿宋_GBK" w:cs="Times New Roman"/>
                <w:sz w:val="20"/>
                <w:highlight w:val="none"/>
              </w:rPr>
              <w:t>（2）在为用户授权时，服务器端按照权限规则对权限进行校验，互斥的权限不能共存于一人。如操作和审核权限。</w:t>
            </w:r>
            <w:r>
              <w:rPr>
                <w:rFonts w:eastAsia="方正仿宋_GBK" w:cs="Times New Roman"/>
                <w:sz w:val="20"/>
                <w:highlight w:val="none"/>
              </w:rPr>
              <w:br w:type="textWrapping"/>
            </w:r>
            <w:r>
              <w:rPr>
                <w:rFonts w:eastAsia="方正仿宋_GBK" w:cs="Times New Roman"/>
                <w:sz w:val="20"/>
                <w:highlight w:val="none"/>
              </w:rPr>
              <w:t>（3）在重要操作（如账号增删改、授权、业务操作、业务审批）时，系统应在服务器端对当前用户的权限进行校验，防止垂直越权。</w:t>
            </w:r>
          </w:p>
        </w:tc>
      </w:tr>
      <w:tr w14:paraId="6ED48869">
        <w:tblPrEx>
          <w:tblCellMar>
            <w:top w:w="0" w:type="dxa"/>
            <w:left w:w="108" w:type="dxa"/>
            <w:bottom w:w="0" w:type="dxa"/>
            <w:right w:w="108" w:type="dxa"/>
          </w:tblCellMar>
        </w:tblPrEx>
        <w:trPr>
          <w:trHeight w:val="1530"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66A4C93D">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968" w:type="dxa"/>
            <w:tcBorders>
              <w:top w:val="single" w:color="auto" w:sz="4" w:space="0"/>
              <w:left w:val="single" w:color="auto" w:sz="4" w:space="0"/>
              <w:bottom w:val="single" w:color="auto" w:sz="4" w:space="0"/>
              <w:right w:val="single" w:color="auto" w:sz="4" w:space="0"/>
            </w:tcBorders>
            <w:vAlign w:val="center"/>
          </w:tcPr>
          <w:p w14:paraId="5AC91056">
            <w:pPr>
              <w:snapToGrid w:val="0"/>
              <w:ind w:firstLine="0" w:firstLineChars="0"/>
              <w:rPr>
                <w:rFonts w:eastAsia="方正仿宋_GBK" w:cs="Times New Roman"/>
                <w:sz w:val="20"/>
                <w:highlight w:val="none"/>
              </w:rPr>
            </w:pPr>
            <w:r>
              <w:rPr>
                <w:rFonts w:eastAsia="方正仿宋_GBK" w:cs="Times New Roman"/>
                <w:sz w:val="20"/>
                <w:highlight w:val="none"/>
              </w:rPr>
              <w:t>防sql注入</w:t>
            </w:r>
          </w:p>
        </w:tc>
        <w:tc>
          <w:tcPr>
            <w:tcW w:w="6892" w:type="dxa"/>
            <w:tcBorders>
              <w:top w:val="single" w:color="auto" w:sz="4" w:space="0"/>
              <w:left w:val="single" w:color="auto" w:sz="4" w:space="0"/>
              <w:bottom w:val="single" w:color="auto" w:sz="4" w:space="0"/>
              <w:right w:val="single" w:color="auto" w:sz="4" w:space="0"/>
            </w:tcBorders>
            <w:vAlign w:val="center"/>
          </w:tcPr>
          <w:p w14:paraId="6E8491A6">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应用系统应具有统一的防SQL注入机制：</w:t>
            </w:r>
            <w:r>
              <w:rPr>
                <w:rFonts w:eastAsia="方正仿宋_GBK" w:cs="Times New Roman"/>
                <w:sz w:val="20"/>
                <w:highlight w:val="none"/>
              </w:rPr>
              <w:br w:type="textWrapping"/>
            </w:r>
            <w:r>
              <w:rPr>
                <w:rFonts w:eastAsia="方正仿宋_GBK" w:cs="Times New Roman"/>
                <w:sz w:val="20"/>
                <w:highlight w:val="none"/>
              </w:rPr>
              <w:t>（1）防SQL注入输入校验，至少校验以下危险字符：select、 where、 from、and、or、union等。</w:t>
            </w:r>
            <w:r>
              <w:rPr>
                <w:rFonts w:eastAsia="方正仿宋_GBK" w:cs="Times New Roman"/>
                <w:sz w:val="20"/>
                <w:highlight w:val="none"/>
              </w:rPr>
              <w:br w:type="textWrapping"/>
            </w:r>
            <w:r>
              <w:rPr>
                <w:rFonts w:eastAsia="方正仿宋_GBK" w:cs="Times New Roman"/>
                <w:sz w:val="20"/>
                <w:highlight w:val="none"/>
              </w:rPr>
              <w:t>（2）应使用存储过程或参数化查询，避免使用字符串拼接SQL语句，防止SQL注入。</w:t>
            </w:r>
          </w:p>
        </w:tc>
      </w:tr>
      <w:tr w14:paraId="70E4A8D4">
        <w:tblPrEx>
          <w:tblCellMar>
            <w:top w:w="0" w:type="dxa"/>
            <w:left w:w="108" w:type="dxa"/>
            <w:bottom w:w="0" w:type="dxa"/>
            <w:right w:w="108" w:type="dxa"/>
          </w:tblCellMar>
        </w:tblPrEx>
        <w:trPr>
          <w:trHeight w:val="2130"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6A820EC4">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1A7D6154">
            <w:pPr>
              <w:snapToGrid w:val="0"/>
              <w:ind w:firstLine="0" w:firstLineChars="0"/>
              <w:rPr>
                <w:rFonts w:eastAsia="方正仿宋_GBK" w:cs="Times New Roman"/>
                <w:sz w:val="20"/>
                <w:highlight w:val="none"/>
              </w:rPr>
            </w:pPr>
            <w:r>
              <w:rPr>
                <w:rFonts w:eastAsia="方正仿宋_GBK" w:cs="Times New Roman"/>
                <w:sz w:val="20"/>
                <w:highlight w:val="none"/>
              </w:rPr>
              <w:t>防跨站</w:t>
            </w:r>
          </w:p>
        </w:tc>
        <w:tc>
          <w:tcPr>
            <w:tcW w:w="6892" w:type="dxa"/>
            <w:tcBorders>
              <w:top w:val="single" w:color="auto" w:sz="4" w:space="0"/>
              <w:left w:val="single" w:color="auto" w:sz="4" w:space="0"/>
              <w:bottom w:val="single" w:color="auto" w:sz="4" w:space="0"/>
              <w:right w:val="single" w:color="auto" w:sz="4" w:space="0"/>
            </w:tcBorders>
            <w:vAlign w:val="center"/>
          </w:tcPr>
          <w:p w14:paraId="570B8B1D">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应用系统应具有统一的防XSS跨站校验攻击机制：</w:t>
            </w:r>
            <w:r>
              <w:rPr>
                <w:rFonts w:eastAsia="方正仿宋_GBK" w:cs="Times New Roman"/>
                <w:sz w:val="20"/>
                <w:highlight w:val="none"/>
              </w:rPr>
              <w:br w:type="textWrapping"/>
            </w:r>
            <w:r>
              <w:rPr>
                <w:rFonts w:eastAsia="方正仿宋_GBK" w:cs="Times New Roman"/>
                <w:sz w:val="20"/>
                <w:highlight w:val="none"/>
              </w:rPr>
              <w:t>（1）防跨站输入校验，至少应校验以下危险字符：&lt; &gt; " ' % ( ) &amp; + \ \' \"，prompt，script， alert等。</w:t>
            </w:r>
            <w:r>
              <w:rPr>
                <w:rFonts w:eastAsia="方正仿宋_GBK" w:cs="Times New Roman"/>
                <w:sz w:val="20"/>
                <w:highlight w:val="none"/>
              </w:rPr>
              <w:br w:type="textWrapping"/>
            </w:r>
            <w:r>
              <w:rPr>
                <w:rFonts w:eastAsia="方正仿宋_GBK" w:cs="Times New Roman"/>
                <w:sz w:val="20"/>
                <w:highlight w:val="none"/>
              </w:rPr>
              <w:t>（2）防跨站输出编码，如果数据是输出到HTML中则进行Html输出编码，如果数据是输出到javascript代码中进行拼接，则进行javascript输出编码。</w:t>
            </w:r>
            <w:r>
              <w:rPr>
                <w:rFonts w:eastAsia="方正仿宋_GBK" w:cs="Times New Roman"/>
                <w:sz w:val="20"/>
                <w:highlight w:val="none"/>
              </w:rPr>
              <w:br w:type="textWrapping"/>
            </w:r>
            <w:r>
              <w:rPr>
                <w:rFonts w:eastAsia="方正仿宋_GBK" w:cs="Times New Roman"/>
                <w:sz w:val="20"/>
                <w:highlight w:val="none"/>
              </w:rPr>
              <w:t>（3）设置cookie的HttpOnly属性，能够有效防止XSS攻击。</w:t>
            </w:r>
          </w:p>
        </w:tc>
      </w:tr>
      <w:tr w14:paraId="36C6D628">
        <w:tblPrEx>
          <w:tblCellMar>
            <w:top w:w="0" w:type="dxa"/>
            <w:left w:w="108" w:type="dxa"/>
            <w:bottom w:w="0" w:type="dxa"/>
            <w:right w:w="108" w:type="dxa"/>
          </w:tblCellMar>
        </w:tblPrEx>
        <w:trPr>
          <w:trHeight w:val="2113"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0F2DD04B">
            <w:pPr>
              <w:snapToGrid w:val="0"/>
              <w:ind w:firstLine="0" w:firstLineChars="0"/>
              <w:rPr>
                <w:rFonts w:eastAsia="方正仿宋_GBK" w:cs="Times New Roman"/>
                <w:sz w:val="20"/>
                <w:highlight w:val="none"/>
              </w:rPr>
            </w:pPr>
            <w:r>
              <w:rPr>
                <w:rFonts w:eastAsia="方正仿宋_GBK" w:cs="Times New Roman"/>
                <w:sz w:val="20"/>
                <w:highlight w:val="none"/>
              </w:rPr>
              <w:t>文件上传</w:t>
            </w:r>
          </w:p>
        </w:tc>
        <w:tc>
          <w:tcPr>
            <w:tcW w:w="968" w:type="dxa"/>
            <w:tcBorders>
              <w:top w:val="single" w:color="auto" w:sz="4" w:space="0"/>
              <w:left w:val="nil"/>
              <w:bottom w:val="single" w:color="auto" w:sz="4" w:space="0"/>
              <w:right w:val="single" w:color="auto" w:sz="4" w:space="0"/>
            </w:tcBorders>
            <w:vAlign w:val="center"/>
          </w:tcPr>
          <w:p w14:paraId="6B9C89B6">
            <w:pPr>
              <w:snapToGrid w:val="0"/>
              <w:ind w:firstLine="0" w:firstLineChars="0"/>
              <w:rPr>
                <w:rFonts w:eastAsia="方正仿宋_GBK" w:cs="Times New Roman"/>
                <w:sz w:val="20"/>
                <w:highlight w:val="none"/>
              </w:rPr>
            </w:pPr>
            <w:r>
              <w:rPr>
                <w:rFonts w:eastAsia="方正仿宋_GBK" w:cs="Times New Roman"/>
                <w:sz w:val="20"/>
                <w:highlight w:val="none"/>
              </w:rPr>
              <w:t>防止任意文件上传</w:t>
            </w:r>
          </w:p>
        </w:tc>
        <w:tc>
          <w:tcPr>
            <w:tcW w:w="6892" w:type="dxa"/>
            <w:tcBorders>
              <w:top w:val="single" w:color="auto" w:sz="4" w:space="0"/>
              <w:left w:val="nil"/>
              <w:bottom w:val="single" w:color="auto" w:sz="4" w:space="0"/>
              <w:right w:val="single" w:color="auto" w:sz="4" w:space="0"/>
            </w:tcBorders>
            <w:vAlign w:val="center"/>
          </w:tcPr>
          <w:p w14:paraId="6F5BFB5B">
            <w:pPr>
              <w:snapToGrid w:val="0"/>
              <w:ind w:firstLine="0" w:firstLineChars="0"/>
              <w:rPr>
                <w:rFonts w:eastAsia="方正仿宋_GBK" w:cs="Times New Roman"/>
                <w:sz w:val="20"/>
                <w:highlight w:val="none"/>
              </w:rPr>
            </w:pPr>
            <w:r>
              <w:rPr>
                <w:rFonts w:eastAsia="方正仿宋_GBK" w:cs="Times New Roman"/>
                <w:sz w:val="20"/>
                <w:highlight w:val="none"/>
              </w:rPr>
              <w:t>应对上传文件进行以下处理，防止任意文件上传：</w:t>
            </w:r>
            <w:r>
              <w:rPr>
                <w:rFonts w:eastAsia="方正仿宋_GBK" w:cs="Times New Roman"/>
                <w:sz w:val="20"/>
                <w:highlight w:val="none"/>
              </w:rPr>
              <w:br w:type="textWrapping"/>
            </w:r>
            <w:r>
              <w:rPr>
                <w:rFonts w:eastAsia="方正仿宋_GBK" w:cs="Times New Roman"/>
                <w:sz w:val="20"/>
                <w:highlight w:val="none"/>
              </w:rPr>
              <w:t>（1）使用白名单方式控制上传文件的类型。服务器端应对上传文件的大小、扩展名、类型（报头信息）进行校验，防止任意文件上传。</w:t>
            </w:r>
            <w:r>
              <w:rPr>
                <w:rFonts w:eastAsia="方正仿宋_GBK" w:cs="Times New Roman"/>
                <w:sz w:val="20"/>
                <w:highlight w:val="none"/>
              </w:rPr>
              <w:br w:type="textWrapping"/>
            </w:r>
            <w:r>
              <w:rPr>
                <w:rFonts w:eastAsia="方正仿宋_GBK" w:cs="Times New Roman"/>
                <w:sz w:val="20"/>
                <w:highlight w:val="none"/>
              </w:rPr>
              <w:t>（2）文件应尽量保存在文件服务器或web目录外部，避免通过web应用直接访问上传的文件。</w:t>
            </w:r>
            <w:r>
              <w:rPr>
                <w:rFonts w:eastAsia="方正仿宋_GBK" w:cs="Times New Roman"/>
                <w:sz w:val="20"/>
                <w:highlight w:val="none"/>
              </w:rPr>
              <w:br w:type="textWrapping"/>
            </w:r>
            <w:r>
              <w:rPr>
                <w:rFonts w:eastAsia="方正仿宋_GBK" w:cs="Times New Roman"/>
                <w:sz w:val="20"/>
                <w:highlight w:val="none"/>
              </w:rPr>
              <w:t>（3）应控制文件上传目录的权限，禁止运行权限。</w:t>
            </w:r>
            <w:r>
              <w:rPr>
                <w:rFonts w:eastAsia="方正仿宋_GBK" w:cs="Times New Roman"/>
                <w:sz w:val="20"/>
                <w:highlight w:val="none"/>
              </w:rPr>
              <w:br w:type="textWrapping"/>
            </w:r>
            <w:r>
              <w:rPr>
                <w:rFonts w:eastAsia="方正仿宋_GBK" w:cs="Times New Roman"/>
                <w:sz w:val="20"/>
                <w:highlight w:val="none"/>
              </w:rPr>
              <w:t>（4）应对上传文件进行重命名。</w:t>
            </w:r>
          </w:p>
        </w:tc>
      </w:tr>
      <w:tr w14:paraId="6516FBC9">
        <w:tblPrEx>
          <w:tblCellMar>
            <w:top w:w="0" w:type="dxa"/>
            <w:left w:w="108" w:type="dxa"/>
            <w:bottom w:w="0" w:type="dxa"/>
            <w:right w:w="108" w:type="dxa"/>
          </w:tblCellMar>
        </w:tblPrEx>
        <w:trPr>
          <w:trHeight w:val="99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05129F5E">
            <w:pPr>
              <w:ind w:firstLine="420"/>
              <w:rPr>
                <w:highlight w:val="none"/>
              </w:rPr>
            </w:pPr>
          </w:p>
        </w:tc>
        <w:tc>
          <w:tcPr>
            <w:tcW w:w="968" w:type="dxa"/>
            <w:tcBorders>
              <w:top w:val="nil"/>
              <w:left w:val="nil"/>
              <w:bottom w:val="single" w:color="auto" w:sz="4" w:space="0"/>
              <w:right w:val="single" w:color="auto" w:sz="4" w:space="0"/>
            </w:tcBorders>
            <w:vAlign w:val="center"/>
          </w:tcPr>
          <w:p w14:paraId="36787CAA">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6892" w:type="dxa"/>
            <w:tcBorders>
              <w:top w:val="nil"/>
              <w:left w:val="nil"/>
              <w:bottom w:val="single" w:color="auto" w:sz="4" w:space="0"/>
              <w:right w:val="single" w:color="auto" w:sz="4" w:space="0"/>
            </w:tcBorders>
            <w:vAlign w:val="center"/>
          </w:tcPr>
          <w:p w14:paraId="47536358">
            <w:pPr>
              <w:snapToGrid w:val="0"/>
              <w:ind w:firstLine="0" w:firstLineChars="0"/>
              <w:rPr>
                <w:rFonts w:eastAsia="方正仿宋_GBK" w:cs="Times New Roman"/>
                <w:sz w:val="20"/>
                <w:highlight w:val="none"/>
              </w:rPr>
            </w:pPr>
            <w:r>
              <w:rPr>
                <w:rFonts w:eastAsia="方正仿宋_GBK" w:cs="Times New Roman"/>
                <w:sz w:val="20"/>
                <w:highlight w:val="none"/>
              </w:rPr>
              <w:t>应对上传文件中的所有参数字段（如文件名称、文件类型、其他信息等）进行输入校验，防止注入、跨站等漏洞。</w:t>
            </w:r>
          </w:p>
        </w:tc>
      </w:tr>
      <w:tr w14:paraId="16B6E30D">
        <w:tblPrEx>
          <w:tblCellMar>
            <w:top w:w="0" w:type="dxa"/>
            <w:left w:w="108" w:type="dxa"/>
            <w:bottom w:w="0" w:type="dxa"/>
            <w:right w:w="108" w:type="dxa"/>
          </w:tblCellMar>
        </w:tblPrEx>
        <w:trPr>
          <w:trHeight w:val="975" w:hRule="atLeast"/>
          <w:jc w:val="center"/>
        </w:trPr>
        <w:tc>
          <w:tcPr>
            <w:tcW w:w="1091" w:type="dxa"/>
            <w:vMerge w:val="restart"/>
            <w:tcBorders>
              <w:top w:val="nil"/>
              <w:left w:val="single" w:color="auto" w:sz="4" w:space="0"/>
              <w:bottom w:val="single" w:color="auto" w:sz="4" w:space="0"/>
              <w:right w:val="single" w:color="auto" w:sz="4" w:space="0"/>
            </w:tcBorders>
            <w:vAlign w:val="center"/>
          </w:tcPr>
          <w:p w14:paraId="3DC63F89">
            <w:pPr>
              <w:snapToGrid w:val="0"/>
              <w:ind w:firstLine="0" w:firstLineChars="0"/>
              <w:rPr>
                <w:rFonts w:eastAsia="方正仿宋_GBK" w:cs="Times New Roman"/>
                <w:sz w:val="20"/>
                <w:highlight w:val="none"/>
              </w:rPr>
            </w:pPr>
            <w:r>
              <w:rPr>
                <w:rFonts w:eastAsia="方正仿宋_GBK" w:cs="Times New Roman"/>
                <w:sz w:val="20"/>
                <w:highlight w:val="none"/>
              </w:rPr>
              <w:t>数据安全</w:t>
            </w:r>
          </w:p>
        </w:tc>
        <w:tc>
          <w:tcPr>
            <w:tcW w:w="968" w:type="dxa"/>
            <w:tcBorders>
              <w:top w:val="nil"/>
              <w:left w:val="nil"/>
              <w:bottom w:val="single" w:color="auto" w:sz="4" w:space="0"/>
              <w:right w:val="single" w:color="auto" w:sz="4" w:space="0"/>
            </w:tcBorders>
            <w:vAlign w:val="center"/>
          </w:tcPr>
          <w:p w14:paraId="79804BB9">
            <w:pPr>
              <w:snapToGrid w:val="0"/>
              <w:ind w:firstLine="0" w:firstLineChars="0"/>
              <w:rPr>
                <w:rFonts w:eastAsia="方正仿宋_GBK" w:cs="Times New Roman"/>
                <w:sz w:val="20"/>
                <w:highlight w:val="none"/>
              </w:rPr>
            </w:pPr>
            <w:r>
              <w:rPr>
                <w:rFonts w:eastAsia="方正仿宋_GBK" w:cs="Times New Roman"/>
                <w:sz w:val="20"/>
                <w:highlight w:val="none"/>
              </w:rPr>
              <w:t>口令加密存储</w:t>
            </w:r>
          </w:p>
        </w:tc>
        <w:tc>
          <w:tcPr>
            <w:tcW w:w="6892" w:type="dxa"/>
            <w:tcBorders>
              <w:top w:val="nil"/>
              <w:left w:val="nil"/>
              <w:bottom w:val="single" w:color="auto" w:sz="4" w:space="0"/>
              <w:right w:val="single" w:color="auto" w:sz="4" w:space="0"/>
            </w:tcBorders>
            <w:vAlign w:val="center"/>
          </w:tcPr>
          <w:p w14:paraId="49E5FA0F">
            <w:pPr>
              <w:snapToGrid w:val="0"/>
              <w:ind w:firstLine="0" w:firstLineChars="0"/>
              <w:rPr>
                <w:rFonts w:eastAsia="方正仿宋_GBK" w:cs="Times New Roman"/>
                <w:sz w:val="20"/>
                <w:highlight w:val="none"/>
              </w:rPr>
            </w:pPr>
            <w:r>
              <w:rPr>
                <w:rFonts w:eastAsia="方正仿宋_GBK" w:cs="Times New Roman"/>
                <w:sz w:val="20"/>
                <w:highlight w:val="none"/>
              </w:rPr>
              <w:t>用户口令在存储过程中需进行加密，建议使用md5加盐(随机数)、sha2、pbkdf2等方式进行加密存储，禁止直接使用明文存储，禁止直接使用MD5、sha1等弱加密方式。</w:t>
            </w:r>
          </w:p>
        </w:tc>
      </w:tr>
      <w:tr w14:paraId="6978ACFC">
        <w:tblPrEx>
          <w:tblCellMar>
            <w:top w:w="0" w:type="dxa"/>
            <w:left w:w="108" w:type="dxa"/>
            <w:bottom w:w="0" w:type="dxa"/>
            <w:right w:w="108" w:type="dxa"/>
          </w:tblCellMar>
        </w:tblPrEx>
        <w:trPr>
          <w:trHeight w:val="64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013115C9">
            <w:pPr>
              <w:ind w:firstLine="420"/>
              <w:rPr>
                <w:highlight w:val="none"/>
              </w:rPr>
            </w:pPr>
          </w:p>
        </w:tc>
        <w:tc>
          <w:tcPr>
            <w:tcW w:w="968" w:type="dxa"/>
            <w:tcBorders>
              <w:top w:val="nil"/>
              <w:left w:val="nil"/>
              <w:bottom w:val="single" w:color="auto" w:sz="4" w:space="0"/>
              <w:right w:val="single" w:color="auto" w:sz="4" w:space="0"/>
            </w:tcBorders>
            <w:vAlign w:val="center"/>
          </w:tcPr>
          <w:p w14:paraId="531D6C00">
            <w:pPr>
              <w:snapToGrid w:val="0"/>
              <w:ind w:firstLine="0" w:firstLineChars="0"/>
              <w:rPr>
                <w:rFonts w:eastAsia="方正仿宋_GBK" w:cs="Times New Roman"/>
                <w:sz w:val="20"/>
                <w:highlight w:val="none"/>
              </w:rPr>
            </w:pPr>
            <w:r>
              <w:rPr>
                <w:rFonts w:eastAsia="方正仿宋_GBK" w:cs="Times New Roman"/>
                <w:sz w:val="20"/>
                <w:highlight w:val="none"/>
              </w:rPr>
              <w:t>多余信息返回</w:t>
            </w:r>
          </w:p>
        </w:tc>
        <w:tc>
          <w:tcPr>
            <w:tcW w:w="6892" w:type="dxa"/>
            <w:tcBorders>
              <w:top w:val="nil"/>
              <w:left w:val="nil"/>
              <w:bottom w:val="single" w:color="auto" w:sz="4" w:space="0"/>
              <w:right w:val="single" w:color="auto" w:sz="4" w:space="0"/>
            </w:tcBorders>
            <w:vAlign w:val="center"/>
          </w:tcPr>
          <w:p w14:paraId="2AC52DBE">
            <w:pPr>
              <w:snapToGrid w:val="0"/>
              <w:ind w:firstLine="0" w:firstLineChars="0"/>
              <w:rPr>
                <w:rFonts w:eastAsia="方正仿宋_GBK" w:cs="Times New Roman"/>
                <w:sz w:val="20"/>
                <w:highlight w:val="none"/>
              </w:rPr>
            </w:pPr>
            <w:r>
              <w:rPr>
                <w:rFonts w:eastAsia="方正仿宋_GBK" w:cs="Times New Roman"/>
                <w:sz w:val="20"/>
                <w:highlight w:val="none"/>
              </w:rPr>
              <w:t>对服务器返回的参数做严格的限制，保证不是功能必须的参数不在返回的参数中，防止多余信息引起的数据泄露。</w:t>
            </w:r>
          </w:p>
        </w:tc>
      </w:tr>
      <w:tr w14:paraId="4E8B27A8">
        <w:tblPrEx>
          <w:tblCellMar>
            <w:top w:w="0" w:type="dxa"/>
            <w:left w:w="108" w:type="dxa"/>
            <w:bottom w:w="0" w:type="dxa"/>
            <w:right w:w="108" w:type="dxa"/>
          </w:tblCellMar>
        </w:tblPrEx>
        <w:trPr>
          <w:trHeight w:val="160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5912D04">
            <w:pPr>
              <w:ind w:firstLine="420"/>
              <w:rPr>
                <w:highlight w:val="none"/>
              </w:rPr>
            </w:pPr>
          </w:p>
        </w:tc>
        <w:tc>
          <w:tcPr>
            <w:tcW w:w="968" w:type="dxa"/>
            <w:tcBorders>
              <w:top w:val="nil"/>
              <w:left w:val="nil"/>
              <w:bottom w:val="single" w:color="auto" w:sz="4" w:space="0"/>
              <w:right w:val="single" w:color="auto" w:sz="4" w:space="0"/>
            </w:tcBorders>
            <w:vAlign w:val="center"/>
          </w:tcPr>
          <w:p w14:paraId="3D78DAC1">
            <w:pPr>
              <w:snapToGrid w:val="0"/>
              <w:ind w:firstLine="0" w:firstLineChars="0"/>
              <w:rPr>
                <w:rFonts w:eastAsia="方正仿宋_GBK" w:cs="Times New Roman"/>
                <w:sz w:val="20"/>
                <w:highlight w:val="none"/>
              </w:rPr>
            </w:pPr>
            <w:r>
              <w:rPr>
                <w:rFonts w:eastAsia="方正仿宋_GBK" w:cs="Times New Roman"/>
                <w:sz w:val="20"/>
                <w:highlight w:val="none"/>
              </w:rPr>
              <w:t>敏感信息显示要求</w:t>
            </w:r>
          </w:p>
        </w:tc>
        <w:tc>
          <w:tcPr>
            <w:tcW w:w="6892" w:type="dxa"/>
            <w:tcBorders>
              <w:top w:val="nil"/>
              <w:left w:val="nil"/>
              <w:bottom w:val="single" w:color="auto" w:sz="4" w:space="0"/>
              <w:right w:val="single" w:color="auto" w:sz="4" w:space="0"/>
            </w:tcBorders>
            <w:vAlign w:val="center"/>
          </w:tcPr>
          <w:p w14:paraId="606CF1F5">
            <w:pPr>
              <w:snapToGrid w:val="0"/>
              <w:ind w:firstLine="0" w:firstLineChars="0"/>
              <w:rPr>
                <w:rFonts w:eastAsia="方正仿宋_GBK" w:cs="Times New Roman"/>
                <w:sz w:val="20"/>
                <w:highlight w:val="none"/>
              </w:rPr>
            </w:pPr>
            <w:r>
              <w:rPr>
                <w:rFonts w:eastAsia="方正仿宋_GBK" w:cs="Times New Roman"/>
                <w:sz w:val="20"/>
                <w:highlight w:val="none"/>
              </w:rPr>
              <w:t>避免在html页面、js文件、客户端等前端上直接显示绝对路径、内网IP地址、账号口令等敏感信息。如：</w:t>
            </w:r>
            <w:r>
              <w:rPr>
                <w:rFonts w:eastAsia="方正仿宋_GBK" w:cs="Times New Roman"/>
                <w:sz w:val="20"/>
                <w:highlight w:val="none"/>
              </w:rPr>
              <w:br w:type="textWrapping"/>
            </w:r>
            <w:r>
              <w:rPr>
                <w:rFonts w:eastAsia="方正仿宋_GBK" w:cs="Times New Roman"/>
                <w:sz w:val="20"/>
                <w:highlight w:val="none"/>
              </w:rPr>
              <w:t>http://xxxx/index.js;</w:t>
            </w:r>
            <w:r>
              <w:rPr>
                <w:rFonts w:eastAsia="方正仿宋_GBK" w:cs="Times New Roman"/>
                <w:sz w:val="20"/>
                <w:highlight w:val="none"/>
              </w:rPr>
              <w:br w:type="textWrapping"/>
            </w:r>
            <w:r>
              <w:rPr>
                <w:rFonts w:eastAsia="方正仿宋_GBK" w:cs="Times New Roman"/>
                <w:sz w:val="20"/>
                <w:highlight w:val="none"/>
              </w:rPr>
              <w:t>/var/www/html;</w:t>
            </w:r>
            <w:r>
              <w:rPr>
                <w:rFonts w:eastAsia="方正仿宋_GBK" w:cs="Times New Roman"/>
                <w:sz w:val="20"/>
                <w:highlight w:val="none"/>
              </w:rPr>
              <w:br w:type="textWrapping"/>
            </w:r>
            <w:r>
              <w:rPr>
                <w:rFonts w:eastAsia="方正仿宋_GBK" w:cs="Times New Roman"/>
                <w:sz w:val="20"/>
                <w:highlight w:val="none"/>
              </w:rPr>
              <w:t>user=admin,pass=admin;</w:t>
            </w:r>
          </w:p>
        </w:tc>
      </w:tr>
      <w:tr w14:paraId="0437C962">
        <w:tblPrEx>
          <w:tblCellMar>
            <w:top w:w="0" w:type="dxa"/>
            <w:left w:w="108" w:type="dxa"/>
            <w:bottom w:w="0" w:type="dxa"/>
            <w:right w:w="108" w:type="dxa"/>
          </w:tblCellMar>
        </w:tblPrEx>
        <w:trPr>
          <w:trHeight w:val="181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4B7D4833">
            <w:pPr>
              <w:ind w:firstLine="420"/>
              <w:rPr>
                <w:highlight w:val="none"/>
              </w:rPr>
            </w:pPr>
          </w:p>
        </w:tc>
        <w:tc>
          <w:tcPr>
            <w:tcW w:w="968" w:type="dxa"/>
            <w:tcBorders>
              <w:top w:val="nil"/>
              <w:left w:val="nil"/>
              <w:bottom w:val="single" w:color="auto" w:sz="4" w:space="0"/>
              <w:right w:val="single" w:color="auto" w:sz="4" w:space="0"/>
            </w:tcBorders>
            <w:vAlign w:val="center"/>
          </w:tcPr>
          <w:p w14:paraId="2047A326">
            <w:pPr>
              <w:snapToGrid w:val="0"/>
              <w:ind w:firstLine="0" w:firstLineChars="0"/>
              <w:rPr>
                <w:rFonts w:eastAsia="方正仿宋_GBK" w:cs="Times New Roman"/>
                <w:sz w:val="20"/>
                <w:highlight w:val="none"/>
              </w:rPr>
            </w:pPr>
            <w:r>
              <w:rPr>
                <w:rFonts w:eastAsia="方正仿宋_GBK" w:cs="Times New Roman"/>
                <w:sz w:val="20"/>
                <w:highlight w:val="none"/>
              </w:rPr>
              <w:t>敏感数据脱敏</w:t>
            </w:r>
          </w:p>
        </w:tc>
        <w:tc>
          <w:tcPr>
            <w:tcW w:w="6892" w:type="dxa"/>
            <w:tcBorders>
              <w:top w:val="nil"/>
              <w:left w:val="nil"/>
              <w:bottom w:val="single" w:color="auto" w:sz="4" w:space="0"/>
              <w:right w:val="single" w:color="auto" w:sz="4" w:space="0"/>
            </w:tcBorders>
            <w:vAlign w:val="center"/>
          </w:tcPr>
          <w:p w14:paraId="774A9B61">
            <w:pPr>
              <w:snapToGrid w:val="0"/>
              <w:ind w:firstLine="0" w:firstLineChars="0"/>
              <w:rPr>
                <w:rFonts w:eastAsia="方正仿宋_GBK" w:cs="Times New Roman"/>
                <w:sz w:val="20"/>
                <w:highlight w:val="none"/>
              </w:rPr>
            </w:pPr>
            <w:r>
              <w:rPr>
                <w:rFonts w:eastAsia="方正仿宋_GBK" w:cs="Times New Roman"/>
                <w:sz w:val="20"/>
                <w:highlight w:val="none"/>
              </w:rPr>
              <w:t>敏感数据在显示时，应进行脱敏处理，如：</w:t>
            </w:r>
            <w:r>
              <w:rPr>
                <w:rFonts w:eastAsia="方正仿宋_GBK" w:cs="Times New Roman"/>
                <w:sz w:val="20"/>
                <w:highlight w:val="none"/>
              </w:rPr>
              <w:br w:type="textWrapping"/>
            </w:r>
            <w:r>
              <w:rPr>
                <w:rFonts w:eastAsia="方正仿宋_GBK" w:cs="Times New Roman"/>
                <w:sz w:val="20"/>
                <w:highlight w:val="none"/>
              </w:rPr>
              <w:t>姓名：张三脱敏为*三</w:t>
            </w:r>
            <w:r>
              <w:rPr>
                <w:rFonts w:eastAsia="方正仿宋_GBK" w:cs="Times New Roman"/>
                <w:sz w:val="20"/>
                <w:highlight w:val="none"/>
              </w:rPr>
              <w:br w:type="textWrapping"/>
            </w:r>
            <w:r>
              <w:rPr>
                <w:rFonts w:eastAsia="方正仿宋_GBK" w:cs="Times New Roman"/>
                <w:sz w:val="20"/>
                <w:highlight w:val="none"/>
              </w:rPr>
              <w:t>身份证号：1002**********1237</w:t>
            </w:r>
            <w:r>
              <w:rPr>
                <w:rFonts w:eastAsia="方正仿宋_GBK" w:cs="Times New Roman"/>
                <w:sz w:val="20"/>
                <w:highlight w:val="none"/>
              </w:rPr>
              <w:br w:type="textWrapping"/>
            </w:r>
            <w:r>
              <w:rPr>
                <w:rFonts w:eastAsia="方正仿宋_GBK" w:cs="Times New Roman"/>
                <w:sz w:val="20"/>
                <w:highlight w:val="none"/>
              </w:rPr>
              <w:t>手机号：186****0781</w:t>
            </w:r>
            <w:r>
              <w:rPr>
                <w:rFonts w:eastAsia="方正仿宋_GBK" w:cs="Times New Roman"/>
                <w:sz w:val="20"/>
                <w:highlight w:val="none"/>
              </w:rPr>
              <w:br w:type="textWrapping"/>
            </w:r>
            <w:r>
              <w:rPr>
                <w:rFonts w:eastAsia="方正仿宋_GBK" w:cs="Times New Roman"/>
                <w:sz w:val="20"/>
                <w:highlight w:val="none"/>
              </w:rPr>
              <w:t>银行卡号：623078*********4846</w:t>
            </w:r>
            <w:r>
              <w:rPr>
                <w:rFonts w:eastAsia="方正仿宋_GBK" w:cs="Times New Roman"/>
                <w:sz w:val="20"/>
                <w:highlight w:val="none"/>
              </w:rPr>
              <w:br w:type="textWrapping"/>
            </w:r>
            <w:r>
              <w:rPr>
                <w:rFonts w:eastAsia="方正仿宋_GBK" w:cs="Times New Roman"/>
                <w:sz w:val="20"/>
                <w:highlight w:val="none"/>
              </w:rPr>
              <w:t>住址：****3单元302</w:t>
            </w:r>
          </w:p>
        </w:tc>
      </w:tr>
      <w:tr w14:paraId="3AF6C102">
        <w:tblPrEx>
          <w:tblCellMar>
            <w:top w:w="0" w:type="dxa"/>
            <w:left w:w="108" w:type="dxa"/>
            <w:bottom w:w="0" w:type="dxa"/>
            <w:right w:w="108" w:type="dxa"/>
          </w:tblCellMar>
        </w:tblPrEx>
        <w:trPr>
          <w:trHeight w:val="129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B3572DD">
            <w:pPr>
              <w:snapToGrid w:val="0"/>
              <w:ind w:firstLine="0" w:firstLineChars="0"/>
              <w:rPr>
                <w:rFonts w:eastAsia="方正仿宋_GBK" w:cs="Times New Roman"/>
                <w:sz w:val="20"/>
                <w:highlight w:val="none"/>
              </w:rPr>
            </w:pPr>
            <w:r>
              <w:rPr>
                <w:rFonts w:eastAsia="方正仿宋_GBK" w:cs="Times New Roman"/>
                <w:sz w:val="20"/>
                <w:highlight w:val="none"/>
              </w:rPr>
              <w:t>系统容错</w:t>
            </w:r>
          </w:p>
        </w:tc>
        <w:tc>
          <w:tcPr>
            <w:tcW w:w="968" w:type="dxa"/>
            <w:tcBorders>
              <w:top w:val="single" w:color="auto" w:sz="4" w:space="0"/>
              <w:left w:val="nil"/>
              <w:bottom w:val="single" w:color="auto" w:sz="4" w:space="0"/>
              <w:right w:val="single" w:color="auto" w:sz="4" w:space="0"/>
            </w:tcBorders>
            <w:vAlign w:val="center"/>
          </w:tcPr>
          <w:p w14:paraId="7C848650">
            <w:pPr>
              <w:snapToGrid w:val="0"/>
              <w:ind w:firstLine="0" w:firstLineChars="0"/>
              <w:rPr>
                <w:rFonts w:eastAsia="方正仿宋_GBK" w:cs="Times New Roman"/>
                <w:sz w:val="20"/>
                <w:highlight w:val="none"/>
              </w:rPr>
            </w:pPr>
            <w:r>
              <w:rPr>
                <w:rFonts w:eastAsia="方正仿宋_GBK" w:cs="Times New Roman"/>
                <w:sz w:val="20"/>
                <w:highlight w:val="none"/>
              </w:rPr>
              <w:t>统一错误处理</w:t>
            </w:r>
          </w:p>
        </w:tc>
        <w:tc>
          <w:tcPr>
            <w:tcW w:w="6892" w:type="dxa"/>
            <w:tcBorders>
              <w:top w:val="single" w:color="auto" w:sz="4" w:space="0"/>
              <w:left w:val="nil"/>
              <w:bottom w:val="single" w:color="auto" w:sz="4" w:space="0"/>
              <w:right w:val="single" w:color="auto" w:sz="4" w:space="0"/>
            </w:tcBorders>
            <w:vAlign w:val="center"/>
          </w:tcPr>
          <w:p w14:paraId="032198FD">
            <w:pPr>
              <w:snapToGrid w:val="0"/>
              <w:ind w:firstLine="0" w:firstLineChars="0"/>
              <w:rPr>
                <w:rFonts w:eastAsia="方正仿宋_GBK" w:cs="Times New Roman"/>
                <w:sz w:val="20"/>
                <w:highlight w:val="none"/>
              </w:rPr>
            </w:pPr>
            <w:r>
              <w:rPr>
                <w:rFonts w:eastAsia="方正仿宋_GBK" w:cs="Times New Roman"/>
                <w:sz w:val="20"/>
                <w:highlight w:val="none"/>
              </w:rPr>
              <w:t>应用系统应有统一错误处理功能，有效屏蔽系统技术错误信息，不将系统产生的错误信息（如中间件信息、数据库信息）直接反馈给客户端，提升用户体验，防止信息泄露。</w:t>
            </w:r>
          </w:p>
        </w:tc>
      </w:tr>
      <w:tr w14:paraId="6D1F8196">
        <w:tblPrEx>
          <w:tblCellMar>
            <w:top w:w="0" w:type="dxa"/>
            <w:left w:w="108" w:type="dxa"/>
            <w:bottom w:w="0" w:type="dxa"/>
            <w:right w:w="108" w:type="dxa"/>
          </w:tblCellMar>
        </w:tblPrEx>
        <w:trPr>
          <w:trHeight w:val="2808"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7572BD1">
            <w:pPr>
              <w:snapToGrid w:val="0"/>
              <w:ind w:firstLine="0" w:firstLineChars="0"/>
              <w:rPr>
                <w:rFonts w:eastAsia="方正仿宋_GBK" w:cs="Times New Roman"/>
                <w:sz w:val="20"/>
                <w:highlight w:val="none"/>
              </w:rPr>
            </w:pPr>
            <w:r>
              <w:rPr>
                <w:rFonts w:eastAsia="方正仿宋_GBK" w:cs="Times New Roman"/>
                <w:sz w:val="20"/>
                <w:highlight w:val="none"/>
              </w:rPr>
              <w:t>框架安全</w:t>
            </w:r>
          </w:p>
        </w:tc>
        <w:tc>
          <w:tcPr>
            <w:tcW w:w="968" w:type="dxa"/>
            <w:tcBorders>
              <w:top w:val="single" w:color="auto" w:sz="4" w:space="0"/>
              <w:left w:val="nil"/>
              <w:bottom w:val="single" w:color="auto" w:sz="4" w:space="0"/>
              <w:right w:val="single" w:color="auto" w:sz="4" w:space="0"/>
            </w:tcBorders>
            <w:vAlign w:val="center"/>
          </w:tcPr>
          <w:p w14:paraId="5638C359">
            <w:pPr>
              <w:snapToGrid w:val="0"/>
              <w:ind w:firstLine="0" w:firstLineChars="0"/>
              <w:rPr>
                <w:rFonts w:eastAsia="方正仿宋_GBK" w:cs="Times New Roman"/>
                <w:sz w:val="20"/>
                <w:highlight w:val="none"/>
              </w:rPr>
            </w:pPr>
            <w:r>
              <w:rPr>
                <w:rFonts w:eastAsia="方正仿宋_GBK" w:cs="Times New Roman"/>
                <w:sz w:val="20"/>
                <w:highlight w:val="none"/>
              </w:rPr>
              <w:t>第三方组件或框架</w:t>
            </w:r>
          </w:p>
        </w:tc>
        <w:tc>
          <w:tcPr>
            <w:tcW w:w="6892" w:type="dxa"/>
            <w:tcBorders>
              <w:top w:val="single" w:color="auto" w:sz="4" w:space="0"/>
              <w:left w:val="nil"/>
              <w:bottom w:val="single" w:color="auto" w:sz="4" w:space="0"/>
              <w:right w:val="single" w:color="auto" w:sz="4" w:space="0"/>
            </w:tcBorders>
            <w:vAlign w:val="center"/>
          </w:tcPr>
          <w:p w14:paraId="5AAAFFAD">
            <w:pPr>
              <w:snapToGrid w:val="0"/>
              <w:ind w:firstLine="0" w:firstLineChars="0"/>
              <w:rPr>
                <w:rFonts w:eastAsia="方正仿宋_GBK" w:cs="Times New Roman"/>
                <w:sz w:val="20"/>
                <w:highlight w:val="none"/>
              </w:rPr>
            </w:pPr>
            <w:r>
              <w:rPr>
                <w:rFonts w:eastAsia="方正仿宋_GBK" w:cs="Times New Roman"/>
                <w:sz w:val="20"/>
                <w:highlight w:val="none"/>
              </w:rPr>
              <w:t>组件和中间件是导致漏洞的重要原因，使用时需遵守如下要求：</w:t>
            </w:r>
            <w:r>
              <w:rPr>
                <w:rFonts w:eastAsia="方正仿宋_GBK" w:cs="Times New Roman"/>
                <w:sz w:val="20"/>
                <w:highlight w:val="none"/>
              </w:rPr>
              <w:br w:type="textWrapping"/>
            </w:r>
            <w:r>
              <w:rPr>
                <w:rFonts w:eastAsia="方正仿宋_GBK" w:cs="Times New Roman"/>
                <w:sz w:val="20"/>
                <w:highlight w:val="none"/>
              </w:rPr>
              <w:t>1.使用的版本需是官方正常维护的版本，如不是最新版本，需更新当前版本的安全补丁或升级；</w:t>
            </w:r>
            <w:r>
              <w:rPr>
                <w:rFonts w:eastAsia="方正仿宋_GBK" w:cs="Times New Roman"/>
                <w:sz w:val="20"/>
                <w:highlight w:val="none"/>
              </w:rPr>
              <w:br w:type="textWrapping"/>
            </w:r>
            <w:r>
              <w:rPr>
                <w:rFonts w:eastAsia="方正仿宋_GBK" w:cs="Times New Roman"/>
                <w:sz w:val="20"/>
                <w:highlight w:val="none"/>
              </w:rPr>
              <w:t>2.对使用的组件进行安全认证或限制源IP访问，避免造成未授权访问漏洞，如mongoDB、redis、Memcached、JBOSS、VNC、Zookeeper、Rsync、ElasticSearch、Hadoop、Kibana、Confluence、Jenkins、spring boot等；</w:t>
            </w:r>
            <w:r>
              <w:rPr>
                <w:rFonts w:eastAsia="方正仿宋_GBK" w:cs="Times New Roman"/>
                <w:sz w:val="20"/>
                <w:highlight w:val="none"/>
              </w:rPr>
              <w:br w:type="textWrapping"/>
            </w:r>
            <w:r>
              <w:rPr>
                <w:rFonts w:eastAsia="方正仿宋_GBK" w:cs="Times New Roman"/>
                <w:sz w:val="20"/>
                <w:highlight w:val="none"/>
              </w:rPr>
              <w:t>3.登录各组件的默认口令需进行修改，修改要求参照口令安全策略，如JBOSS、Tomcat、ActiveMQ等；</w:t>
            </w:r>
          </w:p>
        </w:tc>
      </w:tr>
    </w:tbl>
    <w:p w14:paraId="6CBB4D5A">
      <w:pPr>
        <w:ind w:firstLine="420"/>
        <w:rPr>
          <w:szCs w:val="24"/>
          <w:highlight w:val="none"/>
        </w:rPr>
      </w:pPr>
    </w:p>
    <w:p w14:paraId="68936B41">
      <w:pPr>
        <w:pStyle w:val="4"/>
        <w:ind w:firstLine="422"/>
        <w:rPr>
          <w:szCs w:val="24"/>
          <w:highlight w:val="none"/>
        </w:rPr>
      </w:pPr>
      <w:r>
        <w:rPr>
          <w:rFonts w:hint="eastAsia"/>
          <w:szCs w:val="24"/>
          <w:highlight w:val="none"/>
        </w:rPr>
        <w:t>2</w:t>
      </w:r>
      <w:r>
        <w:rPr>
          <w:szCs w:val="24"/>
          <w:highlight w:val="none"/>
        </w:rPr>
        <w:t xml:space="preserve">.6 </w:t>
      </w:r>
      <w:r>
        <w:rPr>
          <w:rFonts w:hint="eastAsia"/>
          <w:szCs w:val="24"/>
          <w:highlight w:val="none"/>
        </w:rPr>
        <w:t>可扩展性需求</w:t>
      </w:r>
    </w:p>
    <w:p w14:paraId="7A869CAA">
      <w:pPr>
        <w:ind w:firstLine="420"/>
        <w:rPr>
          <w:szCs w:val="24"/>
          <w:highlight w:val="none"/>
        </w:rPr>
      </w:pPr>
      <w:r>
        <w:rPr>
          <w:rFonts w:hint="eastAsia"/>
          <w:szCs w:val="24"/>
          <w:highlight w:val="none"/>
        </w:rPr>
        <w:t>1）系统要求支持主流操作系统、数据库和通讯中间件，对软、硬件平台具有良好的可扩展能力，支持跨平台客制化开发；</w:t>
      </w:r>
    </w:p>
    <w:p w14:paraId="19350FDC">
      <w:pPr>
        <w:ind w:firstLine="420"/>
        <w:rPr>
          <w:szCs w:val="24"/>
          <w:highlight w:val="none"/>
        </w:rPr>
      </w:pPr>
      <w:r>
        <w:rPr>
          <w:rFonts w:hint="eastAsia"/>
          <w:szCs w:val="24"/>
          <w:highlight w:val="none"/>
        </w:rPr>
        <w:t>2）支持交易数据导入、模型参数维护、计量、会计核算、报表模块对于新产品的支持，系统容易改进、扩展和升级；</w:t>
      </w:r>
    </w:p>
    <w:p w14:paraId="23AE2631">
      <w:pPr>
        <w:ind w:firstLine="420"/>
        <w:rPr>
          <w:szCs w:val="24"/>
          <w:highlight w:val="none"/>
        </w:rPr>
      </w:pPr>
      <w:r>
        <w:rPr>
          <w:rFonts w:hint="eastAsia"/>
          <w:szCs w:val="24"/>
          <w:highlight w:val="none"/>
        </w:rPr>
        <w:t>3）提供的平台能够很好的实现业务功能扩展的灵活性，通过后台服务器对业务功能的模块化处理和可配置处理实现对功能的一站式更新，且不影响原有系统的正常运行；</w:t>
      </w:r>
    </w:p>
    <w:p w14:paraId="6AFBF346">
      <w:pPr>
        <w:ind w:firstLine="420"/>
        <w:rPr>
          <w:szCs w:val="24"/>
          <w:highlight w:val="none"/>
        </w:rPr>
      </w:pPr>
      <w:r>
        <w:rPr>
          <w:rFonts w:hint="eastAsia"/>
          <w:szCs w:val="24"/>
          <w:highlight w:val="none"/>
        </w:rPr>
        <w:t>4）系统的计算能力支持横向扩展；</w:t>
      </w:r>
    </w:p>
    <w:p w14:paraId="5EB0BD96">
      <w:pPr>
        <w:ind w:firstLine="420"/>
        <w:rPr>
          <w:szCs w:val="24"/>
          <w:highlight w:val="none"/>
        </w:rPr>
      </w:pPr>
      <w:r>
        <w:rPr>
          <w:rFonts w:hint="eastAsia"/>
          <w:szCs w:val="24"/>
          <w:highlight w:val="none"/>
        </w:rPr>
        <w:t>5）对第三方平台提供良好的接口支持和扩展能力。</w:t>
      </w:r>
    </w:p>
    <w:p w14:paraId="3D6618C1">
      <w:pPr>
        <w:pStyle w:val="4"/>
        <w:ind w:firstLine="422"/>
        <w:rPr>
          <w:szCs w:val="24"/>
          <w:highlight w:val="none"/>
        </w:rPr>
      </w:pPr>
      <w:r>
        <w:rPr>
          <w:rFonts w:hint="eastAsia"/>
          <w:szCs w:val="24"/>
          <w:highlight w:val="none"/>
        </w:rPr>
        <w:t>2</w:t>
      </w:r>
      <w:r>
        <w:rPr>
          <w:szCs w:val="24"/>
          <w:highlight w:val="none"/>
        </w:rPr>
        <w:t xml:space="preserve">.7 </w:t>
      </w:r>
      <w:r>
        <w:rPr>
          <w:rFonts w:hint="eastAsia"/>
          <w:szCs w:val="24"/>
          <w:highlight w:val="none"/>
        </w:rPr>
        <w:t>二次开发要求</w:t>
      </w:r>
    </w:p>
    <w:p w14:paraId="10D08838">
      <w:pPr>
        <w:ind w:firstLine="420"/>
        <w:rPr>
          <w:szCs w:val="24"/>
          <w:highlight w:val="none"/>
        </w:rPr>
      </w:pPr>
      <w:r>
        <w:rPr>
          <w:rFonts w:hint="eastAsia"/>
          <w:szCs w:val="24"/>
          <w:highlight w:val="none"/>
        </w:rPr>
        <w:t>为满足采购人业务发展需要，系统应能灵活、方便、快捷地支持个性化需求开发，相关要求包括：</w:t>
      </w:r>
    </w:p>
    <w:p w14:paraId="2B069999">
      <w:pPr>
        <w:ind w:firstLine="420"/>
        <w:rPr>
          <w:szCs w:val="24"/>
          <w:highlight w:val="none"/>
        </w:rPr>
      </w:pPr>
      <w:r>
        <w:rPr>
          <w:rFonts w:hint="eastAsia"/>
          <w:szCs w:val="24"/>
          <w:highlight w:val="none"/>
        </w:rPr>
        <w:t>1）支持模型参数的个性化调整，从而适应监管要求及行内业务需求的变化；</w:t>
      </w:r>
    </w:p>
    <w:p w14:paraId="373F4079">
      <w:pPr>
        <w:ind w:firstLine="420"/>
        <w:rPr>
          <w:szCs w:val="24"/>
          <w:highlight w:val="none"/>
        </w:rPr>
      </w:pPr>
      <w:r>
        <w:rPr>
          <w:rFonts w:hint="eastAsia"/>
          <w:szCs w:val="24"/>
          <w:highlight w:val="none"/>
        </w:rPr>
        <w:t>2）支持数据采集范围扩展及接口快速开发；</w:t>
      </w:r>
    </w:p>
    <w:p w14:paraId="10993D26">
      <w:pPr>
        <w:ind w:firstLine="420"/>
        <w:rPr>
          <w:szCs w:val="24"/>
          <w:highlight w:val="none"/>
        </w:rPr>
      </w:pPr>
      <w:r>
        <w:rPr>
          <w:rFonts w:hint="eastAsia"/>
          <w:szCs w:val="24"/>
          <w:highlight w:val="none"/>
        </w:rPr>
        <w:t>3）支持较为便捷的全量/增量程序版本抽取和提交；</w:t>
      </w:r>
    </w:p>
    <w:p w14:paraId="61CB9074">
      <w:pPr>
        <w:ind w:firstLine="420"/>
        <w:rPr>
          <w:szCs w:val="24"/>
          <w:highlight w:val="none"/>
        </w:rPr>
      </w:pPr>
      <w:r>
        <w:rPr>
          <w:rFonts w:hint="eastAsia"/>
          <w:szCs w:val="24"/>
          <w:highlight w:val="none"/>
        </w:rPr>
        <w:t>4）支持日常需求改造涉及的其他开发要求。</w:t>
      </w:r>
    </w:p>
    <w:p w14:paraId="59718E14">
      <w:pPr>
        <w:pStyle w:val="4"/>
        <w:ind w:firstLine="422"/>
        <w:rPr>
          <w:szCs w:val="24"/>
          <w:highlight w:val="none"/>
        </w:rPr>
      </w:pPr>
      <w:r>
        <w:rPr>
          <w:rFonts w:hint="eastAsia"/>
          <w:szCs w:val="24"/>
          <w:highlight w:val="none"/>
        </w:rPr>
        <w:t>2</w:t>
      </w:r>
      <w:r>
        <w:rPr>
          <w:szCs w:val="24"/>
          <w:highlight w:val="none"/>
        </w:rPr>
        <w:t xml:space="preserve">.8 </w:t>
      </w:r>
      <w:r>
        <w:rPr>
          <w:rFonts w:hint="eastAsia"/>
          <w:szCs w:val="24"/>
          <w:highlight w:val="none"/>
        </w:rPr>
        <w:t>其它非功能性要求</w:t>
      </w:r>
    </w:p>
    <w:p w14:paraId="74646A3B">
      <w:pPr>
        <w:ind w:firstLine="420"/>
        <w:rPr>
          <w:szCs w:val="24"/>
          <w:highlight w:val="none"/>
        </w:rPr>
      </w:pPr>
      <w:r>
        <w:rPr>
          <w:szCs w:val="24"/>
          <w:highlight w:val="none"/>
        </w:rPr>
        <w:t>2.8.</w:t>
      </w:r>
      <w:r>
        <w:rPr>
          <w:rFonts w:hint="eastAsia"/>
          <w:szCs w:val="24"/>
          <w:highlight w:val="none"/>
        </w:rPr>
        <w:t>1 运维要求</w:t>
      </w:r>
    </w:p>
    <w:p w14:paraId="4B4C58E3">
      <w:pPr>
        <w:ind w:firstLine="420"/>
        <w:rPr>
          <w:szCs w:val="24"/>
          <w:highlight w:val="none"/>
        </w:rPr>
      </w:pPr>
      <w:r>
        <w:rPr>
          <w:rFonts w:hint="eastAsia"/>
          <w:szCs w:val="24"/>
          <w:highlight w:val="none"/>
        </w:rPr>
        <w:t>1）提供日常运行监控和完整的系统维护管理的方案：提供日志、实时交易监控等系统问题定位方案；提供日志和历史数据备份、清理机制；</w:t>
      </w:r>
    </w:p>
    <w:p w14:paraId="4AFAD541">
      <w:pPr>
        <w:ind w:firstLine="420"/>
        <w:rPr>
          <w:szCs w:val="24"/>
          <w:highlight w:val="none"/>
        </w:rPr>
      </w:pPr>
      <w:r>
        <w:rPr>
          <w:rFonts w:hint="eastAsia"/>
          <w:szCs w:val="24"/>
          <w:highlight w:val="none"/>
        </w:rPr>
        <w:t>2）系统日志需接入采购人智能运维平台，满足《重庆三峡银行应用日志规范》中的要求；</w:t>
      </w:r>
    </w:p>
    <w:p w14:paraId="13D401D2">
      <w:pPr>
        <w:ind w:firstLine="420"/>
        <w:rPr>
          <w:szCs w:val="24"/>
          <w:highlight w:val="none"/>
        </w:rPr>
      </w:pPr>
      <w:r>
        <w:rPr>
          <w:rFonts w:hint="eastAsia"/>
          <w:szCs w:val="24"/>
          <w:highlight w:val="none"/>
        </w:rPr>
        <w:t>3）提供应用系统之间逻辑独立、启停服务时系统间不相互影响的部署方案（十分重要），保障系统的7*24小时运行；</w:t>
      </w:r>
    </w:p>
    <w:p w14:paraId="47569BA6">
      <w:pPr>
        <w:ind w:firstLine="420"/>
        <w:rPr>
          <w:szCs w:val="24"/>
          <w:highlight w:val="none"/>
        </w:rPr>
      </w:pPr>
      <w:r>
        <w:rPr>
          <w:rFonts w:hint="eastAsia"/>
          <w:szCs w:val="24"/>
          <w:highlight w:val="none"/>
        </w:rPr>
        <w:t>4）提供系统资源运行情况实时监控报告；提供系统出现异常预警报告；提供系统运行情况报表等；</w:t>
      </w:r>
    </w:p>
    <w:p w14:paraId="609DF848">
      <w:pPr>
        <w:ind w:firstLine="420"/>
        <w:rPr>
          <w:szCs w:val="24"/>
          <w:highlight w:val="none"/>
        </w:rPr>
      </w:pPr>
      <w:r>
        <w:rPr>
          <w:szCs w:val="24"/>
          <w:highlight w:val="none"/>
        </w:rPr>
        <w:t>5</w:t>
      </w:r>
      <w:r>
        <w:rPr>
          <w:rFonts w:hint="eastAsia"/>
          <w:szCs w:val="24"/>
          <w:highlight w:val="none"/>
        </w:rPr>
        <w:t>）涉及重大生产故障，需15分钟内响应，30分钟内提供临时解决方案并能恢复生产服务，并安排响应的技术专家进行技术支持。</w:t>
      </w:r>
    </w:p>
    <w:p w14:paraId="274ADF37">
      <w:pPr>
        <w:ind w:firstLine="420"/>
        <w:rPr>
          <w:rFonts w:cs="Times New Roman"/>
          <w:szCs w:val="24"/>
          <w:highlight w:val="none"/>
        </w:rPr>
      </w:pPr>
      <w:r>
        <w:rPr>
          <w:rFonts w:hint="eastAsia"/>
          <w:szCs w:val="24"/>
          <w:highlight w:val="none"/>
        </w:rPr>
        <w:t>6）对接采购人</w:t>
      </w:r>
      <w:r>
        <w:rPr>
          <w:rFonts w:hint="eastAsia" w:cs="Times New Roman"/>
          <w:szCs w:val="24"/>
          <w:highlight w:val="none"/>
        </w:rPr>
        <w:t>监控运维体系，满足监控体系各项要求。</w:t>
      </w:r>
    </w:p>
    <w:p w14:paraId="7E61FA86">
      <w:pPr>
        <w:ind w:firstLine="420"/>
        <w:rPr>
          <w:szCs w:val="24"/>
          <w:highlight w:val="none"/>
        </w:rPr>
      </w:pPr>
      <w:r>
        <w:rPr>
          <w:szCs w:val="24"/>
          <w:highlight w:val="none"/>
        </w:rPr>
        <w:t>2.8.</w:t>
      </w:r>
      <w:r>
        <w:rPr>
          <w:rFonts w:hint="eastAsia"/>
          <w:szCs w:val="24"/>
          <w:highlight w:val="none"/>
        </w:rPr>
        <w:t>2 日志要求</w:t>
      </w:r>
    </w:p>
    <w:p w14:paraId="0FD4D3B4">
      <w:pPr>
        <w:ind w:firstLine="420"/>
        <w:rPr>
          <w:szCs w:val="24"/>
          <w:highlight w:val="none"/>
        </w:rPr>
      </w:pPr>
      <w:r>
        <w:rPr>
          <w:rFonts w:hint="eastAsia"/>
          <w:szCs w:val="24"/>
          <w:highlight w:val="none"/>
        </w:rPr>
        <w:t>1）应完整记录所有通讯日志，如果通讯日志为字节码的，不能直接查看的，应提供查看工具；</w:t>
      </w:r>
    </w:p>
    <w:p w14:paraId="72CA5EF4">
      <w:pPr>
        <w:ind w:firstLine="420"/>
        <w:rPr>
          <w:szCs w:val="24"/>
          <w:highlight w:val="none"/>
        </w:rPr>
      </w:pPr>
      <w:r>
        <w:rPr>
          <w:rFonts w:hint="eastAsia"/>
          <w:szCs w:val="24"/>
          <w:highlight w:val="none"/>
        </w:rPr>
        <w:t>2）应完整记录交易日志，方便交易统计分析，不同类型的交易可分不同的交易日志表；</w:t>
      </w:r>
    </w:p>
    <w:p w14:paraId="58A9AA2E">
      <w:pPr>
        <w:ind w:firstLine="420"/>
        <w:rPr>
          <w:szCs w:val="24"/>
          <w:highlight w:val="none"/>
        </w:rPr>
      </w:pPr>
      <w:r>
        <w:rPr>
          <w:rFonts w:hint="eastAsia"/>
          <w:szCs w:val="24"/>
          <w:highlight w:val="none"/>
        </w:rPr>
        <w:t>3）可在线动态调整日志级别，在生产环境下定位问题时不需要中断服务；</w:t>
      </w:r>
    </w:p>
    <w:p w14:paraId="7FF28425">
      <w:pPr>
        <w:ind w:firstLine="420"/>
        <w:rPr>
          <w:szCs w:val="24"/>
          <w:highlight w:val="none"/>
        </w:rPr>
      </w:pPr>
      <w:r>
        <w:rPr>
          <w:rFonts w:hint="eastAsia"/>
          <w:szCs w:val="24"/>
          <w:highlight w:val="none"/>
        </w:rPr>
        <w:t>4）系统相关日志应输出在应用目录之外；</w:t>
      </w:r>
    </w:p>
    <w:p w14:paraId="15C46CB1">
      <w:pPr>
        <w:ind w:firstLine="420"/>
        <w:rPr>
          <w:szCs w:val="24"/>
          <w:highlight w:val="none"/>
        </w:rPr>
      </w:pPr>
      <w:r>
        <w:rPr>
          <w:rFonts w:hint="eastAsia"/>
          <w:szCs w:val="24"/>
          <w:highlight w:val="none"/>
        </w:rPr>
        <w:t>5）不应在日志中记录客户支付敏感信息；不允许保留非本机构的客户敏感信息。</w:t>
      </w:r>
    </w:p>
    <w:p w14:paraId="2B8A6F7C">
      <w:pPr>
        <w:ind w:firstLine="420"/>
        <w:rPr>
          <w:szCs w:val="24"/>
          <w:highlight w:val="none"/>
        </w:rPr>
      </w:pPr>
      <w:r>
        <w:rPr>
          <w:szCs w:val="24"/>
          <w:highlight w:val="none"/>
        </w:rPr>
        <w:t>2.8.</w:t>
      </w:r>
      <w:r>
        <w:rPr>
          <w:rFonts w:hint="eastAsia"/>
          <w:szCs w:val="24"/>
          <w:highlight w:val="none"/>
        </w:rPr>
        <w:t>3 自动监控指标</w:t>
      </w:r>
    </w:p>
    <w:p w14:paraId="78E3AFD3">
      <w:pPr>
        <w:ind w:firstLine="420"/>
        <w:rPr>
          <w:szCs w:val="24"/>
          <w:highlight w:val="none"/>
        </w:rPr>
      </w:pPr>
      <w:r>
        <w:rPr>
          <w:rFonts w:hint="eastAsia"/>
          <w:szCs w:val="24"/>
          <w:highlight w:val="none"/>
        </w:rPr>
        <w:t>1）磁盘占用率（关键目录）、CPU使用率、内存占用率等；</w:t>
      </w:r>
    </w:p>
    <w:p w14:paraId="51DD324E">
      <w:pPr>
        <w:ind w:firstLine="420"/>
        <w:rPr>
          <w:szCs w:val="24"/>
          <w:highlight w:val="none"/>
        </w:rPr>
      </w:pPr>
      <w:r>
        <w:rPr>
          <w:rFonts w:hint="eastAsia"/>
          <w:szCs w:val="24"/>
          <w:highlight w:val="none"/>
        </w:rPr>
        <w:t>2）数据库连接池使用情况：总连接数、空闲连接数、使用中连接数；线程池使用情况：总线程、空闲线程、使用中线程；</w:t>
      </w:r>
    </w:p>
    <w:p w14:paraId="2DDFAF88">
      <w:pPr>
        <w:ind w:firstLine="420"/>
        <w:rPr>
          <w:szCs w:val="24"/>
          <w:highlight w:val="none"/>
        </w:rPr>
      </w:pPr>
      <w:r>
        <w:rPr>
          <w:rFonts w:hint="eastAsia"/>
          <w:szCs w:val="24"/>
          <w:highlight w:val="none"/>
        </w:rPr>
        <w:t>3）虚拟机堆内存情况（适用Java）：空闲内存、使用中内存；</w:t>
      </w:r>
    </w:p>
    <w:p w14:paraId="795DBC09">
      <w:pPr>
        <w:ind w:firstLine="420"/>
        <w:rPr>
          <w:szCs w:val="24"/>
          <w:highlight w:val="none"/>
        </w:rPr>
      </w:pPr>
      <w:r>
        <w:rPr>
          <w:rFonts w:hint="eastAsia"/>
          <w:szCs w:val="24"/>
          <w:highlight w:val="none"/>
        </w:rPr>
        <w:t>4）交易级的错误，应用系统重大错误。</w:t>
      </w:r>
    </w:p>
    <w:p w14:paraId="1C0397FD">
      <w:pPr>
        <w:pStyle w:val="4"/>
        <w:ind w:firstLine="422"/>
        <w:rPr>
          <w:szCs w:val="24"/>
          <w:highlight w:val="none"/>
        </w:rPr>
      </w:pPr>
      <w:r>
        <w:rPr>
          <w:rFonts w:hint="eastAsia"/>
          <w:szCs w:val="24"/>
          <w:highlight w:val="none"/>
        </w:rPr>
        <w:t>2</w:t>
      </w:r>
      <w:r>
        <w:rPr>
          <w:szCs w:val="24"/>
          <w:highlight w:val="none"/>
        </w:rPr>
        <w:t xml:space="preserve">.9 </w:t>
      </w:r>
      <w:r>
        <w:rPr>
          <w:rFonts w:hint="eastAsia"/>
          <w:szCs w:val="24"/>
          <w:highlight w:val="none"/>
        </w:rPr>
        <w:t>应当遵循的标准和规范</w:t>
      </w:r>
    </w:p>
    <w:p w14:paraId="50EA7BFB">
      <w:pPr>
        <w:ind w:firstLine="420"/>
        <w:rPr>
          <w:szCs w:val="24"/>
          <w:highlight w:val="none"/>
        </w:rPr>
      </w:pPr>
      <w:r>
        <w:rPr>
          <w:rFonts w:hint="eastAsia"/>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EA3396E">
      <w:pPr>
        <w:ind w:firstLine="420"/>
        <w:rPr>
          <w:szCs w:val="24"/>
          <w:highlight w:val="none"/>
        </w:rPr>
      </w:pPr>
      <w:r>
        <w:rPr>
          <w:rFonts w:hint="eastAsia"/>
          <w:szCs w:val="24"/>
          <w:highlight w:val="none"/>
        </w:rPr>
        <w:t>系统架构必须遵循</w:t>
      </w:r>
      <w:r>
        <w:rPr>
          <w:szCs w:val="24"/>
          <w:highlight w:val="none"/>
        </w:rPr>
        <w:t>采购</w:t>
      </w:r>
      <w:r>
        <w:rPr>
          <w:rFonts w:hint="eastAsia"/>
          <w:szCs w:val="24"/>
          <w:highlight w:val="none"/>
        </w:rPr>
        <w:t>人应用架构统一架构规范；对外交互界面（含接口、交互流程）均需遵照</w:t>
      </w:r>
      <w:r>
        <w:rPr>
          <w:szCs w:val="24"/>
          <w:highlight w:val="none"/>
        </w:rPr>
        <w:t>采购</w:t>
      </w:r>
      <w:r>
        <w:rPr>
          <w:rFonts w:hint="eastAsia"/>
          <w:szCs w:val="24"/>
          <w:highlight w:val="none"/>
        </w:rPr>
        <w:t>人确定统一规范进行设计和开发</w:t>
      </w:r>
      <w:r>
        <w:rPr>
          <w:rFonts w:hint="eastAsia" w:cs="Times New Roman"/>
          <w:szCs w:val="24"/>
          <w:highlight w:val="none"/>
        </w:rPr>
        <w:t>，接口交互均需要通过分布式应用服务管理平台（以下简称“ESC”），数据文件交互优先使用 ESC 文件中心进行文件交互</w:t>
      </w:r>
      <w:r>
        <w:rPr>
          <w:rFonts w:hint="eastAsia"/>
          <w:szCs w:val="24"/>
          <w:highlight w:val="none"/>
        </w:rPr>
        <w:t>；同时开发过程的产出物（如：设计文档、代码、测试案例、测试报告等）也需完全遵照</w:t>
      </w:r>
      <w:r>
        <w:rPr>
          <w:szCs w:val="24"/>
          <w:highlight w:val="none"/>
        </w:rPr>
        <w:t>采购</w:t>
      </w:r>
      <w:r>
        <w:rPr>
          <w:rFonts w:hint="eastAsia"/>
          <w:szCs w:val="24"/>
          <w:highlight w:val="none"/>
        </w:rPr>
        <w:t>人确定的统一标准规范完成。</w:t>
      </w:r>
    </w:p>
    <w:p w14:paraId="66DF045B">
      <w:pPr>
        <w:ind w:firstLine="420"/>
        <w:rPr>
          <w:szCs w:val="24"/>
          <w:highlight w:val="none"/>
        </w:rPr>
      </w:pPr>
      <w:r>
        <w:rPr>
          <w:rFonts w:hint="eastAsia" w:cs="Times New Roman"/>
          <w:szCs w:val="24"/>
          <w:highlight w:val="none"/>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14B6F745">
      <w:pPr>
        <w:ind w:firstLine="420"/>
        <w:rPr>
          <w:szCs w:val="24"/>
          <w:highlight w:val="none"/>
        </w:rPr>
      </w:pPr>
      <w:r>
        <w:rPr>
          <w:rFonts w:hint="eastAsia"/>
          <w:szCs w:val="24"/>
          <w:highlight w:val="none"/>
        </w:rPr>
        <w:t>业务处理符合国家法律、法规和有关政策规定。数据标准要满足银监会及人民银行相关管理办法及标准化的要求。</w:t>
      </w:r>
    </w:p>
    <w:p w14:paraId="4A38CE3C">
      <w:pPr>
        <w:pStyle w:val="4"/>
        <w:ind w:firstLine="422"/>
        <w:rPr>
          <w:szCs w:val="24"/>
          <w:highlight w:val="none"/>
        </w:rPr>
      </w:pPr>
      <w:r>
        <w:rPr>
          <w:rFonts w:hint="eastAsia"/>
          <w:szCs w:val="24"/>
          <w:highlight w:val="none"/>
        </w:rPr>
        <w:t>2</w:t>
      </w:r>
      <w:r>
        <w:rPr>
          <w:szCs w:val="24"/>
          <w:highlight w:val="none"/>
        </w:rPr>
        <w:t xml:space="preserve">.10 </w:t>
      </w:r>
      <w:r>
        <w:rPr>
          <w:rFonts w:hint="eastAsia"/>
          <w:szCs w:val="24"/>
          <w:highlight w:val="none"/>
        </w:rPr>
        <w:t>其他技术要求</w:t>
      </w:r>
    </w:p>
    <w:p w14:paraId="004CA82C">
      <w:pPr>
        <w:ind w:firstLine="420"/>
        <w:rPr>
          <w:szCs w:val="24"/>
          <w:highlight w:val="none"/>
        </w:rPr>
      </w:pPr>
      <w:r>
        <w:rPr>
          <w:rFonts w:hint="eastAsia"/>
          <w:szCs w:val="24"/>
          <w:highlight w:val="none"/>
        </w:rPr>
        <w:t>1）开发环境基于J2EE轻量级框架，支持JDK版本：JDK1.8及以上版本。</w:t>
      </w:r>
    </w:p>
    <w:p w14:paraId="17DC4155">
      <w:pPr>
        <w:ind w:firstLine="420"/>
        <w:rPr>
          <w:szCs w:val="24"/>
          <w:highlight w:val="none"/>
        </w:rPr>
      </w:pPr>
      <w:r>
        <w:rPr>
          <w:rFonts w:hint="eastAsia"/>
          <w:szCs w:val="24"/>
          <w:highlight w:val="none"/>
        </w:rPr>
        <w:t>2）操作系统、数据库和中间件满足</w:t>
      </w:r>
      <w:r>
        <w:rPr>
          <w:szCs w:val="24"/>
          <w:highlight w:val="none"/>
        </w:rPr>
        <w:t>信创基线</w:t>
      </w:r>
      <w:r>
        <w:rPr>
          <w:rFonts w:hint="eastAsia"/>
          <w:szCs w:val="24"/>
          <w:highlight w:val="none"/>
        </w:rPr>
        <w:t>要求</w:t>
      </w:r>
      <w:r>
        <w:rPr>
          <w:szCs w:val="24"/>
          <w:highlight w:val="none"/>
        </w:rPr>
        <w:t>，当前部分基线如下：服务端操作系统支持银河麒麟V10，支持OceanBase数据库，支持东方通内嵌中间件</w:t>
      </w:r>
      <w:r>
        <w:rPr>
          <w:rFonts w:hint="eastAsia"/>
          <w:szCs w:val="24"/>
          <w:highlight w:val="none"/>
        </w:rPr>
        <w:t>。</w:t>
      </w:r>
    </w:p>
    <w:p w14:paraId="77C306D6">
      <w:pPr>
        <w:ind w:firstLine="420"/>
        <w:rPr>
          <w:szCs w:val="24"/>
          <w:highlight w:val="none"/>
        </w:rPr>
      </w:pPr>
      <w:r>
        <w:rPr>
          <w:rFonts w:hint="eastAsia"/>
          <w:szCs w:val="24"/>
          <w:highlight w:val="none"/>
        </w:rPr>
        <w:t>3）必须支持Windows全系操作系统，即WinXP/Win7/Win8/Win10，</w:t>
      </w:r>
      <w:r>
        <w:rPr>
          <w:rFonts w:hint="eastAsia" w:cs="Times New Roman"/>
          <w:szCs w:val="24"/>
          <w:highlight w:val="none"/>
        </w:rPr>
        <w:t>支持麒麟桌面操作系统，</w:t>
      </w:r>
      <w:r>
        <w:rPr>
          <w:rFonts w:hint="eastAsia"/>
          <w:szCs w:val="24"/>
          <w:highlight w:val="none"/>
        </w:rPr>
        <w:t>支持谷歌、360、IE6及以上版本浏览器使用</w:t>
      </w:r>
      <w:r>
        <w:rPr>
          <w:rFonts w:hint="eastAsia" w:cs="Times New Roman"/>
          <w:szCs w:val="24"/>
          <w:highlight w:val="none"/>
        </w:rPr>
        <w:t>，支持统信、奇安信、360等国产浏览器使用。</w:t>
      </w:r>
    </w:p>
    <w:p w14:paraId="0FEA275A">
      <w:pPr>
        <w:ind w:firstLine="420"/>
        <w:rPr>
          <w:szCs w:val="24"/>
          <w:highlight w:val="none"/>
        </w:rPr>
      </w:pPr>
      <w:r>
        <w:rPr>
          <w:szCs w:val="24"/>
          <w:highlight w:val="none"/>
        </w:rPr>
        <w:t>4</w:t>
      </w:r>
      <w:r>
        <w:rPr>
          <w:rFonts w:hint="eastAsia"/>
          <w:szCs w:val="24"/>
          <w:highlight w:val="none"/>
        </w:rPr>
        <w:t>）系统基础架构和底层数据库具备灵活性。</w:t>
      </w:r>
    </w:p>
    <w:p w14:paraId="24F46B0F">
      <w:pPr>
        <w:ind w:firstLine="420"/>
        <w:rPr>
          <w:szCs w:val="24"/>
          <w:highlight w:val="none"/>
        </w:rPr>
      </w:pPr>
      <w:r>
        <w:rPr>
          <w:szCs w:val="24"/>
          <w:highlight w:val="none"/>
        </w:rPr>
        <w:t>5</w:t>
      </w:r>
      <w:r>
        <w:rPr>
          <w:rFonts w:hint="eastAsia"/>
          <w:szCs w:val="24"/>
          <w:highlight w:val="none"/>
        </w:rPr>
        <w:t>）系统可集群部署，支持负载均衡，具备横向可扩展性。</w:t>
      </w:r>
    </w:p>
    <w:p w14:paraId="4FBBDD3D">
      <w:pPr>
        <w:ind w:firstLine="420"/>
        <w:rPr>
          <w:szCs w:val="24"/>
          <w:highlight w:val="none"/>
        </w:rPr>
      </w:pPr>
      <w:r>
        <w:rPr>
          <w:szCs w:val="24"/>
          <w:highlight w:val="none"/>
        </w:rPr>
        <w:t>6</w:t>
      </w:r>
      <w:r>
        <w:rPr>
          <w:rFonts w:hint="eastAsia"/>
          <w:szCs w:val="24"/>
          <w:highlight w:val="none"/>
        </w:rPr>
        <w:t>）系统处理能力能够满足现有业务数据以及未来三年可能发展的业务数据量。</w:t>
      </w:r>
    </w:p>
    <w:p w14:paraId="75234F3D">
      <w:pPr>
        <w:ind w:firstLine="420"/>
        <w:rPr>
          <w:szCs w:val="24"/>
          <w:highlight w:val="none"/>
        </w:rPr>
      </w:pPr>
      <w:r>
        <w:rPr>
          <w:szCs w:val="24"/>
          <w:highlight w:val="none"/>
        </w:rPr>
        <w:t>7</w:t>
      </w:r>
      <w:r>
        <w:rPr>
          <w:rFonts w:hint="eastAsia"/>
          <w:szCs w:val="24"/>
          <w:highlight w:val="none"/>
        </w:rPr>
        <w:t>）系统开发需要符合采购人开发规范和整体框架要求。</w:t>
      </w:r>
    </w:p>
    <w:p w14:paraId="66A3CE72">
      <w:pPr>
        <w:ind w:firstLine="420"/>
        <w:rPr>
          <w:szCs w:val="24"/>
          <w:highlight w:val="none"/>
        </w:rPr>
      </w:pPr>
      <w:r>
        <w:rPr>
          <w:szCs w:val="24"/>
          <w:highlight w:val="none"/>
        </w:rPr>
        <w:t>8</w:t>
      </w:r>
      <w:r>
        <w:rPr>
          <w:rFonts w:hint="eastAsia"/>
          <w:szCs w:val="24"/>
          <w:highlight w:val="none"/>
        </w:rPr>
        <w:t>）系统需支持dns方式连接数据库以及应用。</w:t>
      </w:r>
    </w:p>
    <w:p w14:paraId="3533CBD9">
      <w:pPr>
        <w:ind w:firstLine="420"/>
        <w:rPr>
          <w:szCs w:val="24"/>
          <w:highlight w:val="none"/>
        </w:rPr>
      </w:pPr>
      <w:r>
        <w:rPr>
          <w:szCs w:val="24"/>
          <w:highlight w:val="none"/>
        </w:rPr>
        <w:t>9</w:t>
      </w:r>
      <w:r>
        <w:rPr>
          <w:rFonts w:hint="eastAsia"/>
          <w:szCs w:val="24"/>
          <w:highlight w:val="none"/>
        </w:rPr>
        <w:t>）原则上不对系统许可（license）做限制</w:t>
      </w:r>
      <w:r>
        <w:rPr>
          <w:szCs w:val="24"/>
          <w:highlight w:val="none"/>
        </w:rPr>
        <w:t>，响应人提供的产品若为License授权方式，需提供永久授权且无需定期申请延期。</w:t>
      </w:r>
    </w:p>
    <w:p w14:paraId="1F2014E8">
      <w:pPr>
        <w:ind w:firstLine="420"/>
        <w:rPr>
          <w:szCs w:val="24"/>
          <w:highlight w:val="none"/>
        </w:rPr>
      </w:pPr>
      <w:r>
        <w:rPr>
          <w:rFonts w:hint="eastAsia"/>
          <w:szCs w:val="24"/>
          <w:highlight w:val="none"/>
        </w:rPr>
        <w:t>1</w:t>
      </w:r>
      <w:r>
        <w:rPr>
          <w:szCs w:val="24"/>
          <w:highlight w:val="none"/>
        </w:rPr>
        <w:t>0</w:t>
      </w:r>
      <w:r>
        <w:rPr>
          <w:rFonts w:hint="eastAsia"/>
          <w:szCs w:val="24"/>
          <w:highlight w:val="none"/>
        </w:rPr>
        <w:t>）响应人需提供完善的数据备份方案及备份机制。</w:t>
      </w:r>
    </w:p>
    <w:p w14:paraId="2CCED04A">
      <w:pPr>
        <w:ind w:firstLine="420"/>
        <w:rPr>
          <w:szCs w:val="24"/>
          <w:highlight w:val="none"/>
        </w:rPr>
      </w:pPr>
      <w:r>
        <w:rPr>
          <w:rFonts w:hint="eastAsia"/>
          <w:szCs w:val="24"/>
          <w:highlight w:val="none"/>
        </w:rPr>
        <w:t>1</w:t>
      </w:r>
      <w:r>
        <w:rPr>
          <w:szCs w:val="24"/>
          <w:highlight w:val="none"/>
        </w:rPr>
        <w:t>1</w:t>
      </w:r>
      <w:r>
        <w:rPr>
          <w:rFonts w:hint="eastAsia"/>
          <w:szCs w:val="24"/>
          <w:highlight w:val="none"/>
        </w:rPr>
        <w:t>）技术RTO（恢复时间目标）：</w:t>
      </w:r>
      <w:r>
        <w:rPr>
          <w:szCs w:val="24"/>
          <w:highlight w:val="none"/>
        </w:rPr>
        <w:t>3</w:t>
      </w:r>
      <w:r>
        <w:rPr>
          <w:rFonts w:hint="eastAsia"/>
          <w:szCs w:val="24"/>
          <w:highlight w:val="none"/>
        </w:rPr>
        <w:t>小时；技术RPO（恢复时间点目标）：</w:t>
      </w:r>
      <w:r>
        <w:rPr>
          <w:szCs w:val="24"/>
          <w:highlight w:val="none"/>
        </w:rPr>
        <w:t>0.5</w:t>
      </w:r>
      <w:r>
        <w:rPr>
          <w:rFonts w:hint="eastAsia"/>
          <w:szCs w:val="24"/>
          <w:highlight w:val="none"/>
        </w:rPr>
        <w:t>小时。</w:t>
      </w:r>
    </w:p>
    <w:p w14:paraId="15196FB7">
      <w:pPr>
        <w:ind w:firstLine="420"/>
        <w:rPr>
          <w:szCs w:val="24"/>
          <w:highlight w:val="none"/>
        </w:rPr>
      </w:pPr>
      <w:r>
        <w:rPr>
          <w:rFonts w:hint="eastAsia"/>
          <w:szCs w:val="24"/>
          <w:highlight w:val="none"/>
        </w:rPr>
        <w:t>1</w:t>
      </w:r>
      <w:r>
        <w:rPr>
          <w:szCs w:val="24"/>
          <w:highlight w:val="none"/>
        </w:rPr>
        <w:t>2</w:t>
      </w:r>
      <w:r>
        <w:rPr>
          <w:rFonts w:hint="eastAsia"/>
          <w:szCs w:val="24"/>
          <w:highlight w:val="none"/>
        </w:rPr>
        <w:t>）需支持IPV6协议。</w:t>
      </w:r>
    </w:p>
    <w:p w14:paraId="0BDF883D">
      <w:pPr>
        <w:ind w:firstLine="420"/>
        <w:rPr>
          <w:szCs w:val="24"/>
          <w:highlight w:val="none"/>
        </w:rPr>
      </w:pPr>
      <w:r>
        <w:rPr>
          <w:rFonts w:hint="eastAsia"/>
          <w:szCs w:val="24"/>
          <w:highlight w:val="none"/>
        </w:rPr>
        <w:t>1</w:t>
      </w:r>
      <w:r>
        <w:rPr>
          <w:szCs w:val="24"/>
          <w:highlight w:val="none"/>
        </w:rPr>
        <w:t>3</w:t>
      </w:r>
      <w:r>
        <w:rPr>
          <w:rFonts w:hint="eastAsia"/>
          <w:szCs w:val="24"/>
          <w:highlight w:val="none"/>
        </w:rPr>
        <w:t>）禁止应用软件部署使用的安装码或授权码与其运行的基础环境（如：硬盘序列号、CPU序列号或网卡序列号等）进行绑定。</w:t>
      </w:r>
    </w:p>
    <w:p w14:paraId="197A4DF3">
      <w:pPr>
        <w:ind w:firstLine="420"/>
        <w:rPr>
          <w:szCs w:val="24"/>
          <w:highlight w:val="none"/>
        </w:rPr>
      </w:pPr>
      <w:r>
        <w:rPr>
          <w:rFonts w:hint="eastAsia"/>
          <w:szCs w:val="24"/>
          <w:highlight w:val="none"/>
        </w:rPr>
        <w:t>1</w:t>
      </w:r>
      <w:r>
        <w:rPr>
          <w:szCs w:val="24"/>
          <w:highlight w:val="none"/>
        </w:rPr>
        <w:t>4</w:t>
      </w:r>
      <w:r>
        <w:rPr>
          <w:rFonts w:hint="eastAsia"/>
          <w:szCs w:val="24"/>
          <w:highlight w:val="none"/>
        </w:rPr>
        <w:t>）系统在集群部署共享文件访问时使用对象存储（不得使用NAS）。</w:t>
      </w:r>
    </w:p>
    <w:p w14:paraId="040D2930">
      <w:pPr>
        <w:ind w:firstLine="420"/>
        <w:rPr>
          <w:szCs w:val="24"/>
          <w:highlight w:val="none"/>
        </w:rPr>
      </w:pPr>
      <w:r>
        <w:rPr>
          <w:rFonts w:hint="eastAsia"/>
          <w:szCs w:val="24"/>
          <w:highlight w:val="none"/>
        </w:rPr>
        <w:t>15）</w:t>
      </w:r>
      <w:r>
        <w:rPr>
          <w:rFonts w:hint="eastAsia" w:cs="Times New Roman"/>
          <w:szCs w:val="24"/>
          <w:highlight w:val="none"/>
        </w:rPr>
        <w:t>系统应按照</w:t>
      </w:r>
      <w:r>
        <w:rPr>
          <w:rFonts w:cs="Times New Roman"/>
          <w:szCs w:val="24"/>
          <w:highlight w:val="none"/>
        </w:rPr>
        <w:t>采购人</w:t>
      </w:r>
      <w:r>
        <w:rPr>
          <w:rFonts w:hint="eastAsia" w:cs="Times New Roman"/>
          <w:szCs w:val="24"/>
          <w:highlight w:val="none"/>
        </w:rPr>
        <w:t>研发运维标准完成</w:t>
      </w:r>
      <w:r>
        <w:rPr>
          <w:rFonts w:cs="Times New Roman"/>
          <w:szCs w:val="24"/>
          <w:highlight w:val="none"/>
        </w:rPr>
        <w:t>采购人</w:t>
      </w:r>
      <w:r>
        <w:rPr>
          <w:rFonts w:hint="eastAsia" w:cs="Times New Roman"/>
          <w:szCs w:val="24"/>
          <w:highlight w:val="none"/>
        </w:rPr>
        <w:t>DevOps研发效能平台和AiOps智能运维平台的对接</w:t>
      </w:r>
      <w:r>
        <w:rPr>
          <w:rFonts w:cs="Times New Roman"/>
          <w:szCs w:val="24"/>
          <w:highlight w:val="none"/>
        </w:rPr>
        <w:t>，满足《重庆三峡银行配置文件管理规范》和《重庆三峡银行应用日志规范》</w:t>
      </w:r>
      <w:r>
        <w:rPr>
          <w:rFonts w:hint="eastAsia" w:cs="Times New Roman"/>
          <w:szCs w:val="24"/>
          <w:highlight w:val="none"/>
        </w:rPr>
        <w:t>。</w:t>
      </w:r>
    </w:p>
    <w:p w14:paraId="07F1DBFA">
      <w:pPr>
        <w:ind w:firstLine="420"/>
        <w:rPr>
          <w:rFonts w:cs="Times New Roman"/>
          <w:szCs w:val="24"/>
          <w:highlight w:val="none"/>
        </w:rPr>
      </w:pPr>
      <w:r>
        <w:rPr>
          <w:rFonts w:hint="eastAsia" w:cs="Times New Roman"/>
          <w:szCs w:val="24"/>
          <w:highlight w:val="none"/>
        </w:rPr>
        <w:t>16）</w:t>
      </w:r>
      <w:r>
        <w:rPr>
          <w:rFonts w:hint="eastAsia"/>
          <w:szCs w:val="24"/>
          <w:highlight w:val="none"/>
        </w:rPr>
        <w:t>满足国家保密标准及要求</w:t>
      </w:r>
      <w:r>
        <w:rPr>
          <w:szCs w:val="24"/>
          <w:highlight w:val="none"/>
        </w:rPr>
        <w:t>，</w:t>
      </w:r>
      <w:r>
        <w:rPr>
          <w:rFonts w:hint="eastAsia" w:cs="Times New Roman"/>
          <w:szCs w:val="24"/>
          <w:highlight w:val="none"/>
        </w:rPr>
        <w:t>从底层技术框架及系统管理功能中提供完备的应用层面安全保密支撑，支持信创软硬件运行环境，对信息系统提供全方位的安全支持。</w:t>
      </w:r>
    </w:p>
    <w:p w14:paraId="6490A883">
      <w:pPr>
        <w:ind w:firstLine="420"/>
        <w:rPr>
          <w:rFonts w:cs="Times New Roman"/>
          <w:szCs w:val="24"/>
          <w:highlight w:val="none"/>
        </w:rPr>
      </w:pPr>
      <w:r>
        <w:rPr>
          <w:rFonts w:cs="Times New Roman"/>
          <w:szCs w:val="24"/>
          <w:highlight w:val="none"/>
        </w:rPr>
        <w:t>17）在项目正式验收通过之前需同步免费进行任意版本的升级，在维保期内的产品需同步免费进行基础版本的升级。</w:t>
      </w:r>
    </w:p>
    <w:p w14:paraId="1C9D8741">
      <w:pPr>
        <w:ind w:firstLine="420"/>
        <w:rPr>
          <w:rFonts w:cs="Times New Roman"/>
          <w:szCs w:val="24"/>
          <w:highlight w:val="none"/>
        </w:rPr>
      </w:pPr>
      <w:r>
        <w:rPr>
          <w:rFonts w:hint="eastAsia" w:cs="Times New Roman"/>
          <w:szCs w:val="24"/>
          <w:highlight w:val="none"/>
        </w:rPr>
        <w:t>18）项目验收合格后需提供一年免费</w:t>
      </w:r>
      <w:r>
        <w:rPr>
          <w:rFonts w:cs="Times New Roman"/>
          <w:szCs w:val="24"/>
          <w:highlight w:val="none"/>
        </w:rPr>
        <w:t>的</w:t>
      </w:r>
      <w:r>
        <w:rPr>
          <w:rFonts w:hint="eastAsia" w:cs="Times New Roman"/>
          <w:szCs w:val="24"/>
          <w:highlight w:val="none"/>
        </w:rPr>
        <w:t>规则模型调优服务</w:t>
      </w:r>
      <w:r>
        <w:rPr>
          <w:rFonts w:cs="Times New Roman"/>
          <w:szCs w:val="24"/>
          <w:highlight w:val="none"/>
        </w:rPr>
        <w:t>支持</w:t>
      </w:r>
      <w:r>
        <w:rPr>
          <w:rFonts w:hint="eastAsia" w:cs="Times New Roman"/>
          <w:szCs w:val="24"/>
          <w:highlight w:val="none"/>
        </w:rPr>
        <w:t>。</w:t>
      </w:r>
    </w:p>
    <w:p w14:paraId="625A7E09">
      <w:pPr>
        <w:pStyle w:val="3"/>
        <w:ind w:left="360" w:hanging="360"/>
        <w:rPr>
          <w:highlight w:val="none"/>
        </w:rPr>
      </w:pPr>
      <w:r>
        <w:rPr>
          <w:highlight w:val="none"/>
        </w:rPr>
        <w:t>3.</w:t>
      </w:r>
      <w:r>
        <w:rPr>
          <w:rFonts w:hint="eastAsia"/>
          <w:highlight w:val="none"/>
        </w:rPr>
        <w:t>测试要求</w:t>
      </w:r>
    </w:p>
    <w:p w14:paraId="44A20CAA">
      <w:pPr>
        <w:ind w:firstLine="420"/>
        <w:rPr>
          <w:szCs w:val="24"/>
          <w:highlight w:val="none"/>
        </w:rPr>
      </w:pPr>
      <w:r>
        <w:rPr>
          <w:szCs w:val="24"/>
          <w:highlight w:val="none"/>
        </w:rPr>
        <w:t>1</w:t>
      </w:r>
      <w:r>
        <w:rPr>
          <w:rFonts w:hint="eastAsia"/>
          <w:szCs w:val="24"/>
          <w:highlight w:val="none"/>
        </w:rPr>
        <w:t>）</w:t>
      </w:r>
      <w:r>
        <w:rPr>
          <w:szCs w:val="24"/>
          <w:highlight w:val="none"/>
        </w:rPr>
        <w:t>响应人应负责系统的单元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测试，提交完整的测试案例及达到准出标准的单元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测试报告。</w:t>
      </w:r>
    </w:p>
    <w:p w14:paraId="17CCB718">
      <w:pPr>
        <w:ind w:firstLine="420"/>
        <w:rPr>
          <w:szCs w:val="24"/>
          <w:highlight w:val="none"/>
        </w:rPr>
      </w:pPr>
      <w:r>
        <w:rPr>
          <w:szCs w:val="24"/>
          <w:highlight w:val="none"/>
        </w:rPr>
        <w:t>2</w:t>
      </w:r>
      <w:r>
        <w:rPr>
          <w:rFonts w:hint="eastAsia"/>
          <w:szCs w:val="24"/>
          <w:highlight w:val="none"/>
        </w:rPr>
        <w:t>）</w:t>
      </w:r>
      <w:r>
        <w:rPr>
          <w:szCs w:val="24"/>
          <w:highlight w:val="none"/>
        </w:rPr>
        <w:t>响应人应提供专职的性能测试负责人及性能测试人员进行系统的性能测试，提交满足系统性能指标的性能测试报告。</w:t>
      </w:r>
    </w:p>
    <w:p w14:paraId="2398C553">
      <w:pPr>
        <w:ind w:firstLine="420"/>
        <w:rPr>
          <w:szCs w:val="24"/>
          <w:highlight w:val="none"/>
        </w:rPr>
      </w:pPr>
      <w:r>
        <w:rPr>
          <w:szCs w:val="24"/>
          <w:highlight w:val="none"/>
        </w:rPr>
        <w:t>3</w:t>
      </w:r>
      <w:r>
        <w:rPr>
          <w:rFonts w:hint="eastAsia"/>
          <w:szCs w:val="24"/>
          <w:highlight w:val="none"/>
        </w:rPr>
        <w:t>）</w:t>
      </w:r>
      <w:r>
        <w:rPr>
          <w:szCs w:val="24"/>
          <w:highlight w:val="none"/>
        </w:rPr>
        <w:t>响应人应指派专职的测试项目经理及项目成员进行系统测试，参照</w:t>
      </w:r>
      <w:r>
        <w:rPr>
          <w:rFonts w:hint="eastAsia"/>
          <w:szCs w:val="24"/>
          <w:highlight w:val="none"/>
        </w:rPr>
        <w:t>采购人</w:t>
      </w:r>
      <w:r>
        <w:rPr>
          <w:szCs w:val="24"/>
          <w:highlight w:val="none"/>
        </w:rPr>
        <w:t>系统测试准入准出标准。</w:t>
      </w:r>
    </w:p>
    <w:tbl>
      <w:tblPr>
        <w:tblStyle w:val="23"/>
        <w:tblW w:w="7969"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62"/>
        <w:gridCol w:w="6707"/>
      </w:tblGrid>
      <w:tr w14:paraId="67468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6D6BE12">
            <w:pPr>
              <w:spacing w:line="240" w:lineRule="auto"/>
              <w:ind w:firstLine="0" w:firstLineChars="0"/>
              <w:jc w:val="center"/>
              <w:rPr>
                <w:b/>
                <w:szCs w:val="24"/>
                <w:highlight w:val="none"/>
              </w:rPr>
            </w:pPr>
            <w:r>
              <w:rPr>
                <w:rFonts w:hint="eastAsia"/>
                <w:b/>
                <w:szCs w:val="24"/>
                <w:highlight w:val="none"/>
              </w:rPr>
              <w:t>系统测试准入准出标准</w:t>
            </w:r>
          </w:p>
        </w:tc>
      </w:tr>
      <w:tr w14:paraId="31BF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178A5A83">
            <w:pPr>
              <w:spacing w:line="240" w:lineRule="auto"/>
              <w:ind w:firstLine="0" w:firstLineChars="0"/>
              <w:rPr>
                <w:b/>
                <w:szCs w:val="24"/>
                <w:highlight w:val="none"/>
              </w:rPr>
            </w:pPr>
            <w:r>
              <w:rPr>
                <w:rFonts w:hint="eastAsia"/>
                <w:b/>
                <w:szCs w:val="24"/>
                <w:highlight w:val="none"/>
              </w:rPr>
              <w:t>一、系统测试准入标准</w:t>
            </w:r>
          </w:p>
        </w:tc>
      </w:tr>
      <w:tr w14:paraId="31690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08148DA3">
            <w:pPr>
              <w:spacing w:line="240" w:lineRule="auto"/>
              <w:ind w:firstLine="0" w:firstLineChars="0"/>
              <w:jc w:val="center"/>
              <w:rPr>
                <w:b/>
                <w:szCs w:val="24"/>
                <w:highlight w:val="none"/>
              </w:rPr>
            </w:pPr>
            <w:r>
              <w:rPr>
                <w:rFonts w:hint="eastAsia"/>
                <w:b/>
                <w:szCs w:val="24"/>
                <w:highlight w:val="none"/>
              </w:rPr>
              <w:t>阶段</w:t>
            </w:r>
          </w:p>
        </w:tc>
        <w:tc>
          <w:tcPr>
            <w:tcW w:w="6707" w:type="dxa"/>
            <w:tcBorders>
              <w:left w:val="single" w:color="auto" w:sz="6" w:space="0"/>
            </w:tcBorders>
            <w:shd w:val="clear" w:color="auto" w:fill="FFFFFF"/>
            <w:vAlign w:val="center"/>
          </w:tcPr>
          <w:p w14:paraId="178A5845">
            <w:pPr>
              <w:spacing w:line="240" w:lineRule="auto"/>
              <w:ind w:firstLine="0" w:firstLineChars="0"/>
              <w:jc w:val="center"/>
              <w:rPr>
                <w:b/>
                <w:szCs w:val="24"/>
                <w:highlight w:val="none"/>
              </w:rPr>
            </w:pPr>
            <w:r>
              <w:rPr>
                <w:rFonts w:hint="eastAsia"/>
                <w:b/>
                <w:szCs w:val="24"/>
                <w:highlight w:val="none"/>
              </w:rPr>
              <w:t>准入条件</w:t>
            </w:r>
          </w:p>
        </w:tc>
      </w:tr>
      <w:tr w14:paraId="2B0DC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restart"/>
            <w:shd w:val="clear" w:color="auto" w:fill="FFFFFF"/>
            <w:vAlign w:val="center"/>
          </w:tcPr>
          <w:p w14:paraId="2681C9ED">
            <w:pPr>
              <w:spacing w:line="240" w:lineRule="auto"/>
              <w:ind w:firstLine="0" w:firstLineChars="0"/>
              <w:jc w:val="center"/>
              <w:rPr>
                <w:szCs w:val="24"/>
                <w:highlight w:val="none"/>
              </w:rPr>
            </w:pPr>
            <w:r>
              <w:rPr>
                <w:rFonts w:hint="eastAsia"/>
                <w:szCs w:val="24"/>
                <w:highlight w:val="none"/>
              </w:rPr>
              <w:t>计划阶段</w:t>
            </w:r>
          </w:p>
        </w:tc>
        <w:tc>
          <w:tcPr>
            <w:tcW w:w="6707" w:type="dxa"/>
            <w:tcBorders>
              <w:left w:val="single" w:color="auto" w:sz="6" w:space="0"/>
            </w:tcBorders>
            <w:shd w:val="clear" w:color="auto" w:fill="FFFFFF"/>
            <w:vAlign w:val="center"/>
          </w:tcPr>
          <w:p w14:paraId="5C2C5034">
            <w:pPr>
              <w:spacing w:line="240" w:lineRule="auto"/>
              <w:ind w:firstLine="0" w:firstLineChars="0"/>
              <w:rPr>
                <w:szCs w:val="24"/>
                <w:highlight w:val="none"/>
              </w:rPr>
            </w:pPr>
            <w:r>
              <w:rPr>
                <w:rFonts w:hint="eastAsia"/>
                <w:szCs w:val="24"/>
                <w:highlight w:val="none"/>
              </w:rPr>
              <w:t>开发项目在立项之初应提交纸质测试服务申请单给测试负责人</w:t>
            </w:r>
          </w:p>
        </w:tc>
      </w:tr>
      <w:tr w14:paraId="194D5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FFFFFF"/>
            <w:vAlign w:val="center"/>
          </w:tcPr>
          <w:p w14:paraId="4A0602A5">
            <w:pPr>
              <w:ind w:firstLine="420"/>
              <w:rPr>
                <w:highlight w:val="none"/>
              </w:rPr>
            </w:pPr>
          </w:p>
        </w:tc>
        <w:tc>
          <w:tcPr>
            <w:tcW w:w="6707" w:type="dxa"/>
            <w:tcBorders>
              <w:left w:val="single" w:color="auto" w:sz="6" w:space="0"/>
            </w:tcBorders>
            <w:shd w:val="clear" w:color="auto" w:fill="FFFFFF"/>
            <w:vAlign w:val="center"/>
          </w:tcPr>
          <w:p w14:paraId="63A05798">
            <w:pPr>
              <w:spacing w:line="240" w:lineRule="auto"/>
              <w:ind w:firstLine="0" w:firstLineChars="0"/>
              <w:rPr>
                <w:szCs w:val="24"/>
                <w:highlight w:val="none"/>
              </w:rPr>
            </w:pPr>
            <w:r>
              <w:rPr>
                <w:rFonts w:hint="eastAsia"/>
                <w:szCs w:val="24"/>
                <w:highlight w:val="none"/>
              </w:rPr>
              <w:t>开发项目整体项目计划必须包含系统测试计划或系统测试计划时间</w:t>
            </w:r>
          </w:p>
        </w:tc>
      </w:tr>
      <w:tr w14:paraId="36CD7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FFFFFF"/>
            <w:vAlign w:val="center"/>
          </w:tcPr>
          <w:p w14:paraId="465E7695">
            <w:pPr>
              <w:ind w:firstLine="420"/>
              <w:rPr>
                <w:highlight w:val="none"/>
              </w:rPr>
            </w:pPr>
          </w:p>
        </w:tc>
        <w:tc>
          <w:tcPr>
            <w:tcW w:w="6707" w:type="dxa"/>
            <w:tcBorders>
              <w:left w:val="single" w:color="auto" w:sz="6" w:space="0"/>
            </w:tcBorders>
            <w:shd w:val="clear" w:color="auto" w:fill="FFFFFF"/>
            <w:vAlign w:val="center"/>
          </w:tcPr>
          <w:p w14:paraId="30F80B12">
            <w:pPr>
              <w:spacing w:line="240" w:lineRule="auto"/>
              <w:ind w:firstLine="0" w:firstLineChars="0"/>
              <w:rPr>
                <w:szCs w:val="24"/>
                <w:highlight w:val="none"/>
              </w:rPr>
            </w:pPr>
            <w:r>
              <w:rPr>
                <w:rFonts w:hint="eastAsia"/>
                <w:szCs w:val="24"/>
                <w:highlight w:val="none"/>
              </w:rPr>
              <w:t>测试方要求的需求说明书及相关说明书已经通过评审，并形成终稿；文档包括但不限于：业务需求、需求说明书、系统原型、概要设计（可选）、用户手册（可选）</w:t>
            </w:r>
          </w:p>
        </w:tc>
      </w:tr>
      <w:tr w14:paraId="531CC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FFFFFF"/>
            <w:vAlign w:val="center"/>
          </w:tcPr>
          <w:p w14:paraId="042713E9">
            <w:pPr>
              <w:ind w:firstLine="420"/>
              <w:rPr>
                <w:highlight w:val="none"/>
              </w:rPr>
            </w:pPr>
          </w:p>
        </w:tc>
        <w:tc>
          <w:tcPr>
            <w:tcW w:w="6707" w:type="dxa"/>
            <w:tcBorders>
              <w:left w:val="single" w:color="auto" w:sz="6" w:space="0"/>
            </w:tcBorders>
            <w:shd w:val="clear" w:color="auto" w:fill="FFFFFF"/>
            <w:vAlign w:val="center"/>
          </w:tcPr>
          <w:p w14:paraId="6A337502">
            <w:pPr>
              <w:spacing w:line="240" w:lineRule="auto"/>
              <w:ind w:firstLine="0" w:firstLineChars="0"/>
              <w:rPr>
                <w:szCs w:val="24"/>
                <w:highlight w:val="none"/>
              </w:rPr>
            </w:pPr>
            <w:r>
              <w:rPr>
                <w:rFonts w:hint="eastAsia"/>
                <w:szCs w:val="24"/>
                <w:highlight w:val="none"/>
              </w:rPr>
              <w:t>变更影响范围是否提供</w:t>
            </w:r>
          </w:p>
        </w:tc>
      </w:tr>
      <w:tr w14:paraId="193E9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restart"/>
            <w:shd w:val="clear" w:color="auto" w:fill="FFFFFF"/>
            <w:vAlign w:val="center"/>
          </w:tcPr>
          <w:p w14:paraId="118E06B9">
            <w:pPr>
              <w:spacing w:line="240" w:lineRule="auto"/>
              <w:ind w:firstLine="0" w:firstLineChars="0"/>
              <w:jc w:val="center"/>
              <w:rPr>
                <w:szCs w:val="24"/>
                <w:highlight w:val="none"/>
              </w:rPr>
            </w:pPr>
            <w:r>
              <w:rPr>
                <w:rFonts w:hint="eastAsia"/>
                <w:szCs w:val="24"/>
                <w:highlight w:val="none"/>
              </w:rPr>
              <w:t>执行阶段</w:t>
            </w:r>
          </w:p>
        </w:tc>
        <w:tc>
          <w:tcPr>
            <w:tcW w:w="6707" w:type="dxa"/>
            <w:tcBorders>
              <w:left w:val="single" w:color="auto" w:sz="6" w:space="0"/>
            </w:tcBorders>
            <w:shd w:val="clear" w:color="auto" w:fill="FFFFFF"/>
            <w:vAlign w:val="center"/>
          </w:tcPr>
          <w:p w14:paraId="10A4B19D">
            <w:pPr>
              <w:spacing w:line="240" w:lineRule="auto"/>
              <w:ind w:firstLine="0" w:firstLineChars="0"/>
              <w:rPr>
                <w:szCs w:val="24"/>
                <w:highlight w:val="none"/>
              </w:rPr>
            </w:pPr>
            <w:r>
              <w:rPr>
                <w:rFonts w:hint="eastAsia"/>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72946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62" w:type="dxa"/>
            <w:vMerge w:val="continue"/>
            <w:shd w:val="clear" w:color="auto" w:fill="FFFFFF"/>
            <w:vAlign w:val="center"/>
          </w:tcPr>
          <w:p w14:paraId="1100C5D3">
            <w:pPr>
              <w:ind w:firstLine="420"/>
              <w:rPr>
                <w:highlight w:val="none"/>
              </w:rPr>
            </w:pPr>
          </w:p>
        </w:tc>
        <w:tc>
          <w:tcPr>
            <w:tcW w:w="6707" w:type="dxa"/>
            <w:tcBorders>
              <w:left w:val="single" w:color="auto" w:sz="6" w:space="0"/>
            </w:tcBorders>
            <w:shd w:val="clear" w:color="auto" w:fill="FFFFFF"/>
            <w:vAlign w:val="center"/>
          </w:tcPr>
          <w:p w14:paraId="65B1D710">
            <w:pPr>
              <w:spacing w:line="240" w:lineRule="auto"/>
              <w:ind w:firstLine="0" w:firstLineChars="0"/>
              <w:rPr>
                <w:szCs w:val="24"/>
                <w:highlight w:val="none"/>
              </w:rPr>
            </w:pPr>
            <w:r>
              <w:rPr>
                <w:rFonts w:hint="eastAsia"/>
                <w:szCs w:val="24"/>
                <w:highlight w:val="none"/>
              </w:rPr>
              <w:t>系统测试案例准备就绪（案例密度为35条/每功能点）</w:t>
            </w:r>
          </w:p>
        </w:tc>
      </w:tr>
      <w:tr w14:paraId="1A699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62" w:type="dxa"/>
            <w:vMerge w:val="continue"/>
            <w:shd w:val="clear" w:color="auto" w:fill="FFFFFF"/>
            <w:vAlign w:val="center"/>
          </w:tcPr>
          <w:p w14:paraId="4385A663">
            <w:pPr>
              <w:ind w:firstLine="420"/>
              <w:rPr>
                <w:highlight w:val="none"/>
              </w:rPr>
            </w:pPr>
          </w:p>
        </w:tc>
        <w:tc>
          <w:tcPr>
            <w:tcW w:w="6707" w:type="dxa"/>
            <w:tcBorders>
              <w:left w:val="single" w:color="auto" w:sz="6" w:space="0"/>
            </w:tcBorders>
            <w:shd w:val="clear" w:color="auto" w:fill="FFFFFF"/>
            <w:vAlign w:val="center"/>
          </w:tcPr>
          <w:p w14:paraId="794D0299">
            <w:pPr>
              <w:spacing w:line="240" w:lineRule="auto"/>
              <w:ind w:firstLine="0" w:firstLineChars="0"/>
              <w:rPr>
                <w:szCs w:val="24"/>
                <w:highlight w:val="none"/>
              </w:rPr>
            </w:pPr>
            <w:r>
              <w:rPr>
                <w:rFonts w:hint="eastAsia"/>
                <w:szCs w:val="24"/>
                <w:highlight w:val="none"/>
              </w:rPr>
              <w:t>测试环境准备就绪</w:t>
            </w:r>
          </w:p>
        </w:tc>
      </w:tr>
      <w:tr w14:paraId="17D01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FFFFFF"/>
            <w:vAlign w:val="center"/>
          </w:tcPr>
          <w:p w14:paraId="5EF562C4">
            <w:pPr>
              <w:ind w:firstLine="420"/>
              <w:rPr>
                <w:highlight w:val="none"/>
              </w:rPr>
            </w:pPr>
          </w:p>
        </w:tc>
        <w:tc>
          <w:tcPr>
            <w:tcW w:w="6707" w:type="dxa"/>
            <w:tcBorders>
              <w:left w:val="single" w:color="auto" w:sz="6" w:space="0"/>
            </w:tcBorders>
            <w:shd w:val="clear" w:color="auto" w:fill="FFFFFF"/>
            <w:vAlign w:val="center"/>
          </w:tcPr>
          <w:p w14:paraId="06DAED59">
            <w:pPr>
              <w:spacing w:line="240" w:lineRule="auto"/>
              <w:ind w:firstLine="0" w:firstLineChars="0"/>
              <w:rPr>
                <w:szCs w:val="24"/>
                <w:highlight w:val="none"/>
              </w:rPr>
            </w:pPr>
            <w:r>
              <w:rPr>
                <w:rFonts w:hint="eastAsia"/>
                <w:szCs w:val="24"/>
                <w:highlight w:val="none"/>
              </w:rPr>
              <w:t>测试版本能够成功部署到测试环境。（如果测试和开发处于同一环境，则在系统测试开始前应该按照开发提交的版本重新部署）</w:t>
            </w:r>
          </w:p>
        </w:tc>
      </w:tr>
      <w:tr w14:paraId="494B5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FFFFFF"/>
            <w:vAlign w:val="center"/>
          </w:tcPr>
          <w:p w14:paraId="24338F23">
            <w:pPr>
              <w:ind w:firstLine="420"/>
              <w:rPr>
                <w:highlight w:val="none"/>
              </w:rPr>
            </w:pPr>
          </w:p>
        </w:tc>
        <w:tc>
          <w:tcPr>
            <w:tcW w:w="6707" w:type="dxa"/>
            <w:tcBorders>
              <w:left w:val="single" w:color="auto" w:sz="6" w:space="0"/>
            </w:tcBorders>
            <w:shd w:val="clear" w:color="auto" w:fill="FFFFFF"/>
            <w:vAlign w:val="center"/>
          </w:tcPr>
          <w:p w14:paraId="6906E9FC">
            <w:pPr>
              <w:spacing w:line="240" w:lineRule="auto"/>
              <w:ind w:firstLine="0" w:firstLineChars="0"/>
              <w:rPr>
                <w:szCs w:val="24"/>
                <w:highlight w:val="none"/>
              </w:rPr>
            </w:pPr>
            <w:r>
              <w:rPr>
                <w:rFonts w:hint="eastAsia"/>
                <w:szCs w:val="24"/>
                <w:highlight w:val="none"/>
              </w:rPr>
              <w:t>冒烟测试达到通过标准（冒烟测试案例通过率大于90%，有效缺陷率不高于10%）</w:t>
            </w:r>
          </w:p>
        </w:tc>
      </w:tr>
      <w:tr w14:paraId="4CD50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699D2659">
            <w:pPr>
              <w:spacing w:line="240" w:lineRule="auto"/>
              <w:ind w:firstLine="0" w:firstLineChars="0"/>
              <w:rPr>
                <w:b/>
                <w:szCs w:val="24"/>
                <w:highlight w:val="none"/>
              </w:rPr>
            </w:pPr>
            <w:r>
              <w:rPr>
                <w:rFonts w:hint="eastAsia"/>
                <w:b/>
                <w:szCs w:val="24"/>
                <w:highlight w:val="none"/>
              </w:rPr>
              <w:t>二、暂停/继续标准：满足下列之一的条件并由项目组审核同意，测试可以暂停</w:t>
            </w:r>
          </w:p>
        </w:tc>
      </w:tr>
      <w:tr w14:paraId="6B5C4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FFFFFF"/>
            <w:vAlign w:val="center"/>
          </w:tcPr>
          <w:p w14:paraId="2401FA52">
            <w:pPr>
              <w:spacing w:line="240" w:lineRule="auto"/>
              <w:ind w:firstLine="0" w:firstLineChars="0"/>
              <w:jc w:val="center"/>
              <w:rPr>
                <w:b/>
                <w:szCs w:val="24"/>
                <w:highlight w:val="none"/>
              </w:rPr>
            </w:pPr>
            <w:r>
              <w:rPr>
                <w:rFonts w:hint="eastAsia"/>
                <w:b/>
                <w:szCs w:val="24"/>
                <w:highlight w:val="none"/>
              </w:rPr>
              <w:t>序号</w:t>
            </w:r>
          </w:p>
        </w:tc>
        <w:tc>
          <w:tcPr>
            <w:tcW w:w="6707" w:type="dxa"/>
            <w:tcBorders>
              <w:left w:val="single" w:color="auto" w:sz="6" w:space="0"/>
            </w:tcBorders>
            <w:shd w:val="clear" w:color="auto" w:fill="FFFFFF"/>
            <w:vAlign w:val="center"/>
          </w:tcPr>
          <w:p w14:paraId="7AECD960">
            <w:pPr>
              <w:spacing w:line="240" w:lineRule="auto"/>
              <w:ind w:firstLine="0" w:firstLineChars="0"/>
              <w:jc w:val="center"/>
              <w:rPr>
                <w:b/>
                <w:szCs w:val="24"/>
                <w:highlight w:val="none"/>
              </w:rPr>
            </w:pPr>
            <w:r>
              <w:rPr>
                <w:rFonts w:hint="eastAsia"/>
                <w:b/>
                <w:szCs w:val="24"/>
                <w:highlight w:val="none"/>
              </w:rPr>
              <w:t>暂停条件</w:t>
            </w:r>
          </w:p>
        </w:tc>
      </w:tr>
      <w:tr w14:paraId="1AA8B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4DA65494">
            <w:pPr>
              <w:spacing w:line="240" w:lineRule="auto"/>
              <w:ind w:firstLine="0" w:firstLineChars="0"/>
              <w:jc w:val="center"/>
              <w:rPr>
                <w:szCs w:val="24"/>
                <w:highlight w:val="none"/>
              </w:rPr>
            </w:pPr>
            <w:r>
              <w:rPr>
                <w:rFonts w:hint="eastAsia"/>
                <w:szCs w:val="24"/>
                <w:highlight w:val="none"/>
              </w:rPr>
              <w:t>1</w:t>
            </w:r>
          </w:p>
        </w:tc>
        <w:tc>
          <w:tcPr>
            <w:tcW w:w="6707" w:type="dxa"/>
            <w:tcBorders>
              <w:left w:val="single" w:color="auto" w:sz="6" w:space="0"/>
            </w:tcBorders>
            <w:shd w:val="clear" w:color="auto" w:fill="FFFFFF"/>
            <w:vAlign w:val="center"/>
          </w:tcPr>
          <w:p w14:paraId="01079340">
            <w:pPr>
              <w:spacing w:line="240" w:lineRule="auto"/>
              <w:ind w:firstLine="0" w:firstLineChars="0"/>
              <w:rPr>
                <w:szCs w:val="24"/>
                <w:highlight w:val="none"/>
              </w:rPr>
            </w:pPr>
            <w:r>
              <w:rPr>
                <w:rFonts w:hint="eastAsia"/>
                <w:szCs w:val="24"/>
                <w:highlight w:val="none"/>
              </w:rPr>
              <w:t>由于程序、环境原因导致测试无法进行</w:t>
            </w:r>
          </w:p>
        </w:tc>
      </w:tr>
      <w:tr w14:paraId="6F57B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5685C96C">
            <w:pPr>
              <w:spacing w:line="240" w:lineRule="auto"/>
              <w:ind w:firstLine="0" w:firstLineChars="0"/>
              <w:jc w:val="center"/>
              <w:rPr>
                <w:szCs w:val="24"/>
                <w:highlight w:val="none"/>
              </w:rPr>
            </w:pPr>
            <w:r>
              <w:rPr>
                <w:rFonts w:hint="eastAsia"/>
                <w:szCs w:val="24"/>
                <w:highlight w:val="none"/>
              </w:rPr>
              <w:t>2</w:t>
            </w:r>
          </w:p>
        </w:tc>
        <w:tc>
          <w:tcPr>
            <w:tcW w:w="6707" w:type="dxa"/>
            <w:tcBorders>
              <w:left w:val="single" w:color="auto" w:sz="6" w:space="0"/>
            </w:tcBorders>
            <w:shd w:val="clear" w:color="auto" w:fill="FFFFFF"/>
            <w:vAlign w:val="center"/>
          </w:tcPr>
          <w:p w14:paraId="658D0DCF">
            <w:pPr>
              <w:spacing w:line="240" w:lineRule="auto"/>
              <w:ind w:firstLine="0" w:firstLineChars="0"/>
              <w:rPr>
                <w:szCs w:val="24"/>
                <w:highlight w:val="none"/>
              </w:rPr>
            </w:pPr>
            <w:r>
              <w:rPr>
                <w:rFonts w:hint="eastAsia"/>
                <w:szCs w:val="24"/>
                <w:highlight w:val="none"/>
              </w:rPr>
              <w:t>项目暂停，已无测试必要</w:t>
            </w:r>
          </w:p>
        </w:tc>
      </w:tr>
      <w:tr w14:paraId="04303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122DBE3E">
            <w:pPr>
              <w:spacing w:line="240" w:lineRule="auto"/>
              <w:ind w:firstLine="0" w:firstLineChars="0"/>
              <w:jc w:val="center"/>
              <w:rPr>
                <w:szCs w:val="24"/>
                <w:highlight w:val="none"/>
              </w:rPr>
            </w:pPr>
            <w:r>
              <w:rPr>
                <w:rFonts w:hint="eastAsia"/>
                <w:szCs w:val="24"/>
                <w:highlight w:val="none"/>
              </w:rPr>
              <w:t>4</w:t>
            </w:r>
          </w:p>
        </w:tc>
        <w:tc>
          <w:tcPr>
            <w:tcW w:w="6707" w:type="dxa"/>
            <w:tcBorders>
              <w:left w:val="single" w:color="auto" w:sz="6" w:space="0"/>
            </w:tcBorders>
            <w:shd w:val="clear" w:color="auto" w:fill="FFFFFF"/>
            <w:vAlign w:val="center"/>
          </w:tcPr>
          <w:p w14:paraId="7FE80C63">
            <w:pPr>
              <w:spacing w:line="240" w:lineRule="auto"/>
              <w:ind w:firstLine="0" w:firstLineChars="0"/>
              <w:rPr>
                <w:szCs w:val="24"/>
                <w:highlight w:val="none"/>
              </w:rPr>
            </w:pPr>
            <w:r>
              <w:rPr>
                <w:rFonts w:hint="eastAsia"/>
                <w:szCs w:val="24"/>
                <w:highlight w:val="none"/>
              </w:rPr>
              <w:t>测试需求稳定指数小于70%，则暂停测试执行</w:t>
            </w:r>
          </w:p>
        </w:tc>
      </w:tr>
      <w:tr w14:paraId="2946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48C204C7">
            <w:pPr>
              <w:spacing w:line="240" w:lineRule="auto"/>
              <w:ind w:firstLine="0" w:firstLineChars="0"/>
              <w:jc w:val="center"/>
              <w:rPr>
                <w:szCs w:val="24"/>
                <w:highlight w:val="none"/>
              </w:rPr>
            </w:pPr>
            <w:r>
              <w:rPr>
                <w:rFonts w:hint="eastAsia"/>
                <w:szCs w:val="24"/>
                <w:highlight w:val="none"/>
              </w:rPr>
              <w:t>5</w:t>
            </w:r>
          </w:p>
        </w:tc>
        <w:tc>
          <w:tcPr>
            <w:tcW w:w="6707" w:type="dxa"/>
            <w:tcBorders>
              <w:left w:val="single" w:color="auto" w:sz="6" w:space="0"/>
            </w:tcBorders>
            <w:shd w:val="clear" w:color="auto" w:fill="FFFFFF"/>
            <w:vAlign w:val="center"/>
          </w:tcPr>
          <w:p w14:paraId="563E260D">
            <w:pPr>
              <w:spacing w:line="240" w:lineRule="auto"/>
              <w:ind w:firstLine="0" w:firstLineChars="0"/>
              <w:rPr>
                <w:szCs w:val="24"/>
                <w:highlight w:val="none"/>
              </w:rPr>
            </w:pPr>
            <w:r>
              <w:rPr>
                <w:rFonts w:hint="eastAsia"/>
                <w:szCs w:val="24"/>
                <w:highlight w:val="none"/>
              </w:rPr>
              <w:t>每个里程碑节点或执行轮次案例执行通过率低于60%，则暂停测试执行</w:t>
            </w:r>
          </w:p>
        </w:tc>
      </w:tr>
      <w:tr w14:paraId="58DCA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156D8EEF">
            <w:pPr>
              <w:spacing w:line="240" w:lineRule="auto"/>
              <w:ind w:firstLine="0" w:firstLineChars="0"/>
              <w:jc w:val="center"/>
              <w:rPr>
                <w:szCs w:val="24"/>
                <w:highlight w:val="none"/>
              </w:rPr>
            </w:pPr>
            <w:r>
              <w:rPr>
                <w:rFonts w:hint="eastAsia"/>
                <w:szCs w:val="24"/>
                <w:highlight w:val="none"/>
              </w:rPr>
              <w:t>6</w:t>
            </w:r>
          </w:p>
        </w:tc>
        <w:tc>
          <w:tcPr>
            <w:tcW w:w="6707" w:type="dxa"/>
            <w:tcBorders>
              <w:left w:val="single" w:color="auto" w:sz="6" w:space="0"/>
            </w:tcBorders>
            <w:shd w:val="clear" w:color="auto" w:fill="FFFFFF"/>
            <w:vAlign w:val="center"/>
          </w:tcPr>
          <w:p w14:paraId="27112C49">
            <w:pPr>
              <w:spacing w:line="240" w:lineRule="auto"/>
              <w:ind w:firstLine="0" w:firstLineChars="0"/>
              <w:rPr>
                <w:szCs w:val="24"/>
                <w:highlight w:val="none"/>
              </w:rPr>
            </w:pPr>
            <w:r>
              <w:rPr>
                <w:rFonts w:hint="eastAsia"/>
                <w:szCs w:val="24"/>
                <w:highlight w:val="none"/>
              </w:rPr>
              <w:t>每个里程碑节点或执行轮次缺陷解决率低于50%，则暂停测试执行</w:t>
            </w:r>
          </w:p>
        </w:tc>
      </w:tr>
      <w:tr w14:paraId="45C9A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25235218">
            <w:pPr>
              <w:spacing w:line="240" w:lineRule="auto"/>
              <w:ind w:firstLine="0" w:firstLineChars="0"/>
              <w:jc w:val="center"/>
              <w:rPr>
                <w:szCs w:val="24"/>
                <w:highlight w:val="none"/>
              </w:rPr>
            </w:pPr>
            <w:r>
              <w:rPr>
                <w:rFonts w:hint="eastAsia"/>
                <w:szCs w:val="24"/>
                <w:highlight w:val="none"/>
              </w:rPr>
              <w:t>7</w:t>
            </w:r>
          </w:p>
        </w:tc>
        <w:tc>
          <w:tcPr>
            <w:tcW w:w="6707" w:type="dxa"/>
            <w:tcBorders>
              <w:left w:val="single" w:color="auto" w:sz="6" w:space="0"/>
            </w:tcBorders>
            <w:shd w:val="clear" w:color="auto" w:fill="FFFFFF"/>
            <w:vAlign w:val="center"/>
          </w:tcPr>
          <w:p w14:paraId="571117C4">
            <w:pPr>
              <w:spacing w:line="240" w:lineRule="auto"/>
              <w:ind w:firstLine="0" w:firstLineChars="0"/>
              <w:rPr>
                <w:szCs w:val="24"/>
                <w:highlight w:val="none"/>
              </w:rPr>
            </w:pPr>
            <w:r>
              <w:rPr>
                <w:rFonts w:hint="eastAsia"/>
                <w:szCs w:val="24"/>
                <w:highlight w:val="none"/>
              </w:rPr>
              <w:t>每个里程碑节点或执行轮次缺陷的案例命中率大于25%，则暂停测试执行</w:t>
            </w:r>
          </w:p>
        </w:tc>
      </w:tr>
      <w:tr w14:paraId="2FA73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64B693D5">
            <w:pPr>
              <w:spacing w:line="240" w:lineRule="auto"/>
              <w:ind w:firstLine="0" w:firstLineChars="0"/>
              <w:jc w:val="center"/>
              <w:rPr>
                <w:szCs w:val="24"/>
                <w:highlight w:val="none"/>
              </w:rPr>
            </w:pPr>
            <w:r>
              <w:rPr>
                <w:rFonts w:hint="eastAsia"/>
                <w:szCs w:val="24"/>
                <w:highlight w:val="none"/>
              </w:rPr>
              <w:t>8</w:t>
            </w:r>
          </w:p>
        </w:tc>
        <w:tc>
          <w:tcPr>
            <w:tcW w:w="6707" w:type="dxa"/>
            <w:tcBorders>
              <w:left w:val="single" w:color="auto" w:sz="6" w:space="0"/>
            </w:tcBorders>
            <w:shd w:val="clear" w:color="auto" w:fill="FFFFFF"/>
            <w:vAlign w:val="center"/>
          </w:tcPr>
          <w:p w14:paraId="4B524ED6">
            <w:pPr>
              <w:spacing w:line="240" w:lineRule="auto"/>
              <w:ind w:firstLine="0" w:firstLineChars="0"/>
              <w:rPr>
                <w:szCs w:val="24"/>
                <w:highlight w:val="none"/>
              </w:rPr>
            </w:pPr>
            <w:r>
              <w:rPr>
                <w:rFonts w:hint="eastAsia"/>
                <w:szCs w:val="24"/>
                <w:highlight w:val="none"/>
              </w:rPr>
              <w:t>每个里程碑节点或执行轮次严重以上缺陷占比大于35%，则暂停测试执行</w:t>
            </w:r>
          </w:p>
        </w:tc>
      </w:tr>
      <w:tr w14:paraId="07799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3CD9B654">
            <w:pPr>
              <w:spacing w:line="240" w:lineRule="auto"/>
              <w:ind w:firstLine="0" w:firstLineChars="0"/>
              <w:jc w:val="center"/>
              <w:rPr>
                <w:szCs w:val="24"/>
                <w:highlight w:val="none"/>
              </w:rPr>
            </w:pPr>
            <w:r>
              <w:rPr>
                <w:rFonts w:hint="eastAsia"/>
                <w:szCs w:val="24"/>
                <w:highlight w:val="none"/>
              </w:rPr>
              <w:t>9</w:t>
            </w:r>
          </w:p>
        </w:tc>
        <w:tc>
          <w:tcPr>
            <w:tcW w:w="6707" w:type="dxa"/>
            <w:tcBorders>
              <w:left w:val="single" w:color="auto" w:sz="6" w:space="0"/>
            </w:tcBorders>
            <w:shd w:val="clear" w:color="auto" w:fill="FFFFFF"/>
            <w:vAlign w:val="center"/>
          </w:tcPr>
          <w:p w14:paraId="07349660">
            <w:pPr>
              <w:spacing w:line="240" w:lineRule="auto"/>
              <w:ind w:firstLine="0" w:firstLineChars="0"/>
              <w:rPr>
                <w:szCs w:val="24"/>
                <w:highlight w:val="none"/>
              </w:rPr>
            </w:pPr>
            <w:r>
              <w:rPr>
                <w:rFonts w:hint="eastAsia"/>
                <w:szCs w:val="24"/>
                <w:highlight w:val="none"/>
              </w:rPr>
              <w:t>测试环境、测试数据、测试人员等等测试必备条件不再具备或发生变化导致测试不能进行，则暂停测试执行</w:t>
            </w:r>
          </w:p>
        </w:tc>
      </w:tr>
      <w:tr w14:paraId="6D9D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5F84C39F">
            <w:pPr>
              <w:spacing w:line="240" w:lineRule="auto"/>
              <w:ind w:firstLine="0" w:firstLineChars="0"/>
              <w:jc w:val="center"/>
              <w:rPr>
                <w:szCs w:val="24"/>
                <w:highlight w:val="none"/>
              </w:rPr>
            </w:pPr>
            <w:r>
              <w:rPr>
                <w:rFonts w:hint="eastAsia"/>
                <w:szCs w:val="24"/>
                <w:highlight w:val="none"/>
              </w:rPr>
              <w:t>10</w:t>
            </w:r>
          </w:p>
        </w:tc>
        <w:tc>
          <w:tcPr>
            <w:tcW w:w="6707" w:type="dxa"/>
            <w:tcBorders>
              <w:left w:val="single" w:color="auto" w:sz="6" w:space="0"/>
            </w:tcBorders>
            <w:shd w:val="clear" w:color="auto" w:fill="FFFFFF"/>
            <w:vAlign w:val="center"/>
          </w:tcPr>
          <w:p w14:paraId="0351A114">
            <w:pPr>
              <w:spacing w:line="240" w:lineRule="auto"/>
              <w:ind w:firstLine="0" w:firstLineChars="0"/>
              <w:rPr>
                <w:szCs w:val="24"/>
                <w:highlight w:val="none"/>
              </w:rPr>
            </w:pPr>
            <w:r>
              <w:rPr>
                <w:rFonts w:hint="eastAsia"/>
                <w:szCs w:val="24"/>
                <w:highlight w:val="none"/>
              </w:rPr>
              <w:t>项目组确定的可以暂停的其他条件</w:t>
            </w:r>
          </w:p>
        </w:tc>
      </w:tr>
      <w:tr w14:paraId="4CAD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41268A3E">
            <w:pPr>
              <w:spacing w:line="240" w:lineRule="auto"/>
              <w:ind w:firstLine="0" w:firstLineChars="0"/>
              <w:jc w:val="center"/>
              <w:rPr>
                <w:szCs w:val="24"/>
                <w:highlight w:val="none"/>
              </w:rPr>
            </w:pPr>
            <w:r>
              <w:rPr>
                <w:rFonts w:hint="eastAsia"/>
                <w:szCs w:val="24"/>
                <w:highlight w:val="none"/>
              </w:rPr>
              <w:t>11</w:t>
            </w:r>
          </w:p>
        </w:tc>
        <w:tc>
          <w:tcPr>
            <w:tcW w:w="6707" w:type="dxa"/>
            <w:tcBorders>
              <w:left w:val="single" w:color="auto" w:sz="6" w:space="0"/>
            </w:tcBorders>
            <w:shd w:val="clear" w:color="auto" w:fill="FFFFFF"/>
            <w:vAlign w:val="center"/>
          </w:tcPr>
          <w:p w14:paraId="7E9246A9">
            <w:pPr>
              <w:spacing w:line="240" w:lineRule="auto"/>
              <w:ind w:firstLine="0" w:firstLineChars="0"/>
              <w:rPr>
                <w:szCs w:val="24"/>
                <w:highlight w:val="none"/>
              </w:rPr>
            </w:pPr>
            <w:r>
              <w:rPr>
                <w:rFonts w:hint="eastAsia"/>
                <w:szCs w:val="24"/>
                <w:highlight w:val="none"/>
              </w:rPr>
              <w:t>恢复以上的条件并由项目组审核同意，测试可以继续</w:t>
            </w:r>
          </w:p>
        </w:tc>
      </w:tr>
      <w:tr w14:paraId="7DDF4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3E1D1C9B">
            <w:pPr>
              <w:spacing w:line="240" w:lineRule="auto"/>
              <w:ind w:firstLine="0" w:firstLineChars="0"/>
              <w:rPr>
                <w:b/>
                <w:szCs w:val="24"/>
                <w:highlight w:val="none"/>
              </w:rPr>
            </w:pPr>
            <w:r>
              <w:rPr>
                <w:rFonts w:hint="eastAsia"/>
                <w:b/>
                <w:szCs w:val="24"/>
                <w:highlight w:val="none"/>
              </w:rPr>
              <w:t>三、系统测试准出标准：同时满足以下条件，系统测试完成</w:t>
            </w:r>
          </w:p>
        </w:tc>
      </w:tr>
      <w:tr w14:paraId="05300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793F5CE1">
            <w:pPr>
              <w:spacing w:line="240" w:lineRule="auto"/>
              <w:ind w:firstLine="0" w:firstLineChars="0"/>
              <w:jc w:val="center"/>
              <w:rPr>
                <w:b/>
                <w:szCs w:val="24"/>
                <w:highlight w:val="none"/>
              </w:rPr>
            </w:pPr>
            <w:r>
              <w:rPr>
                <w:rFonts w:hint="eastAsia"/>
                <w:b/>
                <w:szCs w:val="24"/>
                <w:highlight w:val="none"/>
              </w:rPr>
              <w:t>序号</w:t>
            </w:r>
          </w:p>
        </w:tc>
        <w:tc>
          <w:tcPr>
            <w:tcW w:w="6707" w:type="dxa"/>
            <w:tcBorders>
              <w:left w:val="single" w:color="auto" w:sz="6" w:space="0"/>
            </w:tcBorders>
            <w:shd w:val="clear" w:color="auto" w:fill="FFFFFF"/>
            <w:vAlign w:val="center"/>
          </w:tcPr>
          <w:p w14:paraId="0EDB1136">
            <w:pPr>
              <w:spacing w:line="240" w:lineRule="auto"/>
              <w:ind w:firstLine="0" w:firstLineChars="0"/>
              <w:jc w:val="center"/>
              <w:rPr>
                <w:b/>
                <w:szCs w:val="24"/>
                <w:highlight w:val="none"/>
              </w:rPr>
            </w:pPr>
            <w:r>
              <w:rPr>
                <w:rFonts w:hint="eastAsia"/>
                <w:b/>
                <w:szCs w:val="24"/>
                <w:highlight w:val="none"/>
              </w:rPr>
              <w:t>准出条件</w:t>
            </w:r>
          </w:p>
        </w:tc>
      </w:tr>
      <w:tr w14:paraId="058C9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1E7B294E">
            <w:pPr>
              <w:spacing w:line="240" w:lineRule="auto"/>
              <w:ind w:firstLine="0" w:firstLineChars="0"/>
              <w:jc w:val="center"/>
              <w:rPr>
                <w:szCs w:val="24"/>
                <w:highlight w:val="none"/>
              </w:rPr>
            </w:pPr>
            <w:r>
              <w:rPr>
                <w:rFonts w:hint="eastAsia"/>
                <w:szCs w:val="24"/>
                <w:highlight w:val="none"/>
              </w:rPr>
              <w:t>1</w:t>
            </w:r>
          </w:p>
        </w:tc>
        <w:tc>
          <w:tcPr>
            <w:tcW w:w="6707" w:type="dxa"/>
            <w:tcBorders>
              <w:left w:val="single" w:color="auto" w:sz="6" w:space="0"/>
            </w:tcBorders>
            <w:shd w:val="clear" w:color="auto" w:fill="FFFFFF"/>
            <w:vAlign w:val="center"/>
          </w:tcPr>
          <w:p w14:paraId="75EC4E81">
            <w:pPr>
              <w:spacing w:line="240" w:lineRule="auto"/>
              <w:ind w:firstLine="0" w:firstLineChars="0"/>
              <w:rPr>
                <w:szCs w:val="24"/>
                <w:highlight w:val="none"/>
              </w:rPr>
            </w:pPr>
            <w:r>
              <w:rPr>
                <w:rFonts w:hint="eastAsia"/>
                <w:szCs w:val="24"/>
                <w:highlight w:val="none"/>
              </w:rPr>
              <w:t>测试需求覆盖率达到100%，测试案例覆盖度100%</w:t>
            </w:r>
          </w:p>
        </w:tc>
      </w:tr>
      <w:tr w14:paraId="4DD43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7E32B806">
            <w:pPr>
              <w:spacing w:line="240" w:lineRule="auto"/>
              <w:ind w:firstLine="0" w:firstLineChars="0"/>
              <w:jc w:val="center"/>
              <w:rPr>
                <w:szCs w:val="24"/>
                <w:highlight w:val="none"/>
              </w:rPr>
            </w:pPr>
            <w:r>
              <w:rPr>
                <w:rFonts w:hint="eastAsia"/>
                <w:szCs w:val="24"/>
                <w:highlight w:val="none"/>
              </w:rPr>
              <w:t>2</w:t>
            </w:r>
          </w:p>
        </w:tc>
        <w:tc>
          <w:tcPr>
            <w:tcW w:w="6707" w:type="dxa"/>
            <w:tcBorders>
              <w:left w:val="single" w:color="auto" w:sz="6" w:space="0"/>
            </w:tcBorders>
            <w:shd w:val="clear" w:color="auto" w:fill="FFFFFF"/>
            <w:vAlign w:val="center"/>
          </w:tcPr>
          <w:p w14:paraId="7ACAB6D0">
            <w:pPr>
              <w:spacing w:line="240" w:lineRule="auto"/>
              <w:ind w:firstLine="0" w:firstLineChars="0"/>
              <w:rPr>
                <w:szCs w:val="24"/>
                <w:highlight w:val="none"/>
              </w:rPr>
            </w:pPr>
            <w:r>
              <w:rPr>
                <w:rFonts w:hint="eastAsia"/>
                <w:szCs w:val="24"/>
                <w:highlight w:val="none"/>
              </w:rPr>
              <w:t>测试案例执行率达到100%，测试通过率95%</w:t>
            </w:r>
          </w:p>
        </w:tc>
      </w:tr>
      <w:tr w14:paraId="771D3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60EE5AAD">
            <w:pPr>
              <w:spacing w:line="240" w:lineRule="auto"/>
              <w:ind w:firstLine="0" w:firstLineChars="0"/>
              <w:jc w:val="center"/>
              <w:rPr>
                <w:szCs w:val="24"/>
                <w:highlight w:val="none"/>
              </w:rPr>
            </w:pPr>
            <w:r>
              <w:rPr>
                <w:rFonts w:hint="eastAsia"/>
                <w:szCs w:val="24"/>
                <w:highlight w:val="none"/>
              </w:rPr>
              <w:t>3</w:t>
            </w:r>
          </w:p>
        </w:tc>
        <w:tc>
          <w:tcPr>
            <w:tcW w:w="6707" w:type="dxa"/>
            <w:tcBorders>
              <w:left w:val="single" w:color="auto" w:sz="6" w:space="0"/>
            </w:tcBorders>
            <w:shd w:val="clear" w:color="auto" w:fill="FFFFFF"/>
            <w:vAlign w:val="center"/>
          </w:tcPr>
          <w:p w14:paraId="331992B0">
            <w:pPr>
              <w:spacing w:line="240" w:lineRule="auto"/>
              <w:ind w:firstLine="0" w:firstLineChars="0"/>
              <w:rPr>
                <w:szCs w:val="24"/>
                <w:highlight w:val="none"/>
              </w:rPr>
            </w:pPr>
            <w:r>
              <w:rPr>
                <w:rFonts w:hint="eastAsia"/>
                <w:szCs w:val="24"/>
                <w:highlight w:val="none"/>
              </w:rPr>
              <w:t>缺陷修复率达到95%</w:t>
            </w:r>
          </w:p>
        </w:tc>
      </w:tr>
      <w:tr w14:paraId="01B2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37AFC71F">
            <w:pPr>
              <w:spacing w:line="240" w:lineRule="auto"/>
              <w:ind w:firstLine="0" w:firstLineChars="0"/>
              <w:jc w:val="center"/>
              <w:rPr>
                <w:szCs w:val="24"/>
                <w:highlight w:val="none"/>
              </w:rPr>
            </w:pPr>
            <w:r>
              <w:rPr>
                <w:rFonts w:hint="eastAsia"/>
                <w:szCs w:val="24"/>
                <w:highlight w:val="none"/>
              </w:rPr>
              <w:t>4</w:t>
            </w:r>
          </w:p>
        </w:tc>
        <w:tc>
          <w:tcPr>
            <w:tcW w:w="6707" w:type="dxa"/>
            <w:tcBorders>
              <w:left w:val="single" w:color="auto" w:sz="6" w:space="0"/>
            </w:tcBorders>
            <w:shd w:val="clear" w:color="auto" w:fill="FFFFFF"/>
            <w:vAlign w:val="center"/>
          </w:tcPr>
          <w:p w14:paraId="6D76CD65">
            <w:pPr>
              <w:spacing w:line="240" w:lineRule="auto"/>
              <w:ind w:firstLine="0" w:firstLineChars="0"/>
              <w:rPr>
                <w:szCs w:val="24"/>
                <w:highlight w:val="none"/>
              </w:rPr>
            </w:pPr>
            <w:r>
              <w:rPr>
                <w:rFonts w:hint="eastAsia"/>
                <w:szCs w:val="24"/>
                <w:highlight w:val="none"/>
              </w:rPr>
              <w:t>致命缺陷、严重缺陷解决率达到100%</w:t>
            </w:r>
          </w:p>
        </w:tc>
      </w:tr>
      <w:tr w14:paraId="0A11B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3ACEA0A1">
            <w:pPr>
              <w:spacing w:line="240" w:lineRule="auto"/>
              <w:ind w:firstLine="0" w:firstLineChars="0"/>
              <w:jc w:val="center"/>
              <w:rPr>
                <w:szCs w:val="24"/>
                <w:highlight w:val="none"/>
              </w:rPr>
            </w:pPr>
            <w:r>
              <w:rPr>
                <w:rFonts w:hint="eastAsia"/>
                <w:szCs w:val="24"/>
                <w:highlight w:val="none"/>
              </w:rPr>
              <w:t>5</w:t>
            </w:r>
          </w:p>
        </w:tc>
        <w:tc>
          <w:tcPr>
            <w:tcW w:w="6707" w:type="dxa"/>
            <w:tcBorders>
              <w:left w:val="single" w:color="auto" w:sz="6" w:space="0"/>
            </w:tcBorders>
            <w:shd w:val="clear" w:color="auto" w:fill="FFFFFF"/>
            <w:vAlign w:val="center"/>
          </w:tcPr>
          <w:p w14:paraId="23F506C7">
            <w:pPr>
              <w:spacing w:line="240" w:lineRule="auto"/>
              <w:ind w:firstLine="0" w:firstLineChars="0"/>
              <w:rPr>
                <w:szCs w:val="24"/>
                <w:highlight w:val="none"/>
              </w:rPr>
            </w:pPr>
            <w:r>
              <w:rPr>
                <w:rFonts w:hint="eastAsia"/>
                <w:szCs w:val="24"/>
                <w:highlight w:val="none"/>
              </w:rPr>
              <w:t>一般缺陷、微小缺陷解决率达到90%以上，建议缺陷解决率达到80%以上，且未解决缺陷得项目组认可</w:t>
            </w:r>
          </w:p>
        </w:tc>
      </w:tr>
      <w:tr w14:paraId="200F3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640ABFA9">
            <w:pPr>
              <w:spacing w:line="240" w:lineRule="auto"/>
              <w:ind w:firstLine="0" w:firstLineChars="0"/>
              <w:jc w:val="center"/>
              <w:rPr>
                <w:szCs w:val="24"/>
                <w:highlight w:val="none"/>
              </w:rPr>
            </w:pPr>
            <w:r>
              <w:rPr>
                <w:rFonts w:hint="eastAsia"/>
                <w:szCs w:val="24"/>
                <w:highlight w:val="none"/>
              </w:rPr>
              <w:t>6</w:t>
            </w:r>
          </w:p>
        </w:tc>
        <w:tc>
          <w:tcPr>
            <w:tcW w:w="6707" w:type="dxa"/>
            <w:tcBorders>
              <w:left w:val="single" w:color="auto" w:sz="6" w:space="0"/>
            </w:tcBorders>
            <w:shd w:val="clear" w:color="auto" w:fill="FFFFFF"/>
            <w:vAlign w:val="center"/>
          </w:tcPr>
          <w:p w14:paraId="0B6796C1">
            <w:pPr>
              <w:spacing w:line="240" w:lineRule="auto"/>
              <w:ind w:firstLine="0" w:firstLineChars="0"/>
              <w:rPr>
                <w:szCs w:val="24"/>
                <w:highlight w:val="none"/>
              </w:rPr>
            </w:pPr>
            <w:r>
              <w:rPr>
                <w:rFonts w:hint="eastAsia"/>
                <w:szCs w:val="24"/>
                <w:highlight w:val="none"/>
              </w:rPr>
              <w:t>提交系统测试报告及通过评审</w:t>
            </w:r>
          </w:p>
        </w:tc>
      </w:tr>
      <w:tr w14:paraId="4845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14:paraId="0253147A">
            <w:pPr>
              <w:spacing w:line="240" w:lineRule="auto"/>
              <w:ind w:firstLine="0" w:firstLineChars="0"/>
              <w:rPr>
                <w:b/>
                <w:szCs w:val="24"/>
                <w:highlight w:val="none"/>
              </w:rPr>
            </w:pPr>
            <w:r>
              <w:rPr>
                <w:rFonts w:hint="eastAsia"/>
                <w:b/>
                <w:szCs w:val="24"/>
                <w:highlight w:val="none"/>
              </w:rPr>
              <w:t>四、测试指标公式附录</w:t>
            </w:r>
          </w:p>
        </w:tc>
      </w:tr>
      <w:tr w14:paraId="04CCA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211264CA">
            <w:pPr>
              <w:spacing w:line="240" w:lineRule="auto"/>
              <w:ind w:firstLine="0" w:firstLineChars="0"/>
              <w:jc w:val="center"/>
              <w:rPr>
                <w:b/>
                <w:szCs w:val="24"/>
                <w:highlight w:val="none"/>
              </w:rPr>
            </w:pPr>
            <w:r>
              <w:rPr>
                <w:rFonts w:hint="eastAsia"/>
                <w:b/>
                <w:szCs w:val="24"/>
                <w:highlight w:val="none"/>
              </w:rPr>
              <w:t>TPI</w:t>
            </w:r>
          </w:p>
        </w:tc>
        <w:tc>
          <w:tcPr>
            <w:tcW w:w="6707" w:type="dxa"/>
            <w:tcBorders>
              <w:left w:val="single" w:color="auto" w:sz="6" w:space="0"/>
            </w:tcBorders>
            <w:shd w:val="clear" w:color="auto" w:fill="FFFFFF"/>
            <w:vAlign w:val="center"/>
          </w:tcPr>
          <w:p w14:paraId="59B1606A">
            <w:pPr>
              <w:spacing w:line="240" w:lineRule="auto"/>
              <w:ind w:firstLine="0" w:firstLineChars="0"/>
              <w:jc w:val="center"/>
              <w:rPr>
                <w:b/>
                <w:szCs w:val="24"/>
                <w:highlight w:val="none"/>
              </w:rPr>
            </w:pPr>
            <w:r>
              <w:rPr>
                <w:rFonts w:hint="eastAsia"/>
                <w:b/>
                <w:szCs w:val="24"/>
                <w:highlight w:val="none"/>
              </w:rPr>
              <w:t>公式</w:t>
            </w:r>
          </w:p>
        </w:tc>
      </w:tr>
      <w:tr w14:paraId="1B7C2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39B64712">
            <w:pPr>
              <w:spacing w:line="240" w:lineRule="auto"/>
              <w:ind w:firstLine="0" w:firstLineChars="0"/>
              <w:rPr>
                <w:szCs w:val="24"/>
                <w:highlight w:val="none"/>
              </w:rPr>
            </w:pPr>
            <w:r>
              <w:rPr>
                <w:rFonts w:hint="eastAsia"/>
                <w:szCs w:val="24"/>
                <w:highlight w:val="none"/>
              </w:rPr>
              <w:t>测试需求覆盖率</w:t>
            </w:r>
          </w:p>
        </w:tc>
        <w:tc>
          <w:tcPr>
            <w:tcW w:w="6707" w:type="dxa"/>
            <w:tcBorders>
              <w:left w:val="single" w:color="auto" w:sz="6" w:space="0"/>
            </w:tcBorders>
            <w:shd w:val="clear" w:color="auto" w:fill="FFFFFF"/>
            <w:vAlign w:val="center"/>
          </w:tcPr>
          <w:p w14:paraId="20D160D2">
            <w:pPr>
              <w:spacing w:line="240" w:lineRule="auto"/>
              <w:ind w:firstLine="0" w:firstLineChars="0"/>
              <w:rPr>
                <w:szCs w:val="24"/>
                <w:highlight w:val="none"/>
              </w:rPr>
            </w:pPr>
            <w:r>
              <w:rPr>
                <w:rFonts w:hint="eastAsia"/>
                <w:szCs w:val="24"/>
                <w:highlight w:val="none"/>
              </w:rPr>
              <w:t>测试需求覆盖点/软件需求功能点</w:t>
            </w:r>
          </w:p>
        </w:tc>
      </w:tr>
      <w:tr w14:paraId="1D2EA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04BBE343">
            <w:pPr>
              <w:spacing w:line="240" w:lineRule="auto"/>
              <w:ind w:firstLine="0" w:firstLineChars="0"/>
              <w:rPr>
                <w:szCs w:val="24"/>
                <w:highlight w:val="none"/>
              </w:rPr>
            </w:pPr>
            <w:r>
              <w:rPr>
                <w:rFonts w:hint="eastAsia"/>
                <w:szCs w:val="24"/>
                <w:highlight w:val="none"/>
              </w:rPr>
              <w:t>有效案例总数</w:t>
            </w:r>
          </w:p>
        </w:tc>
        <w:tc>
          <w:tcPr>
            <w:tcW w:w="6707" w:type="dxa"/>
            <w:tcBorders>
              <w:left w:val="single" w:color="auto" w:sz="6" w:space="0"/>
            </w:tcBorders>
            <w:shd w:val="clear" w:color="auto" w:fill="FFFFFF"/>
            <w:vAlign w:val="center"/>
          </w:tcPr>
          <w:p w14:paraId="370A320B">
            <w:pPr>
              <w:spacing w:line="240" w:lineRule="auto"/>
              <w:ind w:firstLine="0" w:firstLineChars="0"/>
              <w:rPr>
                <w:szCs w:val="24"/>
                <w:highlight w:val="none"/>
              </w:rPr>
            </w:pPr>
            <w:r>
              <w:rPr>
                <w:rFonts w:hint="eastAsia"/>
                <w:szCs w:val="24"/>
                <w:highlight w:val="none"/>
              </w:rPr>
              <w:t>案例总数-无效案例总数</w:t>
            </w:r>
          </w:p>
        </w:tc>
      </w:tr>
      <w:tr w14:paraId="504A6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22980405">
            <w:pPr>
              <w:spacing w:line="240" w:lineRule="auto"/>
              <w:ind w:firstLine="0" w:firstLineChars="0"/>
              <w:rPr>
                <w:szCs w:val="24"/>
                <w:highlight w:val="none"/>
              </w:rPr>
            </w:pPr>
            <w:r>
              <w:rPr>
                <w:rFonts w:hint="eastAsia"/>
                <w:szCs w:val="24"/>
                <w:highlight w:val="none"/>
              </w:rPr>
              <w:t>有效缺陷总数</w:t>
            </w:r>
          </w:p>
        </w:tc>
        <w:tc>
          <w:tcPr>
            <w:tcW w:w="6707" w:type="dxa"/>
            <w:tcBorders>
              <w:left w:val="single" w:color="auto" w:sz="6" w:space="0"/>
            </w:tcBorders>
            <w:shd w:val="clear" w:color="auto" w:fill="FFFFFF"/>
            <w:vAlign w:val="center"/>
          </w:tcPr>
          <w:p w14:paraId="3CDEF42E">
            <w:pPr>
              <w:spacing w:line="240" w:lineRule="auto"/>
              <w:ind w:firstLine="0" w:firstLineChars="0"/>
              <w:rPr>
                <w:szCs w:val="24"/>
                <w:highlight w:val="none"/>
              </w:rPr>
            </w:pPr>
            <w:r>
              <w:rPr>
                <w:rFonts w:hint="eastAsia"/>
                <w:szCs w:val="24"/>
                <w:highlight w:val="none"/>
              </w:rPr>
              <w:t>缺陷总数-无效缺陷总数-伪缺陷总数</w:t>
            </w:r>
          </w:p>
        </w:tc>
      </w:tr>
      <w:tr w14:paraId="0C4F0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50DEAAF4">
            <w:pPr>
              <w:spacing w:line="240" w:lineRule="auto"/>
              <w:ind w:firstLine="0" w:firstLineChars="0"/>
              <w:rPr>
                <w:szCs w:val="24"/>
                <w:highlight w:val="none"/>
              </w:rPr>
            </w:pPr>
            <w:r>
              <w:rPr>
                <w:rFonts w:hint="eastAsia"/>
                <w:szCs w:val="24"/>
                <w:highlight w:val="none"/>
              </w:rPr>
              <w:t>严重以上缺陷总数</w:t>
            </w:r>
          </w:p>
        </w:tc>
        <w:tc>
          <w:tcPr>
            <w:tcW w:w="6707" w:type="dxa"/>
            <w:tcBorders>
              <w:left w:val="single" w:color="auto" w:sz="6" w:space="0"/>
            </w:tcBorders>
            <w:shd w:val="clear" w:color="auto" w:fill="FFFFFF"/>
            <w:vAlign w:val="center"/>
          </w:tcPr>
          <w:p w14:paraId="09513AF2">
            <w:pPr>
              <w:spacing w:line="240" w:lineRule="auto"/>
              <w:ind w:firstLine="0" w:firstLineChars="0"/>
              <w:rPr>
                <w:szCs w:val="24"/>
                <w:highlight w:val="none"/>
              </w:rPr>
            </w:pPr>
            <w:r>
              <w:rPr>
                <w:rFonts w:hint="eastAsia"/>
                <w:szCs w:val="24"/>
                <w:highlight w:val="none"/>
              </w:rPr>
              <w:t>严重及致命缺陷总数-无效的严重及致命缺陷总数</w:t>
            </w:r>
          </w:p>
        </w:tc>
      </w:tr>
      <w:tr w14:paraId="38A17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4E421D58">
            <w:pPr>
              <w:spacing w:line="240" w:lineRule="auto"/>
              <w:ind w:firstLine="0" w:firstLineChars="0"/>
              <w:rPr>
                <w:szCs w:val="24"/>
                <w:highlight w:val="none"/>
              </w:rPr>
            </w:pPr>
            <w:r>
              <w:rPr>
                <w:rFonts w:hint="eastAsia"/>
                <w:szCs w:val="24"/>
                <w:highlight w:val="none"/>
              </w:rPr>
              <w:t>案例执行率</w:t>
            </w:r>
          </w:p>
        </w:tc>
        <w:tc>
          <w:tcPr>
            <w:tcW w:w="6707" w:type="dxa"/>
            <w:tcBorders>
              <w:left w:val="single" w:color="auto" w:sz="6" w:space="0"/>
            </w:tcBorders>
            <w:shd w:val="clear" w:color="auto" w:fill="FFFFFF"/>
            <w:vAlign w:val="center"/>
          </w:tcPr>
          <w:p w14:paraId="596CA923">
            <w:pPr>
              <w:spacing w:line="240" w:lineRule="auto"/>
              <w:ind w:firstLine="0" w:firstLineChars="0"/>
              <w:rPr>
                <w:szCs w:val="24"/>
                <w:highlight w:val="none"/>
              </w:rPr>
            </w:pPr>
            <w:r>
              <w:rPr>
                <w:rFonts w:hint="eastAsia"/>
                <w:szCs w:val="24"/>
                <w:highlight w:val="none"/>
              </w:rPr>
              <w:t>每轮执行案例数/每轮计划执行的案例个数</w:t>
            </w:r>
          </w:p>
        </w:tc>
      </w:tr>
      <w:tr w14:paraId="31A4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25DEE7D2">
            <w:pPr>
              <w:spacing w:line="240" w:lineRule="auto"/>
              <w:ind w:firstLine="0" w:firstLineChars="0"/>
              <w:rPr>
                <w:szCs w:val="24"/>
                <w:highlight w:val="none"/>
              </w:rPr>
            </w:pPr>
            <w:r>
              <w:rPr>
                <w:rFonts w:hint="eastAsia"/>
                <w:szCs w:val="24"/>
                <w:highlight w:val="none"/>
              </w:rPr>
              <w:t>需求稳定指数</w:t>
            </w:r>
          </w:p>
        </w:tc>
        <w:tc>
          <w:tcPr>
            <w:tcW w:w="6707" w:type="dxa"/>
            <w:tcBorders>
              <w:left w:val="single" w:color="auto" w:sz="6" w:space="0"/>
            </w:tcBorders>
            <w:shd w:val="clear" w:color="auto" w:fill="FFFFFF"/>
            <w:vAlign w:val="center"/>
          </w:tcPr>
          <w:p w14:paraId="73702E11">
            <w:pPr>
              <w:spacing w:line="240" w:lineRule="auto"/>
              <w:ind w:firstLine="0" w:firstLineChars="0"/>
              <w:rPr>
                <w:szCs w:val="24"/>
                <w:highlight w:val="none"/>
              </w:rPr>
            </w:pPr>
            <w:r>
              <w:rPr>
                <w:rFonts w:hint="eastAsia"/>
                <w:szCs w:val="24"/>
                <w:highlight w:val="none"/>
              </w:rPr>
              <w:t>（测试需求分析中规则数量-业务需求因素引起变更的测试需求规则数-开发因素引起变更的测试需求规则数）/测试需求分析中规则数量</w:t>
            </w:r>
          </w:p>
        </w:tc>
      </w:tr>
      <w:tr w14:paraId="0E2BC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center"/>
          </w:tcPr>
          <w:p w14:paraId="016BC4D7">
            <w:pPr>
              <w:spacing w:line="240" w:lineRule="auto"/>
              <w:ind w:firstLine="0" w:firstLineChars="0"/>
              <w:rPr>
                <w:szCs w:val="24"/>
                <w:highlight w:val="none"/>
              </w:rPr>
            </w:pPr>
            <w:r>
              <w:rPr>
                <w:rFonts w:hint="eastAsia"/>
                <w:szCs w:val="24"/>
                <w:highlight w:val="none"/>
              </w:rPr>
              <w:t>案例执行通过率</w:t>
            </w:r>
          </w:p>
        </w:tc>
        <w:tc>
          <w:tcPr>
            <w:tcW w:w="6707" w:type="dxa"/>
            <w:tcBorders>
              <w:left w:val="single" w:color="auto" w:sz="6" w:space="0"/>
            </w:tcBorders>
            <w:shd w:val="clear" w:color="auto" w:fill="FFFFFF"/>
            <w:vAlign w:val="center"/>
          </w:tcPr>
          <w:p w14:paraId="1E6B1C5D">
            <w:pPr>
              <w:spacing w:line="240" w:lineRule="auto"/>
              <w:ind w:firstLine="0" w:firstLineChars="0"/>
              <w:rPr>
                <w:szCs w:val="24"/>
                <w:highlight w:val="none"/>
              </w:rPr>
            </w:pPr>
            <w:r>
              <w:rPr>
                <w:rFonts w:hint="eastAsia"/>
                <w:szCs w:val="24"/>
                <w:highlight w:val="none"/>
              </w:rPr>
              <w:t>每轮执行通过的案例个数/每轮执行案例数</w:t>
            </w:r>
          </w:p>
        </w:tc>
      </w:tr>
      <w:tr w14:paraId="46D25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bottom"/>
          </w:tcPr>
          <w:p w14:paraId="41989C11">
            <w:pPr>
              <w:spacing w:line="240" w:lineRule="auto"/>
              <w:ind w:firstLine="0" w:firstLineChars="0"/>
              <w:rPr>
                <w:szCs w:val="24"/>
                <w:highlight w:val="none"/>
              </w:rPr>
            </w:pPr>
            <w:r>
              <w:rPr>
                <w:rFonts w:hint="eastAsia"/>
                <w:szCs w:val="24"/>
                <w:highlight w:val="none"/>
              </w:rPr>
              <w:t>缺陷的案例命中率</w:t>
            </w:r>
          </w:p>
        </w:tc>
        <w:tc>
          <w:tcPr>
            <w:tcW w:w="6707" w:type="dxa"/>
            <w:tcBorders>
              <w:left w:val="single" w:color="auto" w:sz="6" w:space="0"/>
            </w:tcBorders>
            <w:shd w:val="clear" w:color="auto" w:fill="FFFFFF"/>
            <w:vAlign w:val="bottom"/>
          </w:tcPr>
          <w:p w14:paraId="16A804F1">
            <w:pPr>
              <w:spacing w:line="240" w:lineRule="auto"/>
              <w:ind w:firstLine="0" w:firstLineChars="0"/>
              <w:rPr>
                <w:szCs w:val="24"/>
                <w:highlight w:val="none"/>
              </w:rPr>
            </w:pPr>
            <w:r>
              <w:rPr>
                <w:rFonts w:hint="eastAsia"/>
                <w:szCs w:val="24"/>
                <w:highlight w:val="none"/>
              </w:rPr>
              <w:t>有效缺陷总数/有效案例总数</w:t>
            </w:r>
          </w:p>
        </w:tc>
      </w:tr>
      <w:tr w14:paraId="1E4D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bottom"/>
          </w:tcPr>
          <w:p w14:paraId="0F15E808">
            <w:pPr>
              <w:spacing w:line="240" w:lineRule="auto"/>
              <w:ind w:firstLine="0" w:firstLineChars="0"/>
              <w:rPr>
                <w:szCs w:val="24"/>
                <w:highlight w:val="none"/>
              </w:rPr>
            </w:pPr>
            <w:r>
              <w:rPr>
                <w:rFonts w:hint="eastAsia"/>
                <w:szCs w:val="24"/>
                <w:highlight w:val="none"/>
              </w:rPr>
              <w:t>严重以上缺陷占比</w:t>
            </w:r>
          </w:p>
        </w:tc>
        <w:tc>
          <w:tcPr>
            <w:tcW w:w="6707" w:type="dxa"/>
            <w:tcBorders>
              <w:left w:val="single" w:color="auto" w:sz="6" w:space="0"/>
            </w:tcBorders>
            <w:shd w:val="clear" w:color="auto" w:fill="FFFFFF"/>
            <w:vAlign w:val="bottom"/>
          </w:tcPr>
          <w:p w14:paraId="56733F3D">
            <w:pPr>
              <w:spacing w:line="240" w:lineRule="auto"/>
              <w:ind w:firstLine="0" w:firstLineChars="0"/>
              <w:rPr>
                <w:szCs w:val="24"/>
                <w:highlight w:val="none"/>
              </w:rPr>
            </w:pPr>
            <w:r>
              <w:rPr>
                <w:rFonts w:hint="eastAsia"/>
                <w:szCs w:val="24"/>
                <w:highlight w:val="none"/>
              </w:rPr>
              <w:t>严重以上缺陷总数/有效缺陷总数</w:t>
            </w:r>
          </w:p>
        </w:tc>
      </w:tr>
      <w:tr w14:paraId="0CA3E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FFFFFF"/>
            <w:vAlign w:val="bottom"/>
          </w:tcPr>
          <w:p w14:paraId="30836338">
            <w:pPr>
              <w:spacing w:line="240" w:lineRule="auto"/>
              <w:ind w:firstLine="0" w:firstLineChars="0"/>
              <w:rPr>
                <w:szCs w:val="24"/>
                <w:highlight w:val="none"/>
              </w:rPr>
            </w:pPr>
            <w:r>
              <w:rPr>
                <w:rFonts w:hint="eastAsia"/>
                <w:szCs w:val="24"/>
                <w:highlight w:val="none"/>
              </w:rPr>
              <w:t>缺陷解决率</w:t>
            </w:r>
          </w:p>
        </w:tc>
        <w:tc>
          <w:tcPr>
            <w:tcW w:w="6707" w:type="dxa"/>
            <w:tcBorders>
              <w:left w:val="single" w:color="auto" w:sz="6" w:space="0"/>
            </w:tcBorders>
            <w:shd w:val="clear" w:color="auto" w:fill="FFFFFF"/>
            <w:vAlign w:val="bottom"/>
          </w:tcPr>
          <w:p w14:paraId="3B823123">
            <w:pPr>
              <w:spacing w:line="240" w:lineRule="auto"/>
              <w:ind w:firstLine="0" w:firstLineChars="0"/>
              <w:rPr>
                <w:szCs w:val="24"/>
                <w:highlight w:val="none"/>
              </w:rPr>
            </w:pPr>
            <w:r>
              <w:rPr>
                <w:rFonts w:hint="eastAsia"/>
                <w:szCs w:val="24"/>
                <w:highlight w:val="none"/>
              </w:rPr>
              <w:t>关闭缺陷总数/有效缺陷总数</w:t>
            </w:r>
          </w:p>
        </w:tc>
      </w:tr>
    </w:tbl>
    <w:p w14:paraId="068AABAF">
      <w:pPr>
        <w:ind w:firstLine="420"/>
        <w:rPr>
          <w:highlight w:val="none"/>
        </w:rPr>
      </w:pPr>
    </w:p>
    <w:p w14:paraId="10E91292">
      <w:pPr>
        <w:pStyle w:val="3"/>
        <w:ind w:left="360" w:hanging="360"/>
        <w:rPr>
          <w:highlight w:val="none"/>
        </w:rPr>
      </w:pPr>
      <w:r>
        <w:rPr>
          <w:highlight w:val="none"/>
        </w:rPr>
        <w:t>4.</w:t>
      </w:r>
      <w:r>
        <w:rPr>
          <w:rFonts w:hint="eastAsia" w:cs="Cambria"/>
          <w:bCs w:val="0"/>
          <w:highlight w:val="none"/>
        </w:rPr>
        <w:t>人员要求</w:t>
      </w:r>
    </w:p>
    <w:p w14:paraId="587A3524">
      <w:pPr>
        <w:snapToGrid w:val="0"/>
        <w:ind w:firstLine="420"/>
        <w:rPr>
          <w:rFonts w:cs="Cambria"/>
          <w:b/>
          <w:szCs w:val="24"/>
          <w:highlight w:val="none"/>
        </w:rPr>
      </w:pPr>
      <w:bookmarkStart w:id="68" w:name="_Toc89675142"/>
      <w:r>
        <w:rPr>
          <w:highlight w:val="none"/>
        </w:rPr>
        <w:t>1</w:t>
      </w:r>
      <w:r>
        <w:rPr>
          <w:rFonts w:hint="eastAsia"/>
          <w:highlight w:val="none"/>
        </w:rPr>
        <w:t>）</w:t>
      </w:r>
      <w:r>
        <w:rPr>
          <w:highlight w:val="none"/>
        </w:rPr>
        <w:t>响应人</w:t>
      </w:r>
      <w:r>
        <w:rPr>
          <w:rFonts w:hint="eastAsia"/>
          <w:highlight w:val="none"/>
        </w:rPr>
        <w:t>应承诺未征得采购人书面同意的情况下不得更换项目成员。</w:t>
      </w:r>
      <w:bookmarkEnd w:id="68"/>
      <w:r>
        <w:rPr>
          <w:rFonts w:hint="eastAsia"/>
          <w:highlight w:val="none"/>
        </w:rPr>
        <w:t>【提供响应承诺函】</w:t>
      </w:r>
    </w:p>
    <w:p w14:paraId="63559891">
      <w:pPr>
        <w:snapToGrid w:val="0"/>
        <w:ind w:firstLine="420"/>
        <w:rPr>
          <w:b/>
          <w:snapToGrid w:val="0"/>
          <w:kern w:val="0"/>
          <w:szCs w:val="28"/>
          <w:highlight w:val="none"/>
        </w:rPr>
      </w:pPr>
      <w:r>
        <w:rPr>
          <w:highlight w:val="none"/>
        </w:rPr>
        <w:t>2</w:t>
      </w:r>
      <w:r>
        <w:rPr>
          <w:rFonts w:hint="eastAsia"/>
          <w:highlight w:val="none"/>
        </w:rPr>
        <w:t>）</w:t>
      </w:r>
      <w:r>
        <w:rPr>
          <w:rFonts w:hint="eastAsia"/>
          <w:snapToGrid w:val="0"/>
          <w:kern w:val="0"/>
          <w:szCs w:val="28"/>
          <w:highlight w:val="none"/>
        </w:rPr>
        <w:t>所有成员必须为</w:t>
      </w:r>
      <w:r>
        <w:rPr>
          <w:rFonts w:hint="eastAsia"/>
          <w:highlight w:val="none"/>
        </w:rPr>
        <w:t>响应人</w:t>
      </w:r>
      <w:r>
        <w:rPr>
          <w:rFonts w:hint="eastAsia"/>
          <w:snapToGrid w:val="0"/>
          <w:kern w:val="0"/>
          <w:szCs w:val="28"/>
          <w:highlight w:val="none"/>
        </w:rPr>
        <w:t>单位员工，</w:t>
      </w:r>
      <w:r>
        <w:rPr>
          <w:rFonts w:hint="eastAsia"/>
          <w:b/>
          <w:highlight w:val="none"/>
        </w:rPr>
        <w:t>响应人</w:t>
      </w:r>
      <w:r>
        <w:rPr>
          <w:rFonts w:hint="eastAsia"/>
          <w:b/>
          <w:snapToGrid w:val="0"/>
          <w:kern w:val="0"/>
          <w:szCs w:val="28"/>
          <w:highlight w:val="none"/>
        </w:rPr>
        <w:t>项目组成员须提供近半年公司为其缴纳社保的证明材料，不得外包其他单位员工。（员工</w:t>
      </w:r>
      <w:r>
        <w:rPr>
          <w:b/>
          <w:snapToGrid w:val="0"/>
          <w:kern w:val="0"/>
          <w:szCs w:val="28"/>
          <w:highlight w:val="none"/>
        </w:rPr>
        <w:t>参保单位为响应人或委托第三方公司代缴，均认定有效；若员工社保委托第三方公司代缴，需提供代缴材料证明</w:t>
      </w:r>
      <w:r>
        <w:rPr>
          <w:rFonts w:hint="eastAsia"/>
          <w:b/>
          <w:snapToGrid w:val="0"/>
          <w:kern w:val="0"/>
          <w:szCs w:val="28"/>
          <w:highlight w:val="none"/>
        </w:rPr>
        <w:t>与</w:t>
      </w:r>
      <w:r>
        <w:rPr>
          <w:b/>
          <w:snapToGrid w:val="0"/>
          <w:kern w:val="0"/>
          <w:szCs w:val="28"/>
          <w:highlight w:val="none"/>
        </w:rPr>
        <w:t>第三方签订的合同或协议</w:t>
      </w:r>
      <w:r>
        <w:rPr>
          <w:rFonts w:hint="eastAsia"/>
          <w:b/>
          <w:snapToGrid w:val="0"/>
          <w:kern w:val="0"/>
          <w:szCs w:val="28"/>
          <w:highlight w:val="none"/>
        </w:rPr>
        <w:t>。）</w:t>
      </w:r>
      <w:r>
        <w:rPr>
          <w:rFonts w:hint="eastAsia" w:cs="Times New Roman"/>
          <w:b/>
          <w:snapToGrid w:val="0"/>
          <w:kern w:val="0"/>
          <w:szCs w:val="28"/>
          <w:highlight w:val="none"/>
        </w:rPr>
        <w:t>【</w:t>
      </w:r>
      <w:r>
        <w:rPr>
          <w:rFonts w:hint="eastAsia" w:cs="Times New Roman"/>
          <w:bCs/>
          <w:snapToGrid w:val="0"/>
          <w:kern w:val="0"/>
          <w:szCs w:val="28"/>
          <w:highlight w:val="none"/>
        </w:rPr>
        <w:t>提供</w:t>
      </w:r>
      <w:r>
        <w:rPr>
          <w:rFonts w:hint="eastAsia"/>
          <w:highlight w:val="none"/>
        </w:rPr>
        <w:t>近半年公司为项目组成员缴纳社保的证明材料</w:t>
      </w:r>
      <w:r>
        <w:rPr>
          <w:rFonts w:hint="eastAsia" w:cs="Times New Roman"/>
          <w:b/>
          <w:snapToGrid w:val="0"/>
          <w:kern w:val="0"/>
          <w:szCs w:val="28"/>
          <w:highlight w:val="none"/>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60"/>
      </w:tblGrid>
      <w:tr w14:paraId="428C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5CAE17E">
            <w:pPr>
              <w:snapToGrid w:val="0"/>
              <w:spacing w:line="240" w:lineRule="auto"/>
              <w:ind w:firstLine="0" w:firstLineChars="0"/>
              <w:jc w:val="center"/>
              <w:rPr>
                <w:szCs w:val="28"/>
                <w:highlight w:val="none"/>
              </w:rPr>
            </w:pPr>
            <w:r>
              <w:rPr>
                <w:rFonts w:hint="eastAsia"/>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3339916A">
            <w:pPr>
              <w:spacing w:line="240" w:lineRule="auto"/>
              <w:ind w:firstLine="0" w:firstLineChars="0"/>
              <w:rPr>
                <w:highlight w:val="none"/>
              </w:rPr>
            </w:pPr>
            <w:r>
              <w:rPr>
                <w:rFonts w:hint="eastAsia" w:cs="Cambria"/>
                <w:kern w:val="0"/>
                <w:highlight w:val="none"/>
              </w:rPr>
              <w:t>主导过五个</w:t>
            </w:r>
            <w:r>
              <w:rPr>
                <w:rFonts w:cs="Cambria"/>
                <w:kern w:val="0"/>
                <w:highlight w:val="none"/>
              </w:rPr>
              <w:t>(含)</w:t>
            </w:r>
            <w:r>
              <w:rPr>
                <w:rFonts w:hint="eastAsia" w:cs="Cambria"/>
                <w:kern w:val="0"/>
                <w:highlight w:val="none"/>
              </w:rPr>
              <w:t>以上同类项目和具有五年</w:t>
            </w:r>
            <w:r>
              <w:rPr>
                <w:rFonts w:cs="Cambria"/>
                <w:kern w:val="0"/>
                <w:highlight w:val="none"/>
              </w:rPr>
              <w:t>(含)</w:t>
            </w:r>
            <w:r>
              <w:rPr>
                <w:rFonts w:hint="eastAsia" w:cs="Cambria"/>
                <w:kern w:val="0"/>
                <w:highlight w:val="none"/>
              </w:rPr>
              <w:t>以上项目经理工作经验</w:t>
            </w:r>
            <w:r>
              <w:rPr>
                <w:rFonts w:hint="eastAsia"/>
                <w:highlight w:val="none"/>
              </w:rPr>
              <w:t>，具有独当一面的技术能力；直接对项目的实施负责，通过对工期、成本、质量的控制（包括总体制定、执行、跟踪、调整相关计划，协调项目可用资源），确保项目按要求完成。</w:t>
            </w:r>
          </w:p>
        </w:tc>
      </w:tr>
      <w:tr w14:paraId="3DDD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F2E12F5">
            <w:pPr>
              <w:snapToGrid w:val="0"/>
              <w:spacing w:line="240" w:lineRule="auto"/>
              <w:ind w:firstLine="0" w:firstLineChars="0"/>
              <w:jc w:val="center"/>
              <w:rPr>
                <w:szCs w:val="28"/>
                <w:highlight w:val="none"/>
              </w:rPr>
            </w:pPr>
            <w:r>
              <w:rPr>
                <w:szCs w:val="28"/>
                <w:highlight w:val="none"/>
              </w:rPr>
              <w:t>业务专家</w:t>
            </w:r>
          </w:p>
        </w:tc>
        <w:tc>
          <w:tcPr>
            <w:tcW w:w="7660" w:type="dxa"/>
            <w:tcBorders>
              <w:top w:val="single" w:color="auto" w:sz="4" w:space="0"/>
              <w:left w:val="single" w:color="auto" w:sz="4" w:space="0"/>
              <w:bottom w:val="single" w:color="auto" w:sz="4" w:space="0"/>
              <w:right w:val="single" w:color="auto" w:sz="4" w:space="0"/>
            </w:tcBorders>
          </w:tcPr>
          <w:p w14:paraId="4599F1C8">
            <w:pPr>
              <w:spacing w:line="240" w:lineRule="auto"/>
              <w:ind w:firstLine="0" w:firstLineChars="0"/>
              <w:rPr>
                <w:highlight w:val="none"/>
              </w:rPr>
            </w:pPr>
            <w:r>
              <w:rPr>
                <w:rFonts w:hint="eastAsia" w:cs="Cambria"/>
                <w:kern w:val="0"/>
                <w:highlight w:val="none"/>
              </w:rPr>
              <w:t>主导完成过五个</w:t>
            </w:r>
            <w:r>
              <w:rPr>
                <w:rFonts w:cs="Cambria"/>
                <w:kern w:val="0"/>
                <w:highlight w:val="none"/>
              </w:rPr>
              <w:t>(含)</w:t>
            </w:r>
            <w:r>
              <w:rPr>
                <w:rFonts w:hint="eastAsia" w:cs="Cambria"/>
                <w:kern w:val="0"/>
                <w:highlight w:val="none"/>
              </w:rPr>
              <w:t>以上同类项目的需求分析、设计，</w:t>
            </w:r>
            <w:r>
              <w:rPr>
                <w:rFonts w:hint="eastAsia"/>
                <w:highlight w:val="none"/>
              </w:rPr>
              <w:t>熟悉银行业务流程和相关法律法规，能够辅助采购人完成业务流程梳理、整合以及创新，善于表达，具有良好的沟通技巧和能力。</w:t>
            </w:r>
          </w:p>
        </w:tc>
      </w:tr>
      <w:tr w14:paraId="4AA4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2126C62">
            <w:pPr>
              <w:snapToGrid w:val="0"/>
              <w:spacing w:line="240" w:lineRule="auto"/>
              <w:ind w:firstLine="0" w:firstLineChars="0"/>
              <w:jc w:val="center"/>
              <w:rPr>
                <w:szCs w:val="28"/>
                <w:highlight w:val="none"/>
              </w:rPr>
            </w:pPr>
            <w:r>
              <w:rPr>
                <w:rFonts w:hint="eastAsia"/>
                <w:highlight w:val="none"/>
              </w:rPr>
              <w:t>机器学习建模师</w:t>
            </w:r>
          </w:p>
        </w:tc>
        <w:tc>
          <w:tcPr>
            <w:tcW w:w="7660" w:type="dxa"/>
            <w:tcBorders>
              <w:top w:val="single" w:color="auto" w:sz="4" w:space="0"/>
              <w:left w:val="single" w:color="auto" w:sz="4" w:space="0"/>
              <w:bottom w:val="single" w:color="auto" w:sz="4" w:space="0"/>
              <w:right w:val="single" w:color="auto" w:sz="4" w:space="0"/>
            </w:tcBorders>
          </w:tcPr>
          <w:p w14:paraId="47D4D2B4">
            <w:pPr>
              <w:spacing w:line="240" w:lineRule="auto"/>
              <w:ind w:firstLine="0" w:firstLineChars="0"/>
              <w:rPr>
                <w:rFonts w:cs="Cambria"/>
                <w:kern w:val="0"/>
                <w:highlight w:val="none"/>
              </w:rPr>
            </w:pPr>
            <w:r>
              <w:rPr>
                <w:rFonts w:hint="eastAsia"/>
                <w:highlight w:val="none"/>
              </w:rPr>
              <w:t>至少</w:t>
            </w:r>
            <w:r>
              <w:rPr>
                <w:highlight w:val="none"/>
              </w:rPr>
              <w:t>主导过</w:t>
            </w:r>
            <w:r>
              <w:rPr>
                <w:rFonts w:hint="eastAsia"/>
                <w:highlight w:val="none"/>
              </w:rPr>
              <w:t>三</w:t>
            </w:r>
            <w:r>
              <w:rPr>
                <w:highlight w:val="none"/>
              </w:rPr>
              <w:t>个</w:t>
            </w:r>
            <w:r>
              <w:rPr>
                <w:rFonts w:hint="eastAsia"/>
                <w:highlight w:val="none"/>
              </w:rPr>
              <w:t>银行业涉赌涉诈或反欺诈机器学习建设项目</w:t>
            </w:r>
            <w:r>
              <w:rPr>
                <w:highlight w:val="none"/>
              </w:rPr>
              <w:t>。</w:t>
            </w:r>
          </w:p>
        </w:tc>
      </w:tr>
      <w:tr w14:paraId="744E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4A6363F">
            <w:pPr>
              <w:snapToGrid w:val="0"/>
              <w:spacing w:line="240" w:lineRule="auto"/>
              <w:ind w:firstLine="0" w:firstLineChars="0"/>
              <w:jc w:val="center"/>
              <w:rPr>
                <w:szCs w:val="28"/>
                <w:highlight w:val="none"/>
              </w:rPr>
            </w:pPr>
            <w:r>
              <w:rPr>
                <w:rFonts w:hint="eastAsia"/>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477BD2B2">
            <w:pPr>
              <w:snapToGrid w:val="0"/>
              <w:spacing w:line="240" w:lineRule="auto"/>
              <w:ind w:firstLine="0" w:firstLineChars="0"/>
              <w:rPr>
                <w:highlight w:val="none"/>
              </w:rPr>
            </w:pPr>
            <w:r>
              <w:rPr>
                <w:rFonts w:hint="eastAsia" w:cs="Cambria"/>
                <w:kern w:val="0"/>
                <w:highlight w:val="none"/>
              </w:rPr>
              <w:t>主导过三个</w:t>
            </w:r>
            <w:r>
              <w:rPr>
                <w:rFonts w:cs="Cambria"/>
                <w:kern w:val="0"/>
                <w:highlight w:val="none"/>
              </w:rPr>
              <w:t>(含)</w:t>
            </w:r>
            <w:r>
              <w:rPr>
                <w:rFonts w:hint="eastAsia" w:cs="Cambria"/>
                <w:kern w:val="0"/>
                <w:highlight w:val="none"/>
              </w:rPr>
              <w:t>以上同类项目和</w:t>
            </w:r>
            <w:r>
              <w:rPr>
                <w:rFonts w:cs="Cambria"/>
                <w:kern w:val="0"/>
                <w:highlight w:val="none"/>
              </w:rPr>
              <w:t>五</w:t>
            </w:r>
            <w:r>
              <w:rPr>
                <w:rFonts w:hint="eastAsia" w:cs="Cambria"/>
                <w:kern w:val="0"/>
                <w:highlight w:val="none"/>
              </w:rPr>
              <w:t>年</w:t>
            </w:r>
            <w:r>
              <w:rPr>
                <w:rFonts w:cs="Cambria"/>
                <w:kern w:val="0"/>
                <w:highlight w:val="none"/>
              </w:rPr>
              <w:t>(含)</w:t>
            </w:r>
            <w:r>
              <w:rPr>
                <w:rFonts w:hint="eastAsia" w:cs="Cambria"/>
                <w:kern w:val="0"/>
                <w:highlight w:val="none"/>
              </w:rPr>
              <w:t>以上相关工作经历</w:t>
            </w:r>
            <w:r>
              <w:rPr>
                <w:rFonts w:hint="eastAsia"/>
                <w:highlight w:val="none"/>
              </w:rPr>
              <w:t>，并且熟悉SOA、分布式架构以及主流开发框架。</w:t>
            </w:r>
          </w:p>
        </w:tc>
      </w:tr>
      <w:tr w14:paraId="1EAB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0D7FD10">
            <w:pPr>
              <w:snapToGrid w:val="0"/>
              <w:spacing w:line="240" w:lineRule="auto"/>
              <w:ind w:firstLine="0" w:firstLineChars="0"/>
              <w:jc w:val="center"/>
              <w:rPr>
                <w:szCs w:val="28"/>
                <w:highlight w:val="none"/>
              </w:rPr>
            </w:pPr>
            <w:r>
              <w:rPr>
                <w:rFonts w:hint="eastAsia"/>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913FBB2">
            <w:pPr>
              <w:snapToGrid w:val="0"/>
              <w:spacing w:line="240" w:lineRule="auto"/>
              <w:ind w:firstLine="0" w:firstLineChars="0"/>
              <w:rPr>
                <w:highlight w:val="none"/>
              </w:rPr>
            </w:pPr>
            <w:r>
              <w:rPr>
                <w:rFonts w:hint="eastAsia"/>
                <w:highlight w:val="none"/>
              </w:rPr>
              <w:t>至少</w:t>
            </w:r>
            <w:r>
              <w:rPr>
                <w:highlight w:val="none"/>
              </w:rPr>
              <w:t>三</w:t>
            </w:r>
            <w:r>
              <w:rPr>
                <w:rFonts w:hint="eastAsia"/>
                <w:highlight w:val="none"/>
              </w:rPr>
              <w:t>年</w:t>
            </w:r>
            <w:r>
              <w:rPr>
                <w:rFonts w:cs="Cambria"/>
                <w:kern w:val="0"/>
                <w:highlight w:val="none"/>
              </w:rPr>
              <w:t>(含)</w:t>
            </w:r>
            <w:r>
              <w:rPr>
                <w:rFonts w:hint="eastAsia"/>
                <w:highlight w:val="none"/>
              </w:rPr>
              <w:t>开发经验，开发组长须有至少五年</w:t>
            </w:r>
            <w:r>
              <w:rPr>
                <w:rFonts w:cs="Cambria"/>
                <w:kern w:val="0"/>
                <w:highlight w:val="none"/>
              </w:rPr>
              <w:t>(含)</w:t>
            </w:r>
            <w:r>
              <w:rPr>
                <w:rFonts w:hint="eastAsia"/>
                <w:highlight w:val="none"/>
              </w:rPr>
              <w:t>开发经验，且均有银行相关系统的项目实施经历。</w:t>
            </w:r>
          </w:p>
        </w:tc>
      </w:tr>
      <w:tr w14:paraId="6D8B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B3C9499">
            <w:pPr>
              <w:spacing w:line="240" w:lineRule="auto"/>
              <w:ind w:firstLine="0" w:firstLineChars="0"/>
              <w:rPr>
                <w:highlight w:val="none"/>
              </w:rPr>
            </w:pPr>
            <w:r>
              <w:rPr>
                <w:rFonts w:hint="eastAsia"/>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1E1D8534">
            <w:pPr>
              <w:spacing w:line="240" w:lineRule="auto"/>
              <w:ind w:firstLine="0" w:firstLineChars="0"/>
              <w:rPr>
                <w:snapToGrid w:val="0"/>
                <w:highlight w:val="none"/>
              </w:rPr>
            </w:pPr>
            <w:r>
              <w:rPr>
                <w:rFonts w:hint="eastAsia" w:cs="Times New Roman"/>
                <w:highlight w:val="none"/>
              </w:rPr>
              <w:t>具有</w:t>
            </w:r>
            <w:r>
              <w:rPr>
                <w:rFonts w:cs="Times New Roman"/>
                <w:highlight w:val="none"/>
              </w:rPr>
              <w:t>三年</w:t>
            </w:r>
            <w:r>
              <w:rPr>
                <w:rFonts w:hint="eastAsia" w:cs="Times New Roman"/>
                <w:highlight w:val="none"/>
              </w:rPr>
              <w:t>（含）以上银行业相关系统测试经验，主导完成过两个（含）以上银行业同类项目的系统测试工作，具有相关系统测试经验。</w:t>
            </w:r>
          </w:p>
        </w:tc>
      </w:tr>
      <w:tr w14:paraId="69F3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2"/>
            <w:tcBorders>
              <w:top w:val="single" w:color="auto" w:sz="4" w:space="0"/>
              <w:left w:val="single" w:color="auto" w:sz="4" w:space="0"/>
              <w:bottom w:val="single" w:color="auto" w:sz="4" w:space="0"/>
              <w:right w:val="single" w:color="auto" w:sz="4" w:space="0"/>
            </w:tcBorders>
            <w:vAlign w:val="center"/>
          </w:tcPr>
          <w:p w14:paraId="2BB56BBF">
            <w:pPr>
              <w:spacing w:line="240" w:lineRule="auto"/>
              <w:ind w:firstLine="0" w:firstLineChars="0"/>
              <w:rPr>
                <w:highlight w:val="none"/>
              </w:rPr>
            </w:pPr>
            <w:r>
              <w:rPr>
                <w:highlight w:val="none"/>
              </w:rPr>
              <w:t>注：上述成员角色和人员数量为基本要求，响应人在征得采购人同意的情况下可根据自身情况和项目实施阶段调整成员角色和人员数量配备。</w:t>
            </w:r>
          </w:p>
        </w:tc>
      </w:tr>
    </w:tbl>
    <w:p w14:paraId="36EB81FC">
      <w:pPr>
        <w:ind w:firstLine="420"/>
        <w:rPr>
          <w:snapToGrid w:val="0"/>
          <w:szCs w:val="24"/>
          <w:highlight w:val="none"/>
        </w:rPr>
      </w:pPr>
      <w:r>
        <w:rPr>
          <w:szCs w:val="24"/>
          <w:highlight w:val="none"/>
        </w:rPr>
        <w:t>3</w:t>
      </w:r>
      <w:r>
        <w:rPr>
          <w:rFonts w:hint="eastAsia"/>
          <w:szCs w:val="24"/>
          <w:highlight w:val="none"/>
        </w:rPr>
        <w:t>）需提供人员简历信息，同时，</w:t>
      </w:r>
      <w:r>
        <w:rPr>
          <w:szCs w:val="24"/>
          <w:highlight w:val="none"/>
        </w:rPr>
        <w:t>采购</w:t>
      </w:r>
      <w:r>
        <w:rPr>
          <w:rFonts w:hint="eastAsia"/>
          <w:snapToGrid w:val="0"/>
          <w:szCs w:val="24"/>
          <w:highlight w:val="none"/>
        </w:rPr>
        <w:t>人将对</w:t>
      </w:r>
      <w:r>
        <w:rPr>
          <w:snapToGrid w:val="0"/>
          <w:szCs w:val="24"/>
          <w:highlight w:val="none"/>
        </w:rPr>
        <w:t>响应</w:t>
      </w:r>
      <w:r>
        <w:rPr>
          <w:rFonts w:hint="eastAsia"/>
          <w:snapToGrid w:val="0"/>
          <w:szCs w:val="24"/>
          <w:highlight w:val="none"/>
        </w:rPr>
        <w:t>人所提供的人员进行审核，达不到</w:t>
      </w:r>
      <w:r>
        <w:rPr>
          <w:snapToGrid w:val="0"/>
          <w:szCs w:val="24"/>
          <w:highlight w:val="none"/>
        </w:rPr>
        <w:t>采购人</w:t>
      </w:r>
      <w:r>
        <w:rPr>
          <w:rFonts w:hint="eastAsia"/>
          <w:snapToGrid w:val="0"/>
          <w:szCs w:val="24"/>
          <w:highlight w:val="none"/>
        </w:rPr>
        <w:t>要求的将要求替换。</w:t>
      </w:r>
      <w:r>
        <w:rPr>
          <w:rFonts w:cs="Times New Roman"/>
          <w:snapToGrid w:val="0"/>
          <w:szCs w:val="24"/>
          <w:highlight w:val="none"/>
        </w:rPr>
        <w:t>最终审核通过的项目组成员在合同签订时不得进行更换。</w:t>
      </w:r>
      <w:r>
        <w:rPr>
          <w:rFonts w:hint="eastAsia" w:cs="Times New Roman"/>
          <w:snapToGrid w:val="0"/>
          <w:szCs w:val="24"/>
          <w:highlight w:val="none"/>
        </w:rPr>
        <w:t>【提供项目组成员简历信息】</w:t>
      </w:r>
    </w:p>
    <w:p w14:paraId="03E67A8A">
      <w:pPr>
        <w:ind w:firstLine="420"/>
        <w:rPr>
          <w:highlight w:val="none"/>
        </w:rPr>
      </w:pPr>
      <w:r>
        <w:rPr>
          <w:highlight w:val="none"/>
        </w:rPr>
        <w:t>4</w:t>
      </w:r>
      <w:r>
        <w:rPr>
          <w:rFonts w:hint="eastAsia"/>
          <w:highlight w:val="none"/>
        </w:rPr>
        <w:t>）</w:t>
      </w:r>
      <w:r>
        <w:rPr>
          <w:szCs w:val="24"/>
          <w:highlight w:val="none"/>
        </w:rPr>
        <w:t>项目组成员若有违约违规行为将由响应人承担责任。</w:t>
      </w:r>
    </w:p>
    <w:p w14:paraId="3BF7B961">
      <w:pPr>
        <w:pStyle w:val="3"/>
        <w:ind w:left="360" w:hanging="360"/>
        <w:rPr>
          <w:highlight w:val="none"/>
        </w:rPr>
      </w:pPr>
      <w:bookmarkStart w:id="69" w:name="_Toc15059418"/>
      <w:bookmarkStart w:id="70" w:name="_Toc89675144"/>
      <w:r>
        <w:rPr>
          <w:highlight w:val="none"/>
        </w:rPr>
        <w:t>5.</w:t>
      </w:r>
      <w:r>
        <w:rPr>
          <w:rFonts w:hint="eastAsia"/>
          <w:highlight w:val="none"/>
        </w:rPr>
        <w:t>项目实施要求</w:t>
      </w:r>
    </w:p>
    <w:p w14:paraId="298F8F63">
      <w:pPr>
        <w:ind w:firstLine="420"/>
        <w:rPr>
          <w:highlight w:val="none"/>
        </w:rPr>
      </w:pPr>
      <w:r>
        <w:rPr>
          <w:rFonts w:hint="eastAsia"/>
          <w:highlight w:val="none"/>
        </w:rPr>
        <w:t>在本项目实施周期内，如遇到原系统功能与需求不符，需要及时调整实施方案，满足采购人的要求，并征得采购人同意方可变更。</w:t>
      </w:r>
    </w:p>
    <w:p w14:paraId="037C97F1">
      <w:pPr>
        <w:ind w:firstLine="420"/>
        <w:rPr>
          <w:highlight w:val="none"/>
        </w:rPr>
      </w:pPr>
      <w:r>
        <w:rPr>
          <w:rFonts w:hint="eastAsia"/>
          <w:highlight w:val="none"/>
        </w:rPr>
        <w:t>响应人在项目实施过程中，需按照采购人项目管理规范提供相应文档（所有提交文档必须为中文）。</w:t>
      </w:r>
    </w:p>
    <w:p w14:paraId="5DDDBD42">
      <w:pPr>
        <w:ind w:firstLine="420"/>
        <w:rPr>
          <w:highlight w:val="none"/>
        </w:rPr>
      </w:pPr>
      <w:r>
        <w:rPr>
          <w:rFonts w:hint="eastAsia"/>
          <w:highlight w:val="none"/>
        </w:rPr>
        <w:t>本项目为现场开发，原则上不允许远程开发模式，除非得到采购人的明确认可和授权。</w:t>
      </w:r>
    </w:p>
    <w:p w14:paraId="1EB27C79">
      <w:pPr>
        <w:pStyle w:val="3"/>
        <w:ind w:left="360" w:hanging="360"/>
        <w:rPr>
          <w:highlight w:val="none"/>
        </w:rPr>
      </w:pPr>
      <w:r>
        <w:rPr>
          <w:highlight w:val="none"/>
        </w:rPr>
        <w:t>6.</w:t>
      </w:r>
      <w:r>
        <w:rPr>
          <w:rFonts w:hint="eastAsia"/>
          <w:highlight w:val="none"/>
        </w:rPr>
        <w:t>项目源代码要求</w:t>
      </w:r>
    </w:p>
    <w:p w14:paraId="405DEC39">
      <w:pPr>
        <w:ind w:firstLine="420"/>
        <w:rPr>
          <w:highlight w:val="none"/>
        </w:rPr>
      </w:pPr>
      <w:r>
        <w:rPr>
          <w:rFonts w:hint="eastAsia"/>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highlight w:val="none"/>
        </w:rPr>
        <w:t>归双方共有</w:t>
      </w:r>
      <w:r>
        <w:rPr>
          <w:rFonts w:hint="eastAsia"/>
          <w:highlight w:val="none"/>
        </w:rPr>
        <w:t>。针对共有部分，采购人拥有在采购人及其分支机构使用及后续开发的权利，响应人拥有在其公司和其他组织范围内使用的权利，但响应人使用时不得侵犯采购人利益。</w:t>
      </w:r>
    </w:p>
    <w:p w14:paraId="6E3C1E5F">
      <w:pPr>
        <w:pStyle w:val="3"/>
        <w:ind w:left="360" w:hanging="360"/>
        <w:rPr>
          <w:highlight w:val="none"/>
        </w:rPr>
      </w:pPr>
      <w:r>
        <w:rPr>
          <w:highlight w:val="none"/>
        </w:rPr>
        <w:t>7.</w:t>
      </w:r>
      <w:r>
        <w:rPr>
          <w:rFonts w:hint="eastAsia"/>
          <w:highlight w:val="none"/>
        </w:rPr>
        <w:t>交付周期、地点</w:t>
      </w:r>
      <w:bookmarkEnd w:id="69"/>
      <w:bookmarkEnd w:id="70"/>
    </w:p>
    <w:p w14:paraId="13661049">
      <w:pPr>
        <w:pStyle w:val="4"/>
        <w:ind w:firstLine="422"/>
        <w:rPr>
          <w:highlight w:val="none"/>
        </w:rPr>
      </w:pPr>
      <w:bookmarkStart w:id="71" w:name="_Toc89675146"/>
      <w:bookmarkStart w:id="72" w:name="_Toc15059420"/>
      <w:bookmarkStart w:id="73" w:name="_Toc432254881"/>
      <w:bookmarkStart w:id="74" w:name="_Toc1125"/>
      <w:bookmarkStart w:id="75" w:name="_Toc387826347"/>
      <w:bookmarkStart w:id="76" w:name="_Toc440628915"/>
      <w:r>
        <w:rPr>
          <w:highlight w:val="none"/>
        </w:rPr>
        <w:t>7</w:t>
      </w:r>
      <w:r>
        <w:rPr>
          <w:rFonts w:hint="eastAsia"/>
          <w:highlight w:val="none"/>
        </w:rPr>
        <w:t>.1 交付时间</w:t>
      </w:r>
    </w:p>
    <w:p w14:paraId="4D8B780A">
      <w:pPr>
        <w:ind w:firstLine="420"/>
        <w:rPr>
          <w:bCs/>
          <w:highlight w:val="none"/>
        </w:rPr>
      </w:pPr>
      <w:r>
        <w:rPr>
          <w:rFonts w:hint="eastAsia"/>
          <w:bCs/>
          <w:highlight w:val="none"/>
        </w:rPr>
        <w:t>以项目合同为准</w:t>
      </w:r>
    </w:p>
    <w:p w14:paraId="7A890852">
      <w:pPr>
        <w:pStyle w:val="4"/>
        <w:ind w:firstLine="422"/>
        <w:rPr>
          <w:highlight w:val="none"/>
        </w:rPr>
      </w:pPr>
      <w:r>
        <w:rPr>
          <w:highlight w:val="none"/>
        </w:rPr>
        <w:t>7</w:t>
      </w:r>
      <w:r>
        <w:rPr>
          <w:rFonts w:hint="eastAsia"/>
          <w:highlight w:val="none"/>
        </w:rPr>
        <w:t>.2 实施及交付地点</w:t>
      </w:r>
    </w:p>
    <w:p w14:paraId="7611392E">
      <w:pPr>
        <w:ind w:firstLine="420"/>
        <w:rPr>
          <w:highlight w:val="none"/>
        </w:rPr>
      </w:pPr>
      <w:r>
        <w:rPr>
          <w:rFonts w:hint="eastAsia"/>
          <w:highlight w:val="none"/>
        </w:rPr>
        <w:t>重庆市。</w:t>
      </w:r>
    </w:p>
    <w:p w14:paraId="0DCBA29C">
      <w:pPr>
        <w:pStyle w:val="3"/>
        <w:ind w:left="360" w:hanging="360"/>
        <w:rPr>
          <w:highlight w:val="none"/>
        </w:rPr>
      </w:pPr>
      <w:r>
        <w:rPr>
          <w:highlight w:val="none"/>
        </w:rPr>
        <w:t>8.</w:t>
      </w:r>
      <w:r>
        <w:rPr>
          <w:rFonts w:hint="eastAsia"/>
          <w:highlight w:val="none"/>
        </w:rPr>
        <w:t>验收测试</w:t>
      </w:r>
    </w:p>
    <w:p w14:paraId="5829E8C0">
      <w:pPr>
        <w:pStyle w:val="4"/>
        <w:ind w:firstLine="422"/>
        <w:rPr>
          <w:szCs w:val="20"/>
          <w:highlight w:val="none"/>
        </w:rPr>
      </w:pPr>
      <w:r>
        <w:rPr>
          <w:rFonts w:hint="eastAsia"/>
          <w:szCs w:val="20"/>
          <w:highlight w:val="none"/>
        </w:rPr>
        <w:t>8</w:t>
      </w:r>
      <w:r>
        <w:rPr>
          <w:szCs w:val="20"/>
          <w:highlight w:val="none"/>
        </w:rPr>
        <w:t xml:space="preserve">.1 </w:t>
      </w:r>
      <w:r>
        <w:rPr>
          <w:rFonts w:hint="eastAsia"/>
          <w:szCs w:val="20"/>
          <w:highlight w:val="none"/>
        </w:rPr>
        <w:t>验收测试的范围</w:t>
      </w:r>
    </w:p>
    <w:p w14:paraId="5AD302C9">
      <w:pPr>
        <w:ind w:firstLine="420"/>
        <w:rPr>
          <w:highlight w:val="none"/>
        </w:rPr>
      </w:pPr>
      <w:r>
        <w:rPr>
          <w:rFonts w:hint="eastAsia"/>
          <w:highlight w:val="none"/>
        </w:rPr>
        <w:t>验收测试的范围为项目实施完毕,上线前最终确认的所有需求。</w:t>
      </w:r>
    </w:p>
    <w:p w14:paraId="6C1ECE94">
      <w:pPr>
        <w:pStyle w:val="4"/>
        <w:ind w:firstLine="422"/>
        <w:rPr>
          <w:szCs w:val="20"/>
          <w:highlight w:val="none"/>
        </w:rPr>
      </w:pPr>
      <w:r>
        <w:rPr>
          <w:rFonts w:hint="eastAsia"/>
          <w:szCs w:val="20"/>
          <w:highlight w:val="none"/>
        </w:rPr>
        <w:t>8</w:t>
      </w:r>
      <w:r>
        <w:rPr>
          <w:szCs w:val="20"/>
          <w:highlight w:val="none"/>
        </w:rPr>
        <w:t xml:space="preserve">.2 </w:t>
      </w:r>
      <w:r>
        <w:rPr>
          <w:rFonts w:hint="eastAsia"/>
          <w:szCs w:val="20"/>
          <w:highlight w:val="none"/>
        </w:rPr>
        <w:t>验收测试的组织</w:t>
      </w:r>
    </w:p>
    <w:p w14:paraId="74E803BE">
      <w:pPr>
        <w:ind w:firstLine="420"/>
        <w:rPr>
          <w:highlight w:val="none"/>
        </w:rPr>
      </w:pPr>
      <w:r>
        <w:rPr>
          <w:rFonts w:hint="eastAsia"/>
          <w:highlight w:val="none"/>
        </w:rPr>
        <w:t>1）验收测试小组由采购人、成交供应商等有关人员组成，负责对项目建设进行验收测试。</w:t>
      </w:r>
    </w:p>
    <w:p w14:paraId="03E47328">
      <w:pPr>
        <w:ind w:firstLine="420"/>
        <w:rPr>
          <w:highlight w:val="none"/>
        </w:rPr>
      </w:pPr>
      <w:r>
        <w:rPr>
          <w:rFonts w:hint="eastAsia"/>
          <w:highlight w:val="none"/>
        </w:rPr>
        <w:t>2）成交供应商编制测试手册，经验收小组确认后，由验收小组负责验收测试。</w:t>
      </w:r>
    </w:p>
    <w:p w14:paraId="6E2284FE">
      <w:pPr>
        <w:ind w:firstLine="420"/>
        <w:rPr>
          <w:highlight w:val="none"/>
        </w:rPr>
      </w:pPr>
      <w:r>
        <w:rPr>
          <w:rFonts w:hint="eastAsia"/>
          <w:highlight w:val="none"/>
        </w:rPr>
        <w:t>3）在验收测试过程中，出现严重缺陷或质量问题时，验收小组可以决定暂停所有测试，直至缺陷和问题得到纠正。</w:t>
      </w:r>
    </w:p>
    <w:p w14:paraId="3D54FEB5">
      <w:pPr>
        <w:pStyle w:val="4"/>
        <w:ind w:firstLine="422"/>
        <w:rPr>
          <w:szCs w:val="20"/>
          <w:highlight w:val="none"/>
        </w:rPr>
      </w:pPr>
      <w:r>
        <w:rPr>
          <w:rFonts w:hint="eastAsia"/>
          <w:szCs w:val="20"/>
          <w:highlight w:val="none"/>
        </w:rPr>
        <w:t>8</w:t>
      </w:r>
      <w:r>
        <w:rPr>
          <w:szCs w:val="20"/>
          <w:highlight w:val="none"/>
        </w:rPr>
        <w:t xml:space="preserve">.3 </w:t>
      </w:r>
      <w:r>
        <w:rPr>
          <w:rFonts w:hint="eastAsia"/>
          <w:szCs w:val="20"/>
          <w:highlight w:val="none"/>
        </w:rPr>
        <w:t>验收测试的程序</w:t>
      </w:r>
    </w:p>
    <w:p w14:paraId="00BC381B">
      <w:pPr>
        <w:ind w:firstLine="420"/>
        <w:rPr>
          <w:highlight w:val="none"/>
        </w:rPr>
      </w:pPr>
      <w:r>
        <w:rPr>
          <w:rFonts w:hint="eastAsia"/>
          <w:highlight w:val="none"/>
        </w:rPr>
        <w:t>1）对各功能模块进行测试；</w:t>
      </w:r>
    </w:p>
    <w:p w14:paraId="4FC108D3">
      <w:pPr>
        <w:ind w:firstLine="420"/>
        <w:rPr>
          <w:highlight w:val="none"/>
        </w:rPr>
      </w:pPr>
      <w:r>
        <w:rPr>
          <w:rFonts w:hint="eastAsia"/>
          <w:highlight w:val="none"/>
        </w:rPr>
        <w:t>2）在各功能模块测试合格的前提下，对系统进行全面初验；</w:t>
      </w:r>
    </w:p>
    <w:p w14:paraId="3B7C5627">
      <w:pPr>
        <w:ind w:firstLine="420"/>
        <w:rPr>
          <w:highlight w:val="none"/>
        </w:rPr>
      </w:pPr>
      <w:r>
        <w:rPr>
          <w:rFonts w:hint="eastAsia"/>
          <w:highlight w:val="none"/>
        </w:rPr>
        <w:t>3）系统验收测试合格后，进入试运行阶段；</w:t>
      </w:r>
    </w:p>
    <w:p w14:paraId="2C01F0C2">
      <w:pPr>
        <w:ind w:firstLine="420"/>
        <w:rPr>
          <w:highlight w:val="none"/>
        </w:rPr>
      </w:pPr>
      <w:r>
        <w:rPr>
          <w:highlight w:val="none"/>
        </w:rPr>
        <w:t>4</w:t>
      </w:r>
      <w:r>
        <w:rPr>
          <w:rFonts w:hint="eastAsia"/>
          <w:highlight w:val="none"/>
        </w:rPr>
        <w:t>）系统在全行上线运行三个月后，进行验收。</w:t>
      </w:r>
    </w:p>
    <w:p w14:paraId="617E0D1A">
      <w:pPr>
        <w:pStyle w:val="4"/>
        <w:ind w:firstLine="422"/>
        <w:rPr>
          <w:szCs w:val="20"/>
          <w:highlight w:val="none"/>
        </w:rPr>
      </w:pPr>
      <w:r>
        <w:rPr>
          <w:rFonts w:hint="eastAsia"/>
          <w:szCs w:val="20"/>
          <w:highlight w:val="none"/>
        </w:rPr>
        <w:t>8</w:t>
      </w:r>
      <w:r>
        <w:rPr>
          <w:szCs w:val="20"/>
          <w:highlight w:val="none"/>
        </w:rPr>
        <w:t xml:space="preserve">.4 </w:t>
      </w:r>
      <w:r>
        <w:rPr>
          <w:rFonts w:hint="eastAsia"/>
          <w:szCs w:val="20"/>
          <w:highlight w:val="none"/>
        </w:rPr>
        <w:t>验收测试的评定</w:t>
      </w:r>
    </w:p>
    <w:p w14:paraId="3BC99B5A">
      <w:pPr>
        <w:ind w:firstLine="420"/>
        <w:rPr>
          <w:highlight w:val="none"/>
        </w:rPr>
      </w:pPr>
      <w:r>
        <w:rPr>
          <w:rFonts w:hint="eastAsia"/>
          <w:highlight w:val="none"/>
        </w:rPr>
        <w:t>测试结果按下列级别评定，并经验收小组签字认可：</w:t>
      </w:r>
    </w:p>
    <w:p w14:paraId="40599DAB">
      <w:pPr>
        <w:ind w:firstLine="420"/>
        <w:rPr>
          <w:highlight w:val="none"/>
        </w:rPr>
      </w:pPr>
      <w:r>
        <w:rPr>
          <w:rFonts w:hint="eastAsia"/>
          <w:highlight w:val="none"/>
        </w:rPr>
        <w:t>•优良：功能和质量达到预期目的。</w:t>
      </w:r>
    </w:p>
    <w:p w14:paraId="49027805">
      <w:pPr>
        <w:ind w:firstLine="420"/>
        <w:rPr>
          <w:highlight w:val="none"/>
        </w:rPr>
      </w:pPr>
      <w:r>
        <w:rPr>
          <w:rFonts w:hint="eastAsia"/>
          <w:highlight w:val="none"/>
        </w:rPr>
        <w:t>•合格：部分功能和质量不能满足采购人的要求，但成交供应商（集成商）采取了改正措施，使测试结果达到预期目的。</w:t>
      </w:r>
    </w:p>
    <w:p w14:paraId="7EC33BEB">
      <w:pPr>
        <w:ind w:firstLine="420"/>
        <w:rPr>
          <w:highlight w:val="none"/>
        </w:rPr>
      </w:pPr>
      <w:r>
        <w:rPr>
          <w:rFonts w:hint="eastAsia"/>
          <w:highlight w:val="none"/>
        </w:rPr>
        <w:t>•不合格：功能和质量不能满足采购人的要求。</w:t>
      </w:r>
    </w:p>
    <w:p w14:paraId="22DE99FD">
      <w:pPr>
        <w:pStyle w:val="3"/>
        <w:ind w:left="360" w:hanging="360"/>
        <w:rPr>
          <w:kern w:val="0"/>
          <w:highlight w:val="none"/>
        </w:rPr>
      </w:pPr>
      <w:r>
        <w:rPr>
          <w:kern w:val="0"/>
          <w:highlight w:val="none"/>
        </w:rPr>
        <w:t>9.</w:t>
      </w:r>
      <w:r>
        <w:rPr>
          <w:rFonts w:hint="eastAsia"/>
          <w:kern w:val="0"/>
          <w:highlight w:val="none"/>
        </w:rPr>
        <w:t>售后服务和支持</w:t>
      </w:r>
    </w:p>
    <w:p w14:paraId="50C63CE0">
      <w:pPr>
        <w:ind w:firstLine="420"/>
        <w:rPr>
          <w:highlight w:val="none"/>
        </w:rPr>
      </w:pPr>
      <w:r>
        <w:rPr>
          <w:rFonts w:hint="eastAsia"/>
          <w:highlight w:val="none"/>
        </w:rPr>
        <w:t>服务和支持的范围：</w:t>
      </w:r>
    </w:p>
    <w:p w14:paraId="601A3F88">
      <w:pPr>
        <w:ind w:firstLine="420"/>
        <w:rPr>
          <w:highlight w:val="none"/>
        </w:rPr>
      </w:pPr>
      <w:r>
        <w:rPr>
          <w:rFonts w:hint="eastAsia"/>
          <w:highlight w:val="none"/>
        </w:rPr>
        <w:t>•系统的安装、部署和调试；</w:t>
      </w:r>
    </w:p>
    <w:p w14:paraId="6A041C4B">
      <w:pPr>
        <w:ind w:firstLine="420"/>
        <w:rPr>
          <w:highlight w:val="none"/>
        </w:rPr>
      </w:pPr>
      <w:r>
        <w:rPr>
          <w:rFonts w:hint="eastAsia"/>
          <w:highlight w:val="none"/>
        </w:rPr>
        <w:t>•项目的验收测试；</w:t>
      </w:r>
    </w:p>
    <w:p w14:paraId="3ABE6BEC">
      <w:pPr>
        <w:ind w:firstLine="420"/>
        <w:rPr>
          <w:highlight w:val="none"/>
        </w:rPr>
      </w:pPr>
      <w:r>
        <w:rPr>
          <w:rFonts w:hint="eastAsia"/>
          <w:highlight w:val="none"/>
        </w:rPr>
        <w:t>•项目的数据转换、数据迁移、模拟运行和试运行；</w:t>
      </w:r>
    </w:p>
    <w:p w14:paraId="363F0E2F">
      <w:pPr>
        <w:ind w:firstLine="420"/>
        <w:rPr>
          <w:highlight w:val="none"/>
        </w:rPr>
      </w:pPr>
      <w:r>
        <w:rPr>
          <w:rFonts w:hint="eastAsia"/>
          <w:highlight w:val="none"/>
        </w:rPr>
        <w:t>•与系统运行有关的技术问题（含操作系统、数据库、应用系统的整体性能调优等）</w:t>
      </w:r>
    </w:p>
    <w:p w14:paraId="2C0FE58F">
      <w:pPr>
        <w:ind w:firstLine="420"/>
        <w:rPr>
          <w:highlight w:val="none"/>
        </w:rPr>
      </w:pPr>
      <w:r>
        <w:rPr>
          <w:rFonts w:hint="eastAsia"/>
          <w:highlight w:val="none"/>
        </w:rPr>
        <w:t>•项目上线后两年内，针对本项目的完善性需求以及监管提出的安全性需求，成交供应商需免费进行开发。</w:t>
      </w:r>
    </w:p>
    <w:p w14:paraId="78E67989">
      <w:pPr>
        <w:ind w:firstLine="420"/>
        <w:rPr>
          <w:highlight w:val="none"/>
        </w:rPr>
      </w:pPr>
      <w:r>
        <w:rPr>
          <w:rFonts w:hint="eastAsia"/>
          <w:highlight w:val="none"/>
        </w:rPr>
        <w:t>•相关技术及业务培训（其中在项目实施前必须组织技术人员进行平台二次开发培训，并提供平台的所有技术文档等）</w:t>
      </w:r>
    </w:p>
    <w:p w14:paraId="3CD16DC3">
      <w:pPr>
        <w:ind w:firstLine="420"/>
        <w:rPr>
          <w:highlight w:val="none"/>
        </w:rPr>
      </w:pPr>
      <w:r>
        <w:rPr>
          <w:rFonts w:hint="eastAsia"/>
          <w:highlight w:val="none"/>
        </w:rPr>
        <w:t>•</w:t>
      </w:r>
      <w:bookmarkStart w:id="77" w:name="_Hlk22733819"/>
      <w:r>
        <w:rPr>
          <w:rFonts w:hint="eastAsia"/>
          <w:highlight w:val="none"/>
        </w:rPr>
        <w:t>维保期</w:t>
      </w:r>
      <w:bookmarkEnd w:id="77"/>
      <w:r>
        <w:rPr>
          <w:rFonts w:hint="eastAsia"/>
          <w:highlight w:val="none"/>
        </w:rPr>
        <w:t>以年度计算，</w:t>
      </w:r>
      <w:r>
        <w:rPr>
          <w:highlight w:val="none"/>
        </w:rPr>
        <w:t>应至少提供2</w:t>
      </w:r>
      <w:r>
        <w:rPr>
          <w:rFonts w:hint="eastAsia"/>
          <w:highlight w:val="none"/>
        </w:rPr>
        <w:t>年</w:t>
      </w:r>
      <w:r>
        <w:rPr>
          <w:highlight w:val="none"/>
        </w:rPr>
        <w:t>维保</w:t>
      </w:r>
      <w:r>
        <w:rPr>
          <w:rFonts w:hint="eastAsia"/>
          <w:highlight w:val="none"/>
        </w:rPr>
        <w:t>，维保期起始日为验收后次日，维保期结束日需延期至到期当年的6月30日或12月31日中较近日期（即维保延期最长不超过半年）。</w:t>
      </w:r>
    </w:p>
    <w:p w14:paraId="496CA862">
      <w:pPr>
        <w:ind w:firstLine="420"/>
        <w:rPr>
          <w:highlight w:val="none"/>
        </w:rPr>
      </w:pPr>
      <w:r>
        <w:rPr>
          <w:rFonts w:hint="eastAsia"/>
          <w:highlight w:val="none"/>
        </w:rPr>
        <w:t>•响应人在响应文件中详细说明在系统维保期的具体服务内容，系统维保期过后有偿维保的内容、价格及收取方式，若按开发量评估收取，应说明每人/月价格；</w:t>
      </w:r>
    </w:p>
    <w:p w14:paraId="68848992">
      <w:pPr>
        <w:ind w:firstLine="420"/>
        <w:rPr>
          <w:highlight w:val="none"/>
        </w:rPr>
      </w:pPr>
      <w:r>
        <w:rPr>
          <w:rFonts w:hint="eastAsia"/>
          <w:highlight w:val="none"/>
        </w:rPr>
        <w:t>•响应人在维保服务期须每年向采购人提供不低于4次的风险情报，包括黑灰产情报跟踪、最新涉赌涉诈账户交易特征、特定风险事件作案手法及防控方案、监管文件解读、监管处罚案例及反电诈或交易反欺诈相关司法判例汇集等（提供承诺函及2025年发布的风险情报）。</w:t>
      </w:r>
    </w:p>
    <w:p w14:paraId="3F9E9B4D">
      <w:pPr>
        <w:ind w:firstLine="420"/>
        <w:rPr>
          <w:highlight w:val="none"/>
        </w:rPr>
      </w:pPr>
      <w:r>
        <w:rPr>
          <w:rFonts w:hint="eastAsia"/>
          <w:highlight w:val="none"/>
        </w:rPr>
        <w:t>响应人在响应文件中需对以上相关内容中进行阐述并作出相应承诺。</w:t>
      </w:r>
    </w:p>
    <w:p w14:paraId="42B8BD14">
      <w:pPr>
        <w:ind w:firstLine="420"/>
        <w:rPr>
          <w:rFonts w:cs="Times New Roman"/>
          <w:highlight w:val="none"/>
        </w:rPr>
      </w:pPr>
      <w:r>
        <w:rPr>
          <w:rFonts w:hint="eastAsia" w:cs="Times New Roman"/>
          <w:highlight w:val="none"/>
        </w:rPr>
        <w:t>【提供售后服务和培训方案】</w:t>
      </w:r>
    </w:p>
    <w:p w14:paraId="443A7584">
      <w:pPr>
        <w:ind w:firstLine="420"/>
        <w:rPr>
          <w:highlight w:val="none"/>
        </w:rPr>
      </w:pPr>
      <w:r>
        <w:rPr>
          <w:rFonts w:hint="eastAsia"/>
          <w:highlight w:val="none"/>
        </w:rPr>
        <w:t>针对技术及业务制定完整的培训方案，对于知识积累和转移能做到给我行人员做代码级培训并出具具体的培训计划且计划合理。</w:t>
      </w:r>
    </w:p>
    <w:p w14:paraId="11BB2D36">
      <w:pPr>
        <w:ind w:firstLine="420"/>
        <w:rPr>
          <w:highlight w:val="none"/>
        </w:rPr>
      </w:pPr>
    </w:p>
    <w:p w14:paraId="54C22571">
      <w:pPr>
        <w:pStyle w:val="3"/>
        <w:ind w:left="360" w:hanging="360"/>
        <w:rPr>
          <w:highlight w:val="none"/>
        </w:rPr>
      </w:pPr>
      <w:r>
        <w:rPr>
          <w:highlight w:val="none"/>
        </w:rPr>
        <w:t>10.</w:t>
      </w:r>
      <w:r>
        <w:rPr>
          <w:rFonts w:hint="eastAsia"/>
          <w:kern w:val="0"/>
          <w:highlight w:val="none"/>
        </w:rPr>
        <w:t>系统维保费用</w:t>
      </w:r>
    </w:p>
    <w:p w14:paraId="37233C10">
      <w:pPr>
        <w:ind w:firstLine="420"/>
        <w:rPr>
          <w:highlight w:val="none"/>
        </w:rPr>
      </w:pPr>
      <w:r>
        <w:rPr>
          <w:rFonts w:hint="eastAsia"/>
          <w:highlight w:val="none"/>
        </w:rPr>
        <w:t>维护期满后，每年维护费用不高于合同价8%，且每年系统升级改造工作量2个人月内不收费</w:t>
      </w:r>
      <w:r>
        <w:rPr>
          <w:highlight w:val="none"/>
        </w:rPr>
        <w:t>（工作量以采购人的最终评估为准）</w:t>
      </w:r>
      <w:r>
        <w:rPr>
          <w:rFonts w:hint="eastAsia"/>
          <w:highlight w:val="none"/>
        </w:rPr>
        <w:t>，具体维保费用以合同约定为准。</w:t>
      </w:r>
      <w:r>
        <w:rPr>
          <w:rFonts w:hint="eastAsia" w:cs="Times New Roman"/>
          <w:snapToGrid w:val="0"/>
          <w:highlight w:val="none"/>
        </w:rPr>
        <w:t>在安全加固、BUG修复等方面应免费开展维护，不得另行收费。</w:t>
      </w:r>
    </w:p>
    <w:p w14:paraId="5DC40DBF">
      <w:pPr>
        <w:pStyle w:val="3"/>
        <w:ind w:left="360" w:hanging="360"/>
        <w:rPr>
          <w:highlight w:val="none"/>
        </w:rPr>
      </w:pPr>
      <w:r>
        <w:rPr>
          <w:highlight w:val="none"/>
        </w:rPr>
        <w:t>11.</w:t>
      </w:r>
      <w:r>
        <w:rPr>
          <w:rFonts w:hint="eastAsia"/>
          <w:highlight w:val="none"/>
        </w:rPr>
        <w:t>文档和培训</w:t>
      </w:r>
    </w:p>
    <w:p w14:paraId="455053B8">
      <w:pPr>
        <w:pStyle w:val="4"/>
        <w:ind w:firstLine="422"/>
        <w:rPr>
          <w:szCs w:val="20"/>
          <w:highlight w:val="none"/>
        </w:rPr>
      </w:pPr>
      <w:r>
        <w:rPr>
          <w:rFonts w:hint="eastAsia"/>
          <w:highlight w:val="none"/>
        </w:rPr>
        <w:t>1</w:t>
      </w:r>
      <w:r>
        <w:rPr>
          <w:highlight w:val="none"/>
        </w:rPr>
        <w:t xml:space="preserve">1.1 </w:t>
      </w:r>
      <w:r>
        <w:rPr>
          <w:rFonts w:hint="eastAsia"/>
          <w:szCs w:val="20"/>
          <w:highlight w:val="none"/>
        </w:rPr>
        <w:t>文档</w:t>
      </w:r>
    </w:p>
    <w:p w14:paraId="35A892EF">
      <w:pPr>
        <w:ind w:firstLine="420"/>
        <w:rPr>
          <w:highlight w:val="none"/>
        </w:rPr>
      </w:pPr>
      <w:r>
        <w:rPr>
          <w:rFonts w:hint="eastAsia"/>
          <w:highlight w:val="none"/>
        </w:rPr>
        <w:t>1）文档范围</w:t>
      </w:r>
    </w:p>
    <w:p w14:paraId="1F19B38B">
      <w:pPr>
        <w:ind w:firstLine="420"/>
        <w:rPr>
          <w:highlight w:val="none"/>
        </w:rPr>
      </w:pPr>
      <w:r>
        <w:rPr>
          <w:rFonts w:hint="eastAsia"/>
          <w:highlight w:val="none"/>
        </w:rPr>
        <w:t>包括成交供应商收集整理的系统建设中所形成的全部文字记载、录音和照片等，项目验收后由成交供应商向采购人提供。</w:t>
      </w:r>
    </w:p>
    <w:p w14:paraId="3809915F">
      <w:pPr>
        <w:ind w:firstLine="420"/>
        <w:rPr>
          <w:highlight w:val="none"/>
        </w:rPr>
      </w:pPr>
      <w:r>
        <w:rPr>
          <w:rFonts w:hint="eastAsia"/>
          <w:highlight w:val="none"/>
        </w:rPr>
        <w:t>2）文档内容</w:t>
      </w:r>
    </w:p>
    <w:p w14:paraId="621AB3FD">
      <w:pPr>
        <w:ind w:firstLine="420"/>
        <w:rPr>
          <w:highlight w:val="none"/>
        </w:rPr>
      </w:pPr>
      <w:r>
        <w:rPr>
          <w:rFonts w:hint="eastAsia"/>
          <w:highlight w:val="none"/>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577DFE1">
      <w:pPr>
        <w:ind w:firstLine="420"/>
        <w:rPr>
          <w:highlight w:val="none"/>
        </w:rPr>
      </w:pPr>
      <w:r>
        <w:rPr>
          <w:rFonts w:hint="eastAsia"/>
          <w:highlight w:val="none"/>
        </w:rPr>
        <w:t xml:space="preserve">3）要求 </w:t>
      </w:r>
    </w:p>
    <w:p w14:paraId="52D494F3">
      <w:pPr>
        <w:ind w:firstLine="420"/>
        <w:rPr>
          <w:highlight w:val="none"/>
        </w:rPr>
      </w:pPr>
      <w:r>
        <w:rPr>
          <w:rFonts w:hint="eastAsia"/>
          <w:highlight w:val="none"/>
        </w:rPr>
        <w:t>响应人提供的文档要保持完整性和准确性。所有文档都采用简体中文（第三方产品出厂文件除外）。</w:t>
      </w:r>
    </w:p>
    <w:p w14:paraId="406322CB">
      <w:pPr>
        <w:pStyle w:val="4"/>
        <w:ind w:firstLine="422"/>
        <w:rPr>
          <w:szCs w:val="20"/>
          <w:highlight w:val="none"/>
        </w:rPr>
      </w:pPr>
      <w:r>
        <w:rPr>
          <w:rFonts w:hint="eastAsia"/>
          <w:szCs w:val="20"/>
          <w:highlight w:val="none"/>
        </w:rPr>
        <w:t>1</w:t>
      </w:r>
      <w:r>
        <w:rPr>
          <w:szCs w:val="20"/>
          <w:highlight w:val="none"/>
        </w:rPr>
        <w:t xml:space="preserve">1.2 </w:t>
      </w:r>
      <w:r>
        <w:rPr>
          <w:rFonts w:hint="eastAsia"/>
          <w:szCs w:val="20"/>
          <w:highlight w:val="none"/>
        </w:rPr>
        <w:t>培训</w:t>
      </w:r>
    </w:p>
    <w:p w14:paraId="363A8A88">
      <w:pPr>
        <w:ind w:firstLine="420"/>
        <w:rPr>
          <w:highlight w:val="none"/>
        </w:rPr>
      </w:pPr>
      <w:r>
        <w:rPr>
          <w:rFonts w:hint="eastAsia"/>
          <w:highlight w:val="none"/>
        </w:rPr>
        <w:t>1）培训人员</w:t>
      </w:r>
    </w:p>
    <w:p w14:paraId="7EE15380">
      <w:pPr>
        <w:ind w:firstLine="420"/>
        <w:rPr>
          <w:highlight w:val="none"/>
        </w:rPr>
      </w:pPr>
      <w:r>
        <w:rPr>
          <w:rFonts w:hint="eastAsia"/>
          <w:highlight w:val="none"/>
        </w:rPr>
        <w:t>成交供应商应对下列人员进行相应的技术培训：</w:t>
      </w:r>
    </w:p>
    <w:p w14:paraId="254D5C5F">
      <w:pPr>
        <w:ind w:firstLine="420"/>
        <w:rPr>
          <w:highlight w:val="none"/>
        </w:rPr>
      </w:pPr>
      <w:r>
        <w:rPr>
          <w:rFonts w:hint="eastAsia"/>
          <w:highlight w:val="none"/>
        </w:rPr>
        <w:t>包括但不限于涉及本项目的相关开发人员、运维人员以及业务人员等。</w:t>
      </w:r>
    </w:p>
    <w:p w14:paraId="23DD808E">
      <w:pPr>
        <w:ind w:firstLine="420"/>
        <w:rPr>
          <w:highlight w:val="none"/>
        </w:rPr>
      </w:pPr>
      <w:r>
        <w:rPr>
          <w:rFonts w:hint="eastAsia"/>
          <w:highlight w:val="none"/>
        </w:rPr>
        <w:t>2）要求</w:t>
      </w:r>
    </w:p>
    <w:p w14:paraId="03998B7A">
      <w:pPr>
        <w:ind w:firstLine="420"/>
        <w:rPr>
          <w:highlight w:val="none"/>
        </w:rPr>
      </w:pPr>
      <w:r>
        <w:rPr>
          <w:rFonts w:hint="eastAsia"/>
          <w:highlight w:val="none"/>
        </w:rPr>
        <w:t>对所有的培训，响应人除提供完备的书面教材外，还应提交培训方案和计划。</w:t>
      </w:r>
    </w:p>
    <w:p w14:paraId="34886A2A">
      <w:pPr>
        <w:ind w:firstLine="420"/>
        <w:rPr>
          <w:rFonts w:ascii="宋体" w:cs="宋体"/>
          <w:snapToGrid w:val="0"/>
          <w:kern w:val="0"/>
          <w:szCs w:val="24"/>
          <w:highlight w:val="none"/>
        </w:rPr>
      </w:pPr>
      <w:r>
        <w:rPr>
          <w:rFonts w:hint="eastAsia"/>
          <w:highlight w:val="none"/>
        </w:rPr>
        <w:t>采购人要求所有的培训在采购人指定地点进行。</w:t>
      </w:r>
    </w:p>
    <w:p w14:paraId="705D927D">
      <w:pPr>
        <w:pStyle w:val="3"/>
        <w:ind w:left="360" w:hanging="360"/>
        <w:rPr>
          <w:highlight w:val="none"/>
        </w:rPr>
      </w:pPr>
      <w:r>
        <w:rPr>
          <w:highlight w:val="none"/>
        </w:rPr>
        <w:t>12.</w:t>
      </w:r>
      <w:r>
        <w:rPr>
          <w:rFonts w:hint="eastAsia"/>
          <w:highlight w:val="none"/>
        </w:rPr>
        <w:t>服务连续性预案</w:t>
      </w:r>
    </w:p>
    <w:p w14:paraId="50C9BF51">
      <w:pPr>
        <w:ind w:firstLine="420"/>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66BD74A5">
      <w:pPr>
        <w:pStyle w:val="3"/>
        <w:ind w:left="360" w:hanging="360"/>
        <w:rPr>
          <w:highlight w:val="none"/>
        </w:rPr>
      </w:pPr>
      <w:r>
        <w:rPr>
          <w:highlight w:val="none"/>
        </w:rPr>
        <w:t>13.</w:t>
      </w:r>
      <w:r>
        <w:rPr>
          <w:rFonts w:hint="eastAsia"/>
          <w:highlight w:val="none"/>
        </w:rPr>
        <w:t>项目实施方案</w:t>
      </w:r>
    </w:p>
    <w:p w14:paraId="0D30BF34">
      <w:pPr>
        <w:ind w:firstLine="420"/>
        <w:rPr>
          <w:highlight w:val="none"/>
        </w:rPr>
      </w:pPr>
      <w:r>
        <w:rPr>
          <w:rFonts w:hint="eastAsia"/>
          <w:highlight w:val="none"/>
        </w:rPr>
        <w:t>在本次询比中，响应人应在响应文件中提供项目实施方案供采购人查看，方案应包括履行合同的时间计划、提交资料、人员安排等内容。【提供项目实施方案】</w:t>
      </w:r>
    </w:p>
    <w:bookmarkEnd w:id="71"/>
    <w:bookmarkEnd w:id="72"/>
    <w:p w14:paraId="2223D887">
      <w:pPr>
        <w:pStyle w:val="3"/>
        <w:ind w:left="360" w:hanging="360"/>
        <w:rPr>
          <w:highlight w:val="none"/>
        </w:rPr>
      </w:pPr>
      <w:bookmarkStart w:id="78" w:name="_Toc89675148"/>
      <w:bookmarkStart w:id="79" w:name="_Toc15059422"/>
      <w:r>
        <w:rPr>
          <w:highlight w:val="none"/>
        </w:rPr>
        <w:t>14.</w:t>
      </w:r>
      <w:r>
        <w:rPr>
          <w:rFonts w:hint="eastAsia"/>
          <w:highlight w:val="none"/>
        </w:rPr>
        <w:t>付款方式</w:t>
      </w:r>
      <w:bookmarkEnd w:id="78"/>
      <w:bookmarkEnd w:id="79"/>
    </w:p>
    <w:p w14:paraId="54367414">
      <w:pPr>
        <w:ind w:firstLine="420"/>
        <w:rPr>
          <w:rFonts w:cs="Times New Roman"/>
          <w:snapToGrid w:val="0"/>
          <w:highlight w:val="none"/>
        </w:rPr>
      </w:pPr>
      <w:r>
        <w:rPr>
          <w:rFonts w:cs="Times New Roman"/>
          <w:snapToGrid w:val="0"/>
          <w:highlight w:val="none"/>
        </w:rPr>
        <w:t>原则上不预付款项，本项目款项采用分期付款方式，具体如下：</w:t>
      </w:r>
    </w:p>
    <w:p w14:paraId="48101695">
      <w:pPr>
        <w:ind w:firstLine="420"/>
        <w:rPr>
          <w:highlight w:val="none"/>
        </w:rPr>
      </w:pPr>
      <w:r>
        <w:rPr>
          <w:highlight w:val="none"/>
        </w:rPr>
        <w:t>1）项目安装、调试以及完成第三代手机银行接入规则模型设计部署和完成账户分类分级后进入试运行，试运行30个工作日内，乙方向甲方提供合法足额的增值税专用发票，甲方向乙方支付合同总额的60％。</w:t>
      </w:r>
    </w:p>
    <w:p w14:paraId="2C3F1A83">
      <w:pPr>
        <w:ind w:firstLine="420"/>
        <w:rPr>
          <w:highlight w:val="none"/>
        </w:rPr>
      </w:pPr>
      <w:r>
        <w:rPr>
          <w:highlight w:val="none"/>
        </w:rPr>
        <w:t>2）项目建设、咨询等需求完成并正式验收合格后30个工作日内,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0BE8D8E7">
      <w:pPr>
        <w:ind w:firstLine="420"/>
        <w:rPr>
          <w:highlight w:val="none"/>
        </w:rPr>
      </w:pPr>
      <w:r>
        <w:rPr>
          <w:highlight w:val="none"/>
        </w:rP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7ED5CA11">
      <w:pPr>
        <w:ind w:firstLine="420"/>
        <w:rPr>
          <w:highlight w:val="none"/>
        </w:rPr>
      </w:pPr>
    </w:p>
    <w:p w14:paraId="6AB5D832">
      <w:pPr>
        <w:pStyle w:val="3"/>
        <w:ind w:left="360" w:hanging="360"/>
        <w:rPr>
          <w:highlight w:val="none"/>
        </w:rPr>
      </w:pPr>
      <w:bookmarkStart w:id="80" w:name="_Toc15059424"/>
      <w:bookmarkStart w:id="81" w:name="_Toc89675150"/>
      <w:r>
        <w:rPr>
          <w:highlight w:val="none"/>
        </w:rPr>
        <w:t>15.</w:t>
      </w:r>
      <w:r>
        <w:rPr>
          <w:rFonts w:hint="eastAsia"/>
          <w:highlight w:val="none"/>
        </w:rPr>
        <w:t>保密条款</w:t>
      </w:r>
      <w:bookmarkEnd w:id="73"/>
      <w:bookmarkEnd w:id="74"/>
      <w:bookmarkEnd w:id="75"/>
      <w:bookmarkEnd w:id="76"/>
      <w:bookmarkEnd w:id="80"/>
      <w:bookmarkEnd w:id="81"/>
    </w:p>
    <w:p w14:paraId="5D33F744">
      <w:pPr>
        <w:pStyle w:val="4"/>
        <w:ind w:firstLine="422"/>
        <w:rPr>
          <w:highlight w:val="none"/>
        </w:rPr>
      </w:pPr>
      <w:r>
        <w:rPr>
          <w:rFonts w:hint="eastAsia"/>
          <w:highlight w:val="none"/>
        </w:rPr>
        <w:t>1</w:t>
      </w:r>
      <w:r>
        <w:rPr>
          <w:highlight w:val="none"/>
        </w:rPr>
        <w:t>5</w:t>
      </w:r>
      <w:r>
        <w:rPr>
          <w:rFonts w:hint="eastAsia"/>
          <w:highlight w:val="none"/>
        </w:rPr>
        <w:t>.1 保密范围</w:t>
      </w:r>
    </w:p>
    <w:p w14:paraId="2DA1C445">
      <w:pPr>
        <w:ind w:firstLine="420"/>
        <w:rPr>
          <w:highlight w:val="none"/>
        </w:rPr>
      </w:pPr>
      <w:r>
        <w:rPr>
          <w:rFonts w:hint="eastAsia"/>
          <w:highlight w:val="none"/>
        </w:rPr>
        <w:t>成交供应商在实施过程中接触到的采购人知识产权、经营信息等。</w:t>
      </w:r>
    </w:p>
    <w:p w14:paraId="31F3595E">
      <w:pPr>
        <w:pStyle w:val="4"/>
        <w:ind w:firstLine="422"/>
        <w:rPr>
          <w:highlight w:val="none"/>
        </w:rPr>
      </w:pPr>
      <w:r>
        <w:rPr>
          <w:highlight w:val="none"/>
        </w:rPr>
        <w:t>15</w:t>
      </w:r>
      <w:r>
        <w:rPr>
          <w:rFonts w:hint="eastAsia"/>
          <w:highlight w:val="none"/>
        </w:rPr>
        <w:t>.2 保密责任</w:t>
      </w:r>
    </w:p>
    <w:p w14:paraId="5FB83DDE">
      <w:pPr>
        <w:ind w:firstLine="420"/>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3A2A5BDE">
      <w:pPr>
        <w:pStyle w:val="3"/>
        <w:ind w:left="360" w:hanging="360"/>
        <w:rPr>
          <w:highlight w:val="none"/>
        </w:rPr>
      </w:pPr>
      <w:r>
        <w:rPr>
          <w:highlight w:val="none"/>
        </w:rPr>
        <w:t>16.</w:t>
      </w:r>
      <w:r>
        <w:rPr>
          <w:rFonts w:hint="eastAsia"/>
          <w:highlight w:val="none"/>
        </w:rPr>
        <w:t>报价要求</w:t>
      </w:r>
    </w:p>
    <w:p w14:paraId="061334E9">
      <w:pPr>
        <w:ind w:firstLine="420"/>
        <w:rPr>
          <w:highlight w:val="none"/>
        </w:rPr>
      </w:pPr>
      <w:r>
        <w:rPr>
          <w:rFonts w:hint="eastAsia"/>
          <w:highlight w:val="none"/>
        </w:rPr>
        <w:t>响应人应严格按照《响应文件格式》的“报价一览表”的格式认真填写。</w:t>
      </w:r>
    </w:p>
    <w:p w14:paraId="29E17948">
      <w:pPr>
        <w:pStyle w:val="3"/>
        <w:ind w:left="360" w:hanging="360"/>
        <w:rPr>
          <w:highlight w:val="none"/>
        </w:rPr>
      </w:pPr>
      <w:bookmarkStart w:id="82" w:name="_Toc89675152"/>
      <w:bookmarkStart w:id="83" w:name="_Toc15059426"/>
      <w:r>
        <w:rPr>
          <w:highlight w:val="none"/>
        </w:rPr>
        <w:t>17.</w:t>
      </w:r>
      <w:r>
        <w:rPr>
          <w:rFonts w:hint="eastAsia"/>
          <w:highlight w:val="none"/>
        </w:rPr>
        <w:t>知识产权</w:t>
      </w:r>
      <w:bookmarkEnd w:id="82"/>
      <w:bookmarkEnd w:id="83"/>
    </w:p>
    <w:p w14:paraId="49F68032">
      <w:pPr>
        <w:ind w:firstLine="420"/>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0A0CB1E">
      <w:pPr>
        <w:ind w:firstLine="420"/>
        <w:rPr>
          <w:highlight w:val="none"/>
        </w:rPr>
      </w:pPr>
      <w:r>
        <w:rPr>
          <w:rFonts w:hint="eastAsia"/>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039D0648">
      <w:pPr>
        <w:pStyle w:val="3"/>
        <w:ind w:left="360" w:hanging="360"/>
        <w:rPr>
          <w:highlight w:val="none"/>
        </w:rPr>
      </w:pPr>
      <w:bookmarkStart w:id="84" w:name="_Toc15059427"/>
      <w:bookmarkStart w:id="85" w:name="_Toc89675153"/>
      <w:r>
        <w:rPr>
          <w:highlight w:val="none"/>
        </w:rPr>
        <w:t>18.</w:t>
      </w:r>
      <w:r>
        <w:rPr>
          <w:rFonts w:hint="eastAsia"/>
          <w:highlight w:val="none"/>
        </w:rPr>
        <w:t>其他</w:t>
      </w:r>
      <w:bookmarkEnd w:id="84"/>
      <w:bookmarkEnd w:id="85"/>
    </w:p>
    <w:p w14:paraId="3A06BD77">
      <w:pPr>
        <w:spacing w:line="600" w:lineRule="exact"/>
        <w:ind w:firstLine="420"/>
        <w:rPr>
          <w:highlight w:val="none"/>
        </w:rPr>
      </w:pPr>
      <w:r>
        <w:rPr>
          <w:rFonts w:hint="eastAsia"/>
          <w:highlight w:val="none"/>
        </w:rPr>
        <w:t>1）响应人必须在响应承诺函中对本章内容做出整体性响应和承诺，承诺内容必须达到本章及询比文件其他条款的要求。</w:t>
      </w:r>
    </w:p>
    <w:p w14:paraId="2F9F58BF">
      <w:pPr>
        <w:spacing w:line="600" w:lineRule="exact"/>
        <w:ind w:firstLine="420"/>
        <w:rPr>
          <w:highlight w:val="none"/>
        </w:rPr>
      </w:pPr>
      <w:r>
        <w:rPr>
          <w:rFonts w:hint="eastAsia"/>
          <w:highlight w:val="none"/>
        </w:rPr>
        <w:t>2）响应人应根据本章内容和要求，提供对应资料，无遗漏。</w:t>
      </w:r>
    </w:p>
    <w:p w14:paraId="0F1C5B0D">
      <w:pPr>
        <w:spacing w:line="600" w:lineRule="exact"/>
        <w:ind w:firstLine="420"/>
        <w:rPr>
          <w:highlight w:val="none"/>
        </w:rPr>
      </w:pPr>
      <w:r>
        <w:rPr>
          <w:rFonts w:hint="eastAsia"/>
          <w:highlight w:val="none"/>
        </w:rPr>
        <w:t>3）其他未尽事宜由供需双方在合同中详细约定。</w:t>
      </w:r>
    </w:p>
    <w:p w14:paraId="14C205B8">
      <w:pPr>
        <w:pStyle w:val="2"/>
        <w:rPr>
          <w:highlight w:val="none"/>
        </w:rPr>
      </w:pPr>
      <w:bookmarkStart w:id="86" w:name="_Toc19450"/>
      <w:bookmarkStart w:id="87" w:name="_Toc29189"/>
      <w:bookmarkStart w:id="88" w:name="_Toc24933"/>
      <w:bookmarkStart w:id="89" w:name="_Toc28940"/>
      <w:bookmarkStart w:id="90" w:name="_Toc1568"/>
      <w:r>
        <w:rPr>
          <w:rFonts w:hint="eastAsia"/>
          <w:highlight w:val="none"/>
        </w:rPr>
        <w:t>第四章 评审办法（综合评估法）</w:t>
      </w:r>
      <w:bookmarkEnd w:id="86"/>
      <w:bookmarkEnd w:id="87"/>
      <w:bookmarkEnd w:id="88"/>
      <w:bookmarkEnd w:id="89"/>
      <w:bookmarkEnd w:id="90"/>
    </w:p>
    <w:p w14:paraId="72620FD3">
      <w:pPr>
        <w:pStyle w:val="3"/>
        <w:rPr>
          <w:highlight w:val="none"/>
        </w:rPr>
      </w:pPr>
      <w:bookmarkStart w:id="91" w:name="_Toc11471"/>
      <w:bookmarkStart w:id="92" w:name="_Toc14810"/>
      <w:bookmarkStart w:id="93" w:name="_Toc27076"/>
      <w:bookmarkStart w:id="94" w:name="_Toc2028"/>
      <w:r>
        <w:rPr>
          <w:rFonts w:hint="eastAsia"/>
          <w:highlight w:val="none"/>
        </w:rPr>
        <w:t>评审办法前附表</w:t>
      </w:r>
      <w:bookmarkEnd w:id="91"/>
      <w:bookmarkEnd w:id="92"/>
      <w:bookmarkEnd w:id="93"/>
      <w:bookmarkEnd w:id="94"/>
    </w:p>
    <w:p w14:paraId="37060365">
      <w:pPr>
        <w:ind w:firstLine="42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5B4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BD0956">
            <w:pPr>
              <w:pStyle w:val="37"/>
              <w:rPr>
                <w:highlight w:val="none"/>
              </w:rPr>
            </w:pPr>
            <w:bookmarkStart w:id="95" w:name="CQZH1_07"/>
            <w:r>
              <w:rPr>
                <w:rFonts w:hint="eastAsia"/>
                <w:highlight w:val="none"/>
              </w:rPr>
              <w:t>条款号</w:t>
            </w:r>
          </w:p>
        </w:tc>
        <w:tc>
          <w:tcPr>
            <w:tcW w:w="1482" w:type="dxa"/>
            <w:tcBorders>
              <w:top w:val="single" w:color="auto" w:sz="4" w:space="0"/>
              <w:left w:val="single" w:color="auto" w:sz="4" w:space="0"/>
              <w:bottom w:val="single" w:color="auto" w:sz="4" w:space="0"/>
              <w:right w:val="single" w:color="auto" w:sz="4" w:space="0"/>
            </w:tcBorders>
            <w:vAlign w:val="center"/>
          </w:tcPr>
          <w:p w14:paraId="7B1C2BAA">
            <w:pPr>
              <w:pStyle w:val="37"/>
              <w:rPr>
                <w:highlight w:val="none"/>
              </w:rPr>
            </w:pPr>
            <w:r>
              <w:rPr>
                <w:rFonts w:hint="eastAsia"/>
                <w:highlight w:val="none"/>
              </w:rPr>
              <w:t>评审因素</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02C409AE">
            <w:pPr>
              <w:pStyle w:val="37"/>
              <w:rPr>
                <w:highlight w:val="none"/>
              </w:rPr>
            </w:pPr>
            <w:r>
              <w:rPr>
                <w:rFonts w:hint="eastAsia"/>
                <w:highlight w:val="none"/>
              </w:rPr>
              <w:t>评审标准</w:t>
            </w:r>
          </w:p>
        </w:tc>
      </w:tr>
      <w:tr w14:paraId="7004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5AA4233">
            <w:pPr>
              <w:pStyle w:val="36"/>
              <w:rPr>
                <w:highlight w:val="none"/>
              </w:rPr>
            </w:pPr>
            <w:r>
              <w:rPr>
                <w:rFonts w:hint="eastAsia"/>
                <w:highlight w:val="none"/>
              </w:rPr>
              <w:t>1</w:t>
            </w:r>
          </w:p>
        </w:tc>
        <w:tc>
          <w:tcPr>
            <w:tcW w:w="1482" w:type="dxa"/>
            <w:tcBorders>
              <w:top w:val="single" w:color="auto" w:sz="4" w:space="0"/>
              <w:left w:val="single" w:color="auto" w:sz="4" w:space="0"/>
              <w:right w:val="single" w:color="auto" w:sz="4" w:space="0"/>
            </w:tcBorders>
            <w:vAlign w:val="center"/>
          </w:tcPr>
          <w:p w14:paraId="7FBA7FEE">
            <w:pPr>
              <w:pStyle w:val="36"/>
              <w:rPr>
                <w:highlight w:val="none"/>
              </w:rPr>
            </w:pPr>
            <w:r>
              <w:rPr>
                <w:rFonts w:hint="eastAsia"/>
                <w:highlight w:val="none"/>
              </w:rPr>
              <w:t>评审办法</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30CAD2C2">
            <w:pPr>
              <w:pStyle w:val="36"/>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w:t>
            </w:r>
            <w:r>
              <w:rPr>
                <w:highlight w:val="none"/>
              </w:rPr>
              <w:t>不</w:t>
            </w:r>
            <w:r>
              <w:rPr>
                <w:rFonts w:hint="eastAsia"/>
                <w:highlight w:val="none"/>
              </w:rPr>
              <w:t>含税低的优先；响应报价也相等的，由评审委员会按照单个案例金额最大的优先原则确定排名。根据项目所需成交供应商数量，按照排名顺序确定成交供应商。</w:t>
            </w:r>
          </w:p>
        </w:tc>
      </w:tr>
      <w:tr w14:paraId="0A0B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D7389C9">
            <w:pPr>
              <w:pStyle w:val="36"/>
              <w:rPr>
                <w:highlight w:val="none"/>
              </w:rPr>
            </w:pPr>
            <w:r>
              <w:rPr>
                <w:rFonts w:hint="eastAsia"/>
                <w:highlight w:val="none"/>
              </w:rPr>
              <w:t>2.1</w:t>
            </w:r>
          </w:p>
        </w:tc>
        <w:tc>
          <w:tcPr>
            <w:tcW w:w="1482" w:type="dxa"/>
            <w:tcBorders>
              <w:top w:val="single" w:color="auto" w:sz="4" w:space="0"/>
              <w:left w:val="single" w:color="auto" w:sz="4" w:space="0"/>
              <w:right w:val="single" w:color="auto" w:sz="4" w:space="0"/>
            </w:tcBorders>
            <w:vAlign w:val="center"/>
          </w:tcPr>
          <w:p w14:paraId="0479C7C1">
            <w:pPr>
              <w:pStyle w:val="36"/>
              <w:rPr>
                <w:highlight w:val="none"/>
              </w:rPr>
            </w:pPr>
            <w:r>
              <w:rPr>
                <w:rFonts w:hint="eastAsia"/>
                <w:highlight w:val="none"/>
              </w:rPr>
              <w:t>初步评审标准</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4EF0E199">
            <w:pPr>
              <w:pStyle w:val="36"/>
              <w:rPr>
                <w:highlight w:val="none"/>
              </w:rPr>
            </w:pPr>
            <w:r>
              <w:rPr>
                <w:rFonts w:hint="eastAsia"/>
                <w:highlight w:val="none"/>
              </w:rPr>
              <w:t>所有响应单位进行初步评审。初步评审内容：资格评审、形式评审、响应性评审。</w:t>
            </w:r>
          </w:p>
        </w:tc>
      </w:tr>
      <w:tr w14:paraId="22B0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6D5958D">
            <w:pPr>
              <w:pStyle w:val="36"/>
              <w:rPr>
                <w:highlight w:val="none"/>
              </w:rPr>
            </w:pPr>
            <w:r>
              <w:rPr>
                <w:rFonts w:hint="eastAsia"/>
                <w:highlight w:val="none"/>
              </w:rPr>
              <w:t>2.1.1</w:t>
            </w:r>
          </w:p>
        </w:tc>
        <w:tc>
          <w:tcPr>
            <w:tcW w:w="1482" w:type="dxa"/>
            <w:tcBorders>
              <w:top w:val="single" w:color="auto" w:sz="4" w:space="0"/>
              <w:left w:val="single" w:color="auto" w:sz="4" w:space="0"/>
              <w:right w:val="single" w:color="auto" w:sz="4" w:space="0"/>
            </w:tcBorders>
            <w:vAlign w:val="center"/>
          </w:tcPr>
          <w:p w14:paraId="7AD73037">
            <w:pPr>
              <w:pStyle w:val="36"/>
              <w:rPr>
                <w:highlight w:val="none"/>
              </w:rPr>
            </w:pPr>
            <w:r>
              <w:rPr>
                <w:rFonts w:hint="eastAsia"/>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2C61A0B2">
            <w:pPr>
              <w:pStyle w:val="36"/>
              <w:rPr>
                <w:highlight w:val="none"/>
              </w:rPr>
            </w:pPr>
            <w:r>
              <w:rPr>
                <w:rFonts w:hint="eastAsia"/>
                <w:highlight w:val="none"/>
              </w:rPr>
              <w:t>资格条件要求</w:t>
            </w:r>
          </w:p>
        </w:tc>
        <w:tc>
          <w:tcPr>
            <w:tcW w:w="5476" w:type="dxa"/>
            <w:tcBorders>
              <w:top w:val="single" w:color="auto" w:sz="4" w:space="0"/>
              <w:left w:val="single" w:color="auto" w:sz="4" w:space="0"/>
              <w:bottom w:val="single" w:color="auto" w:sz="4" w:space="0"/>
              <w:right w:val="single" w:color="auto" w:sz="4" w:space="0"/>
            </w:tcBorders>
            <w:vAlign w:val="center"/>
          </w:tcPr>
          <w:p w14:paraId="385EAA1A">
            <w:pPr>
              <w:pStyle w:val="36"/>
              <w:rPr>
                <w:highlight w:val="none"/>
              </w:rPr>
            </w:pPr>
            <w:r>
              <w:rPr>
                <w:rFonts w:hint="eastAsia"/>
                <w:highlight w:val="none"/>
              </w:rPr>
              <w:t>符合第一章“2. 响应人资格要求”规定</w:t>
            </w:r>
          </w:p>
        </w:tc>
      </w:tr>
      <w:tr w14:paraId="7543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65855FE9">
            <w:pPr>
              <w:pStyle w:val="36"/>
              <w:rPr>
                <w:highlight w:val="none"/>
              </w:rPr>
            </w:pPr>
            <w:r>
              <w:rPr>
                <w:rFonts w:hint="eastAsia"/>
                <w:highlight w:val="none"/>
              </w:rPr>
              <w:t>2.1.2</w:t>
            </w:r>
          </w:p>
        </w:tc>
        <w:tc>
          <w:tcPr>
            <w:tcW w:w="1482" w:type="dxa"/>
            <w:vMerge w:val="restart"/>
            <w:tcBorders>
              <w:top w:val="single" w:color="auto" w:sz="4" w:space="0"/>
              <w:left w:val="single" w:color="auto" w:sz="4" w:space="0"/>
              <w:right w:val="single" w:color="auto" w:sz="4" w:space="0"/>
            </w:tcBorders>
            <w:vAlign w:val="center"/>
          </w:tcPr>
          <w:p w14:paraId="48BD4DDA">
            <w:pPr>
              <w:pStyle w:val="36"/>
              <w:rPr>
                <w:highlight w:val="none"/>
              </w:rPr>
            </w:pPr>
            <w:r>
              <w:rPr>
                <w:rFonts w:hint="eastAsia"/>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216086BA">
            <w:pPr>
              <w:pStyle w:val="36"/>
              <w:rPr>
                <w:highlight w:val="none"/>
              </w:rPr>
            </w:pPr>
            <w:r>
              <w:rPr>
                <w:rFonts w:hint="eastAsia"/>
                <w:highlight w:val="none"/>
              </w:rPr>
              <w:t>响应人名称</w:t>
            </w:r>
          </w:p>
        </w:tc>
        <w:tc>
          <w:tcPr>
            <w:tcW w:w="5476" w:type="dxa"/>
            <w:tcBorders>
              <w:top w:val="single" w:color="auto" w:sz="4" w:space="0"/>
              <w:left w:val="single" w:color="auto" w:sz="4" w:space="0"/>
              <w:bottom w:val="single" w:color="auto" w:sz="4" w:space="0"/>
              <w:right w:val="single" w:color="auto" w:sz="4" w:space="0"/>
            </w:tcBorders>
            <w:vAlign w:val="center"/>
          </w:tcPr>
          <w:p w14:paraId="0F1D61F1">
            <w:pPr>
              <w:pStyle w:val="36"/>
              <w:rPr>
                <w:highlight w:val="none"/>
              </w:rPr>
            </w:pPr>
            <w:r>
              <w:rPr>
                <w:rFonts w:hint="eastAsia"/>
                <w:highlight w:val="none"/>
              </w:rPr>
              <w:t>与营业执照、资格证明材料一致</w:t>
            </w:r>
          </w:p>
        </w:tc>
      </w:tr>
      <w:tr w14:paraId="5659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2B86114C">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515269D9">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61B3907B">
            <w:pPr>
              <w:pStyle w:val="36"/>
              <w:rPr>
                <w:highlight w:val="none"/>
              </w:rPr>
            </w:pPr>
            <w:r>
              <w:rPr>
                <w:rFonts w:hint="eastAsia"/>
                <w:highlight w:val="none"/>
              </w:rPr>
              <w:t>响应文件的签字盖章</w:t>
            </w:r>
          </w:p>
        </w:tc>
        <w:tc>
          <w:tcPr>
            <w:tcW w:w="5476" w:type="dxa"/>
            <w:tcBorders>
              <w:top w:val="single" w:color="auto" w:sz="4" w:space="0"/>
              <w:left w:val="single" w:color="auto" w:sz="4" w:space="0"/>
              <w:bottom w:val="single" w:color="auto" w:sz="4" w:space="0"/>
              <w:right w:val="single" w:color="auto" w:sz="4" w:space="0"/>
            </w:tcBorders>
            <w:vAlign w:val="center"/>
          </w:tcPr>
          <w:p w14:paraId="40BAB90B">
            <w:pPr>
              <w:pStyle w:val="36"/>
              <w:rPr>
                <w:highlight w:val="none"/>
              </w:rPr>
            </w:pPr>
            <w:r>
              <w:rPr>
                <w:rFonts w:hint="eastAsia"/>
                <w:highlight w:val="none"/>
              </w:rPr>
              <w:t>符合第二章“响应人须知”4.6 条规定</w:t>
            </w:r>
          </w:p>
        </w:tc>
      </w:tr>
      <w:tr w14:paraId="48C7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484AC0A2">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6CCDE37">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2C75DC3E">
            <w:pPr>
              <w:pStyle w:val="36"/>
              <w:rPr>
                <w:highlight w:val="none"/>
              </w:rPr>
            </w:pPr>
            <w:r>
              <w:rPr>
                <w:rFonts w:hint="eastAsia"/>
                <w:highlight w:val="none"/>
              </w:rPr>
              <w:t>响应文件的密封</w:t>
            </w:r>
          </w:p>
        </w:tc>
        <w:tc>
          <w:tcPr>
            <w:tcW w:w="5476" w:type="dxa"/>
            <w:tcBorders>
              <w:top w:val="single" w:color="auto" w:sz="4" w:space="0"/>
              <w:left w:val="single" w:color="auto" w:sz="4" w:space="0"/>
              <w:bottom w:val="single" w:color="auto" w:sz="4" w:space="0"/>
              <w:right w:val="single" w:color="auto" w:sz="4" w:space="0"/>
            </w:tcBorders>
            <w:vAlign w:val="center"/>
          </w:tcPr>
          <w:p w14:paraId="408EFE88">
            <w:pPr>
              <w:pStyle w:val="36"/>
              <w:rPr>
                <w:highlight w:val="none"/>
              </w:rPr>
            </w:pPr>
            <w:r>
              <w:rPr>
                <w:rFonts w:hint="eastAsia"/>
                <w:highlight w:val="none"/>
              </w:rPr>
              <w:t>符合第二章“响应人须知”4.7 条规定</w:t>
            </w:r>
          </w:p>
        </w:tc>
      </w:tr>
      <w:tr w14:paraId="661D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26299CEB">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2575A529">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2D4DDBCE">
            <w:pPr>
              <w:pStyle w:val="36"/>
              <w:rPr>
                <w:highlight w:val="none"/>
              </w:rPr>
            </w:pPr>
            <w:r>
              <w:rPr>
                <w:rFonts w:hint="eastAsia"/>
                <w:highlight w:val="none"/>
              </w:rPr>
              <w:t>响应文件格式</w:t>
            </w:r>
          </w:p>
        </w:tc>
        <w:tc>
          <w:tcPr>
            <w:tcW w:w="5476" w:type="dxa"/>
            <w:tcBorders>
              <w:top w:val="single" w:color="auto" w:sz="4" w:space="0"/>
              <w:left w:val="single" w:color="auto" w:sz="4" w:space="0"/>
              <w:bottom w:val="single" w:color="auto" w:sz="4" w:space="0"/>
              <w:right w:val="single" w:color="auto" w:sz="4" w:space="0"/>
            </w:tcBorders>
            <w:vAlign w:val="center"/>
          </w:tcPr>
          <w:p w14:paraId="1EF6335F">
            <w:pPr>
              <w:pStyle w:val="36"/>
              <w:rPr>
                <w:highlight w:val="none"/>
              </w:rPr>
            </w:pPr>
            <w:r>
              <w:rPr>
                <w:rFonts w:hint="eastAsia"/>
                <w:highlight w:val="none"/>
              </w:rPr>
              <w:t>符合第六章“响应文件格式”的要求</w:t>
            </w:r>
          </w:p>
        </w:tc>
      </w:tr>
      <w:tr w14:paraId="1A0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16A67457">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0AC9E308">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7E1770EF">
            <w:pPr>
              <w:pStyle w:val="36"/>
              <w:rPr>
                <w:highlight w:val="none"/>
              </w:rPr>
            </w:pPr>
            <w:r>
              <w:rPr>
                <w:rFonts w:hint="eastAsia"/>
                <w:highlight w:val="none"/>
              </w:rPr>
              <w:t>响应文件组成</w:t>
            </w:r>
          </w:p>
        </w:tc>
        <w:tc>
          <w:tcPr>
            <w:tcW w:w="5476" w:type="dxa"/>
            <w:tcBorders>
              <w:top w:val="single" w:color="auto" w:sz="4" w:space="0"/>
              <w:left w:val="single" w:color="auto" w:sz="4" w:space="0"/>
              <w:bottom w:val="single" w:color="auto" w:sz="4" w:space="0"/>
              <w:right w:val="single" w:color="auto" w:sz="4" w:space="0"/>
            </w:tcBorders>
            <w:vAlign w:val="center"/>
          </w:tcPr>
          <w:p w14:paraId="64548884">
            <w:pPr>
              <w:pStyle w:val="36"/>
              <w:rPr>
                <w:highlight w:val="none"/>
              </w:rPr>
            </w:pPr>
            <w:r>
              <w:rPr>
                <w:rFonts w:hint="eastAsia"/>
                <w:highlight w:val="none"/>
              </w:rPr>
              <w:t>符合第二章“响应人须知”4.2 条规定，内容齐全、无遗漏</w:t>
            </w:r>
          </w:p>
        </w:tc>
      </w:tr>
      <w:tr w14:paraId="0854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7A2D434E">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357BF6E8">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6FBBE796">
            <w:pPr>
              <w:pStyle w:val="36"/>
              <w:rPr>
                <w:highlight w:val="none"/>
              </w:rPr>
            </w:pPr>
            <w:r>
              <w:rPr>
                <w:rFonts w:hint="eastAsia"/>
                <w:highlight w:val="none"/>
              </w:rPr>
              <w:t>联合体响应</w:t>
            </w:r>
          </w:p>
        </w:tc>
        <w:tc>
          <w:tcPr>
            <w:tcW w:w="5476" w:type="dxa"/>
            <w:tcBorders>
              <w:top w:val="single" w:color="auto" w:sz="4" w:space="0"/>
              <w:left w:val="single" w:color="auto" w:sz="4" w:space="0"/>
              <w:bottom w:val="single" w:color="auto" w:sz="4" w:space="0"/>
              <w:right w:val="single" w:color="auto" w:sz="4" w:space="0"/>
            </w:tcBorders>
            <w:vAlign w:val="center"/>
          </w:tcPr>
          <w:p w14:paraId="16B0665F">
            <w:pPr>
              <w:pStyle w:val="36"/>
              <w:rPr>
                <w:highlight w:val="none"/>
              </w:rPr>
            </w:pPr>
            <w:r>
              <w:rPr>
                <w:rFonts w:hint="eastAsia"/>
                <w:highlight w:val="none"/>
              </w:rPr>
              <w:t>符合第一章“2. 响应人资格要求”2.5 条的要求</w:t>
            </w:r>
          </w:p>
        </w:tc>
      </w:tr>
      <w:tr w14:paraId="2457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1BB088A6">
            <w:pPr>
              <w:pStyle w:val="36"/>
              <w:rPr>
                <w:highlight w:val="none"/>
              </w:rPr>
            </w:pPr>
            <w:r>
              <w:rPr>
                <w:rFonts w:hint="eastAsia"/>
                <w:highlight w:val="none"/>
              </w:rPr>
              <w:t>2.1.3</w:t>
            </w:r>
          </w:p>
        </w:tc>
        <w:tc>
          <w:tcPr>
            <w:tcW w:w="1482" w:type="dxa"/>
            <w:vMerge w:val="restart"/>
            <w:tcBorders>
              <w:top w:val="single" w:color="auto" w:sz="4" w:space="0"/>
              <w:left w:val="single" w:color="auto" w:sz="4" w:space="0"/>
              <w:right w:val="single" w:color="auto" w:sz="4" w:space="0"/>
            </w:tcBorders>
            <w:vAlign w:val="center"/>
          </w:tcPr>
          <w:p w14:paraId="5E7719E6">
            <w:pPr>
              <w:pStyle w:val="36"/>
              <w:rPr>
                <w:highlight w:val="none"/>
              </w:rPr>
            </w:pPr>
            <w:r>
              <w:rPr>
                <w:rFonts w:hint="eastAsia"/>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1A298557">
            <w:pPr>
              <w:pStyle w:val="36"/>
              <w:rPr>
                <w:highlight w:val="none"/>
              </w:rPr>
            </w:pPr>
            <w:r>
              <w:rPr>
                <w:rFonts w:hint="eastAsia"/>
                <w:highlight w:val="none"/>
              </w:rPr>
              <w:t>响应内容</w:t>
            </w:r>
          </w:p>
        </w:tc>
        <w:tc>
          <w:tcPr>
            <w:tcW w:w="5476" w:type="dxa"/>
            <w:tcBorders>
              <w:top w:val="single" w:color="auto" w:sz="4" w:space="0"/>
              <w:left w:val="single" w:color="auto" w:sz="4" w:space="0"/>
              <w:bottom w:val="single" w:color="auto" w:sz="4" w:space="0"/>
              <w:right w:val="single" w:color="auto" w:sz="4" w:space="0"/>
            </w:tcBorders>
            <w:vAlign w:val="center"/>
          </w:tcPr>
          <w:p w14:paraId="45ED2CF4">
            <w:pPr>
              <w:pStyle w:val="36"/>
              <w:rPr>
                <w:highlight w:val="none"/>
              </w:rPr>
            </w:pPr>
            <w:r>
              <w:rPr>
                <w:rFonts w:hint="eastAsia"/>
                <w:highlight w:val="none"/>
              </w:rPr>
              <w:t>1. 在响应承诺函中对第三章“项目要求”内容做出整体承诺；</w:t>
            </w:r>
          </w:p>
          <w:p w14:paraId="36E25805">
            <w:pPr>
              <w:pStyle w:val="36"/>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7275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4CEEFD8D">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0781DCDF">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1C0317E7">
            <w:pPr>
              <w:pStyle w:val="36"/>
              <w:rPr>
                <w:highlight w:val="none"/>
              </w:rPr>
            </w:pPr>
            <w:r>
              <w:rPr>
                <w:rFonts w:hint="eastAsia"/>
                <w:highlight w:val="none"/>
              </w:rPr>
              <w:t>响应文件份数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DB8B7EF">
            <w:pPr>
              <w:pStyle w:val="36"/>
              <w:rPr>
                <w:highlight w:val="none"/>
              </w:rPr>
            </w:pPr>
            <w:r>
              <w:rPr>
                <w:rFonts w:hint="eastAsia"/>
                <w:highlight w:val="none"/>
              </w:rPr>
              <w:t>符合第二章“响应人须知”4.6 条规定</w:t>
            </w:r>
          </w:p>
        </w:tc>
      </w:tr>
      <w:tr w14:paraId="592E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11D12C57">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209EC0E0">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055A1EDB">
            <w:pPr>
              <w:pStyle w:val="36"/>
              <w:rPr>
                <w:highlight w:val="none"/>
              </w:rPr>
            </w:pPr>
            <w:r>
              <w:rPr>
                <w:rFonts w:hint="eastAsia"/>
                <w:highlight w:val="none"/>
              </w:rPr>
              <w:t>响应方案唯一</w:t>
            </w:r>
          </w:p>
        </w:tc>
        <w:tc>
          <w:tcPr>
            <w:tcW w:w="5476" w:type="dxa"/>
            <w:tcBorders>
              <w:top w:val="single" w:color="auto" w:sz="4" w:space="0"/>
              <w:left w:val="single" w:color="auto" w:sz="4" w:space="0"/>
              <w:bottom w:val="single" w:color="auto" w:sz="4" w:space="0"/>
              <w:right w:val="single" w:color="auto" w:sz="4" w:space="0"/>
            </w:tcBorders>
            <w:vAlign w:val="center"/>
          </w:tcPr>
          <w:p w14:paraId="6D5E63FD">
            <w:pPr>
              <w:pStyle w:val="36"/>
              <w:rPr>
                <w:highlight w:val="none"/>
              </w:rPr>
            </w:pPr>
            <w:r>
              <w:rPr>
                <w:rFonts w:hint="eastAsia"/>
                <w:highlight w:val="none"/>
              </w:rPr>
              <w:t>只能有一个方案响应。</w:t>
            </w:r>
          </w:p>
        </w:tc>
      </w:tr>
      <w:tr w14:paraId="039E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74D85A37">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2B09E7B8">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360B3B83">
            <w:pPr>
              <w:pStyle w:val="36"/>
              <w:rPr>
                <w:highlight w:val="none"/>
              </w:rPr>
            </w:pPr>
            <w:r>
              <w:rPr>
                <w:rFonts w:hint="eastAsia"/>
                <w:highlight w:val="none"/>
              </w:rPr>
              <w:t>响应报价</w:t>
            </w:r>
          </w:p>
        </w:tc>
        <w:tc>
          <w:tcPr>
            <w:tcW w:w="5476" w:type="dxa"/>
            <w:tcBorders>
              <w:top w:val="single" w:color="auto" w:sz="4" w:space="0"/>
              <w:left w:val="single" w:color="auto" w:sz="4" w:space="0"/>
              <w:bottom w:val="single" w:color="auto" w:sz="4" w:space="0"/>
              <w:right w:val="single" w:color="auto" w:sz="4" w:space="0"/>
            </w:tcBorders>
            <w:vAlign w:val="center"/>
          </w:tcPr>
          <w:p w14:paraId="67F6D6DF">
            <w:pPr>
              <w:pStyle w:val="36"/>
              <w:rPr>
                <w:highlight w:val="none"/>
              </w:rPr>
            </w:pPr>
            <w:r>
              <w:rPr>
                <w:rFonts w:hint="eastAsia"/>
                <w:highlight w:val="none"/>
              </w:rPr>
              <w:t>符合第二章“响应人须知”4.8 条规定</w:t>
            </w:r>
          </w:p>
        </w:tc>
      </w:tr>
      <w:tr w14:paraId="6867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620DDDC7">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4901FAD4">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6C006131">
            <w:pPr>
              <w:pStyle w:val="36"/>
              <w:rPr>
                <w:highlight w:val="none"/>
              </w:rPr>
            </w:pPr>
            <w:r>
              <w:rPr>
                <w:rFonts w:hint="eastAsia"/>
                <w:highlight w:val="none"/>
              </w:rPr>
              <w:t>响应有效期</w:t>
            </w:r>
          </w:p>
        </w:tc>
        <w:tc>
          <w:tcPr>
            <w:tcW w:w="5476" w:type="dxa"/>
            <w:tcBorders>
              <w:top w:val="single" w:color="auto" w:sz="4" w:space="0"/>
              <w:left w:val="single" w:color="auto" w:sz="4" w:space="0"/>
              <w:bottom w:val="single" w:color="auto" w:sz="4" w:space="0"/>
              <w:right w:val="single" w:color="auto" w:sz="4" w:space="0"/>
            </w:tcBorders>
          </w:tcPr>
          <w:p w14:paraId="659D8E42">
            <w:pPr>
              <w:pStyle w:val="36"/>
              <w:rPr>
                <w:highlight w:val="none"/>
              </w:rPr>
            </w:pPr>
            <w:r>
              <w:rPr>
                <w:rFonts w:hint="eastAsia"/>
                <w:highlight w:val="none"/>
              </w:rPr>
              <w:t>符合第二章“响应人须知”4.4 条规定</w:t>
            </w:r>
          </w:p>
        </w:tc>
      </w:tr>
      <w:tr w14:paraId="59E7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6190ED5E">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0FEF2444">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644EF481">
            <w:pPr>
              <w:pStyle w:val="36"/>
              <w:rPr>
                <w:highlight w:val="none"/>
              </w:rPr>
            </w:pPr>
            <w:r>
              <w:rPr>
                <w:rFonts w:hint="eastAsia"/>
                <w:highlight w:val="none"/>
              </w:rPr>
              <w:t>响应保证金</w:t>
            </w:r>
          </w:p>
        </w:tc>
        <w:tc>
          <w:tcPr>
            <w:tcW w:w="5476" w:type="dxa"/>
            <w:tcBorders>
              <w:top w:val="single" w:color="auto" w:sz="4" w:space="0"/>
              <w:left w:val="single" w:color="auto" w:sz="4" w:space="0"/>
              <w:bottom w:val="single" w:color="auto" w:sz="4" w:space="0"/>
              <w:right w:val="single" w:color="auto" w:sz="4" w:space="0"/>
            </w:tcBorders>
          </w:tcPr>
          <w:p w14:paraId="4406F4B8">
            <w:pPr>
              <w:pStyle w:val="36"/>
              <w:rPr>
                <w:highlight w:val="none"/>
              </w:rPr>
            </w:pPr>
            <w:r>
              <w:rPr>
                <w:rFonts w:hint="eastAsia"/>
                <w:highlight w:val="none"/>
              </w:rPr>
              <w:t>按时足额缴纳响应保证金，以重庆市公共资源交易中心《投标保证金交纳情况一览表》为准。</w:t>
            </w:r>
          </w:p>
        </w:tc>
      </w:tr>
      <w:tr w14:paraId="0B8D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11EAAA91">
            <w:pPr>
              <w:pStyle w:val="36"/>
              <w:rPr>
                <w:highlight w:val="none"/>
              </w:rPr>
            </w:pPr>
            <w:r>
              <w:rPr>
                <w:rFonts w:hint="eastAsia"/>
                <w:highlight w:val="none"/>
              </w:rPr>
              <w:t>2.2</w:t>
            </w:r>
          </w:p>
        </w:tc>
        <w:tc>
          <w:tcPr>
            <w:tcW w:w="1482" w:type="dxa"/>
            <w:vMerge w:val="restart"/>
            <w:tcBorders>
              <w:top w:val="single" w:color="auto" w:sz="4" w:space="0"/>
              <w:left w:val="single" w:color="auto" w:sz="4" w:space="0"/>
              <w:right w:val="single" w:color="auto" w:sz="4" w:space="0"/>
            </w:tcBorders>
            <w:vAlign w:val="center"/>
          </w:tcPr>
          <w:p w14:paraId="729E352B">
            <w:pPr>
              <w:pStyle w:val="36"/>
              <w:rPr>
                <w:highlight w:val="none"/>
              </w:rPr>
            </w:pPr>
            <w:r>
              <w:rPr>
                <w:rFonts w:hint="eastAsia"/>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3A6AB12D">
            <w:pPr>
              <w:pStyle w:val="36"/>
              <w:rPr>
                <w:highlight w:val="none"/>
              </w:rPr>
            </w:pPr>
            <w:r>
              <w:rPr>
                <w:rFonts w:hint="eastAsia"/>
                <w:highlight w:val="none"/>
              </w:rPr>
              <w:t>分值构成与评分标准</w:t>
            </w:r>
          </w:p>
          <w:p w14:paraId="2A1BDD3F">
            <w:pPr>
              <w:pStyle w:val="36"/>
              <w:rPr>
                <w:highlight w:val="none"/>
              </w:rPr>
            </w:pPr>
            <w:r>
              <w:rPr>
                <w:rFonts w:hint="eastAsia"/>
                <w:highlight w:val="none"/>
              </w:rPr>
              <w:t>(总分1OO分)</w:t>
            </w:r>
          </w:p>
        </w:tc>
        <w:tc>
          <w:tcPr>
            <w:tcW w:w="5476" w:type="dxa"/>
            <w:tcBorders>
              <w:top w:val="single" w:color="auto" w:sz="4" w:space="0"/>
              <w:left w:val="single" w:color="auto" w:sz="4" w:space="0"/>
              <w:bottom w:val="single" w:color="auto" w:sz="4" w:space="0"/>
              <w:right w:val="single" w:color="auto" w:sz="4" w:space="0"/>
            </w:tcBorders>
            <w:vAlign w:val="center"/>
          </w:tcPr>
          <w:p w14:paraId="0A0381D2">
            <w:pPr>
              <w:pStyle w:val="36"/>
              <w:spacing w:after="0"/>
              <w:rPr>
                <w:rFonts w:cs="Times New Roman" w:eastAsiaTheme="minorEastAsia"/>
                <w:b/>
                <w:bCs w:val="0"/>
                <w:sz w:val="18"/>
                <w:highlight w:val="none"/>
              </w:rPr>
            </w:pPr>
            <w:r>
              <w:rPr>
                <w:rFonts w:cs="Times New Roman" w:eastAsiaTheme="minorEastAsia"/>
                <w:b/>
                <w:bCs w:val="0"/>
                <w:sz w:val="18"/>
                <w:highlight w:val="none"/>
              </w:rPr>
              <w:t>一、响应报价（不含税报价）评分规则（分值：50分）</w:t>
            </w:r>
          </w:p>
          <w:p w14:paraId="43981727">
            <w:pPr>
              <w:pStyle w:val="36"/>
              <w:spacing w:after="0"/>
              <w:rPr>
                <w:rFonts w:cs="Times New Roman" w:eastAsiaTheme="minorEastAsia"/>
                <w:sz w:val="18"/>
                <w:highlight w:val="none"/>
              </w:rPr>
            </w:pPr>
            <w:r>
              <w:rPr>
                <w:rFonts w:cs="Times New Roman" w:eastAsiaTheme="minorEastAsia"/>
                <w:sz w:val="18"/>
                <w:highlight w:val="none"/>
              </w:rPr>
              <w:t>1．以</w:t>
            </w:r>
            <w:r>
              <w:rPr>
                <w:rFonts w:hint="eastAsia" w:cs="Times New Roman" w:eastAsiaTheme="minorEastAsia"/>
                <w:sz w:val="18"/>
                <w:highlight w:val="none"/>
              </w:rPr>
              <w:t>各有效报价之和</w:t>
            </w:r>
            <w:r>
              <w:rPr>
                <w:rFonts w:cs="Times New Roman" w:eastAsiaTheme="minorEastAsia"/>
                <w:sz w:val="18"/>
                <w:highlight w:val="none"/>
              </w:rPr>
              <w:t>的平均价格作为评审基准价，基准分为50分；</w:t>
            </w:r>
          </w:p>
          <w:p w14:paraId="3CBD000C">
            <w:pPr>
              <w:pStyle w:val="36"/>
              <w:spacing w:after="0"/>
              <w:rPr>
                <w:rFonts w:cs="Times New Roman" w:eastAsiaTheme="minorEastAsia"/>
                <w:sz w:val="18"/>
                <w:highlight w:val="none"/>
              </w:rPr>
            </w:pPr>
            <w:r>
              <w:rPr>
                <w:rFonts w:cs="Times New Roman" w:eastAsiaTheme="minorEastAsia"/>
                <w:sz w:val="18"/>
                <w:highlight w:val="none"/>
              </w:rPr>
              <w:t>2．计算各有效报价与评审基准价的偏离度。偏离度=（有效报价/评审基准价-1）*100%；</w:t>
            </w:r>
          </w:p>
          <w:p w14:paraId="39B78DC6">
            <w:pPr>
              <w:pStyle w:val="36"/>
              <w:spacing w:after="0"/>
              <w:rPr>
                <w:rFonts w:cs="Times New Roman" w:eastAsiaTheme="minorEastAsia"/>
                <w:sz w:val="18"/>
                <w:highlight w:val="none"/>
              </w:rPr>
            </w:pPr>
            <w:r>
              <w:rPr>
                <w:rFonts w:cs="Times New Roman" w:eastAsiaTheme="minorEastAsia"/>
                <w:sz w:val="18"/>
                <w:highlight w:val="none"/>
              </w:rPr>
              <w:t>3．报价向上每偏离基准价的1%扣1分；扣完为止，不足1%的不予扣减；</w:t>
            </w:r>
          </w:p>
          <w:p w14:paraId="51C6AE5C">
            <w:pPr>
              <w:pStyle w:val="36"/>
              <w:spacing w:after="0"/>
              <w:rPr>
                <w:rFonts w:cs="Times New Roman" w:eastAsiaTheme="minorEastAsia"/>
                <w:sz w:val="18"/>
                <w:highlight w:val="none"/>
              </w:rPr>
            </w:pPr>
            <w:r>
              <w:rPr>
                <w:rFonts w:cs="Times New Roman" w:eastAsiaTheme="minorEastAsia"/>
                <w:sz w:val="18"/>
                <w:highlight w:val="none"/>
              </w:rPr>
              <w:t>4．向下偏离基准价10%以内的，不扣分；向下偏离基准价超过10%的，在向下偏离基准价10%的基础上，向下偏离每多超过1%扣0.5分，扣完为止，不足1%的不予扣减；</w:t>
            </w:r>
          </w:p>
          <w:p w14:paraId="13A066A0">
            <w:pPr>
              <w:pStyle w:val="36"/>
              <w:spacing w:after="0"/>
              <w:rPr>
                <w:rFonts w:cs="Times New Roman" w:eastAsiaTheme="minorEastAsia"/>
                <w:sz w:val="18"/>
                <w:highlight w:val="none"/>
              </w:rPr>
            </w:pPr>
            <w:r>
              <w:rPr>
                <w:rFonts w:hint="eastAsia" w:cs="Times New Roman" w:eastAsiaTheme="minorEastAsia"/>
                <w:sz w:val="18"/>
                <w:highlight w:val="none"/>
              </w:rPr>
              <w:t>5</w:t>
            </w:r>
            <w:r>
              <w:rPr>
                <w:rFonts w:cs="Times New Roman" w:eastAsiaTheme="minorEastAsia"/>
                <w:sz w:val="18"/>
                <w:highlight w:val="none"/>
              </w:rPr>
              <w:t>．报价偏离度30%及以上的响应为无效报价，失去响应资格。</w:t>
            </w:r>
          </w:p>
        </w:tc>
      </w:tr>
      <w:tr w14:paraId="7534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5A2BB48B">
            <w:pPr>
              <w:ind w:firstLine="420"/>
              <w:rPr>
                <w:highlight w:val="none"/>
              </w:rPr>
            </w:pPr>
          </w:p>
        </w:tc>
        <w:tc>
          <w:tcPr>
            <w:tcW w:w="1482" w:type="dxa"/>
            <w:vMerge w:val="continue"/>
            <w:tcBorders>
              <w:top w:val="single" w:color="auto" w:sz="4" w:space="0"/>
              <w:left w:val="single" w:color="auto" w:sz="4" w:space="0"/>
              <w:right w:val="single" w:color="auto" w:sz="4" w:space="0"/>
            </w:tcBorders>
            <w:vAlign w:val="center"/>
          </w:tcPr>
          <w:p w14:paraId="59BA1FAC">
            <w:pPr>
              <w:ind w:firstLine="420"/>
              <w:rPr>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545DE7E5">
            <w:pPr>
              <w:ind w:firstLine="420"/>
              <w:rPr>
                <w:bCs/>
                <w:szCs w:val="18"/>
                <w:highlight w:val="none"/>
              </w:rPr>
            </w:pPr>
          </w:p>
        </w:tc>
        <w:tc>
          <w:tcPr>
            <w:tcW w:w="5476" w:type="dxa"/>
            <w:tcBorders>
              <w:top w:val="single" w:color="auto" w:sz="4" w:space="0"/>
              <w:left w:val="single" w:color="auto" w:sz="4" w:space="0"/>
              <w:bottom w:val="single" w:color="auto" w:sz="4" w:space="0"/>
              <w:right w:val="single" w:color="auto" w:sz="4" w:space="0"/>
            </w:tcBorders>
            <w:vAlign w:val="center"/>
          </w:tcPr>
          <w:p w14:paraId="319610F0">
            <w:pPr>
              <w:pStyle w:val="36"/>
              <w:numPr>
                <w:ilvl w:val="0"/>
                <w:numId w:val="1"/>
              </w:numPr>
              <w:spacing w:after="0"/>
              <w:rPr>
                <w:rFonts w:cs="Times New Roman" w:eastAsiaTheme="minorEastAsia"/>
                <w:b/>
                <w:bCs w:val="0"/>
                <w:sz w:val="18"/>
                <w:highlight w:val="none"/>
              </w:rPr>
            </w:pPr>
            <w:r>
              <w:rPr>
                <w:rFonts w:cs="Times New Roman" w:eastAsiaTheme="minorEastAsia"/>
                <w:b/>
                <w:bCs w:val="0"/>
                <w:sz w:val="18"/>
                <w:highlight w:val="none"/>
              </w:rPr>
              <w:t>商务部分评分规则（分值：45分）</w:t>
            </w:r>
          </w:p>
          <w:p w14:paraId="65148B5F">
            <w:pPr>
              <w:pStyle w:val="36"/>
              <w:spacing w:after="0"/>
              <w:rPr>
                <w:rFonts w:cs="Times New Roman" w:eastAsiaTheme="minorEastAsia"/>
                <w:b/>
                <w:bCs w:val="0"/>
                <w:sz w:val="18"/>
                <w:highlight w:val="none"/>
              </w:rPr>
            </w:pPr>
            <w:r>
              <w:rPr>
                <w:rFonts w:cs="Times New Roman" w:eastAsiaTheme="minorEastAsia"/>
                <w:b/>
                <w:bCs w:val="0"/>
                <w:sz w:val="18"/>
                <w:highlight w:val="none"/>
              </w:rPr>
              <w:t>1.企业资质（分值：5分）</w:t>
            </w:r>
          </w:p>
          <w:p w14:paraId="6033A097">
            <w:pPr>
              <w:pStyle w:val="36"/>
              <w:spacing w:after="0"/>
              <w:rPr>
                <w:rFonts w:cs="Times New Roman" w:eastAsiaTheme="minorEastAsia"/>
                <w:sz w:val="18"/>
                <w:highlight w:val="none"/>
              </w:rPr>
            </w:pPr>
            <w:r>
              <w:rPr>
                <w:rFonts w:cs="Times New Roman" w:eastAsiaTheme="minorEastAsia"/>
                <w:sz w:val="18"/>
                <w:highlight w:val="none"/>
              </w:rPr>
              <w:t>响应人具备以下企业资质（需提供证书复印件/产品软件著作权证书并加盖响应人单位公章）：</w:t>
            </w:r>
          </w:p>
          <w:p w14:paraId="37A49BF8">
            <w:pPr>
              <w:pStyle w:val="36"/>
              <w:spacing w:after="0"/>
              <w:rPr>
                <w:rFonts w:cs="Times New Roman" w:eastAsiaTheme="minorEastAsia"/>
                <w:sz w:val="18"/>
                <w:highlight w:val="none"/>
              </w:rPr>
            </w:pPr>
            <w:r>
              <w:rPr>
                <w:rFonts w:cs="Times New Roman" w:eastAsiaTheme="minorEastAsia"/>
                <w:sz w:val="18"/>
                <w:highlight w:val="none"/>
              </w:rPr>
              <w:t>（1）具备ISO9001（质量管理）认证得1分；</w:t>
            </w:r>
          </w:p>
          <w:p w14:paraId="41004E23">
            <w:pPr>
              <w:pStyle w:val="36"/>
              <w:spacing w:after="0"/>
              <w:rPr>
                <w:rFonts w:cs="Times New Roman" w:eastAsiaTheme="minorEastAsia"/>
                <w:sz w:val="18"/>
                <w:highlight w:val="none"/>
              </w:rPr>
            </w:pPr>
            <w:r>
              <w:rPr>
                <w:rFonts w:cs="Times New Roman" w:eastAsiaTheme="minorEastAsia"/>
                <w:sz w:val="18"/>
                <w:highlight w:val="none"/>
              </w:rPr>
              <w:t>（2）具备ISO20000（服务管理）认证得1分；</w:t>
            </w:r>
          </w:p>
          <w:p w14:paraId="43C274C6">
            <w:pPr>
              <w:pStyle w:val="36"/>
              <w:spacing w:after="0"/>
              <w:rPr>
                <w:rFonts w:cs="Times New Roman" w:eastAsiaTheme="minorEastAsia"/>
                <w:sz w:val="18"/>
                <w:highlight w:val="none"/>
              </w:rPr>
            </w:pPr>
            <w:r>
              <w:rPr>
                <w:rFonts w:cs="Times New Roman" w:eastAsiaTheme="minorEastAsia"/>
                <w:sz w:val="18"/>
                <w:highlight w:val="none"/>
              </w:rPr>
              <w:t>（3）具备ISO27001（信息安全管理）认证得1分；</w:t>
            </w:r>
          </w:p>
          <w:p w14:paraId="1606A487">
            <w:pPr>
              <w:pStyle w:val="36"/>
              <w:spacing w:after="0"/>
              <w:rPr>
                <w:rFonts w:cs="Times New Roman" w:eastAsiaTheme="minorEastAsia"/>
                <w:sz w:val="18"/>
                <w:highlight w:val="none"/>
              </w:rPr>
            </w:pPr>
            <w:r>
              <w:rPr>
                <w:rFonts w:cs="Times New Roman" w:eastAsiaTheme="minorEastAsia"/>
                <w:sz w:val="18"/>
                <w:highlight w:val="none"/>
              </w:rPr>
              <w:t>（4）具备CMMI4级及以上认证得1分；</w:t>
            </w:r>
          </w:p>
          <w:p w14:paraId="17E2854B">
            <w:pPr>
              <w:pStyle w:val="36"/>
              <w:spacing w:after="0"/>
              <w:rPr>
                <w:rFonts w:hint="eastAsia" w:cs="Times New Roman" w:eastAsiaTheme="minorEastAsia"/>
                <w:sz w:val="18"/>
                <w:highlight w:val="none"/>
              </w:rPr>
            </w:pPr>
            <w:r>
              <w:rPr>
                <w:rFonts w:cs="Times New Roman" w:eastAsiaTheme="minorEastAsia"/>
                <w:sz w:val="18"/>
                <w:highlight w:val="none"/>
              </w:rPr>
              <w:t>（5）具备相关产品软件著作权证书</w:t>
            </w:r>
            <w:r>
              <w:rPr>
                <w:rFonts w:hint="eastAsia" w:cs="Times New Roman" w:eastAsiaTheme="minorEastAsia"/>
                <w:sz w:val="18"/>
                <w:highlight w:val="none"/>
              </w:rPr>
              <w:t>（证书名称包含“反诈”、“反欺诈”、“交易反欺诈”、“反电诈”、“反电信诈骗”、“交易实时风控”、“涉赌涉诈”、“分级分类”、“交易风险监测”、“账户分类分级”或“账户风险管理”等关键字）</w:t>
            </w:r>
            <w:r>
              <w:rPr>
                <w:rFonts w:cs="Times New Roman" w:eastAsiaTheme="minorEastAsia"/>
                <w:sz w:val="18"/>
                <w:highlight w:val="none"/>
              </w:rPr>
              <w:t>，得1分。</w:t>
            </w:r>
          </w:p>
          <w:p w14:paraId="7387A1BE">
            <w:pPr>
              <w:pStyle w:val="36"/>
              <w:spacing w:after="0"/>
              <w:rPr>
                <w:rFonts w:cs="Times New Roman" w:eastAsiaTheme="minorEastAsia"/>
                <w:b/>
                <w:bCs w:val="0"/>
                <w:sz w:val="18"/>
                <w:highlight w:val="none"/>
              </w:rPr>
            </w:pPr>
            <w:r>
              <w:rPr>
                <w:rFonts w:cs="Times New Roman" w:eastAsiaTheme="minorEastAsia"/>
                <w:b/>
                <w:bCs w:val="0"/>
                <w:sz w:val="18"/>
                <w:highlight w:val="none"/>
              </w:rPr>
              <w:t>2.实施案例（分值：20分）</w:t>
            </w:r>
          </w:p>
          <w:p w14:paraId="07D64C91">
            <w:pPr>
              <w:pStyle w:val="36"/>
              <w:spacing w:after="0"/>
              <w:rPr>
                <w:rFonts w:cs="Times New Roman" w:eastAsiaTheme="minorEastAsia"/>
                <w:sz w:val="18"/>
                <w:highlight w:val="none"/>
              </w:rPr>
            </w:pPr>
            <w:r>
              <w:rPr>
                <w:rFonts w:hint="eastAsia" w:cs="Times New Roman"/>
                <w:bCs w:val="0"/>
                <w:kern w:val="0"/>
                <w:sz w:val="18"/>
                <w:highlight w:val="none"/>
              </w:rPr>
              <w:t>响应人提供有效银行业案例</w:t>
            </w:r>
            <w:r>
              <w:rPr>
                <w:rFonts w:hint="eastAsia" w:cs="Times New Roman" w:eastAsiaTheme="minorEastAsia"/>
                <w:sz w:val="18"/>
                <w:highlight w:val="none"/>
              </w:rPr>
              <w:t>（合同内项目名称或建设内容应包含</w:t>
            </w:r>
            <w:r>
              <w:rPr>
                <w:rFonts w:cs="Times New Roman" w:eastAsiaTheme="minorEastAsia"/>
                <w:sz w:val="18"/>
                <w:highlight w:val="none"/>
              </w:rPr>
              <w:t>但不限于“反诈”、“反欺诈”、“交易反欺诈”、“反电诈”、“反电信诈骗”、“交易实时风控”、“涉赌涉诈”、“分级分类”、“交易风险监测”、“账户分类分级”、“账户风险管理”等</w:t>
            </w:r>
            <w:r>
              <w:rPr>
                <w:rFonts w:hint="eastAsia" w:cs="Times New Roman" w:eastAsiaTheme="minorEastAsia"/>
                <w:sz w:val="18"/>
                <w:highlight w:val="none"/>
              </w:rPr>
              <w:t>字样）</w:t>
            </w:r>
            <w:r>
              <w:rPr>
                <w:rFonts w:hint="eastAsia" w:cs="Times New Roman"/>
                <w:bCs w:val="0"/>
                <w:kern w:val="0"/>
                <w:sz w:val="18"/>
                <w:highlight w:val="none"/>
              </w:rPr>
              <w:t>进行计分，最多20分。</w:t>
            </w:r>
          </w:p>
          <w:p w14:paraId="1469D6C5">
            <w:pPr>
              <w:pStyle w:val="36"/>
              <w:spacing w:after="0"/>
              <w:rPr>
                <w:rFonts w:cs="Times New Roman" w:eastAsiaTheme="minorEastAsia"/>
                <w:sz w:val="18"/>
                <w:highlight w:val="none"/>
              </w:rPr>
            </w:pPr>
            <w:r>
              <w:rPr>
                <w:rFonts w:cs="Times New Roman" w:eastAsiaTheme="minorEastAsia"/>
                <w:sz w:val="18"/>
                <w:highlight w:val="none"/>
              </w:rPr>
              <w:t>有效案例需同时满足以下条件：</w:t>
            </w:r>
          </w:p>
          <w:p w14:paraId="3B610D72">
            <w:pPr>
              <w:pStyle w:val="36"/>
              <w:spacing w:after="0"/>
              <w:rPr>
                <w:rFonts w:cs="Times New Roman" w:eastAsiaTheme="minorEastAsia"/>
                <w:sz w:val="18"/>
                <w:highlight w:val="none"/>
              </w:rPr>
            </w:pPr>
            <w:r>
              <w:rPr>
                <w:rFonts w:cs="Times New Roman" w:eastAsiaTheme="minorEastAsia"/>
                <w:sz w:val="18"/>
                <w:highlight w:val="none"/>
              </w:rPr>
              <w:t>（1）自2023年1月1日起至响应截止时间（以合同签订时间为准）的</w:t>
            </w:r>
            <w:r>
              <w:rPr>
                <w:rFonts w:hint="eastAsia" w:cs="Times New Roman" w:eastAsiaTheme="minorEastAsia"/>
                <w:sz w:val="18"/>
                <w:highlight w:val="none"/>
              </w:rPr>
              <w:t>智能交易风控系统相关实施案例</w:t>
            </w:r>
            <w:r>
              <w:rPr>
                <w:rFonts w:cs="Times New Roman" w:eastAsiaTheme="minorEastAsia"/>
                <w:sz w:val="18"/>
                <w:highlight w:val="none"/>
              </w:rPr>
              <w:t>。</w:t>
            </w:r>
          </w:p>
          <w:p w14:paraId="154DAC01">
            <w:pPr>
              <w:pStyle w:val="36"/>
              <w:spacing w:after="0"/>
              <w:rPr>
                <w:rFonts w:cs="Times New Roman" w:eastAsiaTheme="minorEastAsia"/>
                <w:sz w:val="18"/>
                <w:highlight w:val="none"/>
              </w:rPr>
            </w:pPr>
            <w:r>
              <w:rPr>
                <w:rFonts w:cs="Times New Roman" w:eastAsiaTheme="minorEastAsia"/>
                <w:sz w:val="18"/>
                <w:highlight w:val="none"/>
              </w:rPr>
              <w:t>（2）案例须同时提供合同对应的发票之一及合同关键页复印件。</w:t>
            </w:r>
          </w:p>
          <w:p w14:paraId="5FCC50D1">
            <w:pPr>
              <w:pStyle w:val="36"/>
              <w:spacing w:after="0"/>
              <w:rPr>
                <w:rFonts w:cs="Times New Roman" w:eastAsiaTheme="minorEastAsia"/>
                <w:sz w:val="18"/>
                <w:highlight w:val="none"/>
              </w:rPr>
            </w:pPr>
            <w:r>
              <w:rPr>
                <w:rFonts w:cs="Times New Roman" w:eastAsiaTheme="minorEastAsia"/>
                <w:sz w:val="18"/>
                <w:highlight w:val="none"/>
              </w:rPr>
              <w:t>（3）资格要求中要求的案例不纳入评审。</w:t>
            </w:r>
          </w:p>
          <w:p w14:paraId="636DDC86">
            <w:pPr>
              <w:pStyle w:val="36"/>
              <w:spacing w:after="0"/>
              <w:rPr>
                <w:rFonts w:hint="eastAsia" w:cs="Times New Roman" w:eastAsiaTheme="minorEastAsia"/>
                <w:b/>
                <w:bCs w:val="0"/>
                <w:sz w:val="18"/>
                <w:highlight w:val="none"/>
              </w:rPr>
            </w:pPr>
            <w:r>
              <w:rPr>
                <w:rFonts w:hint="eastAsia" w:cs="Times New Roman" w:eastAsiaTheme="minorEastAsia"/>
                <w:b/>
                <w:bCs w:val="0"/>
                <w:sz w:val="18"/>
                <w:highlight w:val="none"/>
              </w:rPr>
              <w:t>计分规则如下：</w:t>
            </w:r>
          </w:p>
          <w:p w14:paraId="4F186FFA">
            <w:pPr>
              <w:pStyle w:val="36"/>
              <w:spacing w:after="0"/>
              <w:rPr>
                <w:rFonts w:cs="Times New Roman" w:eastAsiaTheme="minorEastAsia"/>
                <w:sz w:val="18"/>
                <w:highlight w:val="none"/>
              </w:rPr>
            </w:pPr>
            <w:bookmarkStart w:id="96" w:name="OLE_LINK192"/>
            <w:bookmarkStart w:id="97" w:name="OLE_LINK193"/>
            <w:r>
              <w:rPr>
                <w:rFonts w:cs="Times New Roman" w:eastAsiaTheme="minorEastAsia"/>
                <w:sz w:val="18"/>
                <w:highlight w:val="none"/>
              </w:rPr>
              <w:t>（1）具有银行业交易反欺诈的项目案例，每个案例得1分，满分4分；</w:t>
            </w:r>
          </w:p>
          <w:p w14:paraId="778C9DA9">
            <w:pPr>
              <w:pStyle w:val="36"/>
              <w:spacing w:after="0"/>
              <w:rPr>
                <w:rFonts w:cs="Times New Roman" w:eastAsiaTheme="minorEastAsia"/>
                <w:sz w:val="18"/>
                <w:highlight w:val="none"/>
              </w:rPr>
            </w:pPr>
            <w:r>
              <w:rPr>
                <w:rFonts w:cs="Times New Roman" w:eastAsiaTheme="minorEastAsia"/>
                <w:sz w:val="18"/>
                <w:highlight w:val="none"/>
              </w:rPr>
              <w:t>（2）具有银行业账户分类分级相关的项目案例，每个案例得1分，满分4分；</w:t>
            </w:r>
          </w:p>
          <w:p w14:paraId="68896669">
            <w:pPr>
              <w:pStyle w:val="36"/>
              <w:spacing w:after="0"/>
              <w:rPr>
                <w:rFonts w:cs="Times New Roman" w:eastAsiaTheme="minorEastAsia"/>
                <w:sz w:val="18"/>
                <w:highlight w:val="none"/>
              </w:rPr>
            </w:pPr>
            <w:r>
              <w:rPr>
                <w:rFonts w:cs="Times New Roman" w:eastAsiaTheme="minorEastAsia"/>
                <w:sz w:val="18"/>
                <w:highlight w:val="none"/>
              </w:rPr>
              <w:t>（3）具有银行业交易反欺诈和账户分类分级整合建设的项目案例，每个案例得2分，满分6分；</w:t>
            </w:r>
          </w:p>
          <w:p w14:paraId="7A2ABA75">
            <w:pPr>
              <w:pStyle w:val="36"/>
              <w:spacing w:after="0"/>
              <w:rPr>
                <w:rFonts w:cs="Times New Roman" w:eastAsiaTheme="minorEastAsia"/>
                <w:sz w:val="18"/>
                <w:highlight w:val="none"/>
              </w:rPr>
            </w:pPr>
            <w:r>
              <w:rPr>
                <w:rFonts w:cs="Times New Roman" w:eastAsiaTheme="minorEastAsia"/>
                <w:sz w:val="18"/>
                <w:highlight w:val="none"/>
              </w:rPr>
              <w:t>（4）上述实施案例中，若存在3个以上（不含3个）国有大行或全国股份制银行案例得5分，1-3个国有大行或全国股份制银行案例得2分，没有不得分，满分5分；</w:t>
            </w:r>
          </w:p>
          <w:bookmarkEnd w:id="96"/>
          <w:p w14:paraId="5440256C">
            <w:pPr>
              <w:pStyle w:val="36"/>
              <w:spacing w:after="0"/>
              <w:rPr>
                <w:rFonts w:cs="Times New Roman" w:eastAsiaTheme="minorEastAsia"/>
                <w:sz w:val="18"/>
                <w:highlight w:val="none"/>
              </w:rPr>
            </w:pPr>
            <w:r>
              <w:rPr>
                <w:rFonts w:cs="Times New Roman" w:eastAsiaTheme="minorEastAsia"/>
                <w:sz w:val="18"/>
                <w:highlight w:val="none"/>
              </w:rPr>
              <w:t>（5）在上述实施案例中，若存在国产化部署案例得1分。</w:t>
            </w:r>
          </w:p>
          <w:bookmarkEnd w:id="97"/>
          <w:p w14:paraId="3BE87115">
            <w:pPr>
              <w:pStyle w:val="36"/>
              <w:spacing w:after="0"/>
              <w:rPr>
                <w:rFonts w:cs="Times New Roman" w:eastAsiaTheme="minorEastAsia"/>
                <w:sz w:val="18"/>
                <w:highlight w:val="none"/>
              </w:rPr>
            </w:pPr>
            <w:r>
              <w:rPr>
                <w:rFonts w:cs="Times New Roman" w:eastAsiaTheme="minorEastAsia"/>
                <w:sz w:val="18"/>
                <w:highlight w:val="none"/>
              </w:rPr>
              <w:br w:type="textWrapping"/>
            </w:r>
            <w:r>
              <w:rPr>
                <w:rFonts w:cs="Times New Roman" w:eastAsiaTheme="minorEastAsia"/>
                <w:sz w:val="18"/>
                <w:highlight w:val="none"/>
              </w:rPr>
              <w:t>评审依据：</w:t>
            </w:r>
          </w:p>
          <w:p w14:paraId="5F470C17">
            <w:pPr>
              <w:pStyle w:val="36"/>
              <w:spacing w:after="0"/>
              <w:rPr>
                <w:rFonts w:cs="Times New Roman" w:eastAsiaTheme="minorEastAsia"/>
                <w:sz w:val="18"/>
                <w:highlight w:val="none"/>
              </w:rPr>
            </w:pPr>
            <w:r>
              <w:rPr>
                <w:rFonts w:cs="Times New Roman" w:eastAsiaTheme="minorEastAsia"/>
                <w:sz w:val="18"/>
                <w:highlight w:val="none"/>
              </w:rPr>
              <w:t>（1）同一家建设单位的多个项目只计算一个案例；计分按有效案例的最高得分计分，不重复计分。</w:t>
            </w:r>
          </w:p>
          <w:p w14:paraId="2CF79201">
            <w:pPr>
              <w:pStyle w:val="36"/>
              <w:spacing w:after="0"/>
              <w:rPr>
                <w:rFonts w:ascii="宋体" w:hAnsi="宋体" w:cs="宋体"/>
                <w:sz w:val="18"/>
                <w:highlight w:val="none"/>
              </w:rPr>
            </w:pPr>
            <w:bookmarkStart w:id="98" w:name="OLE_LINK191"/>
            <w:r>
              <w:rPr>
                <w:rFonts w:cs="Times New Roman" w:eastAsiaTheme="minorEastAsia"/>
                <w:sz w:val="18"/>
                <w:highlight w:val="none"/>
              </w:rPr>
              <w:t>（2）</w:t>
            </w:r>
            <w:r>
              <w:rPr>
                <w:rFonts w:hint="eastAsia" w:ascii="宋体" w:hAnsi="宋体" w:cs="宋体"/>
                <w:sz w:val="18"/>
                <w:highlight w:val="none"/>
              </w:rPr>
              <w:t>国有大行指：中国工商银行、中国农业银行、中国银行、中国建设银行、交通银行、中国邮政储蓄银行；全国性股份制银行指：招商银行、浦发银行、中信银行、光大银行、华夏银行、民生银行、广发银行、兴业银行、平安银行、浙商银行、恒丰银行和渤海银行。</w:t>
            </w:r>
          </w:p>
          <w:p w14:paraId="4723F2B3">
            <w:pPr>
              <w:pStyle w:val="36"/>
              <w:spacing w:after="0"/>
              <w:rPr>
                <w:rFonts w:ascii="宋体" w:hAnsi="宋体" w:cs="宋体"/>
                <w:sz w:val="18"/>
                <w:highlight w:val="none"/>
              </w:rPr>
            </w:pPr>
            <w:r>
              <w:rPr>
                <w:rFonts w:hint="eastAsia" w:ascii="宋体" w:hAnsi="宋体" w:cs="宋体"/>
                <w:sz w:val="18"/>
                <w:highlight w:val="none"/>
              </w:rPr>
              <w:t>（3）国产化适配实施案例需满足以下任一条件：合同项目名称或建设内容中明确体现适配国产操作系统、中间件、数据库，或提供相关厂家针对响应产品出具的软件授权适配证明（需包含操作系统、中间件、数据库授权）。</w:t>
            </w:r>
          </w:p>
          <w:bookmarkEnd w:id="98"/>
          <w:p w14:paraId="61ADB404">
            <w:pPr>
              <w:pStyle w:val="36"/>
              <w:spacing w:after="0"/>
              <w:rPr>
                <w:rFonts w:cs="Times New Roman" w:eastAsiaTheme="minorEastAsia"/>
                <w:sz w:val="18"/>
                <w:highlight w:val="none"/>
              </w:rPr>
            </w:pPr>
            <w:r>
              <w:rPr>
                <w:rFonts w:hint="eastAsia" w:cs="Times New Roman" w:eastAsiaTheme="minorEastAsia"/>
                <w:sz w:val="18"/>
                <w:highlight w:val="none"/>
              </w:rPr>
              <w:t>（4）合同关键页包括甲乙双方名称、双方印章、项目/产品的名称、需求范围、合同/中标通知书签订时间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响应人）一致。</w:t>
            </w:r>
          </w:p>
          <w:p w14:paraId="6837C659">
            <w:pPr>
              <w:pStyle w:val="36"/>
              <w:spacing w:after="0"/>
              <w:rPr>
                <w:rFonts w:hint="eastAsia" w:cs="Times New Roman" w:eastAsiaTheme="minorEastAsia"/>
                <w:sz w:val="18"/>
                <w:highlight w:val="none"/>
              </w:rPr>
            </w:pPr>
            <w:r>
              <w:rPr>
                <w:rFonts w:cs="Times New Roman" w:eastAsiaTheme="minorEastAsia"/>
                <w:sz w:val="18"/>
                <w:highlight w:val="none"/>
              </w:rPr>
              <w:t>（</w:t>
            </w:r>
            <w:r>
              <w:rPr>
                <w:rFonts w:hint="eastAsia" w:cs="Times New Roman" w:eastAsiaTheme="minorEastAsia"/>
                <w:sz w:val="18"/>
                <w:highlight w:val="none"/>
              </w:rPr>
              <w:t>5</w:t>
            </w:r>
            <w:r>
              <w:rPr>
                <w:rFonts w:cs="Times New Roman" w:eastAsiaTheme="minorEastAsia"/>
                <w:sz w:val="18"/>
                <w:highlight w:val="none"/>
              </w:rPr>
              <w:t>）案例须为实施的系统建设案例，非模型咨询类项目。</w:t>
            </w:r>
          </w:p>
          <w:p w14:paraId="369CF9DE">
            <w:pPr>
              <w:pStyle w:val="36"/>
              <w:spacing w:after="0"/>
              <w:rPr>
                <w:rFonts w:cs="Times New Roman" w:eastAsiaTheme="minorEastAsia"/>
                <w:sz w:val="18"/>
                <w:highlight w:val="none"/>
              </w:rPr>
            </w:pPr>
            <w:r>
              <w:rPr>
                <w:rFonts w:hint="eastAsia" w:cs="Times New Roman" w:eastAsiaTheme="minorEastAsia"/>
                <w:sz w:val="18"/>
                <w:highlight w:val="none"/>
              </w:rPr>
              <w:t>*注：以上证明文件若采购人存疑，响应人需提供原件备查，响应文件中须附相关证明文件复印件并逐页加盖公章，案例证明需提供甲方联系方式备查。</w:t>
            </w:r>
          </w:p>
          <w:p w14:paraId="66D4FF31">
            <w:pPr>
              <w:pStyle w:val="36"/>
              <w:spacing w:after="0"/>
              <w:rPr>
                <w:rFonts w:cs="Times New Roman" w:eastAsiaTheme="minorEastAsia"/>
                <w:sz w:val="18"/>
                <w:highlight w:val="none"/>
              </w:rPr>
            </w:pPr>
          </w:p>
          <w:p w14:paraId="144EDAA3">
            <w:pPr>
              <w:pStyle w:val="36"/>
              <w:spacing w:after="0"/>
              <w:rPr>
                <w:rFonts w:cs="Times New Roman" w:eastAsiaTheme="minorEastAsia"/>
                <w:b/>
                <w:bCs w:val="0"/>
                <w:sz w:val="18"/>
                <w:highlight w:val="none"/>
              </w:rPr>
            </w:pPr>
            <w:r>
              <w:rPr>
                <w:rFonts w:cs="Times New Roman" w:eastAsiaTheme="minorEastAsia"/>
                <w:b/>
                <w:bCs w:val="0"/>
                <w:sz w:val="18"/>
                <w:highlight w:val="none"/>
              </w:rPr>
              <w:t>3.服务能力（分值：10分）</w:t>
            </w:r>
          </w:p>
          <w:p w14:paraId="65383DEC">
            <w:pPr>
              <w:pStyle w:val="36"/>
              <w:spacing w:after="0"/>
              <w:rPr>
                <w:rFonts w:cs="Times New Roman" w:eastAsiaTheme="minorEastAsia"/>
                <w:sz w:val="18"/>
                <w:highlight w:val="none"/>
              </w:rPr>
            </w:pPr>
            <w:r>
              <w:rPr>
                <w:rFonts w:cs="Times New Roman" w:eastAsiaTheme="minorEastAsia"/>
                <w:sz w:val="18"/>
                <w:highlight w:val="none"/>
              </w:rPr>
              <w:t>（1）项目经理（</w:t>
            </w:r>
            <w:r>
              <w:rPr>
                <w:rFonts w:hint="eastAsia" w:cs="Times New Roman" w:eastAsiaTheme="minorEastAsia"/>
                <w:sz w:val="18"/>
                <w:highlight w:val="none"/>
              </w:rPr>
              <w:t>至少</w:t>
            </w:r>
            <w:r>
              <w:rPr>
                <w:rFonts w:cs="Times New Roman" w:eastAsiaTheme="minorEastAsia"/>
                <w:sz w:val="18"/>
                <w:highlight w:val="none"/>
              </w:rPr>
              <w:t>1人）：</w:t>
            </w:r>
            <w:r>
              <w:rPr>
                <w:rFonts w:hint="eastAsia" w:cs="Times New Roman" w:eastAsiaTheme="minorEastAsia"/>
                <w:sz w:val="18"/>
                <w:highlight w:val="none"/>
              </w:rPr>
              <w:t>具备5年</w:t>
            </w:r>
            <w:r>
              <w:rPr>
                <w:rFonts w:cs="Times New Roman" w:eastAsiaTheme="minorEastAsia"/>
                <w:sz w:val="18"/>
                <w:highlight w:val="none"/>
              </w:rPr>
              <w:t>（含）</w:t>
            </w:r>
            <w:r>
              <w:rPr>
                <w:rFonts w:hint="eastAsia" w:cs="Times New Roman" w:eastAsiaTheme="minorEastAsia"/>
                <w:sz w:val="18"/>
                <w:highlight w:val="none"/>
              </w:rPr>
              <w:t>以上类似系统项目管理经验，具有5个</w:t>
            </w:r>
            <w:r>
              <w:rPr>
                <w:rFonts w:cs="Times New Roman" w:eastAsiaTheme="minorEastAsia"/>
                <w:sz w:val="18"/>
                <w:highlight w:val="none"/>
              </w:rPr>
              <w:t>（含）</w:t>
            </w:r>
            <w:r>
              <w:rPr>
                <w:rFonts w:hint="eastAsia" w:cs="Times New Roman" w:eastAsiaTheme="minorEastAsia"/>
                <w:sz w:val="18"/>
                <w:highlight w:val="none"/>
              </w:rPr>
              <w:t>以上银行</w:t>
            </w:r>
            <w:r>
              <w:rPr>
                <w:rFonts w:hint="eastAsia" w:cs="Times New Roman" w:eastAsiaTheme="minorEastAsia"/>
                <w:sz w:val="18"/>
                <w:highlight w:val="none"/>
                <w:lang w:val="en-US" w:eastAsia="zh-CN"/>
              </w:rPr>
              <w:t>业</w:t>
            </w:r>
            <w:r>
              <w:rPr>
                <w:rFonts w:hint="eastAsia" w:cs="Times New Roman" w:eastAsiaTheme="minorEastAsia"/>
                <w:sz w:val="18"/>
                <w:highlight w:val="none"/>
              </w:rPr>
              <w:t>类似系统建设项目管理实施经验，</w:t>
            </w:r>
            <w:r>
              <w:rPr>
                <w:rFonts w:cs="Times New Roman" w:eastAsiaTheme="minorEastAsia"/>
                <w:sz w:val="18"/>
                <w:highlight w:val="none"/>
              </w:rPr>
              <w:t>得1分</w:t>
            </w:r>
            <w:r>
              <w:rPr>
                <w:rFonts w:hint="eastAsia" w:cs="Times New Roman" w:eastAsiaTheme="minorEastAsia"/>
                <w:sz w:val="18"/>
                <w:highlight w:val="none"/>
              </w:rPr>
              <w:t>；</w:t>
            </w:r>
            <w:r>
              <w:rPr>
                <w:rFonts w:cs="Times New Roman" w:eastAsiaTheme="minorEastAsia"/>
                <w:sz w:val="18"/>
                <w:highlight w:val="none"/>
              </w:rPr>
              <w:t>具备信息系统项目管理师证书（高级）或PMP（项目管理专业人士资格认证）</w:t>
            </w:r>
            <w:r>
              <w:rPr>
                <w:rFonts w:hint="eastAsia" w:cs="Times New Roman" w:eastAsiaTheme="minorEastAsia"/>
                <w:sz w:val="18"/>
                <w:highlight w:val="none"/>
              </w:rPr>
              <w:t>，</w:t>
            </w:r>
            <w:r>
              <w:rPr>
                <w:rFonts w:cs="Times New Roman" w:eastAsiaTheme="minorEastAsia"/>
                <w:sz w:val="18"/>
                <w:highlight w:val="none"/>
              </w:rPr>
              <w:t>得1分；满分2分；</w:t>
            </w:r>
          </w:p>
          <w:p w14:paraId="4CDC9306">
            <w:pPr>
              <w:pStyle w:val="36"/>
              <w:spacing w:after="0"/>
              <w:rPr>
                <w:rFonts w:cs="Times New Roman" w:eastAsiaTheme="minorEastAsia"/>
                <w:sz w:val="18"/>
                <w:highlight w:val="none"/>
              </w:rPr>
            </w:pPr>
            <w:r>
              <w:rPr>
                <w:rFonts w:cs="Times New Roman" w:eastAsiaTheme="minorEastAsia"/>
                <w:sz w:val="18"/>
                <w:highlight w:val="none"/>
              </w:rPr>
              <w:t>（2）业务专家（</w:t>
            </w:r>
            <w:r>
              <w:rPr>
                <w:rFonts w:hint="eastAsia" w:cs="Times New Roman" w:eastAsiaTheme="minorEastAsia"/>
                <w:sz w:val="18"/>
                <w:highlight w:val="none"/>
              </w:rPr>
              <w:t>至少</w:t>
            </w:r>
            <w:r>
              <w:rPr>
                <w:rFonts w:cs="Times New Roman" w:eastAsiaTheme="minorEastAsia"/>
                <w:sz w:val="18"/>
                <w:highlight w:val="none"/>
              </w:rPr>
              <w:t>2人）：具备5年（含）以上银行业项目从业经验，参加过</w:t>
            </w:r>
            <w:r>
              <w:rPr>
                <w:rFonts w:hint="eastAsia" w:cs="Times New Roman" w:eastAsiaTheme="minorEastAsia"/>
                <w:sz w:val="18"/>
                <w:highlight w:val="none"/>
              </w:rPr>
              <w:t>5个</w:t>
            </w:r>
            <w:r>
              <w:rPr>
                <w:rFonts w:cs="Times New Roman" w:eastAsiaTheme="minorEastAsia"/>
                <w:sz w:val="18"/>
                <w:highlight w:val="none"/>
              </w:rPr>
              <w:t>（含）</w:t>
            </w:r>
            <w:r>
              <w:rPr>
                <w:rFonts w:hint="eastAsia" w:cs="Times New Roman" w:eastAsiaTheme="minorEastAsia"/>
                <w:sz w:val="18"/>
                <w:highlight w:val="none"/>
              </w:rPr>
              <w:t>以上</w:t>
            </w:r>
            <w:r>
              <w:rPr>
                <w:rFonts w:cs="Times New Roman" w:eastAsiaTheme="minorEastAsia"/>
                <w:sz w:val="18"/>
                <w:highlight w:val="none"/>
              </w:rPr>
              <w:t>类似系统建设项目，得2分；满分2分；</w:t>
            </w:r>
          </w:p>
          <w:p w14:paraId="4501321C">
            <w:pPr>
              <w:pStyle w:val="36"/>
              <w:spacing w:after="0"/>
              <w:rPr>
                <w:rFonts w:cs="Times New Roman" w:eastAsiaTheme="minorEastAsia"/>
                <w:sz w:val="18"/>
                <w:highlight w:val="none"/>
              </w:rPr>
            </w:pPr>
            <w:r>
              <w:rPr>
                <w:rFonts w:cs="Times New Roman" w:eastAsiaTheme="minorEastAsia"/>
                <w:sz w:val="18"/>
                <w:highlight w:val="none"/>
              </w:rPr>
              <w:t>（3）机器学习建模师（</w:t>
            </w:r>
            <w:r>
              <w:rPr>
                <w:rFonts w:hint="eastAsia" w:cs="Times New Roman" w:eastAsiaTheme="minorEastAsia"/>
                <w:sz w:val="18"/>
                <w:highlight w:val="none"/>
              </w:rPr>
              <w:t>至少</w:t>
            </w:r>
            <w:r>
              <w:rPr>
                <w:rFonts w:cs="Times New Roman" w:eastAsiaTheme="minorEastAsia"/>
                <w:sz w:val="18"/>
                <w:highlight w:val="none"/>
              </w:rPr>
              <w:t>1人）：具备3年（含）以上银行业项目从业经验，参加过3个（含）</w:t>
            </w:r>
            <w:r>
              <w:rPr>
                <w:rFonts w:hint="eastAsia" w:cs="Times New Roman" w:eastAsiaTheme="minorEastAsia"/>
                <w:sz w:val="18"/>
                <w:highlight w:val="none"/>
              </w:rPr>
              <w:t>以上</w:t>
            </w:r>
            <w:r>
              <w:rPr>
                <w:rFonts w:cs="Times New Roman" w:eastAsiaTheme="minorEastAsia"/>
                <w:sz w:val="18"/>
                <w:highlight w:val="none"/>
              </w:rPr>
              <w:t>银行业涉赌涉诈或反欺诈机器学习建设项目，得1分；满分1分；</w:t>
            </w:r>
          </w:p>
          <w:p w14:paraId="59EC2959">
            <w:pPr>
              <w:pStyle w:val="36"/>
              <w:spacing w:after="0"/>
              <w:rPr>
                <w:rFonts w:cs="Times New Roman" w:eastAsiaTheme="minorEastAsia"/>
                <w:sz w:val="18"/>
                <w:highlight w:val="none"/>
              </w:rPr>
            </w:pPr>
            <w:r>
              <w:rPr>
                <w:rFonts w:cs="Times New Roman" w:eastAsiaTheme="minorEastAsia"/>
                <w:sz w:val="18"/>
                <w:highlight w:val="none"/>
              </w:rPr>
              <w:t>（4）系统架构师（</w:t>
            </w:r>
            <w:r>
              <w:rPr>
                <w:rFonts w:hint="eastAsia" w:cs="Times New Roman" w:eastAsiaTheme="minorEastAsia"/>
                <w:sz w:val="18"/>
                <w:highlight w:val="none"/>
              </w:rPr>
              <w:t>至少</w:t>
            </w:r>
            <w:r>
              <w:rPr>
                <w:rFonts w:cs="Times New Roman" w:eastAsiaTheme="minorEastAsia"/>
                <w:sz w:val="18"/>
                <w:highlight w:val="none"/>
              </w:rPr>
              <w:t>1人）</w:t>
            </w:r>
            <w:r>
              <w:rPr>
                <w:rFonts w:hint="eastAsia" w:cs="Times New Roman" w:eastAsiaTheme="minorEastAsia"/>
                <w:sz w:val="18"/>
                <w:highlight w:val="none"/>
              </w:rPr>
              <w:t>：具备5年</w:t>
            </w:r>
            <w:r>
              <w:rPr>
                <w:rFonts w:cs="Times New Roman" w:eastAsiaTheme="minorEastAsia"/>
                <w:sz w:val="18"/>
                <w:highlight w:val="none"/>
              </w:rPr>
              <w:t>（含）</w:t>
            </w:r>
            <w:r>
              <w:rPr>
                <w:rFonts w:hint="eastAsia" w:cs="Times New Roman" w:eastAsiaTheme="minorEastAsia"/>
                <w:sz w:val="18"/>
                <w:highlight w:val="none"/>
              </w:rPr>
              <w:t>以上软件开发及架构和设计经验，在3个</w:t>
            </w:r>
            <w:r>
              <w:rPr>
                <w:rFonts w:cs="Times New Roman" w:eastAsiaTheme="minorEastAsia"/>
                <w:sz w:val="18"/>
                <w:highlight w:val="none"/>
              </w:rPr>
              <w:t>（</w:t>
            </w:r>
            <w:bookmarkStart w:id="99" w:name="OLE_LINK202"/>
            <w:r>
              <w:rPr>
                <w:rFonts w:cs="Times New Roman" w:eastAsiaTheme="minorEastAsia"/>
                <w:sz w:val="18"/>
                <w:highlight w:val="none"/>
              </w:rPr>
              <w:t>含）</w:t>
            </w:r>
            <w:r>
              <w:rPr>
                <w:rFonts w:hint="eastAsia" w:cs="Times New Roman" w:eastAsiaTheme="minorEastAsia"/>
                <w:sz w:val="18"/>
                <w:highlight w:val="none"/>
              </w:rPr>
              <w:t>以上</w:t>
            </w:r>
            <w:bookmarkEnd w:id="99"/>
            <w:r>
              <w:rPr>
                <w:rFonts w:cs="Times New Roman" w:eastAsiaTheme="minorEastAsia"/>
                <w:sz w:val="18"/>
                <w:highlight w:val="none"/>
              </w:rPr>
              <w:t>类似系统建设</w:t>
            </w:r>
            <w:r>
              <w:rPr>
                <w:rFonts w:hint="eastAsia" w:cs="Times New Roman" w:eastAsiaTheme="minorEastAsia"/>
                <w:sz w:val="18"/>
                <w:highlight w:val="none"/>
              </w:rPr>
              <w:t>项目中担任架构师岗位的项目实施经验，</w:t>
            </w:r>
            <w:r>
              <w:rPr>
                <w:rFonts w:cs="Times New Roman" w:eastAsiaTheme="minorEastAsia"/>
                <w:sz w:val="18"/>
                <w:highlight w:val="none"/>
              </w:rPr>
              <w:t>得1分：具备系统架构设计师证书（高级）</w:t>
            </w:r>
            <w:r>
              <w:rPr>
                <w:rFonts w:hint="eastAsia" w:cs="Times New Roman" w:eastAsiaTheme="minorEastAsia"/>
                <w:sz w:val="18"/>
                <w:highlight w:val="none"/>
                <w:lang w:eastAsia="zh-CN"/>
              </w:rPr>
              <w:t>，</w:t>
            </w:r>
            <w:r>
              <w:rPr>
                <w:rFonts w:cs="Times New Roman" w:eastAsiaTheme="minorEastAsia"/>
                <w:sz w:val="18"/>
                <w:highlight w:val="none"/>
              </w:rPr>
              <w:t>得1分；满分2分；</w:t>
            </w:r>
          </w:p>
          <w:p w14:paraId="168F0FCF">
            <w:pPr>
              <w:pStyle w:val="36"/>
              <w:spacing w:after="0"/>
              <w:rPr>
                <w:rFonts w:hint="eastAsia" w:cs="Times New Roman" w:eastAsiaTheme="minorEastAsia"/>
                <w:sz w:val="18"/>
                <w:highlight w:val="none"/>
              </w:rPr>
            </w:pPr>
            <w:r>
              <w:rPr>
                <w:rFonts w:cs="Times New Roman" w:eastAsiaTheme="minorEastAsia"/>
                <w:sz w:val="18"/>
                <w:highlight w:val="none"/>
              </w:rPr>
              <w:t>（5）现场开发/测试人员（</w:t>
            </w:r>
            <w:r>
              <w:rPr>
                <w:rFonts w:hint="eastAsia" w:cs="Times New Roman" w:eastAsiaTheme="minorEastAsia"/>
                <w:sz w:val="18"/>
                <w:highlight w:val="none"/>
              </w:rPr>
              <w:t>至少</w:t>
            </w:r>
            <w:r>
              <w:rPr>
                <w:rFonts w:cs="Times New Roman" w:eastAsiaTheme="minorEastAsia"/>
                <w:sz w:val="18"/>
                <w:highlight w:val="none"/>
              </w:rPr>
              <w:t>3人）：具备3年（含）以上银行业项目从业经验，参加过2个</w:t>
            </w:r>
            <w:r>
              <w:rPr>
                <w:rFonts w:hint="eastAsia" w:cs="Times New Roman" w:eastAsiaTheme="minorEastAsia"/>
                <w:sz w:val="18"/>
                <w:highlight w:val="none"/>
              </w:rPr>
              <w:t>（</w:t>
            </w:r>
            <w:r>
              <w:rPr>
                <w:rFonts w:cs="Times New Roman" w:eastAsiaTheme="minorEastAsia"/>
                <w:sz w:val="18"/>
                <w:highlight w:val="none"/>
              </w:rPr>
              <w:t>含）</w:t>
            </w:r>
            <w:r>
              <w:rPr>
                <w:rFonts w:hint="eastAsia" w:cs="Times New Roman" w:eastAsiaTheme="minorEastAsia"/>
                <w:sz w:val="18"/>
                <w:highlight w:val="none"/>
              </w:rPr>
              <w:t>以上</w:t>
            </w:r>
            <w:r>
              <w:rPr>
                <w:rFonts w:cs="Times New Roman" w:eastAsiaTheme="minorEastAsia"/>
                <w:sz w:val="18"/>
                <w:highlight w:val="none"/>
              </w:rPr>
              <w:t>类似系统建设项目，得1分；满分1分；</w:t>
            </w:r>
          </w:p>
          <w:p w14:paraId="62EC44B5">
            <w:pPr>
              <w:pStyle w:val="36"/>
              <w:spacing w:after="0"/>
              <w:rPr>
                <w:rFonts w:cs="Times New Roman" w:eastAsiaTheme="minorEastAsia"/>
                <w:sz w:val="18"/>
                <w:highlight w:val="none"/>
              </w:rPr>
            </w:pPr>
            <w:r>
              <w:rPr>
                <w:rFonts w:cs="Times New Roman" w:eastAsiaTheme="minorEastAsia"/>
                <w:sz w:val="18"/>
                <w:highlight w:val="none"/>
              </w:rPr>
              <w:t>（6）项目组成员：需包括项目经理、业务专家、建模师、架构师、开发工程师和测试工程师。项目组团队人数</w:t>
            </w:r>
            <w:r>
              <w:rPr>
                <w:rFonts w:ascii="Cambria Math" w:hAnsi="Cambria Math" w:eastAsiaTheme="minorEastAsia"/>
                <w:sz w:val="18"/>
                <w:highlight w:val="none"/>
              </w:rPr>
              <w:t>≧</w:t>
            </w:r>
            <w:r>
              <w:rPr>
                <w:rFonts w:cs="Times New Roman" w:eastAsiaTheme="minorEastAsia"/>
                <w:sz w:val="18"/>
                <w:highlight w:val="none"/>
              </w:rPr>
              <w:t>10人，得2分；9人得1分；小于等于8人，不得分；满分2分；</w:t>
            </w:r>
          </w:p>
          <w:p w14:paraId="1D14AF65">
            <w:pPr>
              <w:pStyle w:val="36"/>
              <w:spacing w:after="0"/>
              <w:rPr>
                <w:rFonts w:cs="Times New Roman" w:eastAsiaTheme="minorEastAsia"/>
                <w:sz w:val="18"/>
                <w:highlight w:val="none"/>
              </w:rPr>
            </w:pPr>
            <w:r>
              <w:rPr>
                <w:rFonts w:hint="eastAsia" w:cs="Times New Roman" w:eastAsiaTheme="minorEastAsia"/>
                <w:sz w:val="18"/>
                <w:highlight w:val="none"/>
              </w:rPr>
              <w:t>*</w:t>
            </w:r>
            <w:r>
              <w:rPr>
                <w:rFonts w:cs="Times New Roman" w:eastAsiaTheme="minorEastAsia"/>
                <w:sz w:val="18"/>
                <w:highlight w:val="none"/>
              </w:rPr>
              <w:t>注：参与本询比项目现场实施的项目组成员需要提供人员简历表（参考第六章响应文件格式资格性文件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询比项目的项目组成员参与开发建设。</w:t>
            </w:r>
          </w:p>
          <w:p w14:paraId="3D996ECA">
            <w:pPr>
              <w:pStyle w:val="36"/>
              <w:spacing w:after="0"/>
              <w:rPr>
                <w:rFonts w:cs="Times New Roman" w:eastAsiaTheme="minorEastAsia"/>
                <w:sz w:val="18"/>
                <w:highlight w:val="none"/>
              </w:rPr>
            </w:pPr>
          </w:p>
          <w:p w14:paraId="423BFE98">
            <w:pPr>
              <w:pStyle w:val="36"/>
              <w:spacing w:after="0"/>
              <w:rPr>
                <w:rFonts w:cs="Times New Roman" w:eastAsiaTheme="minorEastAsia"/>
                <w:b/>
                <w:bCs w:val="0"/>
                <w:sz w:val="18"/>
                <w:highlight w:val="none"/>
              </w:rPr>
            </w:pPr>
            <w:r>
              <w:rPr>
                <w:rFonts w:cs="Times New Roman" w:eastAsiaTheme="minorEastAsia"/>
                <w:b/>
                <w:bCs w:val="0"/>
                <w:sz w:val="18"/>
                <w:highlight w:val="none"/>
              </w:rPr>
              <w:t>4.售后承诺（分值：5分）</w:t>
            </w:r>
          </w:p>
          <w:p w14:paraId="12A2E470">
            <w:pPr>
              <w:pStyle w:val="36"/>
              <w:spacing w:after="0"/>
              <w:rPr>
                <w:rFonts w:cs="Times New Roman" w:eastAsiaTheme="minorEastAsia"/>
                <w:sz w:val="18"/>
                <w:highlight w:val="none"/>
              </w:rPr>
            </w:pPr>
            <w:r>
              <w:rPr>
                <w:rFonts w:cs="Times New Roman" w:eastAsiaTheme="minorEastAsia"/>
                <w:sz w:val="18"/>
                <w:highlight w:val="none"/>
              </w:rPr>
              <w:t>本项目应至少包含2年维保服务（维保服务期起始日为本项目最终验收后次日，维保服务期结束日需延期至到期当年的6月30日或12月31日中较近日期），维保服务到期后每年维护费用不应高于合同价的8%，维保服务期内每年系统升级改造工作量2个人月内不收费。响应人提供服务保障承诺函，根据承诺函中承诺维保服务期时长和维护费进行打分。</w:t>
            </w:r>
          </w:p>
          <w:p w14:paraId="0E2260A7">
            <w:pPr>
              <w:pStyle w:val="36"/>
              <w:spacing w:after="0"/>
              <w:rPr>
                <w:rFonts w:cs="Times New Roman" w:eastAsiaTheme="minorEastAsia"/>
                <w:sz w:val="18"/>
                <w:highlight w:val="none"/>
              </w:rPr>
            </w:pPr>
            <w:r>
              <w:rPr>
                <w:rFonts w:cs="Times New Roman" w:eastAsiaTheme="minorEastAsia"/>
                <w:sz w:val="18"/>
                <w:highlight w:val="none"/>
              </w:rPr>
              <w:t>（1）若维保服务期增加至3年且维保服务到期后每年维护费用降至不高于合同价的7%，得2分；</w:t>
            </w:r>
          </w:p>
          <w:p w14:paraId="57E2907A">
            <w:pPr>
              <w:pStyle w:val="36"/>
              <w:spacing w:after="0"/>
              <w:rPr>
                <w:rFonts w:cs="Times New Roman" w:eastAsiaTheme="minorEastAsia"/>
                <w:sz w:val="18"/>
                <w:highlight w:val="none"/>
              </w:rPr>
            </w:pPr>
            <w:r>
              <w:rPr>
                <w:rFonts w:cs="Times New Roman" w:eastAsiaTheme="minorEastAsia"/>
                <w:sz w:val="18"/>
                <w:highlight w:val="none"/>
              </w:rPr>
              <w:t xml:space="preserve">（2）若维保服务期增加至4年且维保服务到期后每年维护费用降至不高于合同价的6%，得5分。 </w:t>
            </w:r>
          </w:p>
          <w:p w14:paraId="29CD7FCC">
            <w:pPr>
              <w:pStyle w:val="36"/>
              <w:spacing w:after="0"/>
              <w:rPr>
                <w:rFonts w:cs="Times New Roman" w:eastAsiaTheme="minorEastAsia"/>
                <w:b/>
                <w:bCs w:val="0"/>
                <w:sz w:val="18"/>
                <w:highlight w:val="none"/>
              </w:rPr>
            </w:pPr>
            <w:r>
              <w:rPr>
                <w:rFonts w:cs="Times New Roman" w:eastAsiaTheme="minorEastAsia"/>
                <w:b/>
                <w:bCs w:val="0"/>
                <w:sz w:val="18"/>
                <w:highlight w:val="none"/>
              </w:rPr>
              <w:t>5.后续人力成本（分值：5分）</w:t>
            </w:r>
          </w:p>
          <w:p w14:paraId="4BAC8907">
            <w:pPr>
              <w:pStyle w:val="36"/>
              <w:spacing w:after="0"/>
              <w:rPr>
                <w:rFonts w:cs="Times New Roman" w:eastAsiaTheme="minorEastAsia"/>
                <w:sz w:val="18"/>
                <w:highlight w:val="none"/>
              </w:rPr>
            </w:pPr>
            <w:r>
              <w:rPr>
                <w:rFonts w:cs="Times New Roman" w:eastAsiaTheme="minorEastAsia"/>
                <w:sz w:val="18"/>
                <w:highlight w:val="none"/>
              </w:rPr>
              <w:t>满足以下人力外包单价的得5分，否则得0分：</w:t>
            </w:r>
          </w:p>
          <w:p w14:paraId="3511BC2B">
            <w:pPr>
              <w:pStyle w:val="36"/>
              <w:spacing w:after="0"/>
              <w:rPr>
                <w:rFonts w:cs="Times New Roman" w:eastAsiaTheme="minorEastAsia"/>
                <w:sz w:val="18"/>
                <w:highlight w:val="none"/>
              </w:rPr>
            </w:pPr>
            <w:r>
              <w:rPr>
                <w:rFonts w:cs="Times New Roman" w:eastAsiaTheme="minorEastAsia"/>
                <w:sz w:val="18"/>
                <w:highlight w:val="none"/>
              </w:rPr>
              <w:t>（1）高级人员，7年及以上银行重要业务系统研发或需求分析工作经验，单价不高于28,600元/人月；</w:t>
            </w:r>
          </w:p>
          <w:p w14:paraId="046C834F">
            <w:pPr>
              <w:pStyle w:val="36"/>
              <w:spacing w:after="0"/>
              <w:rPr>
                <w:rFonts w:cs="Times New Roman" w:eastAsiaTheme="minorEastAsia"/>
                <w:sz w:val="18"/>
                <w:highlight w:val="none"/>
              </w:rPr>
            </w:pPr>
            <w:r>
              <w:rPr>
                <w:rFonts w:cs="Times New Roman" w:eastAsiaTheme="minorEastAsia"/>
                <w:sz w:val="18"/>
                <w:highlight w:val="none"/>
              </w:rPr>
              <w:t>（2）中级人员，4-6年（含）银行重要业务系统研发或需求分析工作经验，单价不高于24,200元/人月；</w:t>
            </w:r>
          </w:p>
          <w:p w14:paraId="51F61E54">
            <w:pPr>
              <w:pStyle w:val="36"/>
              <w:spacing w:after="0"/>
              <w:rPr>
                <w:rFonts w:cs="Times New Roman" w:eastAsiaTheme="minorEastAsia"/>
                <w:sz w:val="18"/>
                <w:highlight w:val="none"/>
              </w:rPr>
            </w:pPr>
            <w:r>
              <w:rPr>
                <w:rFonts w:cs="Times New Roman" w:eastAsiaTheme="minorEastAsia"/>
                <w:sz w:val="18"/>
                <w:highlight w:val="none"/>
              </w:rPr>
              <w:t>（3）初级人员，1-3年（含）银行重要业务系统研发或需求分析工作经验，单价不高于17,600元/人月。</w:t>
            </w:r>
          </w:p>
          <w:p w14:paraId="0B9BDB34">
            <w:pPr>
              <w:pStyle w:val="36"/>
              <w:spacing w:after="0"/>
              <w:rPr>
                <w:rFonts w:cs="Times New Roman" w:eastAsiaTheme="minorEastAsia"/>
                <w:sz w:val="18"/>
                <w:highlight w:val="none"/>
              </w:rPr>
            </w:pPr>
            <w:r>
              <w:rPr>
                <w:rFonts w:cs="Times New Roman" w:eastAsiaTheme="minorEastAsia"/>
                <w:sz w:val="18"/>
                <w:highlight w:val="none"/>
              </w:rPr>
              <w:t>【需提供加盖公章的承诺函，格式自拟】</w:t>
            </w:r>
          </w:p>
        </w:tc>
      </w:tr>
      <w:tr w14:paraId="47FE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0D0FBAB0">
            <w:pPr>
              <w:ind w:firstLine="420"/>
              <w:rPr>
                <w:highlight w:val="none"/>
              </w:rPr>
            </w:pPr>
          </w:p>
        </w:tc>
        <w:tc>
          <w:tcPr>
            <w:tcW w:w="1482" w:type="dxa"/>
            <w:vMerge w:val="continue"/>
            <w:tcBorders>
              <w:top w:val="single" w:color="auto" w:sz="4" w:space="0"/>
              <w:left w:val="single" w:color="auto" w:sz="4" w:space="0"/>
              <w:right w:val="single" w:color="auto" w:sz="4" w:space="0"/>
            </w:tcBorders>
            <w:vAlign w:val="center"/>
          </w:tcPr>
          <w:p w14:paraId="2F79B7B2">
            <w:pPr>
              <w:ind w:firstLine="420"/>
              <w:rPr>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6B89059F">
            <w:pPr>
              <w:ind w:firstLine="420"/>
              <w:rPr>
                <w:highlight w:val="none"/>
              </w:rPr>
            </w:pPr>
          </w:p>
        </w:tc>
        <w:tc>
          <w:tcPr>
            <w:tcW w:w="5476" w:type="dxa"/>
            <w:tcBorders>
              <w:top w:val="single" w:color="auto" w:sz="4" w:space="0"/>
              <w:left w:val="single" w:color="auto" w:sz="4" w:space="0"/>
              <w:bottom w:val="single" w:color="auto" w:sz="4" w:space="0"/>
              <w:right w:val="single" w:color="auto" w:sz="4" w:space="0"/>
            </w:tcBorders>
            <w:vAlign w:val="center"/>
          </w:tcPr>
          <w:p w14:paraId="02A99C6D">
            <w:pPr>
              <w:pStyle w:val="36"/>
              <w:spacing w:after="0"/>
              <w:rPr>
                <w:rFonts w:cs="Times New Roman" w:eastAsiaTheme="minorEastAsia"/>
                <w:b/>
                <w:bCs w:val="0"/>
                <w:sz w:val="18"/>
                <w:highlight w:val="none"/>
              </w:rPr>
            </w:pPr>
            <w:r>
              <w:rPr>
                <w:rFonts w:cs="Times New Roman" w:eastAsiaTheme="minorEastAsia"/>
                <w:b/>
                <w:bCs w:val="0"/>
                <w:sz w:val="18"/>
                <w:highlight w:val="none"/>
              </w:rPr>
              <w:t>三、技术部分评分规则（分值：5）</w:t>
            </w:r>
          </w:p>
          <w:p w14:paraId="63B23DEF">
            <w:pPr>
              <w:pStyle w:val="36"/>
              <w:spacing w:after="0"/>
              <w:rPr>
                <w:rFonts w:cs="Times New Roman" w:eastAsiaTheme="minorEastAsia"/>
                <w:sz w:val="18"/>
                <w:highlight w:val="none"/>
              </w:rPr>
            </w:pPr>
            <w:r>
              <w:rPr>
                <w:rFonts w:cs="Times New Roman" w:eastAsiaTheme="minorEastAsia"/>
                <w:sz w:val="18"/>
                <w:highlight w:val="none"/>
              </w:rPr>
              <w:t>响应人针对本项目提供完善的项目实施方案，包含但不限于组织体系、工程进度安排、需求理解、质量管理、培训、增值服务等内容，根据方案的优劣情况，由评审委员会横向对比，酌情给分，优秀得(4-5]分，良好得(3-4]分，一般得[1-3]分，差或不提供得0分。</w:t>
            </w:r>
          </w:p>
        </w:tc>
      </w:tr>
      <w:tr w14:paraId="154D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6FC6792">
            <w:pPr>
              <w:pStyle w:val="36"/>
              <w:rPr>
                <w:highlight w:val="none"/>
              </w:rPr>
            </w:pPr>
            <w:r>
              <w:rPr>
                <w:rFonts w:hint="eastAsia"/>
                <w:highlight w:val="none"/>
              </w:rPr>
              <w:t>3</w:t>
            </w:r>
          </w:p>
        </w:tc>
        <w:tc>
          <w:tcPr>
            <w:tcW w:w="1482" w:type="dxa"/>
            <w:tcBorders>
              <w:top w:val="single" w:color="auto" w:sz="4" w:space="0"/>
              <w:left w:val="single" w:color="auto" w:sz="4" w:space="0"/>
              <w:right w:val="single" w:color="auto" w:sz="4" w:space="0"/>
            </w:tcBorders>
            <w:vAlign w:val="center"/>
          </w:tcPr>
          <w:p w14:paraId="6C1DFE2A">
            <w:pPr>
              <w:pStyle w:val="36"/>
              <w:rPr>
                <w:highlight w:val="none"/>
              </w:rPr>
            </w:pPr>
            <w:r>
              <w:rPr>
                <w:rFonts w:hint="eastAsia"/>
                <w:highlight w:val="none"/>
              </w:rPr>
              <w:t>评审程序</w:t>
            </w:r>
          </w:p>
        </w:tc>
        <w:tc>
          <w:tcPr>
            <w:tcW w:w="7162" w:type="dxa"/>
            <w:gridSpan w:val="3"/>
            <w:tcBorders>
              <w:top w:val="single" w:color="auto" w:sz="4" w:space="0"/>
              <w:left w:val="single" w:color="auto" w:sz="4" w:space="0"/>
              <w:bottom w:val="single" w:color="auto" w:sz="4" w:space="0"/>
              <w:right w:val="single" w:color="auto" w:sz="4" w:space="0"/>
            </w:tcBorders>
          </w:tcPr>
          <w:p w14:paraId="55AC7EF4">
            <w:pPr>
              <w:pStyle w:val="36"/>
              <w:rPr>
                <w:highlight w:val="none"/>
              </w:rPr>
            </w:pPr>
            <w:r>
              <w:rPr>
                <w:rFonts w:hint="eastAsia"/>
                <w:highlight w:val="none"/>
              </w:rPr>
              <w:t>1.初步评审前，按本章第3.1.3项的规定对响应报价有算术性错误的进行算术性错误修正。</w:t>
            </w:r>
          </w:p>
          <w:p w14:paraId="558F2D7B">
            <w:pPr>
              <w:pStyle w:val="36"/>
              <w:rPr>
                <w:highlight w:val="none"/>
              </w:rPr>
            </w:pPr>
            <w:r>
              <w:rPr>
                <w:rFonts w:hint="eastAsia"/>
                <w:highlight w:val="none"/>
              </w:rPr>
              <w:t>2.评审委员会对响应文件进行初步评审。</w:t>
            </w:r>
          </w:p>
          <w:p w14:paraId="70D0B587">
            <w:pPr>
              <w:pStyle w:val="36"/>
              <w:rPr>
                <w:highlight w:val="none"/>
              </w:rPr>
            </w:pPr>
            <w:r>
              <w:rPr>
                <w:rFonts w:hint="eastAsia"/>
                <w:highlight w:val="none"/>
              </w:rPr>
              <w:t>3.初步评审合格的响应文件进行详细评审。主观评审部分由各专家独立评审打分，最后取平均得分，保留2位小数。</w:t>
            </w:r>
          </w:p>
          <w:p w14:paraId="11D0E0D3">
            <w:pPr>
              <w:pStyle w:val="36"/>
              <w:rPr>
                <w:highlight w:val="none"/>
              </w:rPr>
            </w:pPr>
            <w:r>
              <w:rPr>
                <w:rFonts w:hint="eastAsia"/>
                <w:highlight w:val="none"/>
              </w:rPr>
              <w:t>4.根据综合得分由高至低进行排名。</w:t>
            </w:r>
          </w:p>
        </w:tc>
      </w:tr>
      <w:tr w14:paraId="4B52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vAlign w:val="center"/>
          </w:tcPr>
          <w:p w14:paraId="627D993A">
            <w:pPr>
              <w:pStyle w:val="36"/>
              <w:rPr>
                <w:highlight w:val="none"/>
              </w:rPr>
            </w:pPr>
            <w:r>
              <w:rPr>
                <w:rFonts w:hint="eastAsia"/>
                <w:highlight w:val="none"/>
              </w:rPr>
              <w:t>3.2.3</w:t>
            </w:r>
          </w:p>
        </w:tc>
        <w:tc>
          <w:tcPr>
            <w:tcW w:w="1511" w:type="dxa"/>
            <w:tcBorders>
              <w:top w:val="single" w:color="auto" w:sz="4" w:space="0"/>
              <w:left w:val="single" w:color="auto" w:sz="4" w:space="0"/>
              <w:right w:val="single" w:color="auto" w:sz="4" w:space="0"/>
            </w:tcBorders>
            <w:vAlign w:val="center"/>
          </w:tcPr>
          <w:p w14:paraId="076C2083">
            <w:pPr>
              <w:pStyle w:val="36"/>
              <w:rPr>
                <w:highlight w:val="none"/>
              </w:rPr>
            </w:pPr>
            <w:r>
              <w:rPr>
                <w:rFonts w:hint="eastAsia"/>
                <w:highlight w:val="none"/>
              </w:rPr>
              <w:t>响应人得分</w:t>
            </w:r>
          </w:p>
        </w:tc>
        <w:tc>
          <w:tcPr>
            <w:tcW w:w="5651" w:type="dxa"/>
            <w:gridSpan w:val="2"/>
            <w:tcBorders>
              <w:top w:val="single" w:color="auto" w:sz="4" w:space="0"/>
              <w:left w:val="single" w:color="auto" w:sz="4" w:space="0"/>
              <w:bottom w:val="single" w:color="auto" w:sz="4" w:space="0"/>
              <w:right w:val="single" w:color="auto" w:sz="4" w:space="0"/>
            </w:tcBorders>
            <w:vAlign w:val="center"/>
          </w:tcPr>
          <w:p w14:paraId="5A27FE48">
            <w:pPr>
              <w:pStyle w:val="36"/>
              <w:rPr>
                <w:highlight w:val="none"/>
              </w:rPr>
            </w:pPr>
            <w:r>
              <w:rPr>
                <w:rFonts w:hint="eastAsia"/>
                <w:highlight w:val="none"/>
              </w:rPr>
              <w:t>响应人得分=响应报价得分+商务部分得分+</w:t>
            </w:r>
            <w:r>
              <w:rPr>
                <w:rFonts w:hint="eastAsia"/>
                <w:highlight w:val="none"/>
                <w:lang w:val="en-US" w:eastAsia="zh-CN"/>
              </w:rPr>
              <w:t>技术</w:t>
            </w:r>
            <w:r>
              <w:rPr>
                <w:rFonts w:hint="eastAsia"/>
                <w:highlight w:val="none"/>
              </w:rPr>
              <w:t>部分得分</w:t>
            </w:r>
          </w:p>
        </w:tc>
      </w:tr>
      <w:bookmarkEnd w:id="95"/>
    </w:tbl>
    <w:p w14:paraId="47A564C6">
      <w:pPr>
        <w:ind w:firstLine="0" w:firstLineChars="0"/>
        <w:rPr>
          <w:rFonts w:ascii="宋体" w:cs="宋体"/>
          <w:snapToGrid w:val="0"/>
          <w:szCs w:val="21"/>
          <w:highlight w:val="none"/>
        </w:rPr>
      </w:pPr>
      <w:bookmarkStart w:id="100" w:name="_Toc21111"/>
      <w:bookmarkStart w:id="101" w:name="_Toc636"/>
    </w:p>
    <w:p w14:paraId="2F17D5E0">
      <w:pPr>
        <w:ind w:firstLine="0" w:firstLineChars="0"/>
        <w:rPr>
          <w:rFonts w:ascii="宋体" w:cs="宋体"/>
          <w:snapToGrid w:val="0"/>
          <w:szCs w:val="21"/>
          <w:highlight w:val="none"/>
        </w:rPr>
      </w:pPr>
    </w:p>
    <w:p w14:paraId="4074B2F7">
      <w:pPr>
        <w:ind w:firstLine="0" w:firstLineChars="0"/>
        <w:rPr>
          <w:rFonts w:ascii="宋体" w:cs="宋体"/>
          <w:snapToGrid w:val="0"/>
          <w:szCs w:val="21"/>
          <w:highlight w:val="none"/>
        </w:rPr>
        <w:sectPr>
          <w:footerReference r:id="rId11" w:type="default"/>
          <w:pgSz w:w="11906" w:h="16839"/>
          <w:pgMar w:top="1440" w:right="1797" w:bottom="1440" w:left="1797" w:header="850" w:footer="992" w:gutter="0"/>
          <w:pgNumType w:fmt="decimal" w:start="1"/>
          <w:cols w:space="425" w:num="1"/>
          <w:docGrid w:type="lines" w:linePitch="312" w:charSpace="0"/>
        </w:sectPr>
      </w:pPr>
    </w:p>
    <w:p w14:paraId="5802773C">
      <w:pPr>
        <w:pStyle w:val="3"/>
        <w:rPr>
          <w:highlight w:val="none"/>
        </w:rPr>
      </w:pPr>
      <w:bookmarkStart w:id="102" w:name="_Toc18283"/>
      <w:bookmarkStart w:id="103" w:name="_Toc27234"/>
      <w:bookmarkStart w:id="104" w:name="_Toc28684"/>
      <w:r>
        <w:rPr>
          <w:rFonts w:hint="eastAsia"/>
          <w:highlight w:val="none"/>
        </w:rPr>
        <w:t>1. 评审方法</w:t>
      </w:r>
      <w:bookmarkEnd w:id="100"/>
      <w:bookmarkEnd w:id="101"/>
      <w:bookmarkEnd w:id="102"/>
      <w:bookmarkEnd w:id="103"/>
      <w:bookmarkEnd w:id="104"/>
    </w:p>
    <w:p w14:paraId="71A519E7">
      <w:pPr>
        <w:ind w:firstLine="420"/>
        <w:rPr>
          <w:highlight w:val="none"/>
        </w:rPr>
      </w:pPr>
      <w:bookmarkStart w:id="105" w:name="_Toc377115419"/>
      <w:bookmarkStart w:id="106" w:name="_Toc407195379"/>
      <w:bookmarkStart w:id="107" w:name="_Toc224103385"/>
      <w:bookmarkStart w:id="108" w:name="_Toc287620752"/>
      <w:bookmarkStart w:id="109" w:name="_Toc377067339"/>
      <w:bookmarkStart w:id="110" w:name="_Toc330569206"/>
      <w:bookmarkStart w:id="111" w:name="_Toc277082619"/>
      <w:bookmarkStart w:id="112" w:name="_Toc376114120"/>
      <w:bookmarkStart w:id="113" w:name="_Toc200513199"/>
      <w:bookmarkStart w:id="114" w:name="_Toc440022827"/>
      <w:bookmarkStart w:id="115" w:name="_Toc287607813"/>
      <w:r>
        <w:rPr>
          <w:rFonts w:hint="eastAsia"/>
          <w:highlight w:val="none"/>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65DF9C57">
      <w:pPr>
        <w:pStyle w:val="3"/>
        <w:rPr>
          <w:highlight w:val="none"/>
        </w:rPr>
      </w:pPr>
      <w:bookmarkStart w:id="116" w:name="_Toc444155968"/>
      <w:bookmarkStart w:id="117" w:name="_Toc31615"/>
      <w:bookmarkStart w:id="118" w:name="_Toc27406"/>
      <w:bookmarkStart w:id="119" w:name="_Toc5950"/>
      <w:bookmarkStart w:id="120" w:name="_Toc23969"/>
      <w:bookmarkStart w:id="121" w:name="_Toc16716"/>
      <w:bookmarkStart w:id="122" w:name="_Toc2274"/>
      <w:bookmarkStart w:id="123" w:name="_Toc765"/>
      <w:bookmarkStart w:id="124" w:name="_Toc27931"/>
      <w:r>
        <w:rPr>
          <w:rFonts w:hint="eastAsia"/>
          <w:highlight w:val="none"/>
        </w:rPr>
        <w:t>2. 评审标准</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E7DA553">
      <w:pPr>
        <w:pStyle w:val="4"/>
        <w:ind w:firstLine="422"/>
        <w:rPr>
          <w:highlight w:val="none"/>
        </w:rPr>
      </w:pPr>
      <w:bookmarkStart w:id="125" w:name="_Toc10533"/>
      <w:bookmarkStart w:id="126" w:name="_Toc7584"/>
      <w:bookmarkStart w:id="127" w:name="_Toc377067340"/>
      <w:bookmarkStart w:id="128" w:name="_Toc440022828"/>
      <w:bookmarkStart w:id="129" w:name="_Toc330569207"/>
      <w:bookmarkStart w:id="130" w:name="_Toc23425"/>
      <w:bookmarkStart w:id="131" w:name="_Toc224103386"/>
      <w:bookmarkStart w:id="132" w:name="_Toc277082620"/>
      <w:bookmarkStart w:id="133" w:name="_Toc11839"/>
      <w:bookmarkStart w:id="134" w:name="_Toc287620753"/>
      <w:bookmarkStart w:id="135" w:name="_Toc200513200"/>
      <w:bookmarkStart w:id="136" w:name="_Toc407195380"/>
      <w:bookmarkStart w:id="137" w:name="_Toc376114121"/>
      <w:bookmarkStart w:id="138" w:name="_Toc444155969"/>
      <w:bookmarkStart w:id="139" w:name="_Toc1358"/>
      <w:bookmarkStart w:id="140" w:name="_Toc377115420"/>
      <w:bookmarkStart w:id="141" w:name="_Toc16537"/>
      <w:bookmarkStart w:id="142" w:name="_Toc287607814"/>
      <w:bookmarkStart w:id="143" w:name="_Toc21593"/>
      <w:r>
        <w:rPr>
          <w:rFonts w:hint="eastAsia"/>
          <w:highlight w:val="none"/>
        </w:rPr>
        <w:t>2.1 初步评审标准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53C3453">
      <w:pPr>
        <w:ind w:firstLine="420"/>
        <w:rPr>
          <w:highlight w:val="none"/>
        </w:rPr>
      </w:pPr>
      <w:r>
        <w:rPr>
          <w:rFonts w:hint="eastAsia"/>
          <w:highlight w:val="none"/>
        </w:rPr>
        <w:t>2.1.1 资格评审标准：见评审办法前附表。</w:t>
      </w:r>
    </w:p>
    <w:p w14:paraId="31B01F75">
      <w:pPr>
        <w:ind w:firstLine="420"/>
        <w:rPr>
          <w:highlight w:val="none"/>
        </w:rPr>
      </w:pPr>
      <w:r>
        <w:rPr>
          <w:rFonts w:hint="eastAsia"/>
          <w:highlight w:val="none"/>
        </w:rPr>
        <w:t>2.1.2 形式评审标准：见评审办法前附表。</w:t>
      </w:r>
    </w:p>
    <w:p w14:paraId="4CB39409">
      <w:pPr>
        <w:ind w:firstLine="420"/>
        <w:rPr>
          <w:highlight w:val="none"/>
        </w:rPr>
      </w:pPr>
      <w:r>
        <w:rPr>
          <w:rFonts w:hint="eastAsia"/>
          <w:highlight w:val="none"/>
        </w:rPr>
        <w:t>2.1.3 响应性评审标准：见评审办法前附表。</w:t>
      </w:r>
    </w:p>
    <w:p w14:paraId="2042F084">
      <w:pPr>
        <w:pStyle w:val="4"/>
        <w:ind w:firstLine="422"/>
        <w:rPr>
          <w:highlight w:val="none"/>
        </w:rPr>
      </w:pPr>
      <w:bookmarkStart w:id="144" w:name="_Toc287620754"/>
      <w:bookmarkStart w:id="145" w:name="_Toc9090"/>
      <w:bookmarkStart w:id="146" w:name="_Toc200513201"/>
      <w:bookmarkStart w:id="147" w:name="_Toc287607815"/>
      <w:bookmarkStart w:id="148" w:name="_Toc224103387"/>
      <w:bookmarkStart w:id="149" w:name="_Toc23296"/>
      <w:bookmarkStart w:id="150" w:name="_Toc2340"/>
      <w:bookmarkStart w:id="151" w:name="_Toc440022829"/>
      <w:bookmarkStart w:id="152" w:name="_Toc407195381"/>
      <w:bookmarkStart w:id="153" w:name="_Toc20840"/>
      <w:bookmarkStart w:id="154" w:name="_Toc377115421"/>
      <w:bookmarkStart w:id="155" w:name="_Toc444155970"/>
      <w:bookmarkStart w:id="156" w:name="_Toc25129"/>
      <w:bookmarkStart w:id="157" w:name="_Toc277082621"/>
      <w:bookmarkStart w:id="158" w:name="_Toc1387"/>
      <w:bookmarkStart w:id="159" w:name="_Toc377067341"/>
      <w:bookmarkStart w:id="160" w:name="_Toc6503"/>
      <w:bookmarkStart w:id="161" w:name="_Toc376114122"/>
      <w:bookmarkStart w:id="162" w:name="_Toc330569208"/>
      <w:r>
        <w:rPr>
          <w:rFonts w:hint="eastAsia"/>
          <w:highlight w:val="none"/>
        </w:rPr>
        <w:t>2.2 分值构成与评分标准</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11CA39">
      <w:pPr>
        <w:ind w:firstLine="420"/>
        <w:rPr>
          <w:highlight w:val="none"/>
        </w:rPr>
      </w:pPr>
      <w:r>
        <w:rPr>
          <w:rFonts w:hint="eastAsia"/>
          <w:highlight w:val="none"/>
        </w:rPr>
        <w:t xml:space="preserve">2.2.1 分值构成：见评审办法前附表。 </w:t>
      </w:r>
    </w:p>
    <w:p w14:paraId="1C87D77B">
      <w:pPr>
        <w:ind w:firstLine="420"/>
        <w:rPr>
          <w:highlight w:val="none"/>
        </w:rPr>
      </w:pPr>
      <w:r>
        <w:rPr>
          <w:rFonts w:hint="eastAsia"/>
          <w:highlight w:val="none"/>
        </w:rPr>
        <w:t>2.2.2 评审基准价计算方法：见评审办法前附表。</w:t>
      </w:r>
    </w:p>
    <w:p w14:paraId="22625D4E">
      <w:pPr>
        <w:ind w:firstLine="420"/>
        <w:rPr>
          <w:highlight w:val="none"/>
        </w:rPr>
      </w:pPr>
      <w:r>
        <w:rPr>
          <w:rFonts w:hint="eastAsia"/>
          <w:highlight w:val="none"/>
        </w:rPr>
        <w:t>2.2.3 评分标准： （1）响应报价评分标准：见评审办法前附表；</w:t>
      </w:r>
    </w:p>
    <w:p w14:paraId="32A24816">
      <w:pPr>
        <w:ind w:left="1680" w:firstLine="420"/>
        <w:rPr>
          <w:highlight w:val="none"/>
        </w:rPr>
      </w:pPr>
      <w:r>
        <w:rPr>
          <w:rFonts w:hint="eastAsia"/>
          <w:highlight w:val="none"/>
        </w:rPr>
        <w:t>（2）商务部分评分标准：见评审办法前附表；</w:t>
      </w:r>
    </w:p>
    <w:p w14:paraId="16B44A2A">
      <w:pPr>
        <w:ind w:left="1680" w:firstLine="420"/>
        <w:rPr>
          <w:highlight w:val="none"/>
        </w:rPr>
      </w:pPr>
      <w:r>
        <w:rPr>
          <w:rFonts w:hint="eastAsia"/>
          <w:highlight w:val="none"/>
        </w:rPr>
        <w:t>（3）实施部分评分标准：见评审办法前附表。</w:t>
      </w:r>
    </w:p>
    <w:p w14:paraId="1D8DDC64">
      <w:pPr>
        <w:pStyle w:val="3"/>
        <w:rPr>
          <w:highlight w:val="none"/>
        </w:rPr>
      </w:pPr>
      <w:bookmarkStart w:id="163" w:name="_Toc376114123"/>
      <w:bookmarkStart w:id="164" w:name="_Toc287620755"/>
      <w:bookmarkStart w:id="165" w:name="_Toc2982"/>
      <w:bookmarkStart w:id="166" w:name="_Toc200513202"/>
      <w:bookmarkStart w:id="167" w:name="_Toc8004"/>
      <w:bookmarkStart w:id="168" w:name="_Toc224103388"/>
      <w:bookmarkStart w:id="169" w:name="_Toc377115422"/>
      <w:bookmarkStart w:id="170" w:name="_Toc9488"/>
      <w:bookmarkStart w:id="171" w:name="_Toc23633"/>
      <w:bookmarkStart w:id="172" w:name="_Toc440022830"/>
      <w:bookmarkStart w:id="173" w:name="_Toc377067342"/>
      <w:bookmarkStart w:id="174" w:name="_Toc5546"/>
      <w:bookmarkStart w:id="175" w:name="_Toc12538"/>
      <w:bookmarkStart w:id="176" w:name="_Toc287607816"/>
      <w:bookmarkStart w:id="177" w:name="_Toc444155971"/>
      <w:bookmarkStart w:id="178" w:name="_Toc330569209"/>
      <w:bookmarkStart w:id="179" w:name="_Toc277082622"/>
      <w:bookmarkStart w:id="180" w:name="_Toc407195382"/>
      <w:bookmarkStart w:id="181" w:name="_Toc15132"/>
      <w:bookmarkStart w:id="182" w:name="_Toc14353"/>
      <w:r>
        <w:rPr>
          <w:rFonts w:hint="eastAsia"/>
          <w:highlight w:val="none"/>
        </w:rPr>
        <w:t>3. 评审程序</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64CA578">
      <w:pPr>
        <w:pStyle w:val="4"/>
        <w:ind w:firstLine="422"/>
        <w:rPr>
          <w:highlight w:val="none"/>
        </w:rPr>
      </w:pPr>
      <w:bookmarkStart w:id="183" w:name="_Toc224103389"/>
      <w:bookmarkStart w:id="184" w:name="_Toc6448"/>
      <w:bookmarkStart w:id="185" w:name="_Toc407195383"/>
      <w:bookmarkStart w:id="186" w:name="_Toc277082623"/>
      <w:bookmarkStart w:id="187" w:name="_Toc13851"/>
      <w:bookmarkStart w:id="188" w:name="_Toc9683"/>
      <w:bookmarkStart w:id="189" w:name="_Toc377067343"/>
      <w:bookmarkStart w:id="190" w:name="_Toc200513203"/>
      <w:bookmarkStart w:id="191" w:name="_Toc22279"/>
      <w:bookmarkStart w:id="192" w:name="_Toc5462"/>
      <w:bookmarkStart w:id="193" w:name="_Toc287620756"/>
      <w:bookmarkStart w:id="194" w:name="_Toc377115423"/>
      <w:bookmarkStart w:id="195" w:name="_Toc440022831"/>
      <w:bookmarkStart w:id="196" w:name="_Toc287607817"/>
      <w:bookmarkStart w:id="197" w:name="_Toc376114124"/>
      <w:bookmarkStart w:id="198" w:name="_Toc330569210"/>
      <w:bookmarkStart w:id="199" w:name="_Toc444155972"/>
      <w:bookmarkStart w:id="200" w:name="_Toc19840"/>
      <w:bookmarkStart w:id="201" w:name="_Toc32002"/>
      <w:r>
        <w:rPr>
          <w:rFonts w:hint="eastAsia"/>
          <w:highlight w:val="none"/>
        </w:rPr>
        <w:t>3.1 初步评审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574CED4">
      <w:pPr>
        <w:ind w:firstLine="420"/>
        <w:rPr>
          <w:highlight w:val="none"/>
        </w:rPr>
      </w:pPr>
      <w:bookmarkStart w:id="202" w:name="_Toc373264792"/>
      <w:bookmarkStart w:id="203" w:name="_Toc407195384"/>
      <w:bookmarkStart w:id="204" w:name="_Toc354387014"/>
      <w:bookmarkStart w:id="205" w:name="_Toc332380970"/>
      <w:bookmarkStart w:id="206" w:name="_Toc376114125"/>
      <w:bookmarkStart w:id="207" w:name="_Toc373172234"/>
      <w:bookmarkStart w:id="208" w:name="_Toc356243677"/>
      <w:bookmarkStart w:id="209" w:name="_Toc334002333"/>
      <w:bookmarkStart w:id="210" w:name="_Toc377067344"/>
      <w:bookmarkStart w:id="211" w:name="_Toc444155973"/>
      <w:bookmarkStart w:id="212" w:name="_Toc440022832"/>
      <w:bookmarkStart w:id="213" w:name="_Toc331232649"/>
      <w:bookmarkStart w:id="214" w:name="_Toc332028970"/>
      <w:bookmarkStart w:id="215" w:name="_Toc356484119"/>
      <w:bookmarkStart w:id="216" w:name="_Toc332015984"/>
      <w:bookmarkStart w:id="217" w:name="_Toc377115424"/>
      <w:bookmarkStart w:id="218" w:name="_Toc331232467"/>
      <w:bookmarkStart w:id="219" w:name="_Toc330569211"/>
      <w:bookmarkStart w:id="220" w:name="_Toc27164"/>
      <w:r>
        <w:rPr>
          <w:rFonts w:hint="eastAsia"/>
          <w:highlight w:val="none"/>
        </w:rPr>
        <w:t>3.1.1 评审委员会依据本章第2.1 条规定的标准对响应文件进行初步评审。有一项不符合评审标准的，作否决响应处理。</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D2F5384">
      <w:pPr>
        <w:ind w:firstLine="420"/>
        <w:rPr>
          <w:highlight w:val="none"/>
        </w:rPr>
      </w:pPr>
      <w:r>
        <w:rPr>
          <w:rFonts w:hint="eastAsia"/>
          <w:highlight w:val="none"/>
        </w:rPr>
        <w:t>3.1.2 响应人有以下情形之一的，其响应作否决响应处理：</w:t>
      </w:r>
    </w:p>
    <w:p w14:paraId="6BA3A0C7">
      <w:pPr>
        <w:ind w:firstLine="420"/>
        <w:rPr>
          <w:highlight w:val="none"/>
        </w:rPr>
      </w:pPr>
      <w:r>
        <w:rPr>
          <w:rFonts w:hint="eastAsia"/>
          <w:highlight w:val="none"/>
        </w:rPr>
        <w:t>3.1.2.1 有第二章“响应人须知”第9.条以及第11. 条规定的任何一种情形的；</w:t>
      </w:r>
    </w:p>
    <w:p w14:paraId="7F5BEA79">
      <w:pPr>
        <w:ind w:firstLine="420"/>
        <w:rPr>
          <w:highlight w:val="none"/>
        </w:rPr>
      </w:pPr>
      <w:r>
        <w:rPr>
          <w:rFonts w:hint="eastAsia"/>
          <w:highlight w:val="none"/>
        </w:rPr>
        <w:t>3.1.2.2 有串通响应、弄虚作假等其他违反相关法律、法规行为的；</w:t>
      </w:r>
    </w:p>
    <w:p w14:paraId="043F31A7">
      <w:pPr>
        <w:ind w:firstLine="420"/>
        <w:rPr>
          <w:highlight w:val="none"/>
        </w:rPr>
      </w:pPr>
      <w:r>
        <w:rPr>
          <w:rFonts w:hint="eastAsia"/>
          <w:highlight w:val="none"/>
        </w:rPr>
        <w:t>3.1.2.3 不按评审委员会要求澄清、说明或补正的。</w:t>
      </w:r>
    </w:p>
    <w:p w14:paraId="0760735E">
      <w:pPr>
        <w:ind w:firstLine="420"/>
        <w:rPr>
          <w:highlight w:val="none"/>
        </w:rPr>
      </w:pPr>
      <w:r>
        <w:rPr>
          <w:rFonts w:hint="eastAsia"/>
          <w:highlight w:val="none"/>
        </w:rPr>
        <w:t>3.1.2.4 本响应文件约定的其它情形。</w:t>
      </w:r>
    </w:p>
    <w:p w14:paraId="1A368A42">
      <w:pPr>
        <w:ind w:firstLine="420"/>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3962C6CA">
      <w:pPr>
        <w:pStyle w:val="4"/>
        <w:ind w:firstLine="422"/>
        <w:rPr>
          <w:highlight w:val="none"/>
        </w:rPr>
      </w:pPr>
      <w:bookmarkStart w:id="221" w:name="_Toc277082624"/>
      <w:bookmarkStart w:id="222" w:name="_Toc377115425"/>
      <w:bookmarkStart w:id="223" w:name="_Toc287620757"/>
      <w:bookmarkStart w:id="224" w:name="_Toc22246"/>
      <w:bookmarkStart w:id="225" w:name="_Toc10847"/>
      <w:bookmarkStart w:id="226" w:name="_Toc444155974"/>
      <w:bookmarkStart w:id="227" w:name="_Toc287607818"/>
      <w:bookmarkStart w:id="228" w:name="_Toc224103390"/>
      <w:bookmarkStart w:id="229" w:name="_Toc22848"/>
      <w:bookmarkStart w:id="230" w:name="_Toc29925"/>
      <w:bookmarkStart w:id="231" w:name="_Toc440022833"/>
      <w:bookmarkStart w:id="232" w:name="_Toc407195385"/>
      <w:bookmarkStart w:id="233" w:name="_Toc377067345"/>
      <w:bookmarkStart w:id="234" w:name="_Toc330569212"/>
      <w:bookmarkStart w:id="235" w:name="_Toc200513204"/>
      <w:bookmarkStart w:id="236" w:name="_Toc376114126"/>
      <w:bookmarkStart w:id="237" w:name="_Toc19604"/>
      <w:bookmarkStart w:id="238" w:name="_Toc11246"/>
      <w:bookmarkStart w:id="239" w:name="_Toc7832"/>
      <w:r>
        <w:rPr>
          <w:rFonts w:hint="eastAsia"/>
          <w:highlight w:val="none"/>
        </w:rPr>
        <w:t>3.2 详细评审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D7111CB">
      <w:pPr>
        <w:ind w:firstLine="420"/>
        <w:rPr>
          <w:highlight w:val="none"/>
        </w:rPr>
      </w:pPr>
      <w:r>
        <w:rPr>
          <w:rFonts w:hint="eastAsia"/>
          <w:highlight w:val="none"/>
        </w:rPr>
        <w:t>3.2.1 评审委员会按本章第2.2 条规定的量化因素和分值进行打分，并计算出综合评估得分。</w:t>
      </w:r>
    </w:p>
    <w:p w14:paraId="15C46D7E">
      <w:pPr>
        <w:ind w:firstLine="420"/>
        <w:rPr>
          <w:highlight w:val="none"/>
        </w:rPr>
      </w:pPr>
      <w:r>
        <w:rPr>
          <w:rFonts w:hint="eastAsia"/>
          <w:highlight w:val="none"/>
        </w:rPr>
        <w:t>3.2.1.1 按本章第2.2 条规定的评审因素和分值对响应报价计算出得分；</w:t>
      </w:r>
    </w:p>
    <w:p w14:paraId="2BA93EF6">
      <w:pPr>
        <w:ind w:firstLine="420"/>
        <w:rPr>
          <w:highlight w:val="none"/>
        </w:rPr>
      </w:pPr>
      <w:r>
        <w:rPr>
          <w:rFonts w:hint="eastAsia"/>
          <w:highlight w:val="none"/>
        </w:rPr>
        <w:t>3.2.1.2 按本章第2.2 条规定的评审因素和分值对商务部分计算出得分（评审委员会统一打分）；</w:t>
      </w:r>
    </w:p>
    <w:p w14:paraId="16E12216">
      <w:pPr>
        <w:ind w:firstLine="420"/>
        <w:rPr>
          <w:highlight w:val="none"/>
        </w:rPr>
      </w:pPr>
      <w:r>
        <w:rPr>
          <w:rFonts w:hint="eastAsia"/>
          <w:highlight w:val="none"/>
        </w:rPr>
        <w:t>3.2.2 评分分值计算保留小数点后两位，小数点后第三位“四舍五入”。</w:t>
      </w:r>
    </w:p>
    <w:p w14:paraId="55E55ABE">
      <w:pPr>
        <w:ind w:firstLine="420"/>
        <w:rPr>
          <w:highlight w:val="none"/>
        </w:rPr>
      </w:pPr>
      <w:r>
        <w:rPr>
          <w:rFonts w:hint="eastAsia"/>
          <w:highlight w:val="none"/>
        </w:rPr>
        <w:t>3.2.3 响应人得分=响应报价得分+商务部分得分+实施部分得分。</w:t>
      </w:r>
    </w:p>
    <w:p w14:paraId="5AD70011">
      <w:pPr>
        <w:pStyle w:val="4"/>
        <w:ind w:firstLine="422"/>
        <w:rPr>
          <w:highlight w:val="none"/>
        </w:rPr>
      </w:pPr>
      <w:bookmarkStart w:id="240" w:name="_Toc224103391"/>
      <w:bookmarkStart w:id="241" w:name="_Toc376114127"/>
      <w:bookmarkStart w:id="242" w:name="_Toc377115426"/>
      <w:bookmarkStart w:id="243" w:name="_Toc377067346"/>
      <w:bookmarkStart w:id="244" w:name="_Toc440022834"/>
      <w:bookmarkStart w:id="245" w:name="_Toc330569213"/>
      <w:bookmarkStart w:id="246" w:name="_Toc18708"/>
      <w:bookmarkStart w:id="247" w:name="_Toc277082625"/>
      <w:bookmarkStart w:id="248" w:name="_Toc29261"/>
      <w:bookmarkStart w:id="249" w:name="_Toc287620758"/>
      <w:bookmarkStart w:id="250" w:name="_Toc20948"/>
      <w:bookmarkStart w:id="251" w:name="_Toc32039"/>
      <w:bookmarkStart w:id="252" w:name="_Toc1080"/>
      <w:bookmarkStart w:id="253" w:name="_Toc444155975"/>
      <w:bookmarkStart w:id="254" w:name="_Toc407195386"/>
      <w:bookmarkStart w:id="255" w:name="_Toc7176"/>
      <w:bookmarkStart w:id="256" w:name="_Toc200513205"/>
      <w:bookmarkStart w:id="257" w:name="_Toc2542"/>
      <w:bookmarkStart w:id="258" w:name="_Toc287607819"/>
      <w:r>
        <w:rPr>
          <w:rFonts w:hint="eastAsia"/>
          <w:highlight w:val="none"/>
        </w:rPr>
        <w:t>3.3 响应文件的澄清和补正</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52A6C3D">
      <w:pPr>
        <w:ind w:firstLine="420"/>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7870E64">
      <w:pPr>
        <w:ind w:firstLine="420"/>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233FEEF1">
      <w:pPr>
        <w:ind w:firstLine="420"/>
        <w:rPr>
          <w:highlight w:val="none"/>
        </w:rPr>
      </w:pPr>
      <w:r>
        <w:rPr>
          <w:rFonts w:hint="eastAsia"/>
          <w:highlight w:val="none"/>
        </w:rPr>
        <w:t>3.3.3 评审委员会对响应人提交的澄清、说明或补正有疑问的，可以要求响应人进一步澄清、说明或补正，直至满足评审委员会的要求。</w:t>
      </w:r>
    </w:p>
    <w:p w14:paraId="66BE5A81">
      <w:pPr>
        <w:pStyle w:val="4"/>
        <w:ind w:firstLine="422"/>
        <w:rPr>
          <w:highlight w:val="none"/>
        </w:rPr>
      </w:pPr>
      <w:bookmarkStart w:id="259" w:name="_Toc30672"/>
      <w:bookmarkStart w:id="260" w:name="_Toc330569214"/>
      <w:bookmarkStart w:id="261" w:name="_Toc377067347"/>
      <w:bookmarkStart w:id="262" w:name="_Toc440022835"/>
      <w:bookmarkStart w:id="263" w:name="_Toc19054"/>
      <w:bookmarkStart w:id="264" w:name="_Toc277082626"/>
      <w:bookmarkStart w:id="265" w:name="_Toc224103392"/>
      <w:bookmarkStart w:id="266" w:name="_Toc200513206"/>
      <w:bookmarkStart w:id="267" w:name="_Toc287620759"/>
      <w:bookmarkStart w:id="268" w:name="_Toc376114128"/>
      <w:bookmarkStart w:id="269" w:name="_Toc31270"/>
      <w:bookmarkStart w:id="270" w:name="_Toc4814"/>
      <w:bookmarkStart w:id="271" w:name="_Toc377115427"/>
      <w:bookmarkStart w:id="272" w:name="_Toc407195387"/>
      <w:bookmarkStart w:id="273" w:name="_Toc444155976"/>
      <w:bookmarkStart w:id="274" w:name="_Toc21450"/>
      <w:bookmarkStart w:id="275" w:name="_Toc14840"/>
      <w:bookmarkStart w:id="276" w:name="_Toc6310"/>
      <w:bookmarkStart w:id="277" w:name="_Toc287607820"/>
      <w:r>
        <w:rPr>
          <w:rFonts w:hint="eastAsia"/>
          <w:highlight w:val="none"/>
        </w:rPr>
        <w:t>3.4 评审结果</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FA30797">
      <w:pPr>
        <w:ind w:firstLine="420"/>
        <w:rPr>
          <w:highlight w:val="none"/>
        </w:rPr>
      </w:pPr>
      <w:r>
        <w:rPr>
          <w:rFonts w:hint="eastAsia"/>
          <w:highlight w:val="none"/>
        </w:rPr>
        <w:t>3.4.1 评审委员会按照得分由高到低的顺序排序并确定排名。</w:t>
      </w:r>
    </w:p>
    <w:p w14:paraId="1C6707F2">
      <w:pPr>
        <w:ind w:firstLine="420"/>
        <w:rPr>
          <w:highlight w:val="none"/>
        </w:rPr>
      </w:pPr>
      <w:r>
        <w:rPr>
          <w:rFonts w:hint="eastAsia"/>
          <w:highlight w:val="none"/>
        </w:rPr>
        <w:t>3.4.2 评审委员会完成评审后，应当向采购人提交书面评审报告。</w:t>
      </w:r>
    </w:p>
    <w:p w14:paraId="37A88B75">
      <w:pPr>
        <w:ind w:firstLine="420"/>
        <w:rPr>
          <w:highlight w:val="none"/>
        </w:rPr>
      </w:pPr>
      <w:r>
        <w:rPr>
          <w:rFonts w:hint="eastAsia"/>
          <w:highlight w:val="none"/>
        </w:rPr>
        <w:t>3.4.3 有效响应不足三个的，经评审委员会判定，响应人具有相对行业竞争力的，可继续进行评审并确定排名。</w:t>
      </w:r>
    </w:p>
    <w:p w14:paraId="57FAD85A">
      <w:pPr>
        <w:pStyle w:val="4"/>
        <w:ind w:firstLine="422"/>
        <w:rPr>
          <w:highlight w:val="none"/>
        </w:rPr>
      </w:pPr>
      <w:r>
        <w:rPr>
          <w:rFonts w:hint="eastAsia"/>
          <w:highlight w:val="none"/>
        </w:rPr>
        <w:t>3.5 对评审委员会成员的纪律要求</w:t>
      </w:r>
    </w:p>
    <w:p w14:paraId="4D4ACE29">
      <w:pPr>
        <w:ind w:firstLine="420"/>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9D3D016">
      <w:pPr>
        <w:pStyle w:val="4"/>
        <w:ind w:firstLine="422"/>
        <w:rPr>
          <w:highlight w:val="none"/>
        </w:rPr>
      </w:pPr>
      <w:r>
        <w:rPr>
          <w:rFonts w:hint="eastAsia"/>
          <w:highlight w:val="none"/>
        </w:rPr>
        <w:t>3.6 对与评审活动有关的工作人员的纪律要求</w:t>
      </w:r>
    </w:p>
    <w:p w14:paraId="5DE2C9FC">
      <w:pPr>
        <w:ind w:firstLine="420"/>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606BBB43">
      <w:pPr>
        <w:ind w:firstLine="420"/>
        <w:rPr>
          <w:highlight w:val="none"/>
        </w:rPr>
      </w:pPr>
    </w:p>
    <w:p w14:paraId="1FFBD6B4">
      <w:pPr>
        <w:ind w:firstLine="420"/>
        <w:rPr>
          <w:highlight w:val="none"/>
        </w:rPr>
        <w:sectPr>
          <w:pgSz w:w="11906" w:h="16838"/>
          <w:pgMar w:top="1440" w:right="1800" w:bottom="1440" w:left="1800" w:header="851" w:footer="992" w:gutter="0"/>
          <w:pgNumType w:fmt="decimal"/>
          <w:cols w:space="425" w:num="1"/>
          <w:docGrid w:type="lines" w:linePitch="312" w:charSpace="0"/>
        </w:sectPr>
      </w:pPr>
    </w:p>
    <w:p w14:paraId="1B68774F">
      <w:pPr>
        <w:pStyle w:val="2"/>
        <w:rPr>
          <w:highlight w:val="none"/>
        </w:rPr>
      </w:pPr>
      <w:bookmarkStart w:id="278" w:name="_Toc150953074"/>
      <w:bookmarkStart w:id="279" w:name="_Toc20986"/>
      <w:bookmarkStart w:id="280" w:name="_Toc13031"/>
      <w:bookmarkStart w:id="281" w:name="_Toc25316"/>
      <w:bookmarkStart w:id="282" w:name="_Toc15877"/>
      <w:bookmarkStart w:id="283" w:name="_Toc303066034"/>
      <w:bookmarkStart w:id="284" w:name="_Toc89675170"/>
      <w:r>
        <w:rPr>
          <w:rFonts w:hint="eastAsia"/>
          <w:highlight w:val="none"/>
        </w:rPr>
        <w:t>第五章 合同</w:t>
      </w:r>
      <w:r>
        <w:rPr>
          <w:highlight w:val="none"/>
        </w:rPr>
        <w:t>模板</w:t>
      </w:r>
      <w:bookmarkEnd w:id="278"/>
      <w:bookmarkEnd w:id="279"/>
      <w:bookmarkEnd w:id="280"/>
      <w:bookmarkEnd w:id="281"/>
      <w:bookmarkEnd w:id="282"/>
    </w:p>
    <w:p w14:paraId="11B5C2DB">
      <w:pPr>
        <w:ind w:firstLine="0" w:firstLineChars="0"/>
        <w:jc w:val="center"/>
        <w:rPr>
          <w:highlight w:val="none"/>
        </w:rPr>
      </w:pPr>
      <w:r>
        <w:rPr>
          <w:rFonts w:hint="eastAsia"/>
          <w:highlight w:val="none"/>
        </w:rPr>
        <w:t>（本章节的合同条款及格式仅供参考，具体以合同签订时为准）</w:t>
      </w:r>
    </w:p>
    <w:p w14:paraId="05010508">
      <w:pPr>
        <w:ind w:firstLine="420"/>
        <w:rPr>
          <w:highlight w:val="none"/>
        </w:rPr>
      </w:pPr>
      <w:r>
        <w:rPr>
          <w:rFonts w:hint="eastAsia"/>
          <w:highlight w:val="none"/>
        </w:rPr>
        <w:br w:type="page"/>
      </w:r>
    </w:p>
    <w:p w14:paraId="132AC399">
      <w:pPr>
        <w:ind w:firstLine="560"/>
        <w:jc w:val="right"/>
        <w:rPr>
          <w:rStyle w:val="25"/>
          <w:rFonts w:hint="eastAsia" w:ascii="宋体" w:hAnsi="宋体"/>
          <w:b w:val="0"/>
          <w:sz w:val="28"/>
          <w:szCs w:val="28"/>
          <w:highlight w:val="none"/>
        </w:rPr>
      </w:pPr>
      <w:r>
        <w:rPr>
          <w:rStyle w:val="25"/>
          <w:rFonts w:hint="eastAsia" w:ascii="宋体" w:hAnsi="宋体"/>
          <w:b w:val="0"/>
          <w:sz w:val="28"/>
          <w:szCs w:val="28"/>
          <w:highlight w:val="none"/>
        </w:rPr>
        <w:t>编号：</w:t>
      </w:r>
      <w:r>
        <w:rPr>
          <w:rStyle w:val="25"/>
          <w:rFonts w:ascii="宋体" w:hAnsi="宋体"/>
          <w:b w:val="0"/>
          <w:sz w:val="28"/>
          <w:szCs w:val="28"/>
          <w:highlight w:val="none"/>
        </w:rPr>
        <w:t>SXYHXXKJ202_____</w:t>
      </w:r>
    </w:p>
    <w:p w14:paraId="6A9E8731">
      <w:pPr>
        <w:ind w:firstLine="422"/>
        <w:jc w:val="center"/>
        <w:rPr>
          <w:rStyle w:val="25"/>
          <w:szCs w:val="21"/>
          <w:highlight w:val="none"/>
        </w:rPr>
      </w:pPr>
    </w:p>
    <w:p w14:paraId="5EB54EFF">
      <w:pPr>
        <w:ind w:firstLine="422"/>
        <w:jc w:val="center"/>
        <w:rPr>
          <w:rStyle w:val="25"/>
          <w:szCs w:val="21"/>
          <w:highlight w:val="none"/>
        </w:rPr>
      </w:pPr>
    </w:p>
    <w:p w14:paraId="6CA47190">
      <w:pPr>
        <w:ind w:firstLine="422"/>
        <w:jc w:val="center"/>
        <w:rPr>
          <w:rStyle w:val="25"/>
          <w:szCs w:val="21"/>
          <w:highlight w:val="none"/>
        </w:rPr>
      </w:pPr>
    </w:p>
    <w:p w14:paraId="7BA594D9">
      <w:pPr>
        <w:ind w:firstLine="422"/>
        <w:jc w:val="center"/>
        <w:rPr>
          <w:rStyle w:val="25"/>
          <w:szCs w:val="21"/>
          <w:highlight w:val="none"/>
        </w:rPr>
      </w:pPr>
    </w:p>
    <w:p w14:paraId="1A4C4CA2">
      <w:pPr>
        <w:ind w:firstLine="1044"/>
        <w:jc w:val="center"/>
        <w:rPr>
          <w:rStyle w:val="25"/>
          <w:rFonts w:hint="eastAsia" w:ascii="宋体" w:hAnsi="宋体"/>
          <w:sz w:val="52"/>
          <w:szCs w:val="52"/>
          <w:highlight w:val="none"/>
        </w:rPr>
      </w:pPr>
      <w:r>
        <w:rPr>
          <w:rStyle w:val="25"/>
          <w:rFonts w:hint="eastAsia" w:ascii="宋体" w:hAnsi="宋体"/>
          <w:sz w:val="52"/>
          <w:szCs w:val="52"/>
          <w:highlight w:val="none"/>
        </w:rPr>
        <w:t>重庆三峡银行</w:t>
      </w:r>
    </w:p>
    <w:p w14:paraId="7C24A9CE">
      <w:pPr>
        <w:ind w:firstLine="1044"/>
        <w:jc w:val="center"/>
        <w:rPr>
          <w:rFonts w:ascii="宋体"/>
          <w:sz w:val="52"/>
          <w:szCs w:val="52"/>
          <w:highlight w:val="none"/>
        </w:rPr>
      </w:pPr>
      <w:r>
        <w:rPr>
          <w:rStyle w:val="25"/>
          <w:rFonts w:ascii="宋体" w:hAnsi="宋体"/>
          <w:sz w:val="52"/>
          <w:szCs w:val="52"/>
          <w:highlight w:val="none"/>
        </w:rPr>
        <w:t>智能交易风控系统项目</w:t>
      </w:r>
    </w:p>
    <w:p w14:paraId="25934491">
      <w:pPr>
        <w:ind w:firstLine="1044"/>
        <w:jc w:val="center"/>
        <w:rPr>
          <w:rStyle w:val="25"/>
          <w:sz w:val="36"/>
          <w:szCs w:val="21"/>
          <w:highlight w:val="none"/>
        </w:rPr>
      </w:pPr>
      <w:r>
        <w:rPr>
          <w:rStyle w:val="25"/>
          <w:rFonts w:hint="eastAsia" w:ascii="宋体" w:hAnsi="宋体"/>
          <w:sz w:val="52"/>
          <w:szCs w:val="52"/>
          <w:highlight w:val="none"/>
        </w:rPr>
        <w:t>外包开发合同</w:t>
      </w:r>
    </w:p>
    <w:p w14:paraId="1DBA248D">
      <w:pPr>
        <w:ind w:firstLine="422"/>
        <w:jc w:val="center"/>
        <w:rPr>
          <w:rStyle w:val="25"/>
          <w:szCs w:val="21"/>
          <w:highlight w:val="none"/>
        </w:rPr>
      </w:pPr>
    </w:p>
    <w:p w14:paraId="0918FFB4">
      <w:pPr>
        <w:ind w:firstLine="422"/>
        <w:jc w:val="center"/>
        <w:rPr>
          <w:rStyle w:val="25"/>
          <w:szCs w:val="21"/>
          <w:highlight w:val="none"/>
        </w:rPr>
      </w:pPr>
    </w:p>
    <w:p w14:paraId="1F166500">
      <w:pPr>
        <w:ind w:firstLine="422"/>
        <w:jc w:val="center"/>
        <w:rPr>
          <w:b/>
          <w:bCs/>
          <w:highlight w:val="none"/>
        </w:rPr>
      </w:pPr>
    </w:p>
    <w:p w14:paraId="392D64DA">
      <w:pPr>
        <w:ind w:firstLine="422"/>
        <w:jc w:val="center"/>
        <w:rPr>
          <w:b/>
          <w:bCs/>
          <w:highlight w:val="none"/>
        </w:rPr>
      </w:pPr>
    </w:p>
    <w:p w14:paraId="1D82CD59">
      <w:pPr>
        <w:ind w:firstLine="422"/>
        <w:jc w:val="center"/>
        <w:rPr>
          <w:b/>
          <w:bCs/>
          <w:highlight w:val="none"/>
        </w:rPr>
      </w:pPr>
    </w:p>
    <w:p w14:paraId="3E0C941E">
      <w:pPr>
        <w:ind w:firstLine="422"/>
        <w:rPr>
          <w:b/>
          <w:bCs/>
          <w:highlight w:val="none"/>
        </w:rPr>
      </w:pPr>
    </w:p>
    <w:p w14:paraId="039B1300">
      <w:pPr>
        <w:ind w:left="840" w:firstLine="420" w:firstLineChars="0"/>
        <w:rPr>
          <w:rFonts w:ascii="宋体"/>
          <w:b/>
          <w:bCs/>
          <w:sz w:val="28"/>
          <w:highlight w:val="none"/>
        </w:rPr>
      </w:pPr>
      <w:r>
        <w:rPr>
          <w:rFonts w:hint="eastAsia" w:ascii="宋体"/>
          <w:b/>
          <w:bCs/>
          <w:sz w:val="28"/>
          <w:highlight w:val="none"/>
        </w:rPr>
        <w:t>委托方（甲方）：重庆三峡银行股份有限公司</w:t>
      </w:r>
    </w:p>
    <w:p w14:paraId="6F34A124">
      <w:pPr>
        <w:ind w:left="840" w:firstLine="420" w:firstLineChars="0"/>
        <w:rPr>
          <w:rFonts w:ascii="宋体"/>
          <w:b/>
          <w:bCs/>
          <w:sz w:val="28"/>
          <w:highlight w:val="none"/>
        </w:rPr>
      </w:pPr>
      <w:r>
        <w:rPr>
          <w:rFonts w:hint="eastAsia" w:ascii="宋体"/>
          <w:b/>
          <w:bCs/>
          <w:sz w:val="28"/>
          <w:highlight w:val="none"/>
        </w:rPr>
        <w:t>受托方（乙方）：XXXXXXXXXXX</w:t>
      </w:r>
    </w:p>
    <w:p w14:paraId="5116E07B">
      <w:pPr>
        <w:ind w:left="840" w:firstLine="420" w:firstLineChars="0"/>
        <w:rPr>
          <w:rFonts w:ascii="宋体"/>
          <w:b/>
          <w:highlight w:val="none"/>
        </w:rPr>
      </w:pPr>
      <w:r>
        <w:rPr>
          <w:rFonts w:hint="eastAsia" w:ascii="宋体"/>
          <w:b/>
          <w:bCs/>
          <w:sz w:val="28"/>
          <w:highlight w:val="none"/>
        </w:rPr>
        <w:t>签订地点</w:t>
      </w:r>
      <w:r>
        <w:rPr>
          <w:rFonts w:hint="eastAsia" w:ascii="宋体"/>
          <w:b/>
          <w:sz w:val="28"/>
          <w:highlight w:val="none"/>
        </w:rPr>
        <w:t>：</w:t>
      </w:r>
    </w:p>
    <w:p w14:paraId="75AEB901">
      <w:pPr>
        <w:ind w:firstLine="643"/>
        <w:rPr>
          <w:b/>
          <w:sz w:val="32"/>
          <w:highlight w:val="none"/>
        </w:rPr>
      </w:pPr>
    </w:p>
    <w:p w14:paraId="4AFC51E6">
      <w:pPr>
        <w:ind w:firstLine="420"/>
        <w:jc w:val="center"/>
        <w:rPr>
          <w:rFonts w:ascii="宋体"/>
          <w:b/>
          <w:sz w:val="32"/>
          <w:szCs w:val="32"/>
          <w:highlight w:val="none"/>
        </w:rPr>
      </w:pPr>
      <w:r>
        <w:rPr>
          <w:highlight w:val="none"/>
        </w:rPr>
        <w:br w:type="page"/>
      </w:r>
      <w:r>
        <w:rPr>
          <w:rFonts w:hint="eastAsia" w:ascii="宋体"/>
          <w:b/>
          <w:sz w:val="32"/>
          <w:szCs w:val="32"/>
          <w:highlight w:val="none"/>
        </w:rPr>
        <w:t>目    录</w:t>
      </w:r>
    </w:p>
    <w:p w14:paraId="4CDECC2E">
      <w:pPr>
        <w:pStyle w:val="20"/>
        <w:tabs>
          <w:tab w:val="right" w:leader="dot" w:pos="8302"/>
        </w:tabs>
        <w:ind w:firstLine="420"/>
        <w:rPr>
          <w:rFonts w:ascii="等线" w:eastAsia="等线"/>
          <w:szCs w:val="22"/>
          <w:highlight w:val="none"/>
        </w:rPr>
      </w:pPr>
      <w:r>
        <w:rPr>
          <w:rFonts w:hint="eastAsia" w:ascii="宋体"/>
          <w:highlight w:val="none"/>
        </w:rPr>
        <w:fldChar w:fldCharType="begin"/>
      </w:r>
      <w:r>
        <w:rPr>
          <w:rFonts w:hint="eastAsia" w:ascii="宋体"/>
          <w:highlight w:val="none"/>
        </w:rPr>
        <w:instrText xml:space="preserve"> TOC \o "1-3" \n \h \z \u </w:instrText>
      </w:r>
      <w:r>
        <w:rPr>
          <w:rFonts w:hint="eastAsia" w:ascii="宋体"/>
          <w:highlight w:val="none"/>
        </w:rPr>
        <w:fldChar w:fldCharType="separate"/>
      </w:r>
      <w:r>
        <w:rPr>
          <w:highlight w:val="none"/>
        </w:rPr>
        <w:fldChar w:fldCharType="begin"/>
      </w:r>
      <w:r>
        <w:rPr>
          <w:highlight w:val="none"/>
        </w:rPr>
        <w:instrText xml:space="preserve"> HYPERLINK \l "_Toc63757457" </w:instrText>
      </w:r>
      <w:r>
        <w:rPr>
          <w:highlight w:val="none"/>
        </w:rPr>
        <w:fldChar w:fldCharType="separate"/>
      </w:r>
      <w:r>
        <w:rPr>
          <w:rFonts w:hint="eastAsia" w:ascii="宋体"/>
          <w:b/>
          <w:highlight w:val="none"/>
        </w:rPr>
        <w:t>第一条  定义</w:t>
      </w:r>
      <w:r>
        <w:rPr>
          <w:rFonts w:hint="eastAsia" w:ascii="宋体"/>
          <w:b/>
          <w:highlight w:val="none"/>
        </w:rPr>
        <w:fldChar w:fldCharType="end"/>
      </w:r>
    </w:p>
    <w:p w14:paraId="1A4BE292">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"_Toc63757458" </w:instrText>
      </w:r>
      <w:r>
        <w:rPr>
          <w:highlight w:val="none"/>
        </w:rPr>
        <w:fldChar w:fldCharType="separate"/>
      </w:r>
      <w:r>
        <w:rPr>
          <w:rFonts w:hint="eastAsia" w:ascii="宋体"/>
          <w:b/>
          <w:highlight w:val="none"/>
        </w:rPr>
        <w:t>第二条  外包开发内容</w:t>
      </w:r>
      <w:r>
        <w:rPr>
          <w:rFonts w:hint="eastAsia" w:ascii="宋体"/>
          <w:b/>
          <w:highlight w:val="none"/>
        </w:rPr>
        <w:fldChar w:fldCharType="end"/>
      </w:r>
    </w:p>
    <w:p w14:paraId="6C3FB70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"_Toc63757459" </w:instrText>
      </w:r>
      <w:r>
        <w:rPr>
          <w:highlight w:val="none"/>
        </w:rPr>
        <w:fldChar w:fldCharType="separate"/>
      </w:r>
      <w:r>
        <w:rPr>
          <w:rFonts w:hint="eastAsia" w:ascii="宋体"/>
          <w:b/>
          <w:highlight w:val="none"/>
        </w:rPr>
        <w:t>第三条  项目履行的进度、期限、地点、地域、方式</w:t>
      </w:r>
      <w:r>
        <w:rPr>
          <w:rFonts w:hint="eastAsia" w:ascii="宋体"/>
          <w:b/>
          <w:highlight w:val="none"/>
        </w:rPr>
        <w:fldChar w:fldCharType="end"/>
      </w:r>
    </w:p>
    <w:p w14:paraId="635E80E1">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"_Toc63757460" </w:instrText>
      </w:r>
      <w:r>
        <w:rPr>
          <w:highlight w:val="none"/>
        </w:rPr>
        <w:fldChar w:fldCharType="separate"/>
      </w:r>
      <w:r>
        <w:rPr>
          <w:rFonts w:hint="eastAsia" w:ascii="宋体"/>
          <w:b/>
          <w:highlight w:val="none"/>
        </w:rPr>
        <w:t>第四条  方案调整</w:t>
      </w:r>
      <w:r>
        <w:rPr>
          <w:rFonts w:hint="eastAsia" w:ascii="宋体"/>
          <w:b/>
          <w:highlight w:val="none"/>
        </w:rPr>
        <w:fldChar w:fldCharType="end"/>
      </w:r>
    </w:p>
    <w:p w14:paraId="3B832E0D">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"_Toc63757461" </w:instrText>
      </w:r>
      <w:r>
        <w:rPr>
          <w:highlight w:val="none"/>
        </w:rPr>
        <w:fldChar w:fldCharType="separate"/>
      </w:r>
      <w:r>
        <w:rPr>
          <w:rFonts w:hint="eastAsia" w:ascii="宋体"/>
          <w:b/>
          <w:highlight w:val="none"/>
        </w:rPr>
        <w:t>第五条  项目验收</w:t>
      </w:r>
      <w:r>
        <w:rPr>
          <w:rFonts w:hint="eastAsia" w:ascii="宋体"/>
          <w:b/>
          <w:highlight w:val="none"/>
        </w:rPr>
        <w:fldChar w:fldCharType="end"/>
      </w:r>
    </w:p>
    <w:p w14:paraId="328A7B4B">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"_Toc63757462" </w:instrText>
      </w:r>
      <w:r>
        <w:rPr>
          <w:highlight w:val="none"/>
        </w:rPr>
        <w:fldChar w:fldCharType="separate"/>
      </w:r>
      <w:r>
        <w:rPr>
          <w:rFonts w:hint="eastAsia" w:ascii="宋体"/>
          <w:b/>
          <w:highlight w:val="none"/>
        </w:rPr>
        <w:t>第六条  交付使用后维护期、系统完善和保修维护服务</w:t>
      </w:r>
      <w:r>
        <w:rPr>
          <w:rFonts w:hint="eastAsia" w:ascii="宋体"/>
          <w:b/>
          <w:highlight w:val="none"/>
        </w:rPr>
        <w:fldChar w:fldCharType="end"/>
      </w:r>
    </w:p>
    <w:p w14:paraId="05A8CC88">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"_Toc63757463" </w:instrText>
      </w:r>
      <w:r>
        <w:rPr>
          <w:highlight w:val="none"/>
        </w:rPr>
        <w:fldChar w:fldCharType="separate"/>
      </w:r>
      <w:r>
        <w:rPr>
          <w:rFonts w:hint="eastAsia" w:ascii="宋体"/>
          <w:b/>
          <w:highlight w:val="none"/>
        </w:rPr>
        <w:t>第七条  技术辅导与培训</w:t>
      </w:r>
      <w:r>
        <w:rPr>
          <w:rFonts w:hint="eastAsia" w:ascii="宋体"/>
          <w:b/>
          <w:highlight w:val="none"/>
        </w:rPr>
        <w:fldChar w:fldCharType="end"/>
      </w:r>
    </w:p>
    <w:p w14:paraId="37BB408B">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"_Toc63757464" </w:instrText>
      </w:r>
      <w:r>
        <w:rPr>
          <w:highlight w:val="none"/>
        </w:rPr>
        <w:fldChar w:fldCharType="separate"/>
      </w:r>
      <w:r>
        <w:rPr>
          <w:rFonts w:hint="eastAsia" w:ascii="宋体"/>
          <w:b/>
          <w:highlight w:val="none"/>
        </w:rPr>
        <w:t>第八条  双方的权利、义务</w:t>
      </w:r>
      <w:r>
        <w:rPr>
          <w:rFonts w:hint="eastAsia" w:ascii="宋体"/>
          <w:b/>
          <w:highlight w:val="none"/>
        </w:rPr>
        <w:fldChar w:fldCharType="end"/>
      </w:r>
    </w:p>
    <w:p w14:paraId="25A7E4BF">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"_Toc63757465" </w:instrText>
      </w:r>
      <w:r>
        <w:rPr>
          <w:highlight w:val="none"/>
        </w:rPr>
        <w:fldChar w:fldCharType="separate"/>
      </w:r>
      <w:r>
        <w:rPr>
          <w:rFonts w:hint="eastAsia" w:ascii="宋体"/>
          <w:b/>
          <w:highlight w:val="none"/>
        </w:rPr>
        <w:t>第九条  乙方的声明与保证</w:t>
      </w:r>
      <w:r>
        <w:rPr>
          <w:rFonts w:hint="eastAsia" w:ascii="宋体"/>
          <w:b/>
          <w:highlight w:val="none"/>
        </w:rPr>
        <w:fldChar w:fldCharType="end"/>
      </w:r>
    </w:p>
    <w:p w14:paraId="34FF3B78">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"_Toc63757466" </w:instrText>
      </w:r>
      <w:r>
        <w:rPr>
          <w:highlight w:val="none"/>
        </w:rPr>
        <w:fldChar w:fldCharType="separate"/>
      </w:r>
      <w:r>
        <w:rPr>
          <w:rFonts w:hint="eastAsia" w:ascii="宋体"/>
          <w:b/>
          <w:highlight w:val="none"/>
        </w:rPr>
        <w:t>第十条  知识产权</w:t>
      </w:r>
      <w:r>
        <w:rPr>
          <w:rFonts w:hint="eastAsia" w:ascii="宋体"/>
          <w:b/>
          <w:highlight w:val="none"/>
        </w:rPr>
        <w:fldChar w:fldCharType="end"/>
      </w:r>
    </w:p>
    <w:p w14:paraId="3E993A65">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"_Toc63757467" </w:instrText>
      </w:r>
      <w:r>
        <w:rPr>
          <w:highlight w:val="none"/>
        </w:rPr>
        <w:fldChar w:fldCharType="separate"/>
      </w:r>
      <w:r>
        <w:rPr>
          <w:rFonts w:hint="eastAsia" w:ascii="宋体"/>
          <w:b/>
          <w:highlight w:val="none"/>
        </w:rPr>
        <w:t>第十一条  第三方索赔</w:t>
      </w:r>
      <w:r>
        <w:rPr>
          <w:rFonts w:hint="eastAsia" w:ascii="宋体"/>
          <w:b/>
          <w:highlight w:val="none"/>
        </w:rPr>
        <w:fldChar w:fldCharType="end"/>
      </w:r>
    </w:p>
    <w:p w14:paraId="1761F95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"_Toc63757468" </w:instrText>
      </w:r>
      <w:r>
        <w:rPr>
          <w:highlight w:val="none"/>
        </w:rPr>
        <w:fldChar w:fldCharType="separate"/>
      </w:r>
      <w:r>
        <w:rPr>
          <w:rFonts w:hint="eastAsia" w:ascii="宋体"/>
          <w:b/>
          <w:highlight w:val="none"/>
        </w:rPr>
        <w:t>第十二条  保密</w:t>
      </w:r>
      <w:r>
        <w:rPr>
          <w:rFonts w:hint="eastAsia" w:ascii="宋体"/>
          <w:b/>
          <w:highlight w:val="none"/>
        </w:rPr>
        <w:fldChar w:fldCharType="end"/>
      </w:r>
    </w:p>
    <w:p w14:paraId="24A6CDA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"_Toc63757469" </w:instrText>
      </w:r>
      <w:r>
        <w:rPr>
          <w:highlight w:val="none"/>
        </w:rPr>
        <w:fldChar w:fldCharType="separate"/>
      </w:r>
      <w:r>
        <w:rPr>
          <w:rFonts w:hint="eastAsia" w:ascii="宋体"/>
          <w:b/>
          <w:highlight w:val="none"/>
        </w:rPr>
        <w:t>第十三条  价格与支付</w:t>
      </w:r>
      <w:r>
        <w:rPr>
          <w:rFonts w:hint="eastAsia" w:ascii="宋体"/>
          <w:b/>
          <w:highlight w:val="none"/>
        </w:rPr>
        <w:fldChar w:fldCharType="end"/>
      </w:r>
    </w:p>
    <w:p w14:paraId="2E2D4E99">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"_Toc63757470" </w:instrText>
      </w:r>
      <w:r>
        <w:rPr>
          <w:highlight w:val="none"/>
        </w:rPr>
        <w:fldChar w:fldCharType="separate"/>
      </w:r>
      <w:r>
        <w:rPr>
          <w:rFonts w:hint="eastAsia" w:ascii="宋体"/>
          <w:b/>
          <w:highlight w:val="none"/>
        </w:rPr>
        <w:t>第十四条  风险责任的承担</w:t>
      </w:r>
      <w:r>
        <w:rPr>
          <w:rFonts w:hint="eastAsia" w:ascii="宋体"/>
          <w:b/>
          <w:highlight w:val="none"/>
        </w:rPr>
        <w:fldChar w:fldCharType="end"/>
      </w:r>
    </w:p>
    <w:p w14:paraId="1B2D1AE0">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"_Toc63757471" </w:instrText>
      </w:r>
      <w:r>
        <w:rPr>
          <w:highlight w:val="none"/>
        </w:rPr>
        <w:fldChar w:fldCharType="separate"/>
      </w:r>
      <w:r>
        <w:rPr>
          <w:rFonts w:hint="eastAsia" w:ascii="宋体"/>
          <w:b/>
          <w:highlight w:val="none"/>
        </w:rPr>
        <w:t>第十五条  违约与赔偿</w:t>
      </w:r>
      <w:r>
        <w:rPr>
          <w:rFonts w:hint="eastAsia" w:ascii="宋体"/>
          <w:b/>
          <w:highlight w:val="none"/>
        </w:rPr>
        <w:fldChar w:fldCharType="end"/>
      </w:r>
    </w:p>
    <w:p w14:paraId="2C6CCE4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"_Toc63757472" </w:instrText>
      </w:r>
      <w:r>
        <w:rPr>
          <w:highlight w:val="none"/>
        </w:rPr>
        <w:fldChar w:fldCharType="separate"/>
      </w:r>
      <w:r>
        <w:rPr>
          <w:rFonts w:hint="eastAsia" w:ascii="宋体"/>
          <w:b/>
          <w:highlight w:val="none"/>
        </w:rPr>
        <w:t>第十六条  合同的解除</w:t>
      </w:r>
      <w:r>
        <w:rPr>
          <w:rFonts w:hint="eastAsia" w:ascii="宋体"/>
          <w:b/>
          <w:highlight w:val="none"/>
        </w:rPr>
        <w:fldChar w:fldCharType="end"/>
      </w:r>
    </w:p>
    <w:p w14:paraId="65335263">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"_Toc63757473" </w:instrText>
      </w:r>
      <w:r>
        <w:rPr>
          <w:highlight w:val="none"/>
        </w:rPr>
        <w:fldChar w:fldCharType="separate"/>
      </w:r>
      <w:r>
        <w:rPr>
          <w:rFonts w:hint="eastAsia" w:ascii="宋体"/>
          <w:b/>
          <w:highlight w:val="none"/>
        </w:rPr>
        <w:t>第十七条  合同变更及转让</w:t>
      </w:r>
      <w:r>
        <w:rPr>
          <w:rFonts w:hint="eastAsia" w:ascii="宋体"/>
          <w:b/>
          <w:highlight w:val="none"/>
        </w:rPr>
        <w:fldChar w:fldCharType="end"/>
      </w:r>
    </w:p>
    <w:p w14:paraId="7CEC87D0">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"_Toc63757474" </w:instrText>
      </w:r>
      <w:r>
        <w:rPr>
          <w:highlight w:val="none"/>
        </w:rPr>
        <w:fldChar w:fldCharType="separate"/>
      </w:r>
      <w:r>
        <w:rPr>
          <w:rFonts w:hint="eastAsia" w:ascii="宋体"/>
          <w:b/>
          <w:highlight w:val="none"/>
        </w:rPr>
        <w:t>第十八条  争议解决</w:t>
      </w:r>
      <w:r>
        <w:rPr>
          <w:rFonts w:hint="eastAsia" w:ascii="宋体"/>
          <w:b/>
          <w:highlight w:val="none"/>
        </w:rPr>
        <w:fldChar w:fldCharType="end"/>
      </w:r>
    </w:p>
    <w:p w14:paraId="19232D5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"_Toc63757475" </w:instrText>
      </w:r>
      <w:r>
        <w:rPr>
          <w:highlight w:val="none"/>
        </w:rPr>
        <w:fldChar w:fldCharType="separate"/>
      </w:r>
      <w:r>
        <w:rPr>
          <w:rFonts w:hint="eastAsia" w:ascii="宋体"/>
          <w:b/>
          <w:highlight w:val="none"/>
        </w:rPr>
        <w:t>第十九条 通知与送达</w:t>
      </w:r>
      <w:r>
        <w:rPr>
          <w:rFonts w:hint="eastAsia" w:ascii="宋体"/>
          <w:b/>
          <w:highlight w:val="none"/>
        </w:rPr>
        <w:fldChar w:fldCharType="end"/>
      </w:r>
    </w:p>
    <w:p w14:paraId="758E9F3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"_Toc63757476" </w:instrText>
      </w:r>
      <w:r>
        <w:rPr>
          <w:highlight w:val="none"/>
        </w:rPr>
        <w:fldChar w:fldCharType="separate"/>
      </w:r>
      <w:r>
        <w:rPr>
          <w:rFonts w:hint="eastAsia" w:ascii="宋体"/>
          <w:b/>
          <w:highlight w:val="none"/>
        </w:rPr>
        <w:t>第二十条  合同生效</w:t>
      </w:r>
      <w:r>
        <w:rPr>
          <w:rFonts w:hint="eastAsia" w:ascii="宋体"/>
          <w:b/>
          <w:highlight w:val="none"/>
        </w:rPr>
        <w:fldChar w:fldCharType="end"/>
      </w:r>
    </w:p>
    <w:p w14:paraId="7B800269">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"_Toc63757477" </w:instrText>
      </w:r>
      <w:r>
        <w:rPr>
          <w:highlight w:val="none"/>
        </w:rPr>
        <w:fldChar w:fldCharType="separate"/>
      </w:r>
      <w:r>
        <w:rPr>
          <w:rFonts w:hint="eastAsia" w:ascii="宋体"/>
          <w:b/>
          <w:highlight w:val="none"/>
        </w:rPr>
        <w:t>第二十一条  不可抗力</w:t>
      </w:r>
      <w:r>
        <w:rPr>
          <w:rFonts w:hint="eastAsia" w:ascii="宋体"/>
          <w:b/>
          <w:highlight w:val="none"/>
        </w:rPr>
        <w:fldChar w:fldCharType="end"/>
      </w:r>
    </w:p>
    <w:p w14:paraId="78E95DC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"_Toc63757478" </w:instrText>
      </w:r>
      <w:r>
        <w:rPr>
          <w:highlight w:val="none"/>
        </w:rPr>
        <w:fldChar w:fldCharType="separate"/>
      </w:r>
      <w:r>
        <w:rPr>
          <w:rFonts w:hint="eastAsia" w:ascii="宋体"/>
          <w:b/>
          <w:highlight w:val="none"/>
        </w:rPr>
        <w:t>第二十二条  反商业贿赂</w:t>
      </w:r>
      <w:r>
        <w:rPr>
          <w:rFonts w:hint="eastAsia" w:ascii="宋体"/>
          <w:b/>
          <w:highlight w:val="none"/>
        </w:rPr>
        <w:fldChar w:fldCharType="end"/>
      </w:r>
    </w:p>
    <w:p w14:paraId="2BBF3080">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"_Toc63757479" </w:instrText>
      </w:r>
      <w:r>
        <w:rPr>
          <w:highlight w:val="none"/>
        </w:rPr>
        <w:fldChar w:fldCharType="separate"/>
      </w:r>
      <w:r>
        <w:rPr>
          <w:rFonts w:hint="eastAsia" w:ascii="宋体"/>
          <w:b/>
          <w:highlight w:val="none"/>
        </w:rPr>
        <w:t>第二十三条  附件</w:t>
      </w:r>
      <w:r>
        <w:rPr>
          <w:rFonts w:hint="eastAsia" w:ascii="宋体"/>
          <w:b/>
          <w:highlight w:val="none"/>
        </w:rPr>
        <w:fldChar w:fldCharType="end"/>
      </w:r>
    </w:p>
    <w:p w14:paraId="60B4618F">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"_Toc63757480" </w:instrText>
      </w:r>
      <w:r>
        <w:rPr>
          <w:highlight w:val="none"/>
        </w:rPr>
        <w:fldChar w:fldCharType="separate"/>
      </w:r>
      <w:r>
        <w:rPr>
          <w:rFonts w:hint="eastAsia" w:ascii="宋体"/>
          <w:b/>
          <w:highlight w:val="none"/>
        </w:rPr>
        <w:t>第二十四条  其他</w:t>
      </w:r>
      <w:r>
        <w:rPr>
          <w:rFonts w:hint="eastAsia" w:ascii="宋体"/>
          <w:b/>
          <w:highlight w:val="none"/>
        </w:rPr>
        <w:fldChar w:fldCharType="end"/>
      </w:r>
    </w:p>
    <w:p w14:paraId="030F9A99">
      <w:pPr>
        <w:pStyle w:val="20"/>
        <w:tabs>
          <w:tab w:val="right" w:leader="dot" w:pos="8302"/>
        </w:tabs>
        <w:spacing w:line="350" w:lineRule="auto"/>
        <w:ind w:firstLine="420"/>
        <w:rPr>
          <w:rFonts w:ascii="宋体"/>
          <w:highlight w:val="none"/>
        </w:rPr>
      </w:pPr>
      <w:r>
        <w:rPr>
          <w:rFonts w:hint="eastAsia" w:ascii="宋体"/>
          <w:highlight w:val="none"/>
        </w:rPr>
        <w:fldChar w:fldCharType="end"/>
      </w:r>
    </w:p>
    <w:p w14:paraId="08AA856D">
      <w:pPr>
        <w:ind w:firstLine="420"/>
        <w:rPr>
          <w:rFonts w:ascii="宋体"/>
          <w:highlight w:val="none"/>
        </w:rPr>
      </w:pPr>
    </w:p>
    <w:p w14:paraId="10CD4FAA">
      <w:pPr>
        <w:ind w:firstLine="420"/>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2F75E58C">
      <w:pPr>
        <w:ind w:firstLine="420"/>
        <w:rPr>
          <w:rFonts w:ascii="宋体"/>
          <w:highlight w:val="none"/>
        </w:rPr>
      </w:pPr>
      <w:r>
        <w:rPr>
          <w:rFonts w:hint="eastAsia" w:ascii="宋体"/>
          <w:highlight w:val="none"/>
        </w:rPr>
        <w:t>法定代表人：刘江桥</w:t>
      </w:r>
    </w:p>
    <w:p w14:paraId="58F3EA50">
      <w:pPr>
        <w:ind w:firstLine="420"/>
        <w:rPr>
          <w:rFonts w:ascii="宋体"/>
          <w:highlight w:val="none"/>
        </w:rPr>
      </w:pPr>
      <w:r>
        <w:rPr>
          <w:rFonts w:hint="eastAsia" w:ascii="宋体"/>
          <w:highlight w:val="none"/>
        </w:rPr>
        <w:t>地址：</w:t>
      </w:r>
      <w:r>
        <w:rPr>
          <w:rFonts w:ascii="宋体"/>
          <w:highlight w:val="none"/>
        </w:rPr>
        <w:t>重庆市渝北区嘉州路88号中渝国际都会4号写字楼</w:t>
      </w:r>
    </w:p>
    <w:p w14:paraId="2070D4F8">
      <w:pPr>
        <w:ind w:firstLine="420"/>
        <w:rPr>
          <w:rFonts w:ascii="宋体"/>
          <w:highlight w:val="none"/>
        </w:rPr>
      </w:pPr>
      <w:r>
        <w:rPr>
          <w:rFonts w:hint="eastAsia" w:ascii="宋体"/>
          <w:highlight w:val="none"/>
        </w:rPr>
        <w:t>邮政编码：</w:t>
      </w:r>
    </w:p>
    <w:p w14:paraId="23A6FE6B">
      <w:pPr>
        <w:ind w:firstLine="420"/>
        <w:rPr>
          <w:rFonts w:ascii="宋体"/>
          <w:highlight w:val="none"/>
        </w:rPr>
      </w:pPr>
      <w:r>
        <w:rPr>
          <w:rFonts w:hint="eastAsia" w:ascii="宋体"/>
          <w:highlight w:val="none"/>
        </w:rPr>
        <w:t xml:space="preserve">联系人： </w:t>
      </w:r>
    </w:p>
    <w:p w14:paraId="587B1DEB">
      <w:pPr>
        <w:ind w:firstLine="420"/>
        <w:rPr>
          <w:rFonts w:ascii="宋体"/>
          <w:highlight w:val="none"/>
        </w:rPr>
      </w:pPr>
      <w:r>
        <w:rPr>
          <w:rFonts w:hint="eastAsia" w:ascii="宋体"/>
          <w:highlight w:val="none"/>
        </w:rPr>
        <w:t>电话：</w:t>
      </w:r>
    </w:p>
    <w:p w14:paraId="0637B26A">
      <w:pPr>
        <w:ind w:firstLine="420"/>
        <w:rPr>
          <w:rFonts w:ascii="宋体"/>
          <w:highlight w:val="none"/>
        </w:rPr>
      </w:pPr>
      <w:r>
        <w:rPr>
          <w:rFonts w:hint="eastAsia" w:ascii="宋体"/>
          <w:highlight w:val="none"/>
        </w:rPr>
        <w:t>传真：</w:t>
      </w:r>
    </w:p>
    <w:p w14:paraId="21C45185">
      <w:pPr>
        <w:ind w:firstLine="420"/>
        <w:rPr>
          <w:rFonts w:ascii="宋体"/>
          <w:highlight w:val="none"/>
        </w:rPr>
      </w:pPr>
      <w:r>
        <w:rPr>
          <w:rFonts w:hint="eastAsia" w:ascii="宋体"/>
          <w:highlight w:val="none"/>
        </w:rPr>
        <w:t>电子邮箱：</w:t>
      </w:r>
    </w:p>
    <w:p w14:paraId="037819F6">
      <w:pPr>
        <w:ind w:firstLine="420"/>
        <w:rPr>
          <w:rFonts w:ascii="宋体"/>
          <w:highlight w:val="none"/>
        </w:rPr>
      </w:pPr>
    </w:p>
    <w:p w14:paraId="3188A026">
      <w:pPr>
        <w:ind w:firstLine="422"/>
        <w:rPr>
          <w:rFonts w:ascii="宋体"/>
          <w:b/>
          <w:highlight w:val="none"/>
        </w:rPr>
      </w:pPr>
      <w:r>
        <w:rPr>
          <w:rFonts w:hint="eastAsia" w:ascii="宋体"/>
          <w:b/>
          <w:highlight w:val="none"/>
        </w:rPr>
        <w:t>受托方：XXXXXXXXXXXXX（以下简称“乙方”）</w:t>
      </w:r>
    </w:p>
    <w:p w14:paraId="6174AAF8">
      <w:pPr>
        <w:ind w:firstLine="420"/>
        <w:rPr>
          <w:rFonts w:ascii="宋体"/>
          <w:highlight w:val="none"/>
        </w:rPr>
      </w:pPr>
      <w:r>
        <w:rPr>
          <w:rFonts w:hint="eastAsia" w:ascii="宋体"/>
          <w:highlight w:val="none"/>
        </w:rPr>
        <w:t xml:space="preserve">法定代表人： </w:t>
      </w:r>
    </w:p>
    <w:p w14:paraId="53CFCBC7">
      <w:pPr>
        <w:ind w:firstLine="420"/>
        <w:rPr>
          <w:rFonts w:ascii="宋体"/>
          <w:highlight w:val="none"/>
        </w:rPr>
      </w:pPr>
      <w:r>
        <w:rPr>
          <w:rFonts w:hint="eastAsia" w:ascii="宋体"/>
          <w:highlight w:val="none"/>
        </w:rPr>
        <w:t>地址：</w:t>
      </w:r>
    </w:p>
    <w:p w14:paraId="65C96968">
      <w:pPr>
        <w:ind w:firstLine="420"/>
        <w:rPr>
          <w:rFonts w:ascii="宋体"/>
          <w:highlight w:val="none"/>
        </w:rPr>
      </w:pPr>
      <w:r>
        <w:rPr>
          <w:rFonts w:hint="eastAsia" w:ascii="宋体"/>
          <w:highlight w:val="none"/>
        </w:rPr>
        <w:t>邮政编码：</w:t>
      </w:r>
    </w:p>
    <w:p w14:paraId="7ADDABFF">
      <w:pPr>
        <w:ind w:firstLine="420"/>
        <w:rPr>
          <w:rFonts w:ascii="宋体"/>
          <w:highlight w:val="none"/>
        </w:rPr>
      </w:pPr>
      <w:r>
        <w:rPr>
          <w:rFonts w:hint="eastAsia" w:ascii="宋体"/>
          <w:highlight w:val="none"/>
        </w:rPr>
        <w:t xml:space="preserve">开户银行： </w:t>
      </w:r>
    </w:p>
    <w:p w14:paraId="251C4116">
      <w:pPr>
        <w:ind w:firstLine="420"/>
        <w:rPr>
          <w:rFonts w:ascii="宋体"/>
          <w:highlight w:val="none"/>
        </w:rPr>
      </w:pPr>
      <w:r>
        <w:rPr>
          <w:rFonts w:hint="eastAsia" w:ascii="宋体"/>
          <w:highlight w:val="none"/>
        </w:rPr>
        <w:t xml:space="preserve">账号：  </w:t>
      </w:r>
    </w:p>
    <w:p w14:paraId="47F9AEC0">
      <w:pPr>
        <w:ind w:firstLine="420"/>
        <w:rPr>
          <w:rFonts w:ascii="宋体"/>
          <w:highlight w:val="none"/>
        </w:rPr>
      </w:pPr>
      <w:r>
        <w:rPr>
          <w:rFonts w:hint="eastAsia" w:ascii="宋体"/>
          <w:highlight w:val="none"/>
        </w:rPr>
        <w:t>税号：</w:t>
      </w:r>
    </w:p>
    <w:p w14:paraId="50B1D9B6">
      <w:pPr>
        <w:ind w:firstLine="420"/>
        <w:rPr>
          <w:rFonts w:ascii="宋体"/>
          <w:highlight w:val="none"/>
        </w:rPr>
      </w:pPr>
      <w:r>
        <w:rPr>
          <w:rFonts w:hint="eastAsia" w:ascii="宋体"/>
          <w:highlight w:val="none"/>
        </w:rPr>
        <w:t xml:space="preserve">联系人： </w:t>
      </w:r>
    </w:p>
    <w:p w14:paraId="51F9EC6A">
      <w:pPr>
        <w:ind w:firstLine="420"/>
        <w:rPr>
          <w:rFonts w:ascii="宋体"/>
          <w:highlight w:val="none"/>
        </w:rPr>
      </w:pPr>
      <w:r>
        <w:rPr>
          <w:rFonts w:hint="eastAsia" w:ascii="宋体"/>
          <w:highlight w:val="none"/>
        </w:rPr>
        <w:t>电话：</w:t>
      </w:r>
    </w:p>
    <w:p w14:paraId="7BEF7B6A">
      <w:pPr>
        <w:ind w:firstLine="420"/>
        <w:rPr>
          <w:rFonts w:ascii="宋体"/>
          <w:highlight w:val="none"/>
        </w:rPr>
      </w:pPr>
      <w:r>
        <w:rPr>
          <w:rFonts w:hint="eastAsia" w:ascii="宋体"/>
          <w:highlight w:val="none"/>
        </w:rPr>
        <w:t>手机：</w:t>
      </w:r>
    </w:p>
    <w:p w14:paraId="2D5E9AB4">
      <w:pPr>
        <w:ind w:firstLine="420"/>
        <w:rPr>
          <w:rFonts w:ascii="宋体"/>
          <w:highlight w:val="none"/>
        </w:rPr>
      </w:pPr>
      <w:r>
        <w:rPr>
          <w:rFonts w:hint="eastAsia" w:ascii="宋体"/>
          <w:highlight w:val="none"/>
        </w:rPr>
        <w:t>传真：</w:t>
      </w:r>
    </w:p>
    <w:p w14:paraId="2161B559">
      <w:pPr>
        <w:ind w:firstLine="420"/>
        <w:rPr>
          <w:rFonts w:ascii="宋体"/>
          <w:highlight w:val="none"/>
          <w:lang w:val="en-GB"/>
        </w:rPr>
      </w:pPr>
      <w:r>
        <w:rPr>
          <w:rFonts w:hint="eastAsia" w:ascii="宋体"/>
          <w:highlight w:val="none"/>
        </w:rPr>
        <w:t>电子邮箱：</w:t>
      </w:r>
    </w:p>
    <w:p w14:paraId="3C76D586">
      <w:pPr>
        <w:ind w:firstLine="420"/>
        <w:rPr>
          <w:rFonts w:ascii="宋体"/>
          <w:b/>
          <w:highlight w:val="none"/>
        </w:rPr>
      </w:pPr>
      <w:r>
        <w:rPr>
          <w:rFonts w:hint="eastAsia" w:ascii="宋体"/>
          <w:highlight w:val="none"/>
        </w:rPr>
        <w:br w:type="page"/>
      </w:r>
      <w:r>
        <w:rPr>
          <w:rFonts w:hint="eastAsia" w:ascii="宋体"/>
          <w:b/>
          <w:highlight w:val="none"/>
        </w:rPr>
        <w:t>鉴于：</w:t>
      </w:r>
    </w:p>
    <w:p w14:paraId="35EA4661">
      <w:pPr>
        <w:ind w:firstLine="420"/>
        <w:rPr>
          <w:rFonts w:ascii="宋体"/>
          <w:highlight w:val="none"/>
        </w:rPr>
      </w:pPr>
      <w:r>
        <w:rPr>
          <w:rStyle w:val="44"/>
          <w:rFonts w:hint="eastAsia" w:ascii="宋体" w:hAns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779AC2C3">
      <w:pPr>
        <w:ind w:firstLine="420"/>
        <w:rPr>
          <w:highlight w:val="none"/>
        </w:rPr>
      </w:pPr>
      <w:bookmarkStart w:id="285" w:name="_Toc63757457"/>
      <w:r>
        <w:rPr>
          <w:rFonts w:hint="eastAsia"/>
          <w:highlight w:val="none"/>
        </w:rPr>
        <w:t>第一条  定义</w:t>
      </w:r>
      <w:bookmarkEnd w:id="285"/>
    </w:p>
    <w:p w14:paraId="072EB6A4">
      <w:pPr>
        <w:ind w:firstLine="420"/>
        <w:rPr>
          <w:rFonts w:ascii="宋体"/>
          <w:highlight w:val="none"/>
        </w:rPr>
      </w:pPr>
      <w:r>
        <w:rPr>
          <w:rFonts w:hint="eastAsia" w:ascii="宋体"/>
          <w:highlight w:val="none"/>
        </w:rPr>
        <w:t>在本合同中，除非有相反的表述，下列术语具有如下含义：</w:t>
      </w:r>
    </w:p>
    <w:p w14:paraId="2621788A">
      <w:pPr>
        <w:ind w:firstLine="420"/>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6D19FA21">
      <w:pPr>
        <w:ind w:firstLine="420"/>
        <w:rPr>
          <w:rFonts w:ascii="宋体"/>
          <w:highlight w:val="none"/>
        </w:rPr>
      </w:pPr>
      <w:r>
        <w:rPr>
          <w:rFonts w:hint="eastAsia" w:ascii="宋体"/>
          <w:highlight w:val="none"/>
        </w:rPr>
        <w:t>1.2“客户化工作”指项目交付乙方后乙方对甲方的需求进行开发实施。</w:t>
      </w:r>
    </w:p>
    <w:p w14:paraId="189DC671">
      <w:pPr>
        <w:ind w:firstLine="420"/>
        <w:rPr>
          <w:rFonts w:ascii="宋体"/>
          <w:highlight w:val="none"/>
        </w:rPr>
      </w:pPr>
      <w:r>
        <w:rPr>
          <w:rFonts w:hint="eastAsia" w:ascii="宋体"/>
          <w:highlight w:val="none"/>
        </w:rPr>
        <w:t>1.3“产品实施数据迁移”指乙方产品的安装配置和业务数据迁移服务。</w:t>
      </w:r>
    </w:p>
    <w:p w14:paraId="77D299AA">
      <w:pPr>
        <w:ind w:firstLine="420"/>
        <w:rPr>
          <w:rFonts w:ascii="宋体"/>
          <w:highlight w:val="none"/>
        </w:rPr>
      </w:pPr>
      <w:r>
        <w:rPr>
          <w:rFonts w:hint="eastAsia" w:ascii="宋体"/>
          <w:highlight w:val="none"/>
        </w:rPr>
        <w:t>1.4“</w:t>
      </w:r>
      <w:r>
        <w:rPr>
          <w:rFonts w:ascii="宋体"/>
          <w:highlight w:val="none"/>
          <w:lang w:val="en-GB"/>
        </w:rPr>
        <w:t>智能交易风控</w:t>
      </w:r>
      <w:r>
        <w:rPr>
          <w:rFonts w:hint="eastAsia" w:ascii="宋体"/>
          <w:highlight w:val="none"/>
          <w:lang w:val="en-GB"/>
        </w:rPr>
        <w:t>系统</w:t>
      </w:r>
      <w:r>
        <w:rPr>
          <w:rFonts w:hint="eastAsia" w:ascii="宋体"/>
          <w:highlight w:val="none"/>
        </w:rPr>
        <w:t>业务”指乙方提供给甲方的附件一中所涵盖的业务功能。</w:t>
      </w:r>
    </w:p>
    <w:p w14:paraId="655E0CEF">
      <w:pPr>
        <w:ind w:left="-2" w:leftChars="-1" w:firstLine="420"/>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64232887">
      <w:pPr>
        <w:ind w:left="-2" w:leftChars="-1" w:firstLine="420"/>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33D6BEFA">
      <w:pPr>
        <w:ind w:left="-2" w:leftChars="-1" w:firstLine="420"/>
        <w:rPr>
          <w:rFonts w:ascii="宋体" w:cs="宋体"/>
          <w:szCs w:val="24"/>
          <w:highlight w:val="none"/>
        </w:rPr>
      </w:pPr>
      <w:r>
        <w:rPr>
          <w:rFonts w:hint="eastAsia" w:ascii="宋体" w:cs="宋体"/>
          <w:szCs w:val="24"/>
          <w:highlight w:val="none"/>
        </w:rPr>
        <w:t>1.7“响应时间”：指乙方就甲方提出的问题予以答复的时间。</w:t>
      </w:r>
    </w:p>
    <w:p w14:paraId="506940EE">
      <w:pPr>
        <w:ind w:left="-2" w:leftChars="-1" w:firstLine="420"/>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70ECC891">
      <w:pPr>
        <w:ind w:left="-2" w:leftChars="-1" w:firstLine="420"/>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46D76846">
      <w:pPr>
        <w:ind w:left="-2" w:leftChars="-1" w:firstLine="420"/>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50C81A2C">
      <w:pPr>
        <w:ind w:left="-2" w:leftChars="-1" w:firstLine="420"/>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27A0F489">
      <w:pPr>
        <w:ind w:left="-2" w:leftChars="-1" w:firstLine="420"/>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4D1EA7C">
      <w:pPr>
        <w:ind w:left="-2" w:leftChars="-1" w:firstLine="420"/>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41D7228">
      <w:pPr>
        <w:ind w:left="-2" w:leftChars="-1" w:firstLine="420"/>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8B163F0">
      <w:pPr>
        <w:ind w:left="-2" w:leftChars="-1" w:firstLine="420"/>
        <w:rPr>
          <w:rFonts w:ascii="宋体"/>
          <w:szCs w:val="24"/>
          <w:highlight w:val="none"/>
        </w:rPr>
      </w:pPr>
      <w:r>
        <w:rPr>
          <w:rFonts w:hint="eastAsia" w:ascii="宋体"/>
          <w:szCs w:val="24"/>
          <w:highlight w:val="none"/>
        </w:rPr>
        <w:t>1.15“重大缺陷”：指严重缺陷和致命缺陷。</w:t>
      </w:r>
    </w:p>
    <w:p w14:paraId="2853CE3F">
      <w:pPr>
        <w:ind w:left="560" w:hanging="560" w:firstLineChars="0"/>
        <w:rPr>
          <w:rFonts w:ascii="宋体"/>
          <w:highlight w:val="none"/>
        </w:rPr>
      </w:pPr>
    </w:p>
    <w:p w14:paraId="321C1B7B">
      <w:pPr>
        <w:ind w:firstLine="420"/>
        <w:rPr>
          <w:highlight w:val="none"/>
        </w:rPr>
      </w:pPr>
      <w:bookmarkStart w:id="286" w:name="_Toc63757458"/>
      <w:r>
        <w:rPr>
          <w:rFonts w:hint="eastAsia"/>
          <w:highlight w:val="none"/>
        </w:rPr>
        <w:t xml:space="preserve">第二条  </w:t>
      </w:r>
      <w:bookmarkStart w:id="287" w:name="_Toc58337493"/>
      <w:r>
        <w:rPr>
          <w:rFonts w:hint="eastAsia"/>
          <w:highlight w:val="none"/>
        </w:rPr>
        <w:t>外包开发内容</w:t>
      </w:r>
      <w:bookmarkEnd w:id="286"/>
      <w:bookmarkEnd w:id="287"/>
    </w:p>
    <w:p w14:paraId="7B571A4B">
      <w:pPr>
        <w:ind w:firstLine="420"/>
        <w:rPr>
          <w:rFonts w:ascii="宋体"/>
          <w:highlight w:val="none"/>
        </w:rPr>
      </w:pPr>
      <w:r>
        <w:rPr>
          <w:rFonts w:hint="eastAsia" w:ascii="宋体"/>
          <w:highlight w:val="none"/>
        </w:rPr>
        <w:t>2.1本项目系由甲方委托乙方负责实施。</w:t>
      </w:r>
    </w:p>
    <w:p w14:paraId="57989C91">
      <w:pPr>
        <w:ind w:firstLine="420"/>
        <w:rPr>
          <w:rFonts w:ascii="宋体"/>
          <w:highlight w:val="none"/>
        </w:rPr>
      </w:pPr>
      <w:bookmarkStart w:id="288" w:name="_Toc58337494"/>
      <w:r>
        <w:rPr>
          <w:rFonts w:hint="eastAsia" w:ascii="宋体"/>
          <w:highlight w:val="none"/>
        </w:rPr>
        <w:t>2.2开发内容</w:t>
      </w:r>
      <w:bookmarkEnd w:id="288"/>
    </w:p>
    <w:p w14:paraId="14BB411E">
      <w:pPr>
        <w:ind w:firstLine="420"/>
        <w:rPr>
          <w:rFonts w:ascii="宋体"/>
          <w:highlight w:val="none"/>
        </w:rPr>
      </w:pPr>
      <w:r>
        <w:rPr>
          <w:rFonts w:cs="Times New Roman"/>
          <w:highlight w:val="none"/>
        </w:rPr>
        <w:t>详细内容参考附件一《工作（需求）说明书》，最终以附件一中双方约定的内容为准。</w:t>
      </w:r>
    </w:p>
    <w:p w14:paraId="6EBDD896">
      <w:pPr>
        <w:ind w:firstLine="420"/>
        <w:rPr>
          <w:rFonts w:ascii="宋体"/>
          <w:highlight w:val="none"/>
        </w:rPr>
      </w:pPr>
      <w:bookmarkStart w:id="289" w:name="_Toc58337495"/>
      <w:r>
        <w:rPr>
          <w:rFonts w:hint="eastAsia" w:ascii="宋体"/>
          <w:highlight w:val="none"/>
        </w:rPr>
        <w:t>2.3技术指标和质量要求</w:t>
      </w:r>
      <w:bookmarkEnd w:id="289"/>
      <w:r>
        <w:rPr>
          <w:rFonts w:hint="eastAsia" w:ascii="宋体"/>
          <w:highlight w:val="none"/>
        </w:rPr>
        <w:t>。</w:t>
      </w:r>
    </w:p>
    <w:p w14:paraId="042AF7A5">
      <w:pPr>
        <w:snapToGrid w:val="0"/>
        <w:spacing w:line="600" w:lineRule="exact"/>
        <w:ind w:firstLine="420"/>
        <w:rPr>
          <w:rFonts w:ascii="宋体"/>
          <w:highlight w:val="none"/>
        </w:rPr>
      </w:pPr>
      <w:r>
        <w:rPr>
          <w:rFonts w:hint="eastAsia" w:ascii="宋体"/>
          <w:highlight w:val="none"/>
        </w:rPr>
        <w:t>见附件一、附件四。</w:t>
      </w:r>
    </w:p>
    <w:p w14:paraId="7F6B1FDF">
      <w:pPr>
        <w:ind w:firstLine="420"/>
        <w:rPr>
          <w:rFonts w:ascii="宋体"/>
          <w:highlight w:val="none"/>
        </w:rPr>
      </w:pPr>
      <w:bookmarkStart w:id="290" w:name="_Toc58337496"/>
      <w:r>
        <w:rPr>
          <w:rFonts w:hint="eastAsia" w:ascii="宋体"/>
          <w:highlight w:val="none"/>
        </w:rPr>
        <w:t>2.4应当遵循的标准和规范</w:t>
      </w:r>
      <w:bookmarkEnd w:id="290"/>
      <w:r>
        <w:rPr>
          <w:rFonts w:hint="eastAsia" w:ascii="宋体"/>
          <w:highlight w:val="none"/>
        </w:rPr>
        <w:t>。</w:t>
      </w:r>
    </w:p>
    <w:p w14:paraId="4BB2B149">
      <w:pPr>
        <w:ind w:firstLine="420" w:firstLineChars="0"/>
        <w:rPr>
          <w:rFonts w:ascii="宋体"/>
          <w:highlight w:val="none"/>
        </w:rPr>
      </w:pPr>
      <w:r>
        <w:rPr>
          <w:rFonts w:hint="eastAsia" w:ascii="宋体"/>
          <w:highlight w:val="none"/>
          <w:lang w:val="zh-CN"/>
        </w:rPr>
        <w:t>乙方交付的</w:t>
      </w:r>
      <w:r>
        <w:rPr>
          <w:rFonts w:ascii="宋体"/>
          <w:highlight w:val="none"/>
          <w:lang w:val="zh-CN"/>
        </w:rPr>
        <w:t>智能交易风控</w:t>
      </w:r>
      <w:r>
        <w:rPr>
          <w:rFonts w:hint="eastAsia" w:ascii="宋体"/>
          <w:highlight w:val="none"/>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highlight w:val="none"/>
        </w:rPr>
        <w:t>《银联卡支付信息安全管理标准》。</w:t>
      </w:r>
    </w:p>
    <w:p w14:paraId="2148205A">
      <w:pPr>
        <w:ind w:firstLine="420"/>
        <w:rPr>
          <w:highlight w:val="none"/>
        </w:rPr>
      </w:pPr>
      <w:bookmarkStart w:id="291" w:name="_Toc63757459"/>
      <w:r>
        <w:rPr>
          <w:rFonts w:hint="eastAsia"/>
          <w:highlight w:val="none"/>
        </w:rPr>
        <w:t>第三条  项目履行的进度、期限、地点、地域、方式</w:t>
      </w:r>
      <w:bookmarkEnd w:id="291"/>
    </w:p>
    <w:p w14:paraId="670DE693">
      <w:pPr>
        <w:ind w:firstLine="420"/>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1B5372FE">
      <w:pPr>
        <w:ind w:firstLine="420"/>
        <w:rPr>
          <w:rFonts w:ascii="宋体"/>
          <w:highlight w:val="none"/>
        </w:rPr>
      </w:pPr>
      <w:r>
        <w:rPr>
          <w:rFonts w:hint="eastAsia" w:ascii="宋体"/>
          <w:highlight w:val="none"/>
        </w:rPr>
        <w:t>3.2进度：乙方应严格按照3.3所列示的期限完成项目实施任务。</w:t>
      </w:r>
    </w:p>
    <w:p w14:paraId="6B6F28BA">
      <w:pPr>
        <w:ind w:firstLine="420"/>
        <w:rPr>
          <w:rFonts w:ascii="宋体"/>
          <w:highlight w:val="none"/>
        </w:rPr>
      </w:pPr>
      <w:r>
        <w:rPr>
          <w:rFonts w:hint="eastAsia" w:ascii="宋体"/>
          <w:highlight w:val="none"/>
        </w:rPr>
        <w:t>3.3期限：上线时间为    年    月     日前</w:t>
      </w:r>
    </w:p>
    <w:p w14:paraId="227A5917">
      <w:pPr>
        <w:ind w:firstLine="420"/>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4AB88206">
      <w:pPr>
        <w:ind w:firstLine="420"/>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236102A3">
      <w:pPr>
        <w:ind w:firstLine="420"/>
        <w:rPr>
          <w:rFonts w:ascii="宋体"/>
          <w:highlight w:val="none"/>
        </w:rPr>
      </w:pPr>
      <w:r>
        <w:rPr>
          <w:rFonts w:hint="eastAsia" w:ascii="宋体"/>
          <w:highlight w:val="none"/>
        </w:rPr>
        <w:t>3.6方式：</w:t>
      </w:r>
    </w:p>
    <w:p w14:paraId="5BAEF49D">
      <w:pPr>
        <w:ind w:firstLine="420"/>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61EB1D39">
      <w:pPr>
        <w:ind w:firstLine="420"/>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3CD0D05">
      <w:pPr>
        <w:ind w:left="945" w:leftChars="200" w:hanging="525" w:hangingChars="250"/>
        <w:rPr>
          <w:rFonts w:ascii="宋体"/>
          <w:highlight w:val="none"/>
        </w:rPr>
      </w:pPr>
    </w:p>
    <w:p w14:paraId="3C792F37">
      <w:pPr>
        <w:ind w:firstLine="422"/>
        <w:rPr>
          <w:highlight w:val="none"/>
        </w:rPr>
      </w:pPr>
      <w:bookmarkStart w:id="292" w:name="_Toc63757460"/>
      <w:r>
        <w:rPr>
          <w:rFonts w:hint="eastAsia" w:ascii="宋体"/>
          <w:b/>
          <w:highlight w:val="none"/>
        </w:rPr>
        <w:t>第四条  方案调整</w:t>
      </w:r>
      <w:bookmarkEnd w:id="292"/>
      <w:r>
        <w:rPr>
          <w:rFonts w:hint="eastAsia"/>
          <w:highlight w:val="none"/>
        </w:rPr>
        <w:t xml:space="preserve"> </w:t>
      </w:r>
    </w:p>
    <w:p w14:paraId="101525E1">
      <w:pPr>
        <w:ind w:firstLine="420"/>
        <w:rPr>
          <w:rFonts w:ascii="宋体"/>
          <w:highlight w:val="none"/>
        </w:rPr>
      </w:pPr>
      <w:r>
        <w:rPr>
          <w:rStyle w:val="44"/>
          <w:rFonts w:hint="eastAsia" w:ascii="宋体" w:hAnsi="宋体"/>
          <w:kern w:val="0"/>
          <w:highlight w:val="none"/>
        </w:rPr>
        <w:t>4.1因甲方原因提出导致增加【】∕人∕月以上工作量的需求变更，</w:t>
      </w:r>
      <w:r>
        <w:rPr>
          <w:rFonts w:hint="eastAsia" w:ascii="宋体"/>
          <w:highlight w:val="none"/>
        </w:rPr>
        <w:t>须通知乙方并由乙方确认</w:t>
      </w:r>
      <w:r>
        <w:rPr>
          <w:rStyle w:val="44"/>
          <w:rFonts w:hint="eastAsia" w:ascii="宋体" w:hAns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165AD480">
      <w:pPr>
        <w:ind w:firstLine="420"/>
        <w:rPr>
          <w:rFonts w:ascii="宋体"/>
          <w:highlight w:val="none"/>
        </w:rPr>
      </w:pPr>
      <w:r>
        <w:rPr>
          <w:rFonts w:hint="eastAsia" w:ascii="宋体"/>
          <w:highlight w:val="none"/>
        </w:rPr>
        <w:t>4.2 方案一经双方确认，任何一方有方案调整意见，均需与对方签字确认。</w:t>
      </w:r>
    </w:p>
    <w:p w14:paraId="3596E8F9">
      <w:pPr>
        <w:ind w:left="420" w:firstLine="420"/>
        <w:rPr>
          <w:rFonts w:ascii="宋体"/>
          <w:highlight w:val="none"/>
        </w:rPr>
      </w:pPr>
    </w:p>
    <w:p w14:paraId="79747451">
      <w:pPr>
        <w:ind w:firstLine="420"/>
        <w:rPr>
          <w:highlight w:val="none"/>
        </w:rPr>
      </w:pPr>
      <w:bookmarkStart w:id="293" w:name="_Toc63757461"/>
      <w:r>
        <w:rPr>
          <w:rFonts w:hint="eastAsia"/>
          <w:highlight w:val="none"/>
        </w:rPr>
        <w:t>第五条  项目验收</w:t>
      </w:r>
      <w:bookmarkEnd w:id="293"/>
    </w:p>
    <w:p w14:paraId="039F3BCB">
      <w:pPr>
        <w:pStyle w:val="11"/>
        <w:spacing w:before="0" w:beforeLines="0" w:line="360" w:lineRule="auto"/>
        <w:ind w:left="0" w:leftChars="0" w:firstLine="480"/>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highlight w:val="none"/>
        </w:rPr>
        <w:t>本合同中的产品出现的任何问题，乙方应及时解决，保证试运行期间的稳定运行，试运行期间若出现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0EC591AC">
      <w:pPr>
        <w:pStyle w:val="11"/>
        <w:spacing w:before="0" w:beforeLines="0" w:line="360" w:lineRule="auto"/>
        <w:ind w:left="0" w:leftChars="0" w:firstLine="480"/>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4C722C6E">
      <w:pPr>
        <w:pStyle w:val="11"/>
        <w:spacing w:before="0" w:beforeLines="0" w:line="360" w:lineRule="auto"/>
        <w:ind w:left="0" w:leftChars="0" w:firstLine="480"/>
        <w:rPr>
          <w:rStyle w:val="44"/>
          <w:rFonts w:ascii="宋体" w:eastAsia="宋体"/>
          <w:spacing w:val="0"/>
          <w:kern w:val="0"/>
          <w:highlight w:val="none"/>
        </w:rPr>
      </w:pPr>
    </w:p>
    <w:p w14:paraId="531F5399">
      <w:pPr>
        <w:ind w:firstLine="420"/>
        <w:rPr>
          <w:highlight w:val="none"/>
        </w:rPr>
      </w:pPr>
      <w:bookmarkStart w:id="294" w:name="_Toc63757462"/>
      <w:r>
        <w:rPr>
          <w:rFonts w:hint="eastAsia"/>
          <w:highlight w:val="none"/>
        </w:rPr>
        <w:t>第六条  交付使用后维护期、系统完善和保修维护服务</w:t>
      </w:r>
      <w:bookmarkEnd w:id="294"/>
    </w:p>
    <w:p w14:paraId="73D6F40A">
      <w:pPr>
        <w:tabs>
          <w:tab w:val="left" w:pos="851"/>
        </w:tabs>
        <w:ind w:firstLine="420"/>
        <w:rPr>
          <w:rFonts w:ascii="宋体"/>
          <w:highlight w:val="none"/>
        </w:rPr>
      </w:pPr>
      <w:r>
        <w:rPr>
          <w:rFonts w:hint="eastAsia" w:ascii="宋体"/>
          <w:highlight w:val="none"/>
        </w:rPr>
        <w:t>6.1本合同金额包含【】年维护，维护期为自本产品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w:t>
      </w:r>
    </w:p>
    <w:p w14:paraId="185D0D36">
      <w:pPr>
        <w:tabs>
          <w:tab w:val="left" w:pos="851"/>
        </w:tabs>
        <w:ind w:firstLine="420"/>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4D0818C">
      <w:pPr>
        <w:ind w:firstLine="420"/>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0E06A2CB">
      <w:pPr>
        <w:ind w:firstLine="420"/>
        <w:rPr>
          <w:rFonts w:ascii="宋体"/>
          <w:highlight w:val="none"/>
        </w:rPr>
      </w:pPr>
      <w:r>
        <w:rPr>
          <w:rFonts w:hint="eastAsia" w:ascii="宋体"/>
          <w:highlight w:val="none"/>
        </w:rPr>
        <w:t>6.4本合同第6.1条约定的维护期与有偿技术服务期内，服务内容和服务方式详见附件四《维护服务条款》。</w:t>
      </w:r>
    </w:p>
    <w:p w14:paraId="2F9FEB70">
      <w:pPr>
        <w:ind w:firstLine="420"/>
        <w:rPr>
          <w:rFonts w:ascii="宋体"/>
          <w:highlight w:val="none"/>
        </w:rPr>
      </w:pPr>
      <w:r>
        <w:rPr>
          <w:rFonts w:hint="eastAsia" w:ascii="宋体"/>
          <w:highlight w:val="none"/>
        </w:rPr>
        <w:t>6.5上述服务，不包括由下列事件引起的故障：</w:t>
      </w:r>
    </w:p>
    <w:p w14:paraId="2517E92D">
      <w:pPr>
        <w:ind w:firstLine="420"/>
        <w:rPr>
          <w:rFonts w:ascii="宋体"/>
          <w:highlight w:val="none"/>
        </w:rPr>
      </w:pPr>
      <w:r>
        <w:rPr>
          <w:rFonts w:hint="eastAsia" w:ascii="宋体"/>
          <w:highlight w:val="none"/>
        </w:rPr>
        <w:t>6.5.1 未能为系统提供适当的外部环境-如必要的系统环境、必要的管理体系、未能按照乙方要求配备资源等。</w:t>
      </w:r>
    </w:p>
    <w:p w14:paraId="215933BF">
      <w:pPr>
        <w:ind w:firstLine="420"/>
        <w:rPr>
          <w:rFonts w:ascii="宋体"/>
          <w:highlight w:val="none"/>
        </w:rPr>
      </w:pPr>
      <w:r>
        <w:rPr>
          <w:rFonts w:hint="eastAsia" w:ascii="宋体"/>
          <w:highlight w:val="none"/>
        </w:rPr>
        <w:t>6.5.2 使用并非由乙方提供的产品或服务。</w:t>
      </w:r>
    </w:p>
    <w:p w14:paraId="7622FC67">
      <w:pPr>
        <w:ind w:firstLine="420"/>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3739E957">
      <w:pPr>
        <w:ind w:firstLine="420"/>
        <w:rPr>
          <w:rFonts w:ascii="宋体"/>
          <w:highlight w:val="none"/>
        </w:rPr>
      </w:pPr>
      <w:r>
        <w:rPr>
          <w:rFonts w:hint="eastAsia" w:ascii="宋体"/>
          <w:highlight w:val="none"/>
        </w:rPr>
        <w:t>6</w:t>
      </w:r>
      <w:r>
        <w:rPr>
          <w:rStyle w:val="44"/>
          <w:rFonts w:hint="eastAsia" w:ascii="宋体" w:hAns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4"/>
          <w:rFonts w:hint="eastAsia" w:ascii="宋体" w:hAns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43B97410">
      <w:pPr>
        <w:ind w:firstLine="420"/>
        <w:rPr>
          <w:rFonts w:ascii="宋体"/>
          <w:b/>
          <w:highlight w:val="none"/>
        </w:rPr>
      </w:pPr>
      <w:r>
        <w:rPr>
          <w:rFonts w:hint="eastAsia" w:ascii="宋体"/>
          <w:highlight w:val="none"/>
        </w:rPr>
        <w:t>6.8 维护期结束后</w:t>
      </w:r>
      <w:r>
        <w:rPr>
          <w:rStyle w:val="44"/>
          <w:rFonts w:hint="eastAsia" w:ascii="宋体" w:hAnsi="宋体"/>
          <w:kern w:val="0"/>
          <w:highlight w:val="none"/>
        </w:rPr>
        <w:t>有偿技术服务期</w:t>
      </w:r>
      <w:r>
        <w:rPr>
          <w:rFonts w:hint="eastAsia" w:ascii="宋体"/>
          <w:highlight w:val="none"/>
        </w:rPr>
        <w:t>每年的维护价格【不超过/为】</w:t>
      </w:r>
      <w:r>
        <w:rPr>
          <w:rFonts w:hint="eastAsia" w:ascii="宋体"/>
          <w:iCs/>
          <w:highlight w:val="none"/>
          <w:u w:val="single"/>
        </w:rPr>
        <w:t>合同总额的【8%】</w:t>
      </w:r>
      <w:r>
        <w:rPr>
          <w:rFonts w:hint="eastAsia" w:ascii="宋体"/>
          <w:highlight w:val="none"/>
        </w:rPr>
        <w:t>，具体服务内容详见附件四《维护服务条款》。有偿技术服务期的服务水平不低于附件四承诺的维护期的服务水平。</w:t>
      </w:r>
      <w:r>
        <w:rPr>
          <w:rFonts w:hint="eastAsia" w:ascii="宋体"/>
          <w:b/>
          <w:highlight w:val="none"/>
        </w:rPr>
        <w:t>后续改造类项目维护费用以系统首期建设合同（即本合同）约定为准，不得叠加、单独收取。</w:t>
      </w:r>
    </w:p>
    <w:p w14:paraId="3CA67243">
      <w:pPr>
        <w:ind w:firstLine="420"/>
        <w:rPr>
          <w:rFonts w:ascii="宋体"/>
          <w:highlight w:val="none"/>
        </w:rPr>
      </w:pPr>
      <w:r>
        <w:rPr>
          <w:rFonts w:hint="eastAsia" w:ascii="宋体"/>
          <w:highlight w:val="none"/>
        </w:rPr>
        <w:t>6.9本合同并非维护期结束后的维护服务合同，有偿技术服务的合同由双方另行签订。</w:t>
      </w:r>
    </w:p>
    <w:p w14:paraId="587A561F">
      <w:pPr>
        <w:ind w:left="560" w:hanging="560" w:firstLineChars="0"/>
        <w:rPr>
          <w:rFonts w:ascii="宋体"/>
          <w:highlight w:val="none"/>
        </w:rPr>
      </w:pPr>
    </w:p>
    <w:p w14:paraId="6846BEAC">
      <w:pPr>
        <w:ind w:firstLine="420"/>
        <w:rPr>
          <w:highlight w:val="none"/>
        </w:rPr>
      </w:pPr>
      <w:bookmarkStart w:id="295" w:name="_Toc63757463"/>
      <w:r>
        <w:rPr>
          <w:rFonts w:hint="eastAsia"/>
          <w:highlight w:val="none"/>
        </w:rPr>
        <w:t>第七条  技术辅导与培训</w:t>
      </w:r>
      <w:bookmarkEnd w:id="295"/>
    </w:p>
    <w:p w14:paraId="7D0DBD66">
      <w:pPr>
        <w:pStyle w:val="15"/>
        <w:spacing w:before="0" w:beforeLines="0" w:line="360" w:lineRule="auto"/>
        <w:ind w:firstLine="560" w:firstLineChars="0"/>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w:t>
      </w:r>
      <w:r>
        <w:rPr>
          <w:rFonts w:hint="eastAsia" w:ascii="宋体" w:eastAsia="宋体" w:cs="宋体"/>
          <w:spacing w:val="0"/>
          <w:sz w:val="21"/>
          <w:szCs w:val="21"/>
          <w:highlight w:val="none"/>
        </w:rPr>
        <w:t>业务操作培训、安装配置培训、系统架构培训、运行维护培训等。</w:t>
      </w:r>
    </w:p>
    <w:p w14:paraId="1327E7FF">
      <w:pPr>
        <w:pStyle w:val="15"/>
        <w:spacing w:before="0" w:beforeLines="0" w:line="360" w:lineRule="auto"/>
        <w:ind w:firstLine="480"/>
        <w:rPr>
          <w:rFonts w:ascii="宋体" w:eastAsia="宋体"/>
          <w:spacing w:val="0"/>
          <w:highlight w:val="none"/>
        </w:rPr>
      </w:pPr>
      <w:r>
        <w:rPr>
          <w:rFonts w:hint="eastAsia" w:ascii="宋体" w:eastAsia="宋体"/>
          <w:spacing w:val="0"/>
          <w:highlight w:val="none"/>
        </w:rPr>
        <w:t>具体培训内容由双方共同商定，并由甲方项目经理签字确认。</w:t>
      </w:r>
    </w:p>
    <w:p w14:paraId="7CFBD183">
      <w:pPr>
        <w:pStyle w:val="15"/>
        <w:spacing w:before="0" w:beforeLines="0" w:line="360" w:lineRule="auto"/>
        <w:ind w:firstLine="480"/>
        <w:rPr>
          <w:rFonts w:ascii="宋体" w:eastAsia="宋体"/>
          <w:spacing w:val="0"/>
          <w:highlight w:val="none"/>
        </w:rPr>
      </w:pPr>
    </w:p>
    <w:p w14:paraId="63A1916A">
      <w:pPr>
        <w:ind w:firstLine="420"/>
        <w:rPr>
          <w:highlight w:val="none"/>
        </w:rPr>
      </w:pPr>
      <w:bookmarkStart w:id="296" w:name="_Toc63757464"/>
      <w:r>
        <w:rPr>
          <w:rFonts w:hint="eastAsia"/>
          <w:highlight w:val="none"/>
        </w:rPr>
        <w:t>第八条  双方的权利、义务</w:t>
      </w:r>
      <w:bookmarkEnd w:id="296"/>
    </w:p>
    <w:p w14:paraId="48546F0B">
      <w:pPr>
        <w:ind w:firstLine="420"/>
        <w:rPr>
          <w:rFonts w:ascii="宋体"/>
          <w:highlight w:val="none"/>
        </w:rPr>
      </w:pPr>
      <w:r>
        <w:rPr>
          <w:rFonts w:hint="eastAsia" w:ascii="宋体"/>
          <w:highlight w:val="none"/>
        </w:rPr>
        <w:t>8.1除本合同其他条款外，甲方应承担如下义务：</w:t>
      </w:r>
    </w:p>
    <w:p w14:paraId="6A34C32C">
      <w:pPr>
        <w:ind w:firstLine="420"/>
        <w:rPr>
          <w:rFonts w:ascii="宋体"/>
          <w:highlight w:val="none"/>
        </w:rPr>
      </w:pPr>
      <w:r>
        <w:rPr>
          <w:rFonts w:hint="eastAsia" w:ascii="宋体"/>
          <w:highlight w:val="none"/>
        </w:rPr>
        <w:t>8.1.1 按照本合同第十三条的规定向乙方支付报酬。</w:t>
      </w:r>
    </w:p>
    <w:p w14:paraId="05306872">
      <w:pPr>
        <w:ind w:firstLine="420"/>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2D23A1C0">
      <w:pPr>
        <w:ind w:firstLine="420"/>
        <w:rPr>
          <w:rFonts w:ascii="宋体"/>
          <w:highlight w:val="none"/>
        </w:rPr>
      </w:pPr>
      <w:r>
        <w:rPr>
          <w:rFonts w:hint="eastAsia" w:ascii="宋体"/>
          <w:highlight w:val="none"/>
        </w:rPr>
        <w:t>8.1.3 指派一名项目主要负责人参加甲、乙双方为本项目召开的会议并协调相关工作和签署有关文件。</w:t>
      </w:r>
    </w:p>
    <w:p w14:paraId="4B010F67">
      <w:pPr>
        <w:ind w:firstLine="420"/>
        <w:rPr>
          <w:rFonts w:ascii="宋体"/>
          <w:highlight w:val="none"/>
        </w:rPr>
      </w:pPr>
      <w:r>
        <w:rPr>
          <w:rFonts w:hint="eastAsia" w:ascii="宋体"/>
          <w:highlight w:val="none"/>
        </w:rPr>
        <w:t>8.1.4 甲方为乙方解决现场人员正常开展工作的开发测试系统环境和场地。</w:t>
      </w:r>
    </w:p>
    <w:p w14:paraId="02B8B54B">
      <w:pPr>
        <w:ind w:firstLine="420"/>
        <w:rPr>
          <w:rFonts w:ascii="宋体"/>
          <w:highlight w:val="none"/>
        </w:rPr>
      </w:pPr>
      <w:r>
        <w:rPr>
          <w:rFonts w:hint="eastAsia" w:ascii="宋体"/>
          <w:highlight w:val="none"/>
        </w:rPr>
        <w:t>8.2除本合同其他条款外，乙方应承担如下义务：</w:t>
      </w:r>
    </w:p>
    <w:p w14:paraId="030FADAE">
      <w:pPr>
        <w:pStyle w:val="13"/>
        <w:tabs>
          <w:tab w:val="left" w:pos="0"/>
        </w:tabs>
        <w:ind w:left="-2" w:leftChars="-1" w:firstLine="480"/>
        <w:jc w:val="left"/>
        <w:rPr>
          <w:sz w:val="24"/>
          <w:szCs w:val="20"/>
          <w:highlight w:val="none"/>
        </w:rPr>
      </w:pPr>
      <w:r>
        <w:rPr>
          <w:sz w:val="24"/>
          <w:szCs w:val="20"/>
          <w:highlight w:val="none"/>
        </w:rPr>
        <w:t>8.2.1 遵守法律法规及银行业金融机构内部管理制度</w:t>
      </w:r>
      <w:r>
        <w:rPr>
          <w:rFonts w:hint="eastAsia"/>
          <w:sz w:val="24"/>
          <w:szCs w:val="20"/>
          <w:highlight w:val="none"/>
        </w:rPr>
        <w:t>及规定</w:t>
      </w:r>
      <w:r>
        <w:rPr>
          <w:sz w:val="24"/>
          <w:szCs w:val="20"/>
          <w:highlight w:val="none"/>
        </w:rPr>
        <w:t>，贯彻执行相关监管政策。</w:t>
      </w:r>
    </w:p>
    <w:p w14:paraId="0B869EDE">
      <w:pPr>
        <w:ind w:firstLine="420"/>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6896D08">
      <w:pPr>
        <w:ind w:firstLine="420"/>
        <w:rPr>
          <w:rFonts w:ascii="宋体"/>
          <w:highlight w:val="none"/>
        </w:rPr>
      </w:pPr>
      <w:r>
        <w:rPr>
          <w:rFonts w:hint="eastAsia" w:ascii="宋体"/>
          <w:highlight w:val="none"/>
        </w:rPr>
        <w:t>8.2.3 负责在甲方的环境内安装并调试实施项目。</w:t>
      </w:r>
    </w:p>
    <w:p w14:paraId="21289B93">
      <w:pPr>
        <w:ind w:firstLine="420"/>
        <w:rPr>
          <w:rFonts w:ascii="宋体"/>
          <w:highlight w:val="none"/>
        </w:rPr>
      </w:pPr>
      <w:r>
        <w:rPr>
          <w:rFonts w:hint="eastAsia" w:ascii="宋体"/>
          <w:highlight w:val="none"/>
        </w:rPr>
        <w:t>8.2.4 指派一名项目主要负责人参加甲、乙双方为本项目召开的会议并协调相关工作和签署有关文件。</w:t>
      </w:r>
    </w:p>
    <w:p w14:paraId="2DE52B99">
      <w:pPr>
        <w:ind w:firstLine="420"/>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4BC65437">
      <w:pPr>
        <w:ind w:firstLine="420"/>
        <w:rPr>
          <w:rFonts w:ascii="宋体"/>
          <w:highlight w:val="none"/>
        </w:rPr>
      </w:pPr>
      <w:r>
        <w:rPr>
          <w:rFonts w:hint="eastAsia" w:ascii="宋体"/>
          <w:highlight w:val="none"/>
        </w:rPr>
        <w:t>8.2.6 按照本合同的约定向甲方提供相关技术资料并提供技术指导。</w:t>
      </w:r>
    </w:p>
    <w:p w14:paraId="12998E56">
      <w:pPr>
        <w:ind w:firstLine="420"/>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27F6303E">
      <w:pPr>
        <w:ind w:firstLine="420"/>
        <w:rPr>
          <w:rFonts w:ascii="宋体"/>
          <w:highlight w:val="none"/>
          <w:lang w:val="zh-CN"/>
        </w:rPr>
      </w:pPr>
      <w:r>
        <w:rPr>
          <w:rFonts w:hint="eastAsia" w:ascii="宋体"/>
          <w:highlight w:val="none"/>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2AA57A70">
      <w:pPr>
        <w:ind w:firstLine="420"/>
        <w:rPr>
          <w:rFonts w:ascii="宋体"/>
          <w:highlight w:val="none"/>
          <w:lang w:val="zh-CN"/>
        </w:rPr>
      </w:pPr>
      <w:r>
        <w:rPr>
          <w:rFonts w:hint="eastAsia" w:ascii="宋体"/>
          <w:highlight w:val="none"/>
          <w:lang w:val="zh-CN"/>
        </w:rPr>
        <w:t>8.2.9 乙方应针对服务内容为甲方制定业务连续性计划和应急计划并维护好相关资源，在服务质量不能满足合同要求时，甲方具有优先获取服务资源的权利。</w:t>
      </w:r>
    </w:p>
    <w:p w14:paraId="2956F235">
      <w:pPr>
        <w:ind w:firstLine="420"/>
        <w:rPr>
          <w:rFonts w:ascii="宋体"/>
          <w:highlight w:val="none"/>
          <w:lang w:val="zh-CN"/>
        </w:rPr>
      </w:pPr>
      <w:r>
        <w:rPr>
          <w:rFonts w:hint="eastAsia" w:ascii="宋体"/>
          <w:highlight w:val="none"/>
          <w:lang w:val="zh-CN"/>
        </w:rPr>
        <w:t>8.2.10 乙方应当自己完成本合同项下的</w:t>
      </w:r>
      <w:r>
        <w:rPr>
          <w:rFonts w:hint="eastAsia" w:ascii="宋体"/>
          <w:highlight w:val="none"/>
        </w:rPr>
        <w:t>开发、测试或维护</w:t>
      </w:r>
      <w:r>
        <w:rPr>
          <w:rFonts w:hint="eastAsia" w:ascii="宋体"/>
          <w:highlight w:val="none"/>
          <w:lang w:val="zh-CN"/>
        </w:rPr>
        <w:t>等工作，而不得转包或变相转包给任何第三方。</w:t>
      </w:r>
    </w:p>
    <w:p w14:paraId="079694BA">
      <w:pPr>
        <w:ind w:firstLine="420"/>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6D46343">
      <w:pPr>
        <w:ind w:firstLine="420"/>
        <w:rPr>
          <w:rFonts w:ascii="宋体"/>
          <w:highlight w:val="none"/>
        </w:rPr>
      </w:pPr>
    </w:p>
    <w:p w14:paraId="0CF0C3F4">
      <w:pPr>
        <w:ind w:firstLine="420"/>
        <w:rPr>
          <w:highlight w:val="none"/>
        </w:rPr>
      </w:pPr>
      <w:bookmarkStart w:id="297" w:name="_Toc63757465"/>
      <w:r>
        <w:rPr>
          <w:rFonts w:hint="eastAsia"/>
          <w:highlight w:val="none"/>
        </w:rPr>
        <w:t>第九条  乙方的声明与保证</w:t>
      </w:r>
      <w:bookmarkEnd w:id="297"/>
    </w:p>
    <w:p w14:paraId="0B9A2D7A">
      <w:pPr>
        <w:ind w:firstLine="420"/>
        <w:rPr>
          <w:rFonts w:ascii="宋体"/>
          <w:highlight w:val="none"/>
        </w:rPr>
      </w:pPr>
      <w:r>
        <w:rPr>
          <w:rFonts w:hint="eastAsia" w:ascii="宋体"/>
          <w:highlight w:val="none"/>
        </w:rPr>
        <w:t>乙方向甲方做出如下声明与保证：</w:t>
      </w:r>
    </w:p>
    <w:p w14:paraId="34CF5FE3">
      <w:pPr>
        <w:ind w:firstLine="420"/>
        <w:rPr>
          <w:rFonts w:ascii="宋体"/>
          <w:highlight w:val="none"/>
        </w:rPr>
      </w:pPr>
      <w:r>
        <w:rPr>
          <w:rFonts w:hint="eastAsia" w:ascii="宋体"/>
          <w:highlight w:val="none"/>
        </w:rPr>
        <w:t>9.1乙方完全具有本合同项下项目实施的技术资质与实力，包括开发技术人员、硬件设施等。</w:t>
      </w:r>
    </w:p>
    <w:p w14:paraId="129E54A5">
      <w:pPr>
        <w:ind w:firstLine="420"/>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5F21F4DD">
      <w:pPr>
        <w:ind w:firstLine="420"/>
        <w:rPr>
          <w:rFonts w:ascii="宋体"/>
          <w:highlight w:val="none"/>
        </w:rPr>
      </w:pPr>
      <w:r>
        <w:rPr>
          <w:rStyle w:val="44"/>
          <w:rFonts w:hint="eastAsia" w:ascii="宋体" w:hAnsi="宋体"/>
          <w:kern w:val="0"/>
          <w:highlight w:val="none"/>
        </w:rPr>
        <w:t>9.3乙方在本项目中【使用/未使用】第三方</w:t>
      </w:r>
      <w:r>
        <w:rPr>
          <w:rStyle w:val="44"/>
          <w:rFonts w:ascii="宋体" w:hAnsi="宋体"/>
          <w:kern w:val="0"/>
          <w:highlight w:val="none"/>
        </w:rPr>
        <w:t>产品</w:t>
      </w:r>
      <w:r>
        <w:rPr>
          <w:rStyle w:val="44"/>
          <w:rFonts w:hint="eastAsia" w:ascii="宋体" w:hAnsi="宋体"/>
          <w:kern w:val="0"/>
          <w:highlight w:val="none"/>
        </w:rPr>
        <w:t>，</w:t>
      </w:r>
      <w:r>
        <w:rPr>
          <w:rStyle w:val="44"/>
          <w:rFonts w:ascii="宋体" w:hAnsi="宋体"/>
          <w:kern w:val="0"/>
          <w:highlight w:val="none"/>
        </w:rPr>
        <w:t>包括第三方</w:t>
      </w:r>
      <w:r>
        <w:rPr>
          <w:rStyle w:val="44"/>
          <w:rFonts w:hint="eastAsia" w:ascii="宋体" w:hAns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34BBA198">
      <w:pPr>
        <w:ind w:firstLine="420"/>
        <w:rPr>
          <w:rFonts w:ascii="宋体"/>
          <w:highlight w:val="none"/>
        </w:rPr>
      </w:pPr>
      <w:r>
        <w:rPr>
          <w:rFonts w:hint="eastAsia" w:ascii="宋体"/>
          <w:highlight w:val="none"/>
        </w:rPr>
        <w:t>（1）针对第三方SDK：乙方应开展安全评估和个人信息保护评估，并提供无中高风险的评估报告；</w:t>
      </w:r>
    </w:p>
    <w:p w14:paraId="1D331FDC">
      <w:pPr>
        <w:ind w:firstLine="420"/>
        <w:rPr>
          <w:rFonts w:ascii="宋体"/>
          <w:highlight w:val="none"/>
        </w:rPr>
      </w:pPr>
      <w:r>
        <w:rPr>
          <w:rFonts w:hint="eastAsia" w:ascii="宋体"/>
          <w:highlight w:val="none"/>
        </w:rPr>
        <w:t>（2）针对第三方小程序：乙方应开展安全评估，并提供无中高风险漏洞的安全评估报告。</w:t>
      </w:r>
    </w:p>
    <w:p w14:paraId="4D59F404">
      <w:pPr>
        <w:ind w:firstLine="420"/>
        <w:rPr>
          <w:rStyle w:val="44"/>
          <w:rFonts w:hint="eastAsia" w:ascii="宋体" w:hAns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4"/>
          <w:rFonts w:hint="eastAsia" w:ascii="宋体" w:hAnsi="宋体"/>
          <w:kern w:val="0"/>
          <w:highlight w:val="none"/>
        </w:rPr>
        <w:t>第三方产品出现安全漏洞</w:t>
      </w:r>
      <w:r>
        <w:rPr>
          <w:rFonts w:hint="eastAsia" w:ascii="宋体"/>
          <w:highlight w:val="none"/>
        </w:rPr>
        <w:t>或违反个人信息保护相关法规，</w:t>
      </w:r>
      <w:r>
        <w:rPr>
          <w:rStyle w:val="44"/>
          <w:rFonts w:hint="eastAsia" w:ascii="宋体" w:hAnsi="宋体"/>
          <w:kern w:val="0"/>
          <w:highlight w:val="none"/>
        </w:rPr>
        <w:t>甲方有权要求乙方进行修复，若因此给甲方造成损失的，甲方有权随时向乙方追偿。</w:t>
      </w:r>
    </w:p>
    <w:p w14:paraId="0EF32708">
      <w:pPr>
        <w:ind w:firstLine="420"/>
        <w:rPr>
          <w:rStyle w:val="44"/>
          <w:rFonts w:hint="eastAsia" w:ascii="宋体" w:hAnsi="宋体"/>
          <w:kern w:val="0"/>
          <w:highlight w:val="none"/>
        </w:rPr>
      </w:pPr>
      <w:r>
        <w:rPr>
          <w:rStyle w:val="44"/>
          <w:rFonts w:hint="eastAsia" w:ascii="宋体" w:hAnsi="宋体"/>
          <w:kern w:val="0"/>
          <w:highlight w:val="none"/>
        </w:rPr>
        <w:t>9</w:t>
      </w:r>
      <w:r>
        <w:rPr>
          <w:rStyle w:val="44"/>
          <w:rFonts w:ascii="宋体" w:hAnsi="宋体"/>
          <w:kern w:val="0"/>
          <w:highlight w:val="none"/>
        </w:rPr>
        <w:t>.4</w:t>
      </w:r>
      <w:r>
        <w:rPr>
          <w:rStyle w:val="44"/>
          <w:rFonts w:hint="eastAsia" w:ascii="宋体" w:hAnsi="宋体"/>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212D0EC3">
      <w:pPr>
        <w:ind w:firstLine="420"/>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589C12CC">
      <w:pPr>
        <w:ind w:firstLine="420"/>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768A12A5">
      <w:pPr>
        <w:ind w:firstLine="420"/>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29FA2B6B">
      <w:pPr>
        <w:ind w:firstLine="420"/>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7D607BDD">
      <w:pPr>
        <w:ind w:left="560" w:hanging="560" w:firstLineChars="0"/>
        <w:rPr>
          <w:rFonts w:ascii="宋体"/>
          <w:highlight w:val="none"/>
        </w:rPr>
      </w:pPr>
    </w:p>
    <w:p w14:paraId="797CBEE0">
      <w:pPr>
        <w:ind w:firstLine="420"/>
        <w:rPr>
          <w:highlight w:val="none"/>
        </w:rPr>
      </w:pPr>
      <w:bookmarkStart w:id="298" w:name="_Toc63757466"/>
      <w:r>
        <w:rPr>
          <w:rFonts w:hint="eastAsia"/>
          <w:highlight w:val="none"/>
        </w:rPr>
        <w:t>第十条  知识产权</w:t>
      </w:r>
      <w:bookmarkEnd w:id="298"/>
    </w:p>
    <w:p w14:paraId="41B37F4D">
      <w:pPr>
        <w:ind w:firstLine="420"/>
        <w:rPr>
          <w:rStyle w:val="44"/>
          <w:rFonts w:hint="eastAsia" w:ascii="宋体" w:hAnsi="宋体"/>
          <w:kern w:val="0"/>
          <w:highlight w:val="none"/>
        </w:rPr>
      </w:pPr>
      <w:r>
        <w:rPr>
          <w:rStyle w:val="44"/>
          <w:rFonts w:hint="eastAsia" w:ascii="宋体" w:hAns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1E27846B">
      <w:pPr>
        <w:ind w:firstLine="420"/>
        <w:rPr>
          <w:rStyle w:val="44"/>
          <w:rFonts w:hint="eastAsia" w:ascii="宋体" w:hAns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D0FAF5F">
      <w:pPr>
        <w:ind w:firstLine="420"/>
        <w:rPr>
          <w:rStyle w:val="44"/>
          <w:rFonts w:hint="eastAsia" w:ascii="宋体" w:hAns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4"/>
          <w:rFonts w:hint="eastAsia" w:ascii="宋体" w:hAns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0DC7B9B0">
      <w:pPr>
        <w:ind w:firstLine="420"/>
        <w:rPr>
          <w:rStyle w:val="44"/>
          <w:rFonts w:hint="eastAsia" w:ascii="宋体" w:hAnsi="宋体"/>
          <w:highlight w:val="none"/>
        </w:rPr>
      </w:pPr>
      <w:r>
        <w:rPr>
          <w:rStyle w:val="44"/>
          <w:rFonts w:hint="eastAsia" w:ascii="宋体" w:hAnsi="宋体"/>
          <w:highlight w:val="none"/>
        </w:rPr>
        <w:t>1</w:t>
      </w:r>
      <w:r>
        <w:rPr>
          <w:rStyle w:val="44"/>
          <w:rFonts w:ascii="宋体" w:hAnsi="宋体"/>
          <w:highlight w:val="none"/>
        </w:rPr>
        <w:t>0.4本项目</w:t>
      </w:r>
      <w:r>
        <w:rPr>
          <w:rStyle w:val="44"/>
          <w:rFonts w:hint="eastAsia" w:ascii="宋体" w:hAnsi="宋体"/>
          <w:highlight w:val="none"/>
        </w:rPr>
        <w:t>客户化源代码的知识产权归甲方单独所有，其余部分归双方共有。</w:t>
      </w:r>
    </w:p>
    <w:p w14:paraId="422B5740">
      <w:pPr>
        <w:ind w:firstLine="420"/>
        <w:rPr>
          <w:rStyle w:val="44"/>
          <w:rFonts w:hint="eastAsia" w:ascii="宋体" w:hAnsi="宋体"/>
          <w:kern w:val="0"/>
          <w:highlight w:val="none"/>
        </w:rPr>
      </w:pPr>
      <w:r>
        <w:rPr>
          <w:rStyle w:val="44"/>
          <w:rFonts w:hint="eastAsia" w:ascii="宋体" w:hAnsi="宋体"/>
          <w:highlight w:val="none"/>
        </w:rPr>
        <w:t>1</w:t>
      </w:r>
      <w:r>
        <w:rPr>
          <w:rStyle w:val="44"/>
          <w:rFonts w:ascii="宋体" w:hAnsi="宋体"/>
          <w:highlight w:val="none"/>
        </w:rPr>
        <w:t>0.4.1</w:t>
      </w:r>
      <w:r>
        <w:rPr>
          <w:rStyle w:val="44"/>
          <w:rFonts w:hint="eastAsia" w:ascii="宋体" w:hAns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3BF0293">
      <w:pPr>
        <w:ind w:firstLine="420"/>
        <w:rPr>
          <w:rStyle w:val="44"/>
          <w:rFonts w:hint="eastAsia" w:ascii="宋体" w:hAnsi="宋体"/>
          <w:highlight w:val="none"/>
        </w:rPr>
      </w:pPr>
      <w:r>
        <w:rPr>
          <w:rStyle w:val="44"/>
          <w:rFonts w:ascii="宋体" w:hAnsi="宋体"/>
          <w:highlight w:val="none"/>
        </w:rPr>
        <w:t>10.4.2</w:t>
      </w:r>
      <w:r>
        <w:rPr>
          <w:rStyle w:val="44"/>
          <w:rFonts w:hint="eastAsia" w:ascii="宋体" w:hAns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4"/>
          <w:rFonts w:hint="eastAsia" w:ascii="宋体" w:hAnsi="宋体"/>
          <w:highlight w:val="none"/>
        </w:rPr>
        <w:t>乙方拥有在其公司和其他组织范围内使用的权利，但乙方使用时不得侵犯甲方利益。</w:t>
      </w:r>
    </w:p>
    <w:p w14:paraId="21D29074">
      <w:pPr>
        <w:ind w:firstLine="420"/>
        <w:rPr>
          <w:rStyle w:val="44"/>
          <w:rFonts w:hint="eastAsia" w:ascii="宋体" w:hAnsi="宋体"/>
          <w:highlight w:val="none"/>
        </w:rPr>
      </w:pPr>
      <w:r>
        <w:rPr>
          <w:rStyle w:val="44"/>
          <w:rFonts w:ascii="宋体" w:hAnsi="宋体"/>
          <w:highlight w:val="none"/>
        </w:rPr>
        <w:t>10.4.</w:t>
      </w:r>
      <w:r>
        <w:rPr>
          <w:rStyle w:val="44"/>
          <w:rFonts w:hint="eastAsia" w:ascii="宋体" w:hAnsi="宋体"/>
          <w:highlight w:val="none"/>
        </w:rPr>
        <w:t>3</w:t>
      </w:r>
      <w:r>
        <w:rPr>
          <w:rStyle w:val="44"/>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25FC7DD2">
      <w:pPr>
        <w:ind w:firstLine="420"/>
        <w:rPr>
          <w:rFonts w:ascii="宋体"/>
          <w:kern w:val="0"/>
          <w:highlight w:val="none"/>
        </w:rPr>
      </w:pPr>
    </w:p>
    <w:p w14:paraId="6273A64C">
      <w:pPr>
        <w:ind w:firstLine="422"/>
        <w:rPr>
          <w:rFonts w:ascii="宋体"/>
          <w:b/>
          <w:highlight w:val="none"/>
        </w:rPr>
      </w:pPr>
    </w:p>
    <w:p w14:paraId="09BF969E">
      <w:pPr>
        <w:ind w:firstLine="420"/>
        <w:rPr>
          <w:highlight w:val="none"/>
        </w:rPr>
      </w:pPr>
      <w:bookmarkStart w:id="299" w:name="_Toc63757467"/>
      <w:r>
        <w:rPr>
          <w:rFonts w:hint="eastAsia"/>
          <w:highlight w:val="none"/>
        </w:rPr>
        <w:t>第十一条  第三方索赔</w:t>
      </w:r>
      <w:bookmarkEnd w:id="299"/>
    </w:p>
    <w:p w14:paraId="1601D92F">
      <w:pPr>
        <w:ind w:firstLine="420"/>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FF592E0">
      <w:pPr>
        <w:ind w:firstLine="420"/>
        <w:rPr>
          <w:rFonts w:ascii="宋体"/>
          <w:highlight w:val="none"/>
        </w:rPr>
      </w:pPr>
      <w:r>
        <w:rPr>
          <w:rFonts w:hint="eastAsia" w:ascii="宋体"/>
          <w:highlight w:val="none"/>
        </w:rPr>
        <w:t>11.2对于第11.1条涉及的侵权索赔，乙方将承担全部费用，包括</w:t>
      </w:r>
      <w:r>
        <w:rPr>
          <w:rStyle w:val="44"/>
          <w:rFonts w:hint="eastAsia" w:ascii="宋体" w:hAnsi="宋体"/>
          <w:kern w:val="0"/>
          <w:highlight w:val="none"/>
        </w:rPr>
        <w:t>诉讼费、仲裁费、甲方支付的律师费、差旅住宿费、公证费、鉴定费、调解费及仲裁裁决、法院判决或调解协议中由甲方承担的赔偿金。</w:t>
      </w:r>
    </w:p>
    <w:p w14:paraId="6B107B0E">
      <w:pPr>
        <w:ind w:firstLine="420"/>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4"/>
          <w:rFonts w:hint="eastAsia" w:ascii="宋体" w:hAnsi="宋体"/>
          <w:kern w:val="0"/>
          <w:highlight w:val="none"/>
        </w:rPr>
        <w:t>部损失</w:t>
      </w:r>
      <w:r>
        <w:rPr>
          <w:rFonts w:hint="eastAsia" w:ascii="宋体"/>
          <w:highlight w:val="none"/>
        </w:rPr>
        <w:t>。</w:t>
      </w:r>
    </w:p>
    <w:p w14:paraId="724DC690">
      <w:pPr>
        <w:ind w:firstLine="420"/>
        <w:rPr>
          <w:rFonts w:ascii="宋体"/>
          <w:highlight w:val="none"/>
        </w:rPr>
      </w:pPr>
      <w:r>
        <w:rPr>
          <w:rFonts w:hint="eastAsia" w:ascii="宋体"/>
          <w:highlight w:val="none"/>
        </w:rPr>
        <w:t>11.4乙方对由以下非乙方的过错引起的侵权索赔不承担责任：</w:t>
      </w:r>
    </w:p>
    <w:p w14:paraId="2CC77388">
      <w:pPr>
        <w:ind w:firstLine="420"/>
        <w:rPr>
          <w:rFonts w:ascii="宋体"/>
          <w:highlight w:val="none"/>
        </w:rPr>
      </w:pPr>
      <w:r>
        <w:rPr>
          <w:rStyle w:val="44"/>
          <w:rFonts w:hint="eastAsia" w:ascii="宋体" w:hAnsi="宋体"/>
          <w:kern w:val="0"/>
          <w:highlight w:val="none"/>
        </w:rPr>
        <w:t>11.4.1 甲方使用不当所造成的侵权。</w:t>
      </w:r>
    </w:p>
    <w:p w14:paraId="7AA7ED90">
      <w:pPr>
        <w:ind w:firstLine="420"/>
        <w:rPr>
          <w:rFonts w:ascii="宋体"/>
          <w:highlight w:val="none"/>
        </w:rPr>
      </w:pPr>
      <w:r>
        <w:rPr>
          <w:rFonts w:hint="eastAsia" w:ascii="宋体"/>
          <w:highlight w:val="none"/>
        </w:rPr>
        <w:t>11.4.2 因甲方或第三方对开发软件或资料进行修改所直接造成的侵权。</w:t>
      </w:r>
    </w:p>
    <w:p w14:paraId="1751A041">
      <w:pPr>
        <w:ind w:left="840" w:hanging="840" w:firstLineChars="0"/>
        <w:rPr>
          <w:rFonts w:ascii="宋体"/>
          <w:highlight w:val="none"/>
        </w:rPr>
      </w:pPr>
    </w:p>
    <w:p w14:paraId="317DA9AB">
      <w:pPr>
        <w:ind w:firstLine="420"/>
        <w:rPr>
          <w:highlight w:val="none"/>
        </w:rPr>
      </w:pPr>
      <w:bookmarkStart w:id="300" w:name="_Toc63757468"/>
      <w:r>
        <w:rPr>
          <w:rFonts w:hint="eastAsia"/>
          <w:highlight w:val="none"/>
        </w:rPr>
        <w:t>第十二条  保密</w:t>
      </w:r>
      <w:bookmarkEnd w:id="300"/>
    </w:p>
    <w:p w14:paraId="3CE2C69C">
      <w:pPr>
        <w:ind w:firstLine="420"/>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62EA1F11">
      <w:pPr>
        <w:tabs>
          <w:tab w:val="left" w:pos="1134"/>
        </w:tabs>
        <w:ind w:firstLine="420"/>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4AB6CB8E">
      <w:pPr>
        <w:ind w:firstLine="420"/>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1ABF481">
      <w:pPr>
        <w:ind w:firstLine="420"/>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1CCFE49D">
      <w:pPr>
        <w:ind w:firstLine="420"/>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6E821627">
      <w:pPr>
        <w:ind w:firstLine="420"/>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0F98BC13">
      <w:pPr>
        <w:ind w:firstLine="420"/>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173D993">
      <w:pPr>
        <w:ind w:firstLine="420"/>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046ED0D8">
      <w:pPr>
        <w:ind w:firstLine="420"/>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2A4EAC70">
      <w:pPr>
        <w:ind w:left="1260" w:leftChars="200" w:hanging="840" w:hangingChars="400"/>
        <w:rPr>
          <w:rFonts w:ascii="宋体"/>
          <w:highlight w:val="none"/>
        </w:rPr>
      </w:pPr>
    </w:p>
    <w:p w14:paraId="273A007B">
      <w:pPr>
        <w:ind w:firstLine="420"/>
        <w:rPr>
          <w:highlight w:val="none"/>
        </w:rPr>
      </w:pPr>
      <w:bookmarkStart w:id="301" w:name="_Toc63757469"/>
      <w:r>
        <w:rPr>
          <w:rFonts w:hint="eastAsia"/>
          <w:highlight w:val="none"/>
        </w:rPr>
        <w:t>第十三条  价格与支付</w:t>
      </w:r>
      <w:bookmarkEnd w:id="301"/>
    </w:p>
    <w:p w14:paraId="77314692">
      <w:pPr>
        <w:ind w:firstLine="420"/>
        <w:jc w:val="left"/>
        <w:rPr>
          <w:rStyle w:val="44"/>
          <w:rFonts w:hint="eastAsia" w:ascii="宋体" w:hAnsi="宋体"/>
          <w:kern w:val="0"/>
          <w:highlight w:val="none"/>
        </w:rPr>
      </w:pPr>
      <w:r>
        <w:rPr>
          <w:rStyle w:val="44"/>
          <w:rFonts w:hint="eastAsia" w:ascii="宋体" w:hAnsi="宋体"/>
          <w:kern w:val="0"/>
          <w:highlight w:val="none"/>
        </w:rPr>
        <w:t>13.1本项目产品实施总金额（价税合计）为</w:t>
      </w:r>
      <w:r>
        <w:rPr>
          <w:rStyle w:val="44"/>
          <w:rFonts w:hint="eastAsia" w:ascii="宋体" w:hAnsi="宋体"/>
          <w:kern w:val="0"/>
          <w:highlight w:val="none"/>
          <w:u w:val="single"/>
        </w:rPr>
        <w:t xml:space="preserve">       </w:t>
      </w:r>
      <w:r>
        <w:rPr>
          <w:rStyle w:val="44"/>
          <w:rFonts w:hint="eastAsia" w:ascii="宋体" w:hAnsi="宋体"/>
          <w:szCs w:val="2"/>
          <w:highlight w:val="none"/>
          <w:u w:val="single"/>
        </w:rPr>
        <w:t>元</w:t>
      </w:r>
      <w:r>
        <w:rPr>
          <w:rStyle w:val="44"/>
          <w:rFonts w:hint="eastAsia" w:ascii="宋体" w:hAnsi="宋体"/>
          <w:kern w:val="0"/>
          <w:highlight w:val="none"/>
          <w:u w:val="single"/>
        </w:rPr>
        <w:t>（大写：         元整）</w:t>
      </w:r>
      <w:r>
        <w:rPr>
          <w:rStyle w:val="44"/>
          <w:rFonts w:hint="eastAsia" w:ascii="宋体" w:hAnsi="宋体"/>
          <w:kern w:val="0"/>
          <w:highlight w:val="none"/>
        </w:rPr>
        <w:t>。</w:t>
      </w:r>
      <w:r>
        <w:rPr>
          <w:rStyle w:val="44"/>
          <w:rFonts w:hint="eastAsia" w:ascii="宋体" w:hAnsi="宋体"/>
          <w:szCs w:val="2"/>
          <w:highlight w:val="none"/>
        </w:rPr>
        <w:t>不含税价为：</w:t>
      </w:r>
      <w:r>
        <w:rPr>
          <w:rStyle w:val="44"/>
          <w:rFonts w:hint="eastAsia" w:ascii="宋体" w:hAnsi="宋体"/>
          <w:szCs w:val="2"/>
          <w:highlight w:val="none"/>
          <w:u w:val="single"/>
        </w:rPr>
        <w:t xml:space="preserve">       元</w:t>
      </w:r>
      <w:r>
        <w:rPr>
          <w:rStyle w:val="44"/>
          <w:rFonts w:hint="eastAsia" w:ascii="宋体" w:hAnsi="宋体"/>
          <w:szCs w:val="2"/>
          <w:highlight w:val="none"/>
        </w:rPr>
        <w:t>（</w:t>
      </w:r>
      <w:r>
        <w:rPr>
          <w:rStyle w:val="44"/>
          <w:rFonts w:hint="eastAsia" w:ascii="宋体" w:hAnsi="宋体"/>
          <w:szCs w:val="2"/>
          <w:highlight w:val="none"/>
          <w:u w:val="single"/>
        </w:rPr>
        <w:t>大写：         整）</w:t>
      </w:r>
      <w:r>
        <w:rPr>
          <w:rStyle w:val="44"/>
          <w:rFonts w:hint="eastAsia" w:ascii="宋体" w:hAnsi="宋体"/>
          <w:szCs w:val="2"/>
          <w:highlight w:val="none"/>
        </w:rPr>
        <w:t>,税额为：</w:t>
      </w:r>
      <w:r>
        <w:rPr>
          <w:rStyle w:val="44"/>
          <w:rFonts w:hint="eastAsia" w:ascii="宋体" w:hAnsi="宋体"/>
          <w:szCs w:val="2"/>
          <w:highlight w:val="none"/>
          <w:u w:val="single"/>
        </w:rPr>
        <w:t xml:space="preserve">       元</w:t>
      </w:r>
      <w:r>
        <w:rPr>
          <w:rStyle w:val="44"/>
          <w:rFonts w:hint="eastAsia" w:ascii="宋体" w:hAnsi="宋体"/>
          <w:szCs w:val="2"/>
          <w:highlight w:val="none"/>
        </w:rPr>
        <w:t>（</w:t>
      </w:r>
      <w:r>
        <w:rPr>
          <w:rStyle w:val="44"/>
          <w:rFonts w:hint="eastAsia" w:ascii="宋体" w:hAnsi="宋体"/>
          <w:szCs w:val="2"/>
          <w:highlight w:val="none"/>
          <w:u w:val="single"/>
        </w:rPr>
        <w:t>大写：         整）</w:t>
      </w:r>
      <w:r>
        <w:rPr>
          <w:rStyle w:val="44"/>
          <w:rFonts w:hint="eastAsia" w:ascii="宋体" w:hAnsi="宋体"/>
          <w:szCs w:val="2"/>
          <w:highlight w:val="none"/>
        </w:rPr>
        <w:t>；不含税价格不因国家税率变化而变化，若在合同履行期间，如遇国家的税率调整，则价税合计应相应调整，以开具发票的时间为准。</w:t>
      </w:r>
      <w:r>
        <w:rPr>
          <w:rStyle w:val="44"/>
          <w:rFonts w:hint="eastAsia" w:ascii="宋体" w:hAnsi="宋体"/>
          <w:kern w:val="0"/>
          <w:highlight w:val="none"/>
        </w:rPr>
        <w:t>该金额为本合同约定项目的全部费用，除双方另有约定外，甲方无须向乙方支付其他任何费用。</w:t>
      </w:r>
    </w:p>
    <w:p w14:paraId="386D51B7">
      <w:pPr>
        <w:ind w:firstLine="420"/>
        <w:rPr>
          <w:rFonts w:ascii="宋体"/>
          <w:highlight w:val="none"/>
        </w:rPr>
      </w:pPr>
      <w:r>
        <w:rPr>
          <w:rFonts w:hint="eastAsia" w:ascii="宋体"/>
          <w:highlight w:val="none"/>
        </w:rPr>
        <w:t>13.2支付方式：</w:t>
      </w:r>
    </w:p>
    <w:p w14:paraId="54E4AAED">
      <w:pPr>
        <w:ind w:firstLine="420"/>
        <w:rPr>
          <w:rFonts w:ascii="宋体"/>
          <w:highlight w:val="none"/>
        </w:rPr>
      </w:pPr>
      <w:r>
        <w:rPr>
          <w:rFonts w:hint="eastAsia" w:ascii="宋体"/>
          <w:highlight w:val="none"/>
        </w:rPr>
        <w:t>本合同实施款项采用分期付款：</w:t>
      </w:r>
    </w:p>
    <w:p w14:paraId="637E30F2">
      <w:pPr>
        <w:ind w:firstLine="420"/>
        <w:rPr>
          <w:highlight w:val="none"/>
        </w:rPr>
      </w:pPr>
      <w:r>
        <w:rPr>
          <w:rFonts w:hint="eastAsia" w:ascii="宋体"/>
          <w:highlight w:val="none"/>
        </w:rPr>
        <w:t>13.2.1</w:t>
      </w:r>
      <w:r>
        <w:rPr>
          <w:highlight w:val="none"/>
        </w:rPr>
        <w:t>项目安装、调试以及完成第三代手机银行接入规则模型设计部署和完成账户分类分级后进入试运行，试运行30个工作日内，乙方向甲方提供合法足额的增值税专用发票，甲方向乙方支付合同总额的60％</w:t>
      </w:r>
      <w:r>
        <w:rPr>
          <w:rFonts w:hint="eastAsia"/>
          <w:highlight w:val="none"/>
        </w:rPr>
        <w:t>，即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w:t>
      </w:r>
    </w:p>
    <w:p w14:paraId="7B288E80">
      <w:pPr>
        <w:ind w:firstLine="420"/>
        <w:rPr>
          <w:highlight w:val="none"/>
        </w:rPr>
      </w:pPr>
      <w:r>
        <w:rPr>
          <w:rFonts w:hint="eastAsia" w:ascii="宋体"/>
          <w:highlight w:val="none"/>
        </w:rPr>
        <w:t>13.2.2</w:t>
      </w:r>
      <w:r>
        <w:rPr>
          <w:highlight w:val="none"/>
        </w:rPr>
        <w:t>项目建设、咨询等需求完成并正式验收合格后30个工作日内, 甲方依据《服务水平协议（SLA）》对乙方服务质量作出评价，评价合格后，乙方向甲方提供合法足额的增值税专用发票，甲方向乙方支付合同总价的30％，</w:t>
      </w:r>
      <w:r>
        <w:rPr>
          <w:rFonts w:hint="eastAsia"/>
          <w:highlight w:val="none"/>
        </w:rPr>
        <w:t>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w:t>
      </w:r>
      <w:r>
        <w:rPr>
          <w:highlight w:val="none"/>
        </w:rPr>
        <w:t>，否则按《服务水平协议（SLA）》进行相应金额扣除。</w:t>
      </w:r>
    </w:p>
    <w:p w14:paraId="5DEFB57E">
      <w:pPr>
        <w:ind w:firstLine="420"/>
        <w:rPr>
          <w:highlight w:val="none"/>
        </w:rPr>
      </w:pPr>
      <w:r>
        <w:rPr>
          <w:rFonts w:hint="eastAsia"/>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），否则按《服务水平协议（SLA）》进行相应金额扣除（13.2.2中已扣除部分，本条不重复扣减）。</w:t>
      </w:r>
    </w:p>
    <w:p w14:paraId="50127951">
      <w:pPr>
        <w:ind w:firstLine="420"/>
        <w:rPr>
          <w:rFonts w:ascii="宋体"/>
          <w:highlight w:val="none"/>
        </w:rPr>
      </w:pPr>
      <w:r>
        <w:rPr>
          <w:rFonts w:hint="eastAsia" w:ascii="宋体"/>
          <w:highlight w:val="none"/>
        </w:rPr>
        <w:t>13.3发票要求：</w:t>
      </w:r>
    </w:p>
    <w:p w14:paraId="6FC4EA65">
      <w:pPr>
        <w:ind w:firstLine="420"/>
        <w:rPr>
          <w:rFonts w:ascii="宋体"/>
          <w:highlight w:val="none"/>
        </w:rPr>
      </w:pPr>
      <w:r>
        <w:rPr>
          <w:rFonts w:hint="eastAsia" w:ascii="宋体"/>
          <w:highlight w:val="none"/>
        </w:rPr>
        <w:t>乙方须严格按照合同内容开具税率为</w:t>
      </w:r>
      <w:r>
        <w:rPr>
          <w:rFonts w:ascii="宋体"/>
          <w:highlight w:val="none"/>
        </w:rPr>
        <w:t xml:space="preserve">   </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06119F4">
      <w:pPr>
        <w:ind w:firstLine="420"/>
        <w:rPr>
          <w:rFonts w:ascii="宋体"/>
          <w:highlight w:val="none"/>
        </w:rPr>
      </w:pPr>
    </w:p>
    <w:p w14:paraId="582D89D2">
      <w:pPr>
        <w:ind w:firstLine="420"/>
        <w:rPr>
          <w:highlight w:val="none"/>
        </w:rPr>
      </w:pPr>
      <w:bookmarkStart w:id="302" w:name="_Toc63757470"/>
      <w:r>
        <w:rPr>
          <w:rFonts w:hint="eastAsia"/>
          <w:highlight w:val="none"/>
        </w:rPr>
        <w:t>第十四条  风险责任的承担</w:t>
      </w:r>
      <w:bookmarkEnd w:id="302"/>
    </w:p>
    <w:p w14:paraId="660D1195">
      <w:pPr>
        <w:tabs>
          <w:tab w:val="left" w:pos="6020"/>
        </w:tabs>
        <w:ind w:firstLine="420"/>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E68683C">
      <w:pPr>
        <w:tabs>
          <w:tab w:val="left" w:pos="6020"/>
        </w:tabs>
        <w:ind w:firstLine="420"/>
        <w:rPr>
          <w:rStyle w:val="44"/>
          <w:rFonts w:hint="eastAsia" w:ascii="宋体" w:hAnsi="宋体"/>
          <w:kern w:val="0"/>
          <w:highlight w:val="none"/>
        </w:rPr>
      </w:pPr>
      <w:r>
        <w:rPr>
          <w:rStyle w:val="44"/>
          <w:rFonts w:hint="eastAsia" w:ascii="宋体" w:hAnsi="宋体"/>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67376E0">
      <w:pPr>
        <w:tabs>
          <w:tab w:val="left" w:pos="6020"/>
        </w:tabs>
        <w:ind w:firstLine="420"/>
        <w:rPr>
          <w:rFonts w:ascii="宋体"/>
          <w:highlight w:val="none"/>
        </w:rPr>
      </w:pPr>
      <w:r>
        <w:rPr>
          <w:rStyle w:val="44"/>
          <w:rFonts w:hint="eastAsia" w:ascii="宋体" w:hAns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36A4483E">
      <w:pPr>
        <w:tabs>
          <w:tab w:val="left" w:pos="6020"/>
        </w:tabs>
        <w:ind w:firstLine="560" w:firstLineChars="0"/>
        <w:rPr>
          <w:rFonts w:ascii="宋体"/>
          <w:highlight w:val="none"/>
        </w:rPr>
      </w:pPr>
    </w:p>
    <w:p w14:paraId="57743655">
      <w:pPr>
        <w:ind w:firstLine="420"/>
        <w:rPr>
          <w:highlight w:val="none"/>
        </w:rPr>
      </w:pPr>
      <w:bookmarkStart w:id="303" w:name="_Toc63757471"/>
      <w:r>
        <w:rPr>
          <w:rFonts w:hint="eastAsia"/>
          <w:highlight w:val="none"/>
        </w:rPr>
        <w:t xml:space="preserve">第十五条  </w:t>
      </w:r>
      <w:bookmarkStart w:id="304" w:name="_Toc58337511"/>
      <w:r>
        <w:rPr>
          <w:rFonts w:hint="eastAsia"/>
          <w:highlight w:val="none"/>
        </w:rPr>
        <w:t>违约与赔偿</w:t>
      </w:r>
      <w:bookmarkEnd w:id="303"/>
      <w:bookmarkEnd w:id="304"/>
    </w:p>
    <w:p w14:paraId="2055437B">
      <w:pPr>
        <w:ind w:firstLine="420"/>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020A8F0B">
      <w:pPr>
        <w:ind w:firstLine="420"/>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6A1E45CD">
      <w:pPr>
        <w:ind w:firstLine="420"/>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668BB25">
      <w:pPr>
        <w:ind w:firstLine="420"/>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1AE0339D">
      <w:pPr>
        <w:ind w:firstLine="420"/>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2628D837">
      <w:pPr>
        <w:ind w:firstLine="420"/>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07FB8914">
      <w:pPr>
        <w:ind w:firstLine="420"/>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57C68899">
      <w:pPr>
        <w:ind w:firstLine="420"/>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76734898">
      <w:pPr>
        <w:ind w:left="1050" w:leftChars="200" w:hanging="630" w:hangingChars="300"/>
        <w:rPr>
          <w:rFonts w:ascii="宋体"/>
          <w:highlight w:val="none"/>
        </w:rPr>
      </w:pPr>
    </w:p>
    <w:p w14:paraId="3FB4E874">
      <w:pPr>
        <w:ind w:firstLine="420"/>
        <w:rPr>
          <w:highlight w:val="none"/>
        </w:rPr>
      </w:pPr>
      <w:bookmarkStart w:id="305" w:name="_Toc63757472"/>
      <w:r>
        <w:rPr>
          <w:rFonts w:hint="eastAsia"/>
          <w:highlight w:val="none"/>
        </w:rPr>
        <w:t>第十六条  合同的解除</w:t>
      </w:r>
      <w:bookmarkEnd w:id="305"/>
      <w:r>
        <w:rPr>
          <w:rFonts w:hint="eastAsia"/>
          <w:highlight w:val="none"/>
        </w:rPr>
        <w:t>和终止</w:t>
      </w:r>
    </w:p>
    <w:p w14:paraId="1A468016">
      <w:pPr>
        <w:ind w:firstLine="420"/>
        <w:rPr>
          <w:rFonts w:ascii="宋体"/>
          <w:highlight w:val="none"/>
        </w:rPr>
      </w:pPr>
      <w:r>
        <w:rPr>
          <w:rFonts w:hint="eastAsia" w:ascii="宋体"/>
          <w:highlight w:val="none"/>
        </w:rPr>
        <w:t>16.1如果满足以下条件，任一方在通知对方后，都可以解除本合同。</w:t>
      </w:r>
    </w:p>
    <w:p w14:paraId="1DAC8C95">
      <w:pPr>
        <w:ind w:firstLine="420"/>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F99F9A1">
      <w:pPr>
        <w:ind w:firstLine="420"/>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510A9CF5">
      <w:pPr>
        <w:ind w:firstLine="420"/>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1F344C6E">
      <w:pPr>
        <w:ind w:firstLine="420"/>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3464E13E">
      <w:pPr>
        <w:ind w:firstLine="422"/>
        <w:rPr>
          <w:rFonts w:ascii="宋体"/>
          <w:b/>
          <w:highlight w:val="none"/>
        </w:rPr>
      </w:pPr>
    </w:p>
    <w:p w14:paraId="1D21D3BA">
      <w:pPr>
        <w:ind w:firstLine="420"/>
        <w:rPr>
          <w:highlight w:val="none"/>
        </w:rPr>
      </w:pPr>
      <w:bookmarkStart w:id="306" w:name="_Toc63757473"/>
      <w:r>
        <w:rPr>
          <w:rFonts w:hint="eastAsia"/>
          <w:highlight w:val="none"/>
        </w:rPr>
        <w:t>第十七条  合同变更及转让</w:t>
      </w:r>
      <w:bookmarkEnd w:id="306"/>
    </w:p>
    <w:p w14:paraId="35C455FF">
      <w:pPr>
        <w:ind w:firstLine="420"/>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4823DFCB">
      <w:pPr>
        <w:ind w:firstLine="420"/>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234D4584">
      <w:pPr>
        <w:ind w:firstLine="422"/>
        <w:rPr>
          <w:rFonts w:ascii="宋体"/>
          <w:b/>
          <w:highlight w:val="none"/>
        </w:rPr>
      </w:pPr>
    </w:p>
    <w:p w14:paraId="66709977">
      <w:pPr>
        <w:ind w:firstLine="420"/>
        <w:rPr>
          <w:highlight w:val="none"/>
        </w:rPr>
      </w:pPr>
      <w:bookmarkStart w:id="307" w:name="_Toc63757474"/>
      <w:r>
        <w:rPr>
          <w:rFonts w:hint="eastAsia"/>
          <w:highlight w:val="none"/>
        </w:rPr>
        <w:t>第十八条  争议解决</w:t>
      </w:r>
      <w:bookmarkEnd w:id="307"/>
    </w:p>
    <w:p w14:paraId="08BC5322">
      <w:pPr>
        <w:ind w:firstLine="420"/>
        <w:rPr>
          <w:rFonts w:ascii="宋体"/>
          <w:highlight w:val="none"/>
        </w:rPr>
      </w:pPr>
      <w:r>
        <w:rPr>
          <w:rFonts w:hint="eastAsia" w:ascii="宋体"/>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r>
        <w:rPr>
          <w:rFonts w:cs="Times New Roman"/>
          <w:highlight w:val="none"/>
        </w:rPr>
        <w:t>仲裁裁决是终局性的，对双方均有约束力</w:t>
      </w:r>
      <w:r>
        <w:rPr>
          <w:rFonts w:hint="eastAsia" w:ascii="宋体"/>
          <w:highlight w:val="none"/>
        </w:rPr>
        <w:t>。</w:t>
      </w:r>
    </w:p>
    <w:p w14:paraId="3BCDFE38">
      <w:pPr>
        <w:ind w:firstLine="420"/>
        <w:rPr>
          <w:rFonts w:ascii="宋体"/>
          <w:highlight w:val="none"/>
        </w:rPr>
      </w:pPr>
    </w:p>
    <w:p w14:paraId="689E6D07">
      <w:pPr>
        <w:ind w:firstLine="420"/>
        <w:rPr>
          <w:highlight w:val="none"/>
        </w:rPr>
      </w:pPr>
      <w:bookmarkStart w:id="308" w:name="_Toc63757475"/>
      <w:r>
        <w:rPr>
          <w:rFonts w:hint="eastAsia"/>
          <w:highlight w:val="none"/>
        </w:rPr>
        <w:t>第十九条 通知与送达</w:t>
      </w:r>
      <w:bookmarkEnd w:id="308"/>
    </w:p>
    <w:p w14:paraId="20C998B6">
      <w:pPr>
        <w:ind w:firstLine="420"/>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0F4388F">
      <w:pPr>
        <w:adjustRightInd w:val="0"/>
        <w:spacing w:line="336" w:lineRule="auto"/>
        <w:ind w:firstLine="470" w:firstLineChars="224"/>
        <w:jc w:val="left"/>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42AB9DD">
      <w:pPr>
        <w:ind w:firstLine="420"/>
        <w:rPr>
          <w:rFonts w:ascii="宋体"/>
          <w:highlight w:val="none"/>
          <w:lang w:val="zh-CN"/>
        </w:rPr>
      </w:pPr>
    </w:p>
    <w:p w14:paraId="56292D20">
      <w:pPr>
        <w:ind w:firstLine="420"/>
        <w:rPr>
          <w:highlight w:val="none"/>
        </w:rPr>
      </w:pPr>
      <w:bookmarkStart w:id="309" w:name="_Toc63757476"/>
      <w:r>
        <w:rPr>
          <w:rFonts w:hint="eastAsia"/>
          <w:highlight w:val="none"/>
        </w:rPr>
        <w:t>第二十条  合同生效</w:t>
      </w:r>
      <w:bookmarkEnd w:id="309"/>
    </w:p>
    <w:p w14:paraId="04B4F64D">
      <w:pPr>
        <w:ind w:firstLine="420"/>
        <w:rPr>
          <w:rFonts w:ascii="宋体"/>
          <w:highlight w:val="none"/>
        </w:rPr>
      </w:pPr>
      <w:r>
        <w:rPr>
          <w:rFonts w:hint="eastAsia" w:ascii="宋体"/>
          <w:highlight w:val="none"/>
        </w:rPr>
        <w:t>本合同自下列条件全部满足之日起生效：</w:t>
      </w:r>
    </w:p>
    <w:p w14:paraId="2D599B00">
      <w:pPr>
        <w:ind w:firstLine="420"/>
        <w:rPr>
          <w:rFonts w:ascii="宋体"/>
          <w:highlight w:val="none"/>
        </w:rPr>
      </w:pPr>
      <w:r>
        <w:rPr>
          <w:rFonts w:hint="eastAsia" w:ascii="宋体"/>
          <w:highlight w:val="none"/>
        </w:rPr>
        <w:t>双方对本合同及其全部附件内容达成一致并加盖公章。</w:t>
      </w:r>
    </w:p>
    <w:p w14:paraId="619C1D39">
      <w:pPr>
        <w:ind w:firstLine="422"/>
        <w:rPr>
          <w:rFonts w:ascii="宋体"/>
          <w:b/>
          <w:highlight w:val="none"/>
        </w:rPr>
      </w:pPr>
    </w:p>
    <w:p w14:paraId="3D1A05D3">
      <w:pPr>
        <w:ind w:firstLine="420"/>
        <w:rPr>
          <w:highlight w:val="none"/>
        </w:rPr>
      </w:pPr>
      <w:bookmarkStart w:id="310" w:name="_Toc63757477"/>
      <w:r>
        <w:rPr>
          <w:rFonts w:hint="eastAsia"/>
          <w:highlight w:val="none"/>
        </w:rPr>
        <w:t>第二十一条  不可抗力</w:t>
      </w:r>
      <w:bookmarkEnd w:id="310"/>
    </w:p>
    <w:p w14:paraId="2A5E3BA2">
      <w:pPr>
        <w:ind w:firstLine="420"/>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7C22705E">
      <w:pPr>
        <w:ind w:firstLine="420"/>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503DC108">
      <w:pPr>
        <w:ind w:firstLine="420"/>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6C23258C">
      <w:pPr>
        <w:ind w:firstLine="420"/>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1B645D4E">
      <w:pPr>
        <w:ind w:firstLine="422"/>
        <w:rPr>
          <w:rFonts w:ascii="宋体"/>
          <w:b/>
          <w:highlight w:val="none"/>
        </w:rPr>
      </w:pPr>
    </w:p>
    <w:p w14:paraId="745C2D1C">
      <w:pPr>
        <w:ind w:firstLine="420"/>
        <w:rPr>
          <w:highlight w:val="none"/>
        </w:rPr>
      </w:pPr>
      <w:bookmarkStart w:id="311" w:name="_Toc63757478"/>
      <w:r>
        <w:rPr>
          <w:rFonts w:hint="eastAsia"/>
          <w:highlight w:val="none"/>
        </w:rPr>
        <w:t>第二十二条  反商业贿赂</w:t>
      </w:r>
      <w:bookmarkEnd w:id="311"/>
    </w:p>
    <w:p w14:paraId="0F3B78B8">
      <w:pPr>
        <w:ind w:firstLine="420"/>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7792F3E5">
      <w:pPr>
        <w:ind w:firstLine="422"/>
        <w:rPr>
          <w:rFonts w:ascii="宋体"/>
          <w:b/>
          <w:highlight w:val="none"/>
        </w:rPr>
      </w:pPr>
    </w:p>
    <w:p w14:paraId="5BA39C37">
      <w:pPr>
        <w:ind w:firstLine="420"/>
        <w:rPr>
          <w:highlight w:val="none"/>
        </w:rPr>
      </w:pPr>
      <w:bookmarkStart w:id="312" w:name="_Toc63757479"/>
      <w:r>
        <w:rPr>
          <w:rFonts w:hint="eastAsia"/>
          <w:highlight w:val="none"/>
        </w:rPr>
        <w:t>第二十三条  附件</w:t>
      </w:r>
      <w:bookmarkEnd w:id="312"/>
    </w:p>
    <w:p w14:paraId="2EACC5EB">
      <w:pPr>
        <w:ind w:firstLine="489" w:firstLineChars="233"/>
        <w:rPr>
          <w:rFonts w:ascii="宋体"/>
          <w:highlight w:val="none"/>
        </w:rPr>
      </w:pPr>
      <w:r>
        <w:rPr>
          <w:rFonts w:hint="eastAsia" w:ascii="宋体"/>
          <w:highlight w:val="none"/>
        </w:rPr>
        <w:t>本合同的附件与合同正本具有同等法律效力，主合同与附件如有冲突，以主合同为准。本合同附件如下：</w:t>
      </w:r>
    </w:p>
    <w:p w14:paraId="35319D57">
      <w:pPr>
        <w:ind w:left="560" w:firstLine="420"/>
        <w:rPr>
          <w:rFonts w:ascii="宋体"/>
          <w:highlight w:val="none"/>
        </w:rPr>
      </w:pPr>
      <w:r>
        <w:rPr>
          <w:rFonts w:hint="eastAsia" w:ascii="宋体"/>
          <w:highlight w:val="none"/>
        </w:rPr>
        <w:t>附件一：工作（需求）说明书</w:t>
      </w:r>
    </w:p>
    <w:p w14:paraId="4B6DEBB2">
      <w:pPr>
        <w:ind w:left="560" w:firstLine="420"/>
        <w:rPr>
          <w:rFonts w:ascii="宋体"/>
          <w:highlight w:val="none"/>
        </w:rPr>
      </w:pPr>
      <w:r>
        <w:rPr>
          <w:rFonts w:hint="eastAsia" w:ascii="宋体"/>
          <w:highlight w:val="none"/>
        </w:rPr>
        <w:t>附件二：项目人员名单及人员应急退出机制</w:t>
      </w:r>
    </w:p>
    <w:p w14:paraId="52F7E461">
      <w:pPr>
        <w:ind w:left="560" w:firstLine="420"/>
        <w:rPr>
          <w:rFonts w:ascii="宋体"/>
          <w:highlight w:val="none"/>
        </w:rPr>
      </w:pPr>
      <w:r>
        <w:rPr>
          <w:rFonts w:hint="eastAsia" w:ascii="宋体"/>
          <w:highlight w:val="none"/>
        </w:rPr>
        <w:t>附件三：验收标准及流程</w:t>
      </w:r>
    </w:p>
    <w:p w14:paraId="0B01397B">
      <w:pPr>
        <w:ind w:left="560" w:firstLine="420"/>
        <w:rPr>
          <w:rFonts w:ascii="宋体"/>
          <w:highlight w:val="none"/>
        </w:rPr>
      </w:pPr>
      <w:r>
        <w:rPr>
          <w:rFonts w:hint="eastAsia" w:ascii="宋体"/>
          <w:highlight w:val="none"/>
        </w:rPr>
        <w:t>附件四：维护服务条款</w:t>
      </w:r>
    </w:p>
    <w:p w14:paraId="4906C7CC">
      <w:pPr>
        <w:ind w:left="560" w:firstLine="420"/>
        <w:rPr>
          <w:rFonts w:ascii="宋体"/>
          <w:highlight w:val="none"/>
        </w:rPr>
      </w:pPr>
      <w:r>
        <w:rPr>
          <w:rFonts w:hint="eastAsia" w:ascii="宋体"/>
          <w:highlight w:val="none"/>
        </w:rPr>
        <w:t>附件五：服务水平协议（SLA）</w:t>
      </w:r>
    </w:p>
    <w:p w14:paraId="242BCC15">
      <w:pPr>
        <w:ind w:left="560" w:firstLine="420"/>
        <w:rPr>
          <w:rFonts w:ascii="宋体"/>
          <w:highlight w:val="none"/>
        </w:rPr>
      </w:pPr>
      <w:r>
        <w:rPr>
          <w:rFonts w:hint="eastAsia" w:ascii="宋体"/>
          <w:highlight w:val="none"/>
        </w:rPr>
        <w:t>附件六：服务连续性预案</w:t>
      </w:r>
    </w:p>
    <w:p w14:paraId="3F40F57B">
      <w:pPr>
        <w:ind w:left="560" w:firstLine="420"/>
        <w:rPr>
          <w:rFonts w:ascii="宋体"/>
          <w:highlight w:val="none"/>
        </w:rPr>
      </w:pPr>
    </w:p>
    <w:p w14:paraId="3A163DD6">
      <w:pPr>
        <w:ind w:firstLine="420"/>
        <w:rPr>
          <w:highlight w:val="none"/>
        </w:rPr>
      </w:pPr>
      <w:bookmarkStart w:id="313" w:name="_Toc63757480"/>
      <w:r>
        <w:rPr>
          <w:rFonts w:hint="eastAsia"/>
          <w:highlight w:val="none"/>
        </w:rPr>
        <w:t>第二十四条  其他</w:t>
      </w:r>
      <w:bookmarkEnd w:id="313"/>
    </w:p>
    <w:p w14:paraId="024EFF88">
      <w:pPr>
        <w:pStyle w:val="15"/>
        <w:spacing w:before="0" w:beforeLines="0" w:line="360" w:lineRule="auto"/>
        <w:ind w:firstLine="480"/>
        <w:rPr>
          <w:rFonts w:ascii="宋体" w:eastAsia="宋体"/>
          <w:spacing w:val="0"/>
          <w:highlight w:val="none"/>
        </w:rPr>
      </w:pPr>
      <w:r>
        <w:rPr>
          <w:rStyle w:val="44"/>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BADAE25">
      <w:pPr>
        <w:pStyle w:val="15"/>
        <w:spacing w:before="0" w:beforeLines="0" w:line="360" w:lineRule="auto"/>
        <w:ind w:firstLine="480"/>
        <w:rPr>
          <w:rFonts w:ascii="宋体" w:eastAsia="宋体"/>
          <w:spacing w:val="0"/>
          <w:highlight w:val="none"/>
        </w:rPr>
      </w:pPr>
      <w:r>
        <w:rPr>
          <w:rFonts w:hint="eastAsia" w:ascii="宋体" w:eastAsia="宋体"/>
          <w:spacing w:val="0"/>
          <w:highlight w:val="none"/>
        </w:rPr>
        <w:t>24.</w:t>
      </w:r>
      <w:r>
        <w:rPr>
          <w:rStyle w:val="44"/>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40FE7B97">
      <w:pPr>
        <w:ind w:firstLine="420"/>
        <w:rPr>
          <w:rFonts w:ascii="宋体"/>
          <w:highlight w:val="none"/>
        </w:rPr>
      </w:pPr>
      <w:r>
        <w:rPr>
          <w:rStyle w:val="44"/>
          <w:rFonts w:hint="eastAsia" w:ascii="宋体" w:hAns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7DD81888">
      <w:pPr>
        <w:ind w:firstLine="420"/>
        <w:rPr>
          <w:rStyle w:val="44"/>
          <w:rFonts w:hint="eastAsia" w:ascii="宋体" w:hAnsi="宋体"/>
          <w:kern w:val="0"/>
          <w:highlight w:val="none"/>
        </w:rPr>
      </w:pPr>
      <w:r>
        <w:rPr>
          <w:rStyle w:val="44"/>
          <w:rFonts w:hint="eastAsia" w:ascii="宋体" w:hAnsi="宋体"/>
          <w:kern w:val="0"/>
          <w:highlight w:val="none"/>
        </w:rPr>
        <w:t>24.4本合同以中文版本为准，除非本合同明确规定或双方另有约定，为履行本合同的所有文件及信函均以中文书写。</w:t>
      </w:r>
    </w:p>
    <w:p w14:paraId="663220F3">
      <w:pPr>
        <w:ind w:firstLine="420"/>
        <w:rPr>
          <w:rFonts w:ascii="宋体"/>
          <w:highlight w:val="none"/>
        </w:rPr>
      </w:pPr>
      <w:r>
        <w:rPr>
          <w:rStyle w:val="44"/>
          <w:rFonts w:hint="eastAsia" w:ascii="宋体" w:hAnsi="宋体"/>
          <w:kern w:val="0"/>
          <w:highlight w:val="none"/>
        </w:rPr>
        <w:t>24.5本合同一式肆份，甲方执贰份，乙方执贰份，每份具有同等法律</w:t>
      </w:r>
      <w:r>
        <w:rPr>
          <w:rFonts w:hint="eastAsia" w:ascii="宋体"/>
          <w:highlight w:val="none"/>
        </w:rPr>
        <w:t>效力。</w:t>
      </w:r>
    </w:p>
    <w:p w14:paraId="2C26FABF">
      <w:pPr>
        <w:ind w:firstLine="422"/>
        <w:rPr>
          <w:rFonts w:ascii="宋体"/>
          <w:b/>
          <w:iCs/>
          <w:highlight w:val="none"/>
        </w:rPr>
      </w:pPr>
      <w:r>
        <w:rPr>
          <w:rFonts w:hint="eastAsia" w:ascii="宋体"/>
          <w:b/>
          <w:iCs/>
          <w:highlight w:val="none"/>
        </w:rPr>
        <w:t>本合同由各方于本合同签署页所述日期正式签署，以昭信守。</w:t>
      </w:r>
    </w:p>
    <w:p w14:paraId="6E6E3D83">
      <w:pPr>
        <w:ind w:firstLine="422"/>
        <w:rPr>
          <w:rFonts w:ascii="宋体"/>
          <w:b/>
          <w:iCs/>
          <w:highlight w:val="none"/>
        </w:rPr>
      </w:pPr>
      <w:r>
        <w:rPr>
          <w:rFonts w:hint="eastAsia" w:ascii="宋体"/>
          <w:b/>
          <w:iCs/>
          <w:highlight w:val="none"/>
        </w:rPr>
        <w:t>（以下无正文）</w:t>
      </w:r>
    </w:p>
    <w:p w14:paraId="163AB969">
      <w:pPr>
        <w:ind w:firstLine="422"/>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E7BD7F">
      <w:pPr>
        <w:ind w:firstLine="422"/>
        <w:rPr>
          <w:rFonts w:ascii="宋体"/>
          <w:b/>
          <w:highlight w:val="none"/>
        </w:rPr>
      </w:pPr>
    </w:p>
    <w:p w14:paraId="065D8E80">
      <w:pPr>
        <w:ind w:firstLine="422"/>
        <w:rPr>
          <w:rFonts w:ascii="宋体"/>
          <w:b/>
          <w:highlight w:val="none"/>
        </w:rPr>
      </w:pPr>
    </w:p>
    <w:p w14:paraId="4E30846A">
      <w:pPr>
        <w:tabs>
          <w:tab w:val="left" w:pos="851"/>
        </w:tabs>
        <w:adjustRightInd w:val="0"/>
        <w:ind w:firstLine="420"/>
        <w:textAlignment w:val="baseline"/>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3654AE06">
      <w:pPr>
        <w:ind w:firstLine="420"/>
        <w:rPr>
          <w:rFonts w:ascii="宋体"/>
          <w:highlight w:val="none"/>
        </w:rPr>
      </w:pPr>
    </w:p>
    <w:p w14:paraId="69A4FC03">
      <w:pPr>
        <w:tabs>
          <w:tab w:val="left" w:pos="851"/>
        </w:tabs>
        <w:adjustRightInd w:val="0"/>
        <w:ind w:firstLine="630" w:firstLineChars="300"/>
        <w:textAlignment w:val="baseline"/>
        <w:rPr>
          <w:rFonts w:ascii="宋体"/>
          <w:kern w:val="0"/>
          <w:highlight w:val="none"/>
        </w:rPr>
      </w:pPr>
      <w:r>
        <w:rPr>
          <w:rFonts w:hint="eastAsia" w:ascii="宋体"/>
          <w:kern w:val="0"/>
          <w:highlight w:val="none"/>
        </w:rPr>
        <w:t>经办人：</w:t>
      </w:r>
    </w:p>
    <w:p w14:paraId="7964E524">
      <w:pPr>
        <w:tabs>
          <w:tab w:val="left" w:pos="851"/>
        </w:tabs>
        <w:adjustRightInd w:val="0"/>
        <w:ind w:firstLine="630" w:firstLineChars="300"/>
        <w:textAlignment w:val="baseline"/>
        <w:rPr>
          <w:rFonts w:ascii="宋体"/>
          <w:kern w:val="0"/>
          <w:highlight w:val="none"/>
        </w:rPr>
      </w:pPr>
    </w:p>
    <w:p w14:paraId="2EB77F0E">
      <w:pPr>
        <w:ind w:firstLine="420"/>
        <w:rPr>
          <w:rFonts w:ascii="宋体"/>
          <w:highlight w:val="none"/>
        </w:rPr>
      </w:pPr>
    </w:p>
    <w:p w14:paraId="509201FE">
      <w:pPr>
        <w:ind w:firstLine="420"/>
        <w:rPr>
          <w:rFonts w:ascii="宋体"/>
          <w:highlight w:val="none"/>
        </w:rPr>
      </w:pPr>
    </w:p>
    <w:p w14:paraId="0C63592C">
      <w:pPr>
        <w:ind w:firstLine="420"/>
        <w:rPr>
          <w:rFonts w:ascii="宋体"/>
          <w:highlight w:val="none"/>
        </w:rPr>
      </w:pPr>
    </w:p>
    <w:p w14:paraId="5A60B60A">
      <w:pPr>
        <w:ind w:firstLine="420"/>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4B347B4B">
      <w:pPr>
        <w:ind w:firstLine="420"/>
        <w:rPr>
          <w:rFonts w:ascii="宋体"/>
          <w:highlight w:val="none"/>
        </w:rPr>
      </w:pPr>
    </w:p>
    <w:p w14:paraId="376AC809">
      <w:pPr>
        <w:ind w:firstLine="630" w:firstLineChars="300"/>
        <w:rPr>
          <w:rFonts w:ascii="宋体"/>
          <w:highlight w:val="none"/>
        </w:rPr>
      </w:pPr>
      <w:r>
        <w:rPr>
          <w:rFonts w:hint="eastAsia" w:ascii="宋体"/>
          <w:highlight w:val="none"/>
        </w:rPr>
        <w:t>经办人：</w:t>
      </w:r>
    </w:p>
    <w:p w14:paraId="1688C84E">
      <w:pPr>
        <w:ind w:firstLine="420"/>
        <w:rPr>
          <w:rFonts w:ascii="宋体"/>
          <w:highlight w:val="none"/>
        </w:rPr>
      </w:pPr>
    </w:p>
    <w:p w14:paraId="1879134F">
      <w:pPr>
        <w:ind w:firstLine="4410" w:firstLineChars="2100"/>
        <w:rPr>
          <w:rFonts w:ascii="宋体"/>
          <w:highlight w:val="none"/>
        </w:rPr>
      </w:pPr>
    </w:p>
    <w:p w14:paraId="77E66F4C">
      <w:pPr>
        <w:ind w:firstLine="4410" w:firstLineChars="2100"/>
        <w:rPr>
          <w:rFonts w:ascii="宋体"/>
          <w:highlight w:val="none"/>
        </w:rPr>
      </w:pPr>
    </w:p>
    <w:p w14:paraId="5E48C040">
      <w:pPr>
        <w:ind w:firstLine="4410" w:firstLineChars="2100"/>
        <w:rPr>
          <w:rFonts w:ascii="宋体"/>
          <w:highlight w:val="none"/>
        </w:rPr>
      </w:pPr>
      <w:r>
        <w:rPr>
          <w:rFonts w:hint="eastAsia" w:ascii="宋体"/>
          <w:highlight w:val="none"/>
        </w:rPr>
        <w:t>日期：    年    月    日</w:t>
      </w:r>
    </w:p>
    <w:p w14:paraId="28044B04">
      <w:pPr>
        <w:ind w:firstLine="420"/>
        <w:jc w:val="center"/>
        <w:rPr>
          <w:rStyle w:val="44"/>
          <w:rFonts w:hint="eastAsia" w:ascii="宋体" w:hAnsi="宋体"/>
          <w:sz w:val="30"/>
          <w:highlight w:val="none"/>
        </w:rPr>
      </w:pPr>
      <w:r>
        <w:rPr>
          <w:highlight w:val="none"/>
        </w:rPr>
        <w:br w:type="page"/>
      </w:r>
      <w:bookmarkStart w:id="314" w:name="_Toc63757481"/>
      <w:r>
        <w:rPr>
          <w:rStyle w:val="44"/>
          <w:rFonts w:hint="eastAsia" w:ascii="宋体" w:hAnsi="宋体"/>
          <w:sz w:val="30"/>
          <w:highlight w:val="none"/>
        </w:rPr>
        <w:t>附件一：工作（需求）说明书</w:t>
      </w:r>
      <w:bookmarkEnd w:id="314"/>
    </w:p>
    <w:p w14:paraId="47BEA448">
      <w:pPr>
        <w:ind w:firstLine="420"/>
        <w:rPr>
          <w:highlight w:val="none"/>
        </w:rPr>
      </w:pPr>
      <w:bookmarkStart w:id="315" w:name="_Toc63757482"/>
      <w:r>
        <w:rPr>
          <w:highlight w:val="none"/>
        </w:rPr>
        <w:t>1、</w:t>
      </w:r>
      <w:r>
        <w:rPr>
          <w:rFonts w:hint="eastAsia"/>
          <w:highlight w:val="none"/>
        </w:rPr>
        <w:t>业务需求</w:t>
      </w:r>
    </w:p>
    <w:p w14:paraId="77B13119">
      <w:pPr>
        <w:ind w:firstLine="420"/>
        <w:rPr>
          <w:szCs w:val="24"/>
          <w:highlight w:val="none"/>
        </w:rPr>
      </w:pPr>
      <w:r>
        <w:rPr>
          <w:rFonts w:hint="eastAsia"/>
          <w:szCs w:val="24"/>
          <w:highlight w:val="none"/>
        </w:rPr>
        <w:t>本项目旨在构建以“双盾三枢”为核心业务架构的智能交易风控系统，满足本行反欺诈工作更加平台化、模块化、标准化的发展要求。通过整合全渠道风险数据、强化智能决策能力、贯通联防联控机制，实现风险防控体系的全面升级。平台以“主动防御、精准识别、敏捷响应”为核心理念，聚焦交易与账户双维安全，依托数据、模型与运营三大中枢的协同运作，推动风险防控从单点被动处置向全域主动治理转型。通过打通业务条线壁垒、深化AI技术应用、构建生态联防网络，最终形成覆盖业务全场景、贯穿风险全周期、融合决策全智能的立体化风控体系，全面提升欺诈风险识别精度、处置效率与合规水平，为我行业务稳健发展及数字化转型构筑坚实的安全屏障。</w:t>
      </w:r>
    </w:p>
    <w:p w14:paraId="63B58F34">
      <w:pPr>
        <w:ind w:firstLine="420"/>
        <w:rPr>
          <w:szCs w:val="24"/>
          <w:highlight w:val="none"/>
        </w:rPr>
      </w:pPr>
      <w:r>
        <w:rPr>
          <w:rFonts w:hint="eastAsia"/>
          <w:szCs w:val="24"/>
          <w:highlight w:val="none"/>
        </w:rPr>
        <w:t>本项目实施</w:t>
      </w:r>
      <w:r>
        <w:rPr>
          <w:szCs w:val="24"/>
          <w:highlight w:val="none"/>
        </w:rPr>
        <w:t>范围主要包括两方面，</w:t>
      </w:r>
      <w:r>
        <w:rPr>
          <w:rFonts w:hint="eastAsia"/>
          <w:szCs w:val="24"/>
          <w:highlight w:val="none"/>
        </w:rPr>
        <w:t>一</w:t>
      </w:r>
      <w:r>
        <w:rPr>
          <w:szCs w:val="24"/>
          <w:highlight w:val="none"/>
        </w:rPr>
        <w:t>是业务咨询，包括交易反欺诈和账户分级分类整体的体系规划、</w:t>
      </w:r>
      <w:r>
        <w:rPr>
          <w:rFonts w:hint="eastAsia"/>
          <w:szCs w:val="24"/>
          <w:highlight w:val="none"/>
        </w:rPr>
        <w:t>规则</w:t>
      </w:r>
      <w:r>
        <w:rPr>
          <w:szCs w:val="24"/>
          <w:highlight w:val="none"/>
        </w:rPr>
        <w:t>模型及运营处置体系的规划、交易反欺诈、反电诈及账户分级分类</w:t>
      </w:r>
      <w:r>
        <w:rPr>
          <w:rFonts w:hint="eastAsia"/>
          <w:szCs w:val="24"/>
          <w:highlight w:val="none"/>
        </w:rPr>
        <w:t>规则</w:t>
      </w:r>
      <w:r>
        <w:rPr>
          <w:szCs w:val="24"/>
          <w:highlight w:val="none"/>
        </w:rPr>
        <w:t>模型建设</w:t>
      </w:r>
      <w:r>
        <w:rPr>
          <w:rFonts w:hint="eastAsia"/>
          <w:szCs w:val="24"/>
          <w:highlight w:val="none"/>
        </w:rPr>
        <w:t>；二</w:t>
      </w:r>
      <w:r>
        <w:rPr>
          <w:szCs w:val="24"/>
          <w:highlight w:val="none"/>
        </w:rPr>
        <w:t>是基础平台的建设，包括实时交易反欺诈、实时/准实时反电诈及账户分级分类平台的建设。</w:t>
      </w:r>
    </w:p>
    <w:p w14:paraId="4743B94C">
      <w:pPr>
        <w:ind w:firstLine="420"/>
        <w:rPr>
          <w:highlight w:val="none"/>
        </w:rPr>
      </w:pPr>
      <w:r>
        <w:rPr>
          <w:rFonts w:hint="eastAsia"/>
          <w:highlight w:val="none"/>
        </w:rPr>
        <w:t>1.1业务咨询需求清单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76E8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0C2878AC">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07AA0CB8">
            <w:pPr>
              <w:spacing w:line="240" w:lineRule="auto"/>
              <w:ind w:firstLine="0" w:firstLineChars="0"/>
              <w:jc w:val="center"/>
              <w:rPr>
                <w:b/>
                <w:bCs/>
                <w:highlight w:val="none"/>
              </w:rPr>
            </w:pPr>
            <w:r>
              <w:rPr>
                <w:rFonts w:hint="eastAsia"/>
                <w:b/>
                <w:bCs/>
                <w:highlight w:val="none"/>
              </w:rPr>
              <w:t>咨询板块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21B6A518">
            <w:pPr>
              <w:spacing w:line="240" w:lineRule="auto"/>
              <w:ind w:firstLine="0" w:firstLineChars="0"/>
              <w:jc w:val="center"/>
              <w:rPr>
                <w:b/>
                <w:bCs/>
                <w:highlight w:val="none"/>
              </w:rPr>
            </w:pPr>
            <w:r>
              <w:rPr>
                <w:rFonts w:hint="eastAsia"/>
                <w:b/>
                <w:bCs/>
                <w:highlight w:val="none"/>
              </w:rPr>
              <w:t>咨询内容</w:t>
            </w:r>
          </w:p>
        </w:tc>
      </w:tr>
      <w:tr w14:paraId="4BDA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96BD736">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492C0EDB">
            <w:pPr>
              <w:spacing w:line="240" w:lineRule="auto"/>
              <w:ind w:firstLine="0" w:firstLineChars="0"/>
              <w:jc w:val="center"/>
              <w:rPr>
                <w:rFonts w:ascii="宋体" w:cs="宋体"/>
                <w:szCs w:val="21"/>
                <w:highlight w:val="none"/>
              </w:rPr>
            </w:pPr>
            <w:r>
              <w:rPr>
                <w:rFonts w:hint="eastAsia" w:ascii="宋体" w:cs="宋体"/>
                <w:szCs w:val="21"/>
                <w:highlight w:val="none"/>
              </w:rPr>
              <w:t>交易风控管理体系咨询</w:t>
            </w:r>
          </w:p>
        </w:tc>
        <w:tc>
          <w:tcPr>
            <w:tcW w:w="5981" w:type="dxa"/>
            <w:tcBorders>
              <w:top w:val="single" w:color="auto" w:sz="4" w:space="0"/>
              <w:left w:val="single" w:color="auto" w:sz="4" w:space="0"/>
              <w:bottom w:val="single" w:color="auto" w:sz="4" w:space="0"/>
              <w:right w:val="single" w:color="auto" w:sz="4" w:space="0"/>
            </w:tcBorders>
          </w:tcPr>
          <w:p w14:paraId="3A42B20A">
            <w:pPr>
              <w:widowControl/>
              <w:autoSpaceDE/>
              <w:autoSpaceDN/>
              <w:spacing w:line="240" w:lineRule="auto"/>
              <w:ind w:firstLine="420"/>
              <w:rPr>
                <w:highlight w:val="none"/>
              </w:rPr>
            </w:pPr>
            <w:r>
              <w:rPr>
                <w:rFonts w:hint="eastAsia"/>
                <w:highlight w:val="none"/>
              </w:rPr>
              <w:t>构建全面、符合我行实际的交易风控管理体系，涵盖以下内容：</w:t>
            </w:r>
          </w:p>
          <w:p w14:paraId="2BB4F23D">
            <w:pPr>
              <w:widowControl/>
              <w:autoSpaceDE/>
              <w:autoSpaceDN/>
              <w:spacing w:line="240" w:lineRule="auto"/>
              <w:ind w:firstLine="420"/>
              <w:rPr>
                <w:highlight w:val="none"/>
              </w:rPr>
            </w:pPr>
            <w:r>
              <w:rPr>
                <w:rFonts w:hint="eastAsia"/>
                <w:highlight w:val="none"/>
              </w:rPr>
              <w:t>1.1战略目标规划：结合我行</w:t>
            </w:r>
            <w:r>
              <w:rPr>
                <w:highlight w:val="none"/>
              </w:rPr>
              <w:t>战略发展方向和实际业务需求</w:t>
            </w:r>
            <w:r>
              <w:rPr>
                <w:rFonts w:hint="eastAsia"/>
                <w:highlight w:val="none"/>
              </w:rPr>
              <w:t>，制定交易风控管理目标。</w:t>
            </w:r>
          </w:p>
          <w:p w14:paraId="57BDE85F">
            <w:pPr>
              <w:widowControl/>
              <w:autoSpaceDE/>
              <w:autoSpaceDN/>
              <w:spacing w:line="240" w:lineRule="auto"/>
              <w:ind w:firstLine="420"/>
              <w:rPr>
                <w:highlight w:val="none"/>
              </w:rPr>
            </w:pPr>
            <w:r>
              <w:rPr>
                <w:rFonts w:hint="eastAsia"/>
                <w:highlight w:val="none"/>
              </w:rPr>
              <w:t>1.2组织架构设计：根据我行部门职责及同业参考</w:t>
            </w:r>
            <w:r>
              <w:rPr>
                <w:highlight w:val="none"/>
              </w:rPr>
              <w:t>，</w:t>
            </w:r>
            <w:r>
              <w:rPr>
                <w:rFonts w:hint="eastAsia"/>
                <w:highlight w:val="none"/>
              </w:rPr>
              <w:t>提供</w:t>
            </w:r>
            <w:r>
              <w:rPr>
                <w:highlight w:val="none"/>
              </w:rPr>
              <w:t>合理的组织架构</w:t>
            </w:r>
            <w:r>
              <w:rPr>
                <w:rFonts w:hint="eastAsia"/>
                <w:highlight w:val="none"/>
              </w:rPr>
              <w:t>建议</w:t>
            </w:r>
            <w:r>
              <w:rPr>
                <w:highlight w:val="none"/>
              </w:rPr>
              <w:t>，明确各部门职责</w:t>
            </w:r>
            <w:r>
              <w:rPr>
                <w:rFonts w:hint="eastAsia"/>
                <w:highlight w:val="none"/>
              </w:rPr>
              <w:t>范围，</w:t>
            </w:r>
            <w:r>
              <w:rPr>
                <w:highlight w:val="none"/>
              </w:rPr>
              <w:t>​</w:t>
            </w:r>
            <w:r>
              <w:rPr>
                <w:rFonts w:hint="eastAsia"/>
                <w:highlight w:val="none"/>
              </w:rPr>
              <w:t>提出科学的</w:t>
            </w:r>
            <w:r>
              <w:rPr>
                <w:highlight w:val="none"/>
              </w:rPr>
              <w:t>岗位设置与人员分工</w:t>
            </w:r>
            <w:r>
              <w:rPr>
                <w:rFonts w:hint="eastAsia"/>
                <w:highlight w:val="none"/>
              </w:rPr>
              <w:t>建议</w:t>
            </w:r>
            <w:r>
              <w:rPr>
                <w:highlight w:val="none"/>
              </w:rPr>
              <w:t>，</w:t>
            </w:r>
            <w:r>
              <w:rPr>
                <w:rFonts w:hint="eastAsia"/>
                <w:highlight w:val="none"/>
              </w:rPr>
              <w:t>明确</w:t>
            </w:r>
            <w:r>
              <w:rPr>
                <w:highlight w:val="none"/>
              </w:rPr>
              <w:t>各岗位职责、任职要求</w:t>
            </w:r>
            <w:r>
              <w:rPr>
                <w:rFonts w:hint="eastAsia"/>
                <w:highlight w:val="none"/>
              </w:rPr>
              <w:t>及</w:t>
            </w:r>
            <w:r>
              <w:rPr>
                <w:highlight w:val="none"/>
              </w:rPr>
              <w:t>工作</w:t>
            </w:r>
            <w:r>
              <w:rPr>
                <w:rFonts w:hint="eastAsia"/>
                <w:highlight w:val="none"/>
              </w:rPr>
              <w:t>内容</w:t>
            </w:r>
            <w:r>
              <w:rPr>
                <w:highlight w:val="none"/>
              </w:rPr>
              <w:t>。</w:t>
            </w:r>
          </w:p>
          <w:p w14:paraId="2B887907">
            <w:pPr>
              <w:widowControl/>
              <w:autoSpaceDE/>
              <w:autoSpaceDN/>
              <w:spacing w:line="240" w:lineRule="auto"/>
              <w:ind w:firstLine="420"/>
              <w:rPr>
                <w:highlight w:val="none"/>
              </w:rPr>
            </w:pPr>
            <w:r>
              <w:rPr>
                <w:rFonts w:hint="eastAsia"/>
                <w:highlight w:val="none"/>
              </w:rPr>
              <w:t>1.3制度体系建设：建立健全交易风控管理办法及操作规程，明确管理机制要求，制定工作流程，明确全流程管理规范。</w:t>
            </w:r>
          </w:p>
          <w:p w14:paraId="2D97C654">
            <w:pPr>
              <w:widowControl/>
              <w:autoSpaceDE/>
              <w:autoSpaceDN/>
              <w:spacing w:line="240" w:lineRule="auto"/>
              <w:ind w:firstLine="420" w:firstLineChars="0"/>
              <w:rPr>
                <w:highlight w:val="none"/>
              </w:rPr>
            </w:pPr>
            <w:r>
              <w:rPr>
                <w:rFonts w:hint="eastAsia"/>
                <w:highlight w:val="none"/>
              </w:rPr>
              <w:t>1.4实施规范制定：明确交易风控设计与部署工作规范要求，具体涵盖数据接入</w:t>
            </w:r>
            <w:r>
              <w:rPr>
                <w:highlight w:val="none"/>
              </w:rPr>
              <w:t>标准</w:t>
            </w:r>
            <w:r>
              <w:rPr>
                <w:rFonts w:hint="eastAsia"/>
                <w:highlight w:val="none"/>
              </w:rPr>
              <w:t>及字段命名规范，指标、策略命名规范与分类管理标准，</w:t>
            </w:r>
            <w:r>
              <w:rPr>
                <w:highlight w:val="none"/>
              </w:rPr>
              <w:t>构建通用</w:t>
            </w:r>
            <w:r>
              <w:rPr>
                <w:rFonts w:hint="eastAsia"/>
                <w:highlight w:val="none"/>
              </w:rPr>
              <w:t>指标库与</w:t>
            </w:r>
            <w:r>
              <w:rPr>
                <w:highlight w:val="none"/>
              </w:rPr>
              <w:t>风控规则模型知识库</w:t>
            </w:r>
            <w:r>
              <w:rPr>
                <w:rFonts w:hint="eastAsia"/>
                <w:highlight w:val="none"/>
              </w:rPr>
              <w:t>。</w:t>
            </w:r>
          </w:p>
          <w:p w14:paraId="32A0549D">
            <w:pPr>
              <w:widowControl/>
              <w:autoSpaceDE/>
              <w:autoSpaceDN/>
              <w:spacing w:line="240" w:lineRule="auto"/>
              <w:ind w:firstLine="420" w:firstLineChars="0"/>
              <w:rPr>
                <w:highlight w:val="none"/>
              </w:rPr>
            </w:pPr>
            <w:r>
              <w:rPr>
                <w:rFonts w:hint="eastAsia"/>
                <w:highlight w:val="none"/>
              </w:rPr>
              <w:t>1.5运营</w:t>
            </w:r>
            <w:r>
              <w:rPr>
                <w:highlight w:val="none"/>
              </w:rPr>
              <w:t>体系</w:t>
            </w:r>
            <w:r>
              <w:rPr>
                <w:rFonts w:hint="eastAsia"/>
                <w:highlight w:val="none"/>
              </w:rPr>
              <w:t>搭建</w:t>
            </w:r>
            <w:r>
              <w:rPr>
                <w:highlight w:val="none"/>
              </w:rPr>
              <w:t>：</w:t>
            </w:r>
            <w:r>
              <w:rPr>
                <w:rFonts w:hint="eastAsia"/>
                <w:highlight w:val="none"/>
              </w:rPr>
              <w:t>一是基于不同风险等级，建立差异化</w:t>
            </w:r>
            <w:r>
              <w:rPr>
                <w:highlight w:val="none"/>
              </w:rPr>
              <w:t>核查</w:t>
            </w:r>
            <w:r>
              <w:rPr>
                <w:rFonts w:hint="eastAsia"/>
                <w:highlight w:val="none"/>
              </w:rPr>
              <w:t>处置工作</w:t>
            </w:r>
            <w:r>
              <w:rPr>
                <w:highlight w:val="none"/>
              </w:rPr>
              <w:t>流程</w:t>
            </w:r>
            <w:r>
              <w:rPr>
                <w:rFonts w:hint="eastAsia"/>
                <w:highlight w:val="none"/>
              </w:rPr>
              <w:t>；二是</w:t>
            </w:r>
            <w:r>
              <w:rPr>
                <w:highlight w:val="none"/>
              </w:rPr>
              <w:t>构建规则</w:t>
            </w:r>
            <w:r>
              <w:rPr>
                <w:rFonts w:hint="eastAsia"/>
                <w:highlight w:val="none"/>
              </w:rPr>
              <w:t>模型</w:t>
            </w:r>
            <w:r>
              <w:rPr>
                <w:highlight w:val="none"/>
              </w:rPr>
              <w:t>设计</w:t>
            </w:r>
            <w:r>
              <w:rPr>
                <w:rFonts w:hint="eastAsia"/>
                <w:highlight w:val="none"/>
              </w:rPr>
              <w:t>、</w:t>
            </w:r>
            <w:r>
              <w:rPr>
                <w:highlight w:val="none"/>
              </w:rPr>
              <w:t>调优</w:t>
            </w:r>
            <w:r>
              <w:rPr>
                <w:rFonts w:hint="eastAsia"/>
                <w:highlight w:val="none"/>
              </w:rPr>
              <w:t>、评估、监测及退出</w:t>
            </w:r>
            <w:r>
              <w:rPr>
                <w:highlight w:val="none"/>
              </w:rPr>
              <w:t>的</w:t>
            </w:r>
            <w:r>
              <w:rPr>
                <w:rFonts w:hint="eastAsia"/>
                <w:highlight w:val="none"/>
              </w:rPr>
              <w:t>标准化流程与方法，以及从风控调用、规则命中到核查处置各环节量化监测指标，通过定期监测报表，为规则模型分析、优化及退出提供数据支撑，指导行内人员自主分析调优，提升风控自主运营能力。</w:t>
            </w:r>
          </w:p>
        </w:tc>
      </w:tr>
      <w:tr w14:paraId="0B45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88B0B8A">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79467104">
            <w:pPr>
              <w:spacing w:line="240" w:lineRule="auto"/>
              <w:ind w:firstLine="0" w:firstLineChars="0"/>
              <w:jc w:val="center"/>
              <w:rPr>
                <w:highlight w:val="none"/>
              </w:rPr>
            </w:pPr>
            <w:r>
              <w:rPr>
                <w:rFonts w:hint="eastAsia" w:ascii="宋体" w:cs="宋体"/>
                <w:szCs w:val="21"/>
                <w:highlight w:val="none"/>
              </w:rPr>
              <w:t>实时交易反欺诈业务咨询</w:t>
            </w:r>
          </w:p>
        </w:tc>
        <w:tc>
          <w:tcPr>
            <w:tcW w:w="5981" w:type="dxa"/>
            <w:tcBorders>
              <w:top w:val="single" w:color="auto" w:sz="4" w:space="0"/>
              <w:left w:val="single" w:color="auto" w:sz="4" w:space="0"/>
              <w:bottom w:val="single" w:color="auto" w:sz="4" w:space="0"/>
              <w:right w:val="single" w:color="auto" w:sz="4" w:space="0"/>
            </w:tcBorders>
          </w:tcPr>
          <w:p w14:paraId="1E6A9606">
            <w:pPr>
              <w:widowControl/>
              <w:autoSpaceDE/>
              <w:autoSpaceDN/>
              <w:spacing w:line="240" w:lineRule="auto"/>
              <w:ind w:firstLine="420"/>
              <w:jc w:val="left"/>
              <w:rPr>
                <w:highlight w:val="none"/>
              </w:rPr>
            </w:pPr>
            <w:r>
              <w:rPr>
                <w:rFonts w:hint="eastAsia"/>
                <w:highlight w:val="none"/>
              </w:rPr>
              <w:t>2.</w:t>
            </w:r>
            <w:r>
              <w:rPr>
                <w:highlight w:val="none"/>
              </w:rPr>
              <w:t>1</w:t>
            </w:r>
            <w:r>
              <w:rPr>
                <w:rFonts w:hint="eastAsia"/>
                <w:highlight w:val="none"/>
              </w:rPr>
              <w:t>风险分析：针对我行当前各渠道交易场景进行风险分析，结合渠道业务特点，全面梳理面临的欺诈风险类型、发生的欺诈案件，以及同业在相似渠道上的风险情况。整体输出需要接入的渠道、交易场景，需要覆盖的风险点、风险类型，包括但不限于账户盗用、身份冒用、欺诈交易、黑灰产攻击、</w:t>
            </w:r>
            <w:r>
              <w:rPr>
                <w:highlight w:val="none"/>
              </w:rPr>
              <w:t>薅羊毛、</w:t>
            </w:r>
            <w:r>
              <w:rPr>
                <w:rFonts w:hint="eastAsia"/>
                <w:highlight w:val="none"/>
              </w:rPr>
              <w:t>诱导客户操作等交易风险。</w:t>
            </w:r>
          </w:p>
          <w:p w14:paraId="7A0A297C">
            <w:pPr>
              <w:widowControl/>
              <w:autoSpaceDE/>
              <w:autoSpaceDN/>
              <w:spacing w:line="240" w:lineRule="auto"/>
              <w:ind w:firstLine="420"/>
              <w:jc w:val="left"/>
              <w:rPr>
                <w:highlight w:val="none"/>
              </w:rPr>
            </w:pPr>
            <w:r>
              <w:rPr>
                <w:rFonts w:hint="eastAsia"/>
                <w:highlight w:val="none"/>
              </w:rPr>
              <w:t>2.2规则设计：一是基于风险现状分析结，结合行业专家经验，设计全新风控规则及特征指标；二是对于行内已有风控规则进行策略有效性评估，对需要保留的规则进行指标及阈值调优，提高策略准确度；三是对照监管</w:t>
            </w:r>
            <w:r>
              <w:rPr>
                <w:highlight w:val="none"/>
              </w:rPr>
              <w:t>文件</w:t>
            </w:r>
            <w:r>
              <w:rPr>
                <w:rFonts w:hint="eastAsia"/>
                <w:highlight w:val="none"/>
              </w:rPr>
              <w:t>要求</w:t>
            </w:r>
            <w:r>
              <w:rPr>
                <w:highlight w:val="none"/>
              </w:rPr>
              <w:t>，梳理监管风控需求，</w:t>
            </w:r>
            <w:r>
              <w:rPr>
                <w:rFonts w:hint="eastAsia"/>
                <w:highlight w:val="none"/>
              </w:rPr>
              <w:t>完成配套交易反欺诈规则设计，满足合规要求</w:t>
            </w:r>
            <w:r>
              <w:rPr>
                <w:highlight w:val="none"/>
              </w:rPr>
              <w:t>。</w:t>
            </w:r>
            <w:r>
              <w:rPr>
                <w:rFonts w:hint="eastAsia"/>
                <w:highlight w:val="none"/>
              </w:rPr>
              <w:t>最终整合三类规则，结合我行渠道业务流程特点以及所支持的验证管控策略进行流程设计，最终产出覆盖全渠道的交易风控规则体系。</w:t>
            </w:r>
          </w:p>
          <w:p w14:paraId="72E67AEC">
            <w:pPr>
              <w:widowControl/>
              <w:autoSpaceDE/>
              <w:autoSpaceDN/>
              <w:spacing w:line="240" w:lineRule="auto"/>
              <w:ind w:firstLine="420"/>
              <w:jc w:val="left"/>
              <w:rPr>
                <w:highlight w:val="none"/>
              </w:rPr>
            </w:pPr>
            <w:r>
              <w:rPr>
                <w:rFonts w:hint="eastAsia"/>
                <w:highlight w:val="none"/>
              </w:rPr>
              <w:t>2.3规则部署测试：基于确认后的风控规则完成其在新平台上的部署，并通过测试验证。</w:t>
            </w:r>
          </w:p>
          <w:p w14:paraId="0F0699C3">
            <w:pPr>
              <w:widowControl/>
              <w:autoSpaceDE/>
              <w:autoSpaceDN/>
              <w:spacing w:line="240" w:lineRule="auto"/>
              <w:ind w:firstLine="420"/>
              <w:jc w:val="left"/>
              <w:rPr>
                <w:highlight w:val="none"/>
              </w:rPr>
            </w:pPr>
            <w:r>
              <w:rPr>
                <w:rFonts w:hint="eastAsia"/>
                <w:highlight w:val="none"/>
              </w:rPr>
              <w:t>2.4规则运行监测：系统上线试运行期间，密切跟踪规则运行情况，及时评估规则有效性并开展策略调优，确保规则正式上线运行。</w:t>
            </w:r>
          </w:p>
        </w:tc>
      </w:tr>
      <w:tr w14:paraId="1261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4A1508D">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3B9BD929">
            <w:pPr>
              <w:spacing w:line="240" w:lineRule="auto"/>
              <w:ind w:firstLine="0" w:firstLineChars="0"/>
              <w:jc w:val="center"/>
              <w:rPr>
                <w:highlight w:val="none"/>
              </w:rPr>
            </w:pPr>
            <w:r>
              <w:rPr>
                <w:rFonts w:hint="eastAsia" w:ascii="宋体" w:cs="宋体"/>
                <w:szCs w:val="21"/>
                <w:highlight w:val="none"/>
              </w:rPr>
              <w:t>实时/准实时反电诈业务咨询</w:t>
            </w:r>
          </w:p>
        </w:tc>
        <w:tc>
          <w:tcPr>
            <w:tcW w:w="5981" w:type="dxa"/>
            <w:tcBorders>
              <w:top w:val="single" w:color="auto" w:sz="4" w:space="0"/>
              <w:left w:val="single" w:color="auto" w:sz="4" w:space="0"/>
              <w:bottom w:val="single" w:color="auto" w:sz="4" w:space="0"/>
              <w:right w:val="single" w:color="auto" w:sz="4" w:space="0"/>
            </w:tcBorders>
          </w:tcPr>
          <w:p w14:paraId="64E6CC9D">
            <w:pPr>
              <w:spacing w:line="240" w:lineRule="auto"/>
              <w:ind w:firstLine="0" w:firstLineChars="0"/>
              <w:jc w:val="left"/>
              <w:rPr>
                <w:highlight w:val="none"/>
              </w:rPr>
            </w:pPr>
            <w:r>
              <w:rPr>
                <w:rFonts w:hint="eastAsia"/>
                <w:highlight w:val="none"/>
              </w:rPr>
              <w:t xml:space="preserve">    3.</w:t>
            </w:r>
            <w:r>
              <w:rPr>
                <w:highlight w:val="none"/>
              </w:rPr>
              <w:t>1</w:t>
            </w:r>
            <w:r>
              <w:rPr>
                <w:rFonts w:hint="eastAsia"/>
                <w:highlight w:val="none"/>
              </w:rPr>
              <w:t>电诈风险特征分析：全面梳理我行</w:t>
            </w:r>
            <w:r>
              <w:rPr>
                <w:highlight w:val="none"/>
              </w:rPr>
              <w:t>账户体系下各渠道、各</w:t>
            </w:r>
            <w:r>
              <w:rPr>
                <w:rFonts w:hint="eastAsia"/>
                <w:highlight w:val="none"/>
              </w:rPr>
              <w:t>交易环节</w:t>
            </w:r>
            <w:r>
              <w:rPr>
                <w:highlight w:val="none"/>
              </w:rPr>
              <w:t>中针对电信诈骗</w:t>
            </w:r>
            <w:r>
              <w:rPr>
                <w:rFonts w:hint="eastAsia"/>
                <w:highlight w:val="none"/>
              </w:rPr>
              <w:t>可能存在的风险场景，包括但不限于</w:t>
            </w:r>
            <w:r>
              <w:rPr>
                <w:highlight w:val="none"/>
              </w:rPr>
              <w:t>涉案账户交易</w:t>
            </w:r>
            <w:r>
              <w:rPr>
                <w:rFonts w:hint="eastAsia"/>
                <w:highlight w:val="none"/>
              </w:rPr>
              <w:t>、</w:t>
            </w:r>
            <w:r>
              <w:rPr>
                <w:highlight w:val="none"/>
              </w:rPr>
              <w:t>关联交易</w:t>
            </w:r>
            <w:r>
              <w:rPr>
                <w:rFonts w:hint="eastAsia"/>
                <w:highlight w:val="none"/>
              </w:rPr>
              <w:t>、</w:t>
            </w:r>
            <w:r>
              <w:rPr>
                <w:highlight w:val="none"/>
              </w:rPr>
              <w:t>团伙异常行为、新开户</w:t>
            </w:r>
            <w:r>
              <w:rPr>
                <w:rFonts w:hint="eastAsia"/>
                <w:highlight w:val="none"/>
              </w:rPr>
              <w:t>、</w:t>
            </w:r>
            <w:r>
              <w:rPr>
                <w:highlight w:val="none"/>
              </w:rPr>
              <w:t>高风险交易</w:t>
            </w:r>
            <w:r>
              <w:rPr>
                <w:rFonts w:hint="eastAsia"/>
                <w:highlight w:val="none"/>
              </w:rPr>
              <w:t>、诱导</w:t>
            </w:r>
            <w:r>
              <w:rPr>
                <w:highlight w:val="none"/>
              </w:rPr>
              <w:t>受害人转移资金</w:t>
            </w:r>
            <w:r>
              <w:rPr>
                <w:rFonts w:hint="eastAsia"/>
                <w:highlight w:val="none"/>
              </w:rPr>
              <w:t>等交易风险，基于我行历史涉案账户交易数据，分析提炼</w:t>
            </w:r>
            <w:r>
              <w:rPr>
                <w:highlight w:val="none"/>
              </w:rPr>
              <w:t>涉诈账户的客户特征、开户特征和交易特征</w:t>
            </w:r>
            <w:r>
              <w:rPr>
                <w:rFonts w:hint="eastAsia"/>
                <w:highlight w:val="none"/>
              </w:rPr>
              <w:t>。</w:t>
            </w:r>
          </w:p>
          <w:p w14:paraId="05449142">
            <w:pPr>
              <w:spacing w:line="240" w:lineRule="auto"/>
              <w:ind w:firstLine="420"/>
              <w:jc w:val="left"/>
              <w:rPr>
                <w:highlight w:val="none"/>
              </w:rPr>
            </w:pPr>
            <w:r>
              <w:rPr>
                <w:rFonts w:hint="eastAsia"/>
                <w:highlight w:val="none"/>
              </w:rPr>
              <w:t>3.2反电诈规则模型设计：针对识别出的各类风险场景，以及反赌反诈监管要求，一是设计全新</w:t>
            </w:r>
            <w:r>
              <w:rPr>
                <w:highlight w:val="none"/>
              </w:rPr>
              <w:t>基于我行客户及账户体系</w:t>
            </w:r>
            <w:r>
              <w:rPr>
                <w:rFonts w:hint="eastAsia"/>
                <w:highlight w:val="none"/>
              </w:rPr>
              <w:t>下</w:t>
            </w:r>
            <w:r>
              <w:rPr>
                <w:highlight w:val="none"/>
              </w:rPr>
              <w:t>全流程实时</w:t>
            </w:r>
            <w:r>
              <w:rPr>
                <w:rFonts w:hint="eastAsia"/>
                <w:highlight w:val="none"/>
              </w:rPr>
              <w:t>/</w:t>
            </w:r>
            <w:r>
              <w:rPr>
                <w:highlight w:val="none"/>
              </w:rPr>
              <w:t>准实时反电诈风控</w:t>
            </w:r>
            <w:r>
              <w:rPr>
                <w:rFonts w:hint="eastAsia"/>
                <w:highlight w:val="none"/>
              </w:rPr>
              <w:t>规则；二是根据行内已有电诈黑灰样本，分析其</w:t>
            </w:r>
            <w:r>
              <w:rPr>
                <w:highlight w:val="none"/>
              </w:rPr>
              <w:t>账户资产、交易</w:t>
            </w:r>
            <w:r>
              <w:rPr>
                <w:rFonts w:hint="eastAsia"/>
                <w:highlight w:val="none"/>
              </w:rPr>
              <w:t>、</w:t>
            </w:r>
            <w:r>
              <w:rPr>
                <w:highlight w:val="none"/>
              </w:rPr>
              <w:t>行为</w:t>
            </w:r>
            <w:r>
              <w:rPr>
                <w:rFonts w:hint="eastAsia"/>
                <w:highlight w:val="none"/>
              </w:rPr>
              <w:t>设备</w:t>
            </w:r>
            <w:r>
              <w:rPr>
                <w:highlight w:val="none"/>
              </w:rPr>
              <w:t>等</w:t>
            </w:r>
            <w:r>
              <w:rPr>
                <w:rFonts w:hint="eastAsia"/>
                <w:highlight w:val="none"/>
              </w:rPr>
              <w:t>数据</w:t>
            </w:r>
            <w:r>
              <w:rPr>
                <w:highlight w:val="none"/>
              </w:rPr>
              <w:t>，采用逻辑回归、XGBoost等机器学习算法构建对私反赌反诈机器学习模型</w:t>
            </w:r>
            <w:r>
              <w:rPr>
                <w:rFonts w:hint="eastAsia"/>
                <w:highlight w:val="none"/>
              </w:rPr>
              <w:t>，提升涉案账户精准识别能力，</w:t>
            </w:r>
            <w:r>
              <w:rPr>
                <w:highlight w:val="none"/>
              </w:rPr>
              <w:t>并给我行人员做代码级培训。</w:t>
            </w:r>
            <w:r>
              <w:rPr>
                <w:rFonts w:hint="eastAsia"/>
                <w:highlight w:val="none"/>
              </w:rPr>
              <w:t>最终输出完整的具备</w:t>
            </w:r>
            <w:r>
              <w:rPr>
                <w:highlight w:val="none"/>
              </w:rPr>
              <w:t>风险主动防御和实时拦截能力</w:t>
            </w:r>
            <w:r>
              <w:rPr>
                <w:rFonts w:hint="eastAsia"/>
                <w:highlight w:val="none"/>
              </w:rPr>
              <w:t>的反电诈规则模型。</w:t>
            </w:r>
          </w:p>
          <w:p w14:paraId="32854BDF">
            <w:pPr>
              <w:spacing w:line="240" w:lineRule="auto"/>
              <w:ind w:firstLine="0" w:firstLineChars="0"/>
              <w:jc w:val="left"/>
              <w:rPr>
                <w:rFonts w:ascii="宋体" w:cs="宋体"/>
                <w:bCs/>
                <w:szCs w:val="21"/>
                <w:highlight w:val="none"/>
              </w:rPr>
            </w:pPr>
            <w:r>
              <w:rPr>
                <w:rFonts w:hint="eastAsia"/>
                <w:bCs/>
                <w:highlight w:val="none"/>
              </w:rPr>
              <w:t xml:space="preserve">    </w:t>
            </w:r>
            <w:r>
              <w:rPr>
                <w:rFonts w:hint="eastAsia"/>
                <w:highlight w:val="none"/>
              </w:rPr>
              <w:t>3.3处置体系设计：</w:t>
            </w:r>
            <w:r>
              <w:rPr>
                <w:rFonts w:ascii="宋体" w:cs="宋体"/>
                <w:szCs w:val="21"/>
                <w:highlight w:val="none"/>
              </w:rPr>
              <w:t>结合客户账户使用与服务体验，</w:t>
            </w:r>
            <w:r>
              <w:rPr>
                <w:rFonts w:hint="eastAsia" w:ascii="宋体" w:cs="宋体"/>
                <w:szCs w:val="21"/>
                <w:highlight w:val="none"/>
              </w:rPr>
              <w:t>根据不同的反电诈规则</w:t>
            </w:r>
            <w:r>
              <w:rPr>
                <w:rFonts w:ascii="宋体" w:cs="宋体"/>
                <w:szCs w:val="21"/>
                <w:highlight w:val="none"/>
              </w:rPr>
              <w:t>模型</w:t>
            </w:r>
            <w:r>
              <w:rPr>
                <w:rFonts w:hint="eastAsia" w:ascii="宋体" w:cs="宋体"/>
                <w:bCs/>
                <w:szCs w:val="21"/>
                <w:highlight w:val="none"/>
              </w:rPr>
              <w:t>建立</w:t>
            </w:r>
            <w:r>
              <w:rPr>
                <w:rFonts w:ascii="宋体" w:cs="宋体"/>
                <w:bCs/>
                <w:szCs w:val="21"/>
                <w:highlight w:val="none"/>
              </w:rPr>
              <w:t>动态的账户管控及限额调整体系，</w:t>
            </w:r>
            <w:r>
              <w:rPr>
                <w:rFonts w:hint="eastAsia" w:ascii="宋体" w:cs="宋体"/>
                <w:bCs/>
                <w:szCs w:val="21"/>
                <w:highlight w:val="none"/>
              </w:rPr>
              <w:t>针对不同风险表现的账户构建不同的处置策略，避免传统“一刀切”的做法，在严控风险的同时，保证正常客户的账户开立及使用需求</w:t>
            </w:r>
            <w:r>
              <w:rPr>
                <w:rFonts w:ascii="宋体" w:cs="宋体"/>
                <w:bCs/>
                <w:szCs w:val="21"/>
                <w:highlight w:val="none"/>
              </w:rPr>
              <w:t>。</w:t>
            </w:r>
          </w:p>
          <w:p w14:paraId="3EBC7B02">
            <w:pPr>
              <w:spacing w:line="240" w:lineRule="auto"/>
              <w:ind w:firstLine="420"/>
              <w:jc w:val="left"/>
              <w:rPr>
                <w:highlight w:val="none"/>
              </w:rPr>
            </w:pPr>
            <w:r>
              <w:rPr>
                <w:rFonts w:hint="eastAsia"/>
                <w:highlight w:val="none"/>
              </w:rPr>
              <w:t>3.4</w:t>
            </w:r>
            <w:r>
              <w:rPr>
                <w:rFonts w:hint="eastAsia"/>
                <w:bCs/>
                <w:highlight w:val="none"/>
              </w:rPr>
              <w:t>规则模型开发及部署：完成反电诈规则模型在系统中开发、部署及测试工作，通过验收后进行上线试运行。</w:t>
            </w:r>
          </w:p>
          <w:p w14:paraId="5FC7E320">
            <w:pPr>
              <w:spacing w:line="240" w:lineRule="auto"/>
              <w:ind w:firstLine="420"/>
              <w:jc w:val="left"/>
              <w:rPr>
                <w:highlight w:val="none"/>
              </w:rPr>
            </w:pPr>
            <w:r>
              <w:rPr>
                <w:rFonts w:hint="eastAsia"/>
                <w:highlight w:val="none"/>
              </w:rPr>
              <w:t>3.5</w:t>
            </w:r>
            <w:r>
              <w:rPr>
                <w:rFonts w:hint="eastAsia" w:ascii="宋体" w:cs="宋体"/>
                <w:bCs/>
                <w:szCs w:val="21"/>
                <w:highlight w:val="none"/>
              </w:rPr>
              <w:t>规则模型效果监控及调优：基于规则模型运行数据，</w:t>
            </w:r>
            <w:r>
              <w:rPr>
                <w:rFonts w:hint="eastAsia" w:ascii="宋体" w:cs="宋体"/>
                <w:szCs w:val="21"/>
                <w:highlight w:val="none"/>
              </w:rPr>
              <w:t>评估反电诈</w:t>
            </w:r>
            <w:r>
              <w:rPr>
                <w:rFonts w:ascii="宋体" w:cs="宋体"/>
                <w:szCs w:val="21"/>
                <w:highlight w:val="none"/>
              </w:rPr>
              <w:t>模型运行的有效性，</w:t>
            </w:r>
            <w:r>
              <w:rPr>
                <w:rFonts w:hint="eastAsia" w:ascii="宋体" w:cs="宋体"/>
                <w:bCs/>
                <w:szCs w:val="21"/>
                <w:highlight w:val="none"/>
              </w:rPr>
              <w:t>及时进行规则模型调优并转入正式运行，</w:t>
            </w:r>
            <w:r>
              <w:rPr>
                <w:rFonts w:ascii="宋体" w:cs="宋体"/>
                <w:szCs w:val="21"/>
                <w:highlight w:val="none"/>
              </w:rPr>
              <w:t>实现</w:t>
            </w:r>
            <w:r>
              <w:rPr>
                <w:rFonts w:hint="eastAsia" w:ascii="宋体" w:cs="宋体"/>
                <w:szCs w:val="21"/>
                <w:highlight w:val="none"/>
              </w:rPr>
              <w:t>精准高效</w:t>
            </w:r>
            <w:r>
              <w:rPr>
                <w:rFonts w:ascii="宋体" w:cs="宋体"/>
                <w:szCs w:val="21"/>
                <w:highlight w:val="none"/>
              </w:rPr>
              <w:t>预警</w:t>
            </w:r>
            <w:r>
              <w:rPr>
                <w:rFonts w:hint="eastAsia" w:ascii="宋体" w:cs="宋体"/>
                <w:szCs w:val="21"/>
                <w:highlight w:val="none"/>
              </w:rPr>
              <w:t>，降低对客户</w:t>
            </w:r>
            <w:r>
              <w:rPr>
                <w:rFonts w:ascii="宋体" w:cs="宋体"/>
                <w:szCs w:val="21"/>
                <w:highlight w:val="none"/>
              </w:rPr>
              <w:t>正常交易</w:t>
            </w:r>
            <w:r>
              <w:rPr>
                <w:rFonts w:hint="eastAsia" w:ascii="宋体" w:cs="宋体"/>
                <w:szCs w:val="21"/>
                <w:highlight w:val="none"/>
              </w:rPr>
              <w:t>的</w:t>
            </w:r>
            <w:r>
              <w:rPr>
                <w:rFonts w:ascii="宋体" w:cs="宋体"/>
                <w:szCs w:val="21"/>
                <w:highlight w:val="none"/>
              </w:rPr>
              <w:t>打扰。</w:t>
            </w:r>
          </w:p>
        </w:tc>
      </w:tr>
      <w:tr w14:paraId="3D4B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65F26EF">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7B656421">
            <w:pPr>
              <w:spacing w:line="240" w:lineRule="auto"/>
              <w:ind w:firstLine="0" w:firstLineChars="0"/>
              <w:jc w:val="center"/>
              <w:rPr>
                <w:highlight w:val="none"/>
              </w:rPr>
            </w:pPr>
            <w:r>
              <w:rPr>
                <w:rFonts w:hint="eastAsia" w:ascii="宋体" w:cs="宋体"/>
                <w:szCs w:val="21"/>
                <w:highlight w:val="none"/>
              </w:rPr>
              <w:t>账户分级分类业务咨询</w:t>
            </w:r>
          </w:p>
        </w:tc>
        <w:tc>
          <w:tcPr>
            <w:tcW w:w="5981" w:type="dxa"/>
            <w:tcBorders>
              <w:top w:val="single" w:color="auto" w:sz="4" w:space="0"/>
              <w:left w:val="single" w:color="auto" w:sz="4" w:space="0"/>
              <w:bottom w:val="single" w:color="auto" w:sz="4" w:space="0"/>
              <w:right w:val="single" w:color="auto" w:sz="4" w:space="0"/>
            </w:tcBorders>
          </w:tcPr>
          <w:p w14:paraId="7BBF46DD">
            <w:pPr>
              <w:adjustRightInd w:val="0"/>
              <w:snapToGrid w:val="0"/>
              <w:spacing w:line="240" w:lineRule="auto"/>
              <w:ind w:firstLine="420"/>
              <w:jc w:val="left"/>
              <w:rPr>
                <w:rFonts w:ascii="宋体" w:cs="宋体"/>
                <w:szCs w:val="21"/>
                <w:highlight w:val="none"/>
              </w:rPr>
            </w:pPr>
            <w:r>
              <w:rPr>
                <w:rFonts w:hint="eastAsia"/>
                <w:bCs/>
                <w:highlight w:val="none"/>
              </w:rPr>
              <w:t>4.</w:t>
            </w:r>
            <w:r>
              <w:rPr>
                <w:bCs/>
                <w:highlight w:val="none"/>
              </w:rPr>
              <w:t>1</w:t>
            </w:r>
            <w:r>
              <w:rPr>
                <w:rFonts w:ascii="宋体" w:cs="宋体"/>
                <w:szCs w:val="21"/>
                <w:highlight w:val="none"/>
              </w:rPr>
              <w:t>根据</w:t>
            </w:r>
            <w:r>
              <w:rPr>
                <w:highlight w:val="none"/>
              </w:rPr>
              <w:t>我行账户及客户特征</w:t>
            </w:r>
            <w:r>
              <w:rPr>
                <w:rFonts w:hint="eastAsia"/>
                <w:highlight w:val="none"/>
              </w:rPr>
              <w:t>，</w:t>
            </w:r>
            <w:r>
              <w:rPr>
                <w:highlight w:val="none"/>
              </w:rPr>
              <w:t>构建账户分级分类规则库，建立我行客户及账户体系下全流程的分级分类评价体系。</w:t>
            </w:r>
            <w:r>
              <w:rPr>
                <w:rFonts w:ascii="宋体" w:cs="宋体"/>
                <w:szCs w:val="21"/>
                <w:highlight w:val="none"/>
              </w:rPr>
              <w:t>基于我行账户及客户基本信息、交易信息、关联信息及其他外部数据，根据不同的业务场景，在账户的不同业务环节，通过差异化的账户评级策略，对账户风险进行量化评估并形成对应的风险等级，包括但不限于针对新开账户、存量账户的增量、全量风险评定。</w:t>
            </w:r>
            <w:r>
              <w:rPr>
                <w:rFonts w:hint="eastAsia" w:ascii="宋体" w:cs="宋体"/>
                <w:szCs w:val="21"/>
                <w:highlight w:val="none"/>
              </w:rPr>
              <w:t>对确认后的</w:t>
            </w:r>
            <w:r>
              <w:rPr>
                <w:rFonts w:hint="eastAsia"/>
                <w:highlight w:val="none"/>
              </w:rPr>
              <w:t>账户分类分级模型进行系统部署配置，及配套数据指标测试。</w:t>
            </w:r>
          </w:p>
          <w:p w14:paraId="740E764E">
            <w:pPr>
              <w:adjustRightInd w:val="0"/>
              <w:snapToGrid w:val="0"/>
              <w:spacing w:line="240" w:lineRule="auto"/>
              <w:ind w:firstLine="420"/>
              <w:jc w:val="left"/>
              <w:rPr>
                <w:rFonts w:hint="eastAsia" w:ascii="方正兰亭黑_GBK" w:hAnsi="方正兰亭黑_GBK" w:cs="方正兰亭黑_GBK"/>
                <w:szCs w:val="21"/>
                <w:highlight w:val="none"/>
              </w:rPr>
            </w:pPr>
            <w:r>
              <w:rPr>
                <w:rFonts w:hAnsi="方正兰亭黑_GBK"/>
                <w:bCs/>
                <w:highlight w:val="none"/>
              </w:rPr>
              <w:t>4.2针</w:t>
            </w:r>
            <w:r>
              <w:rPr>
                <w:rFonts w:ascii="方正兰亭黑_GBK" w:hAnsi="方正兰亭黑_GBK" w:cs="方正兰亭黑_GBK"/>
                <w:bCs/>
                <w:highlight w:val="none"/>
              </w:rPr>
              <w:t>对</w:t>
            </w:r>
            <w:r>
              <w:rPr>
                <w:rFonts w:ascii="方正兰亭黑_GBK" w:hAnsi="方正兰亭黑_GBK" w:cs="方正兰亭黑_GBK"/>
                <w:szCs w:val="21"/>
                <w:highlight w:val="none"/>
              </w:rPr>
              <w:t>不同的账户风险等级制定</w:t>
            </w:r>
            <w:r>
              <w:rPr>
                <w:rFonts w:hint="eastAsia" w:ascii="方正兰亭黑_GBK" w:hAnsi="方正兰亭黑_GBK" w:cs="方正兰亭黑_GBK"/>
                <w:szCs w:val="21"/>
                <w:highlight w:val="none"/>
              </w:rPr>
              <w:t>不同的管控措施，包括</w:t>
            </w:r>
            <w:r>
              <w:rPr>
                <w:rFonts w:ascii="方正兰亭黑_GBK" w:hAnsi="方正兰亭黑_GBK" w:cs="方正兰亭黑_GBK"/>
                <w:szCs w:val="21"/>
                <w:highlight w:val="none"/>
              </w:rPr>
              <w:t>账户功能权限</w:t>
            </w:r>
            <w:r>
              <w:rPr>
                <w:rFonts w:hint="eastAsia" w:ascii="方正兰亭黑_GBK" w:hAnsi="方正兰亭黑_GBK" w:cs="方正兰亭黑_GBK"/>
                <w:szCs w:val="21"/>
                <w:highlight w:val="none"/>
              </w:rPr>
              <w:t>、</w:t>
            </w:r>
            <w:r>
              <w:rPr>
                <w:rFonts w:ascii="方正兰亭黑_GBK" w:hAnsi="方正兰亭黑_GBK" w:cs="方正兰亭黑_GBK"/>
                <w:szCs w:val="21"/>
                <w:highlight w:val="none"/>
              </w:rPr>
              <w:t>限额</w:t>
            </w:r>
            <w:r>
              <w:rPr>
                <w:rFonts w:hint="eastAsia" w:ascii="方正兰亭黑_GBK" w:hAnsi="方正兰亭黑_GBK" w:cs="方正兰亭黑_GBK"/>
                <w:szCs w:val="21"/>
                <w:highlight w:val="none"/>
              </w:rPr>
              <w:t>调整等</w:t>
            </w:r>
            <w:r>
              <w:rPr>
                <w:rFonts w:ascii="方正兰亭黑_GBK" w:hAnsi="方正兰亭黑_GBK" w:cs="方正兰亭黑_GBK"/>
                <w:szCs w:val="21"/>
                <w:highlight w:val="none"/>
              </w:rPr>
              <w:t>，为合理设定非柜面渠道统一限额或单一渠道限额提供指标支撑；针对存续期账户，可根据动态调整的账户风险级别，对账户实行不同管控措施。</w:t>
            </w:r>
          </w:p>
          <w:p w14:paraId="69DD8F6F">
            <w:pPr>
              <w:adjustRightInd w:val="0"/>
              <w:snapToGrid w:val="0"/>
              <w:spacing w:line="240" w:lineRule="auto"/>
              <w:ind w:firstLine="420"/>
              <w:rPr>
                <w:bCs/>
                <w:highlight w:val="none"/>
              </w:rPr>
            </w:pPr>
            <w:r>
              <w:rPr>
                <w:rFonts w:hint="eastAsia"/>
                <w:bCs/>
                <w:highlight w:val="none"/>
              </w:rPr>
              <w:t>4.3</w:t>
            </w:r>
            <w:r>
              <w:rPr>
                <w:bCs/>
                <w:highlight w:val="none"/>
              </w:rPr>
              <w:t>在综合分析和研究了各地区关于“账户分级分类”监管指导意见文件的基础上，结合我行的实际情况，提供与客户功能需求相匹配、风险水平相当的精细化银行账户服务咨询及政策指导，防范支付结算风险的同时，提升金融服务的可得性与便利性。</w:t>
            </w:r>
          </w:p>
          <w:p w14:paraId="73D49453">
            <w:pPr>
              <w:adjustRightInd w:val="0"/>
              <w:snapToGrid w:val="0"/>
              <w:spacing w:line="240" w:lineRule="auto"/>
              <w:ind w:firstLine="420"/>
              <w:rPr>
                <w:highlight w:val="none"/>
              </w:rPr>
            </w:pPr>
            <w:r>
              <w:rPr>
                <w:rFonts w:hint="eastAsia"/>
                <w:bCs/>
                <w:highlight w:val="none"/>
              </w:rPr>
              <w:t>4.4分级分类规则调优：服务期限内</w:t>
            </w:r>
            <w:r>
              <w:rPr>
                <w:rFonts w:hint="eastAsia" w:ascii="宋体" w:cs="宋体"/>
                <w:szCs w:val="21"/>
                <w:highlight w:val="none"/>
              </w:rPr>
              <w:t>定期分析评级分布合理性时，对比历史基准及业务预期，评估不同等级账户的占比是否合理，是否存在过度集中或遗漏风险点，并及时调整模型参数。</w:t>
            </w:r>
          </w:p>
        </w:tc>
      </w:tr>
    </w:tbl>
    <w:p w14:paraId="087500C6">
      <w:pPr>
        <w:ind w:firstLine="420"/>
        <w:rPr>
          <w:highlight w:val="none"/>
        </w:rPr>
      </w:pPr>
      <w:r>
        <w:rPr>
          <w:rFonts w:hint="eastAsia"/>
          <w:highlight w:val="none"/>
        </w:rPr>
        <w:t>1.2基础平台建设需求清单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542B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0BAB5BBD">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47EB10CA">
            <w:pPr>
              <w:spacing w:line="240" w:lineRule="auto"/>
              <w:ind w:firstLine="0" w:firstLineChars="0"/>
              <w:jc w:val="center"/>
              <w:rPr>
                <w:b/>
                <w:bCs/>
                <w:highlight w:val="none"/>
              </w:rPr>
            </w:pPr>
            <w:r>
              <w:rPr>
                <w:rFonts w:hint="eastAsia"/>
                <w:b/>
                <w:bCs/>
                <w:highlight w:val="none"/>
              </w:rPr>
              <w:t>功能模块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1FEFF8E4">
            <w:pPr>
              <w:spacing w:line="240" w:lineRule="auto"/>
              <w:ind w:firstLine="0" w:firstLineChars="0"/>
              <w:rPr>
                <w:b/>
                <w:bCs/>
                <w:highlight w:val="none"/>
              </w:rPr>
            </w:pPr>
            <w:r>
              <w:rPr>
                <w:rFonts w:hint="eastAsia"/>
                <w:b/>
                <w:bCs/>
                <w:highlight w:val="none"/>
              </w:rPr>
              <w:t>功能描述</w:t>
            </w:r>
          </w:p>
        </w:tc>
      </w:tr>
      <w:tr w14:paraId="133D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6D6D186">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6A30D9DE">
            <w:pPr>
              <w:spacing w:line="240" w:lineRule="auto"/>
              <w:ind w:firstLine="0" w:firstLineChars="0"/>
              <w:jc w:val="center"/>
              <w:rPr>
                <w:highlight w:val="none"/>
              </w:rPr>
            </w:pPr>
            <w:r>
              <w:rPr>
                <w:rFonts w:hint="eastAsia" w:ascii="宋体" w:cs="宋体"/>
                <w:szCs w:val="21"/>
                <w:highlight w:val="none"/>
              </w:rPr>
              <w:t>数据处理</w:t>
            </w:r>
          </w:p>
        </w:tc>
        <w:tc>
          <w:tcPr>
            <w:tcW w:w="5981" w:type="dxa"/>
            <w:tcBorders>
              <w:top w:val="single" w:color="auto" w:sz="4" w:space="0"/>
              <w:left w:val="single" w:color="auto" w:sz="4" w:space="0"/>
              <w:bottom w:val="single" w:color="auto" w:sz="4" w:space="0"/>
              <w:right w:val="single" w:color="auto" w:sz="4" w:space="0"/>
            </w:tcBorders>
          </w:tcPr>
          <w:p w14:paraId="6F2311D5">
            <w:pPr>
              <w:widowControl/>
              <w:autoSpaceDE/>
              <w:autoSpaceDN/>
              <w:spacing w:line="240" w:lineRule="auto"/>
              <w:ind w:firstLine="210" w:firstLineChars="100"/>
              <w:jc w:val="left"/>
              <w:rPr>
                <w:highlight w:val="none"/>
              </w:rPr>
            </w:pPr>
            <w:r>
              <w:rPr>
                <w:rFonts w:hint="eastAsia"/>
                <w:highlight w:val="none"/>
              </w:rPr>
              <w:t>1.1.具备完善的数据的接入与预处理能力（支持在平台配置化调用外部API）。支持与行内或监管要求的各种业务系统对接；</w:t>
            </w:r>
          </w:p>
          <w:p w14:paraId="2F6FFFB5">
            <w:pPr>
              <w:widowControl/>
              <w:autoSpaceDE/>
              <w:autoSpaceDN/>
              <w:spacing w:line="240" w:lineRule="auto"/>
              <w:ind w:firstLine="210" w:firstLineChars="100"/>
              <w:jc w:val="left"/>
              <w:rPr>
                <w:highlight w:val="none"/>
              </w:rPr>
            </w:pPr>
            <w:r>
              <w:rPr>
                <w:rFonts w:hint="eastAsia"/>
                <w:highlight w:val="none"/>
              </w:rPr>
              <w:t>1.2.系统产生的数据资源支持作为数据源给行内其他系统使用；</w:t>
            </w:r>
          </w:p>
          <w:p w14:paraId="76B188CF">
            <w:pPr>
              <w:widowControl/>
              <w:autoSpaceDE/>
              <w:autoSpaceDN/>
              <w:spacing w:line="240" w:lineRule="auto"/>
              <w:ind w:firstLine="210" w:firstLineChars="100"/>
              <w:jc w:val="left"/>
              <w:rPr>
                <w:highlight w:val="none"/>
              </w:rPr>
            </w:pPr>
            <w:r>
              <w:rPr>
                <w:rFonts w:hint="eastAsia"/>
                <w:highlight w:val="none"/>
              </w:rPr>
              <w:t>1.3.具备多源头交易流水数据的转换、清洗、加工等自动化预处理能力；</w:t>
            </w:r>
          </w:p>
          <w:p w14:paraId="13DA6709">
            <w:pPr>
              <w:widowControl/>
              <w:autoSpaceDE/>
              <w:autoSpaceDN/>
              <w:spacing w:line="240" w:lineRule="auto"/>
              <w:ind w:firstLine="210" w:firstLineChars="100"/>
              <w:jc w:val="left"/>
              <w:rPr>
                <w:highlight w:val="none"/>
              </w:rPr>
            </w:pPr>
            <w:r>
              <w:rPr>
                <w:rFonts w:hint="eastAsia"/>
                <w:highlight w:val="none"/>
              </w:rPr>
              <w:t>1.4支持渠道原始字段数据转换（映射），例如手机银行的客户账户字段为payer_acct_no、ATM为card_no，风控可统一将各渠道字段映射为cust_acct_num；</w:t>
            </w:r>
          </w:p>
          <w:p w14:paraId="3CAF853C">
            <w:pPr>
              <w:widowControl/>
              <w:autoSpaceDE/>
              <w:autoSpaceDN/>
              <w:spacing w:line="240" w:lineRule="auto"/>
              <w:ind w:firstLine="210" w:firstLineChars="100"/>
              <w:jc w:val="left"/>
              <w:rPr>
                <w:highlight w:val="none"/>
              </w:rPr>
            </w:pPr>
            <w:r>
              <w:rPr>
                <w:rFonts w:hint="eastAsia"/>
                <w:highlight w:val="none"/>
              </w:rPr>
              <w:t>1.5支持连接外部数据库并使用该数据库的表及字段；</w:t>
            </w:r>
          </w:p>
          <w:p w14:paraId="349714C8">
            <w:pPr>
              <w:widowControl/>
              <w:autoSpaceDE/>
              <w:autoSpaceDN/>
              <w:spacing w:line="240" w:lineRule="auto"/>
              <w:ind w:firstLine="210" w:firstLineChars="100"/>
              <w:jc w:val="left"/>
              <w:rPr>
                <w:highlight w:val="none"/>
              </w:rPr>
            </w:pPr>
            <w:r>
              <w:rPr>
                <w:rFonts w:hint="eastAsia"/>
                <w:highlight w:val="none"/>
              </w:rPr>
              <w:t>1.6具备同时接入多种源头数据的能力，如直连业务渠道、准实时交易数据源以及大数据平台等内部数据；</w:t>
            </w:r>
          </w:p>
          <w:p w14:paraId="23050929">
            <w:pPr>
              <w:widowControl/>
              <w:autoSpaceDE/>
              <w:autoSpaceDN/>
              <w:spacing w:line="240" w:lineRule="auto"/>
              <w:ind w:firstLine="210" w:firstLineChars="100"/>
              <w:jc w:val="left"/>
              <w:rPr>
                <w:highlight w:val="none"/>
              </w:rPr>
            </w:pPr>
            <w:r>
              <w:rPr>
                <w:rFonts w:hint="eastAsia"/>
                <w:highlight w:val="none"/>
              </w:rPr>
              <w:t>1.7名单、交易详情等涉及客户敏感信息的字段支持对客户敏感信息脱敏，支持针对不同的系统用户设置不同的脱敏规则；</w:t>
            </w:r>
          </w:p>
        </w:tc>
      </w:tr>
      <w:tr w14:paraId="4DD1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tcPr>
          <w:p w14:paraId="2D3A590D">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32771FFD">
            <w:pPr>
              <w:spacing w:line="240" w:lineRule="auto"/>
              <w:ind w:firstLine="0" w:firstLineChars="0"/>
              <w:jc w:val="center"/>
              <w:rPr>
                <w:highlight w:val="none"/>
              </w:rPr>
            </w:pPr>
            <w:r>
              <w:rPr>
                <w:rFonts w:hint="eastAsia" w:ascii="宋体" w:cs="宋体"/>
                <w:szCs w:val="21"/>
                <w:highlight w:val="none"/>
              </w:rPr>
              <w:t>名单管理</w:t>
            </w:r>
          </w:p>
        </w:tc>
        <w:tc>
          <w:tcPr>
            <w:tcW w:w="5981" w:type="dxa"/>
            <w:tcBorders>
              <w:top w:val="single" w:color="auto" w:sz="4" w:space="0"/>
              <w:left w:val="single" w:color="auto" w:sz="4" w:space="0"/>
              <w:bottom w:val="single" w:color="auto" w:sz="4" w:space="0"/>
              <w:right w:val="single" w:color="auto" w:sz="4" w:space="0"/>
            </w:tcBorders>
          </w:tcPr>
          <w:p w14:paraId="1F1305B4">
            <w:pPr>
              <w:spacing w:line="240" w:lineRule="auto"/>
              <w:ind w:firstLine="210" w:firstLineChars="100"/>
              <w:rPr>
                <w:highlight w:val="none"/>
              </w:rPr>
            </w:pPr>
            <w:r>
              <w:rPr>
                <w:highlight w:val="none"/>
              </w:rPr>
              <w:t>2.1</w:t>
            </w:r>
            <w:r>
              <w:rPr>
                <w:rFonts w:hint="eastAsia"/>
                <w:highlight w:val="none"/>
              </w:rPr>
              <w:t>支持动态名单，即在命中特定规则后推送名单内容到该名单，并且支持名单的有效期配置（分钟级）；</w:t>
            </w:r>
          </w:p>
          <w:p w14:paraId="37CE873C">
            <w:pPr>
              <w:spacing w:line="240" w:lineRule="auto"/>
              <w:ind w:firstLine="210" w:firstLineChars="100"/>
              <w:rPr>
                <w:highlight w:val="none"/>
              </w:rPr>
            </w:pPr>
            <w:r>
              <w:rPr>
                <w:highlight w:val="none"/>
              </w:rPr>
              <w:t>2.2</w:t>
            </w:r>
            <w:r>
              <w:rPr>
                <w:rFonts w:hint="eastAsia"/>
                <w:highlight w:val="none"/>
              </w:rPr>
              <w:t>支持多维名单（两个及以上维度的名单，比如客户号+设备指纹两个维度组成名单内容）；</w:t>
            </w:r>
          </w:p>
          <w:p w14:paraId="0926CF29">
            <w:pPr>
              <w:spacing w:line="240" w:lineRule="auto"/>
              <w:ind w:firstLine="210" w:firstLineChars="100"/>
              <w:rPr>
                <w:highlight w:val="none"/>
              </w:rPr>
            </w:pPr>
            <w:r>
              <w:rPr>
                <w:highlight w:val="none"/>
              </w:rPr>
              <w:t>2.3</w:t>
            </w:r>
            <w:r>
              <w:rPr>
                <w:rFonts w:hint="eastAsia"/>
                <w:highlight w:val="none"/>
              </w:rPr>
              <w:t>支持远程调用API对名单进行增删改查；</w:t>
            </w:r>
          </w:p>
          <w:p w14:paraId="30E5FA83">
            <w:pPr>
              <w:spacing w:line="240" w:lineRule="auto"/>
              <w:ind w:firstLine="210" w:firstLineChars="100"/>
              <w:rPr>
                <w:highlight w:val="none"/>
              </w:rPr>
            </w:pPr>
            <w:r>
              <w:rPr>
                <w:highlight w:val="none"/>
              </w:rPr>
              <w:t>2.4</w:t>
            </w:r>
            <w:r>
              <w:rPr>
                <w:rFonts w:hint="eastAsia"/>
                <w:highlight w:val="none"/>
              </w:rPr>
              <w:t>支持基于名单数据配置指标并应用于规则；</w:t>
            </w:r>
          </w:p>
          <w:p w14:paraId="01C84A49">
            <w:pPr>
              <w:spacing w:line="240" w:lineRule="auto"/>
              <w:ind w:firstLine="210" w:firstLineChars="100"/>
              <w:rPr>
                <w:highlight w:val="none"/>
              </w:rPr>
            </w:pPr>
            <w:r>
              <w:rPr>
                <w:highlight w:val="none"/>
              </w:rPr>
              <w:t>2.5系统需支持黑名单、白名单、灰名单或者其他自定义类型名单数据的导入、导出、批量及单笔录入、数据启停和删除</w:t>
            </w:r>
            <w:r>
              <w:rPr>
                <w:rFonts w:hint="eastAsia"/>
                <w:highlight w:val="none"/>
              </w:rPr>
              <w:t>、名单有效期设置（分钟级）、名单生效和失效时间设置</w:t>
            </w:r>
            <w:r>
              <w:rPr>
                <w:highlight w:val="none"/>
              </w:rPr>
              <w:t>等各项管理、维护功能</w:t>
            </w:r>
            <w:r>
              <w:rPr>
                <w:rFonts w:hint="eastAsia"/>
                <w:highlight w:val="none"/>
              </w:rPr>
              <w:t>；</w:t>
            </w:r>
          </w:p>
          <w:p w14:paraId="7BD68C10">
            <w:pPr>
              <w:spacing w:line="240" w:lineRule="auto"/>
              <w:ind w:firstLine="210" w:firstLineChars="100"/>
              <w:rPr>
                <w:highlight w:val="none"/>
              </w:rPr>
            </w:pPr>
            <w:r>
              <w:rPr>
                <w:highlight w:val="none"/>
              </w:rPr>
              <w:t>2.6支持自定义名单库、名单维度（如客户号、卡号、证件号、手机号、设备号等）和名单附加属性（如风险等级、名单类型、来源、生效/失效日期、操作记录等）的维护功能</w:t>
            </w:r>
            <w:r>
              <w:rPr>
                <w:rFonts w:hint="eastAsia"/>
                <w:highlight w:val="none"/>
              </w:rPr>
              <w:t>；</w:t>
            </w:r>
          </w:p>
          <w:p w14:paraId="70C82ED5">
            <w:pPr>
              <w:spacing w:line="240" w:lineRule="auto"/>
              <w:ind w:firstLine="210" w:firstLineChars="100"/>
              <w:rPr>
                <w:highlight w:val="none"/>
              </w:rPr>
            </w:pPr>
            <w:r>
              <w:rPr>
                <w:highlight w:val="none"/>
              </w:rPr>
              <w:t>2.7支持自定义“规则免疫名单”，对某个/某些客户，设定某个/某些规则或模型对其免疫（不做干预）</w:t>
            </w:r>
            <w:r>
              <w:rPr>
                <w:rFonts w:hint="eastAsia"/>
                <w:highlight w:val="none"/>
              </w:rPr>
              <w:t>；</w:t>
            </w:r>
          </w:p>
          <w:p w14:paraId="4AB99D3C">
            <w:pPr>
              <w:spacing w:line="240" w:lineRule="auto"/>
              <w:ind w:firstLine="210" w:firstLineChars="100"/>
              <w:rPr>
                <w:highlight w:val="none"/>
              </w:rPr>
            </w:pPr>
            <w:r>
              <w:rPr>
                <w:highlight w:val="none"/>
              </w:rPr>
              <w:t>2.8</w:t>
            </w:r>
            <w:r>
              <w:rPr>
                <w:rFonts w:hint="eastAsia"/>
                <w:highlight w:val="none"/>
              </w:rPr>
              <w:t>支持名单库或者名单操作管理的双人复核或者审批机制</w:t>
            </w:r>
          </w:p>
        </w:tc>
      </w:tr>
      <w:tr w14:paraId="5F5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9194E14">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2AD509A4">
            <w:pPr>
              <w:spacing w:line="240" w:lineRule="auto"/>
              <w:ind w:firstLine="0" w:firstLineChars="0"/>
              <w:jc w:val="center"/>
              <w:rPr>
                <w:highlight w:val="none"/>
              </w:rPr>
            </w:pPr>
            <w:r>
              <w:rPr>
                <w:rFonts w:hint="eastAsia" w:ascii="宋体" w:cs="宋体"/>
                <w:szCs w:val="21"/>
                <w:highlight w:val="none"/>
              </w:rPr>
              <w:t>系统对接</w:t>
            </w:r>
          </w:p>
        </w:tc>
        <w:tc>
          <w:tcPr>
            <w:tcW w:w="5981" w:type="dxa"/>
            <w:tcBorders>
              <w:top w:val="single" w:color="auto" w:sz="4" w:space="0"/>
              <w:left w:val="single" w:color="auto" w:sz="4" w:space="0"/>
              <w:bottom w:val="single" w:color="auto" w:sz="4" w:space="0"/>
              <w:right w:val="single" w:color="auto" w:sz="4" w:space="0"/>
            </w:tcBorders>
          </w:tcPr>
          <w:p w14:paraId="49DFB125">
            <w:pPr>
              <w:spacing w:line="240" w:lineRule="auto"/>
              <w:ind w:firstLine="210" w:firstLineChars="100"/>
              <w:rPr>
                <w:highlight w:val="none"/>
              </w:rPr>
            </w:pPr>
            <w:r>
              <w:rPr>
                <w:highlight w:val="none"/>
              </w:rPr>
              <w:t>3.1</w:t>
            </w:r>
            <w:r>
              <w:rPr>
                <w:rFonts w:hint="eastAsia"/>
                <w:highlight w:val="none"/>
              </w:rPr>
              <w:t>支持对接的行内渠道包括：手机银行、个人网银、微信银行、企业网银（含移动端）、银联、ATM、柜面、智能柜台等。同时支持行内自行扩展接入其他渠道；</w:t>
            </w:r>
          </w:p>
          <w:p w14:paraId="259BA6BE">
            <w:pPr>
              <w:spacing w:line="240" w:lineRule="auto"/>
              <w:ind w:firstLine="210" w:firstLineChars="100"/>
              <w:rPr>
                <w:highlight w:val="none"/>
              </w:rPr>
            </w:pPr>
            <w:r>
              <w:rPr>
                <w:highlight w:val="none"/>
              </w:rPr>
              <w:t>3.2支持与行内业务系统或监管要求的行外系统对接，将风险策略指令发送至各系统平台，执行相应管控操作。支持对接的平台包括但不限于金融反诈一体化平台、</w:t>
            </w:r>
            <w:r>
              <w:rPr>
                <w:rFonts w:hint="eastAsia"/>
                <w:highlight w:val="none"/>
              </w:rPr>
              <w:t>运营预警监督系统、</w:t>
            </w:r>
            <w:r>
              <w:rPr>
                <w:highlight w:val="none"/>
              </w:rPr>
              <w:t>短信平台、客服中心、核心系统等</w:t>
            </w:r>
            <w:r>
              <w:rPr>
                <w:rFonts w:hint="eastAsia"/>
                <w:highlight w:val="none"/>
              </w:rPr>
              <w:t>；</w:t>
            </w:r>
          </w:p>
        </w:tc>
      </w:tr>
      <w:tr w14:paraId="1662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50EFC3E">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0AEFB7C9">
            <w:pPr>
              <w:spacing w:line="240" w:lineRule="auto"/>
              <w:ind w:firstLine="0" w:firstLineChars="0"/>
              <w:jc w:val="center"/>
              <w:rPr>
                <w:highlight w:val="none"/>
              </w:rPr>
            </w:pPr>
            <w:r>
              <w:rPr>
                <w:rFonts w:hint="eastAsia" w:ascii="宋体" w:cs="宋体"/>
                <w:szCs w:val="21"/>
                <w:highlight w:val="none"/>
              </w:rPr>
              <w:t>指标</w:t>
            </w:r>
          </w:p>
        </w:tc>
        <w:tc>
          <w:tcPr>
            <w:tcW w:w="5981" w:type="dxa"/>
            <w:tcBorders>
              <w:top w:val="single" w:color="auto" w:sz="4" w:space="0"/>
              <w:left w:val="single" w:color="auto" w:sz="4" w:space="0"/>
              <w:bottom w:val="single" w:color="auto" w:sz="4" w:space="0"/>
              <w:right w:val="single" w:color="auto" w:sz="4" w:space="0"/>
            </w:tcBorders>
          </w:tcPr>
          <w:p w14:paraId="296A44A8">
            <w:pPr>
              <w:widowControl/>
              <w:autoSpaceDE/>
              <w:autoSpaceDN/>
              <w:spacing w:line="240" w:lineRule="auto"/>
              <w:ind w:firstLine="210" w:firstLineChars="100"/>
              <w:jc w:val="left"/>
              <w:rPr>
                <w:highlight w:val="none"/>
              </w:rPr>
            </w:pPr>
            <w:r>
              <w:rPr>
                <w:highlight w:val="none"/>
              </w:rPr>
              <w:t>4.1</w:t>
            </w:r>
            <w:r>
              <w:rPr>
                <w:rFonts w:hint="eastAsia"/>
                <w:highlight w:val="none"/>
              </w:rPr>
              <w:t>支持指标冷启动，配置上线后，立即回跑历史数据补全指标值；</w:t>
            </w:r>
          </w:p>
          <w:p w14:paraId="6CD8A211">
            <w:pPr>
              <w:widowControl/>
              <w:autoSpaceDE/>
              <w:autoSpaceDN/>
              <w:spacing w:line="240" w:lineRule="auto"/>
              <w:ind w:firstLine="210" w:firstLineChars="100"/>
              <w:jc w:val="left"/>
              <w:rPr>
                <w:highlight w:val="none"/>
              </w:rPr>
            </w:pPr>
            <w:r>
              <w:rPr>
                <w:highlight w:val="none"/>
              </w:rPr>
              <w:t>4.2支持各类指标可视化、易理解的配置管理方式。支持指标新建、修改、复制、移动、删除、分组、测试、上下线等全生命周期管理能力</w:t>
            </w:r>
            <w:r>
              <w:rPr>
                <w:rFonts w:hint="eastAsia"/>
                <w:highlight w:val="none"/>
              </w:rPr>
              <w:t>；</w:t>
            </w:r>
          </w:p>
          <w:p w14:paraId="4DCE597D">
            <w:pPr>
              <w:widowControl/>
              <w:autoSpaceDE/>
              <w:autoSpaceDN/>
              <w:spacing w:line="240" w:lineRule="auto"/>
              <w:ind w:firstLine="210" w:firstLineChars="100"/>
              <w:jc w:val="left"/>
              <w:rPr>
                <w:highlight w:val="none"/>
              </w:rPr>
            </w:pPr>
            <w:r>
              <w:rPr>
                <w:highlight w:val="none"/>
              </w:rPr>
              <w:t>4.3支持查看指标库全局视图、查看指标关联引用关系、支持</w:t>
            </w:r>
            <w:r>
              <w:rPr>
                <w:rFonts w:hint="eastAsia"/>
                <w:highlight w:val="none"/>
              </w:rPr>
              <w:t>指标</w:t>
            </w:r>
            <w:r>
              <w:rPr>
                <w:highlight w:val="none"/>
              </w:rPr>
              <w:t>被引用后，限制该</w:t>
            </w:r>
            <w:r>
              <w:rPr>
                <w:rFonts w:hint="eastAsia"/>
                <w:highlight w:val="none"/>
              </w:rPr>
              <w:t>指标</w:t>
            </w:r>
            <w:r>
              <w:rPr>
                <w:highlight w:val="none"/>
              </w:rPr>
              <w:t>编辑操作，以防止误操作</w:t>
            </w:r>
            <w:r>
              <w:rPr>
                <w:rFonts w:hint="eastAsia"/>
                <w:highlight w:val="none"/>
              </w:rPr>
              <w:t>；支持监测指标关联脚本资产的内存占用及引用情况，便于定期清除系统内占用内存高且不被引用的指标资产；</w:t>
            </w:r>
          </w:p>
          <w:p w14:paraId="004BFF3C">
            <w:pPr>
              <w:widowControl/>
              <w:autoSpaceDE/>
              <w:autoSpaceDN/>
              <w:spacing w:line="240" w:lineRule="auto"/>
              <w:ind w:firstLine="210" w:firstLineChars="100"/>
              <w:jc w:val="left"/>
              <w:rPr>
                <w:highlight w:val="none"/>
              </w:rPr>
            </w:pPr>
            <w:r>
              <w:rPr>
                <w:highlight w:val="none"/>
              </w:rPr>
              <w:t>4.4支持跨渠道跨场景联防联控类</w:t>
            </w:r>
            <w:r>
              <w:rPr>
                <w:rFonts w:hint="eastAsia"/>
                <w:highlight w:val="none"/>
              </w:rPr>
              <w:t>指标</w:t>
            </w:r>
            <w:r>
              <w:rPr>
                <w:highlight w:val="none"/>
              </w:rPr>
              <w:t>计算</w:t>
            </w:r>
            <w:r>
              <w:rPr>
                <w:rFonts w:hint="eastAsia"/>
                <w:highlight w:val="none"/>
              </w:rPr>
              <w:t>；</w:t>
            </w:r>
          </w:p>
          <w:p w14:paraId="7E8B46B5">
            <w:pPr>
              <w:widowControl/>
              <w:autoSpaceDE/>
              <w:autoSpaceDN/>
              <w:spacing w:line="240" w:lineRule="auto"/>
              <w:ind w:firstLine="210" w:firstLineChars="100"/>
              <w:jc w:val="left"/>
              <w:rPr>
                <w:highlight w:val="none"/>
              </w:rPr>
            </w:pPr>
            <w:r>
              <w:rPr>
                <w:highlight w:val="none"/>
              </w:rPr>
              <w:t>4.5具备忽略部分时间窗口的变量计算能力，例如：剔除最近12小时的数据</w:t>
            </w:r>
            <w:r>
              <w:rPr>
                <w:rFonts w:hint="eastAsia"/>
                <w:highlight w:val="none"/>
              </w:rPr>
              <w:t>；</w:t>
            </w:r>
          </w:p>
          <w:p w14:paraId="40248A83">
            <w:pPr>
              <w:widowControl/>
              <w:autoSpaceDE/>
              <w:autoSpaceDN/>
              <w:spacing w:line="240" w:lineRule="auto"/>
              <w:ind w:firstLine="210" w:firstLineChars="100"/>
              <w:jc w:val="left"/>
              <w:rPr>
                <w:highlight w:val="none"/>
              </w:rPr>
            </w:pPr>
            <w:r>
              <w:rPr>
                <w:highlight w:val="none"/>
              </w:rPr>
              <w:t>4.6支持</w:t>
            </w:r>
            <w:r>
              <w:rPr>
                <w:rFonts w:hint="eastAsia"/>
                <w:highlight w:val="none"/>
              </w:rPr>
              <w:t>指标</w:t>
            </w:r>
            <w:r>
              <w:rPr>
                <w:highlight w:val="none"/>
              </w:rPr>
              <w:t>分类管理</w:t>
            </w:r>
            <w:r>
              <w:rPr>
                <w:rFonts w:hint="eastAsia"/>
                <w:highlight w:val="none"/>
              </w:rPr>
              <w:t>；</w:t>
            </w:r>
          </w:p>
          <w:p w14:paraId="54E29616">
            <w:pPr>
              <w:widowControl/>
              <w:autoSpaceDE/>
              <w:autoSpaceDN/>
              <w:spacing w:line="240" w:lineRule="auto"/>
              <w:ind w:firstLine="210" w:firstLineChars="100"/>
              <w:jc w:val="left"/>
              <w:rPr>
                <w:highlight w:val="none"/>
              </w:rPr>
            </w:pPr>
            <w:r>
              <w:rPr>
                <w:highlight w:val="none"/>
              </w:rPr>
              <w:t>4.7</w:t>
            </w:r>
            <w:r>
              <w:rPr>
                <w:rFonts w:hint="eastAsia"/>
                <w:highlight w:val="none"/>
              </w:rPr>
              <w:t>边界验证：支持指标计算时可选择是否包含当前笔交易的数值；</w:t>
            </w:r>
          </w:p>
          <w:p w14:paraId="13A4A34F">
            <w:pPr>
              <w:widowControl/>
              <w:autoSpaceDE/>
              <w:autoSpaceDN/>
              <w:spacing w:line="240" w:lineRule="auto"/>
              <w:ind w:firstLine="210" w:firstLineChars="100"/>
              <w:jc w:val="left"/>
              <w:rPr>
                <w:highlight w:val="none"/>
              </w:rPr>
            </w:pPr>
            <w:r>
              <w:rPr>
                <w:highlight w:val="none"/>
              </w:rPr>
              <w:t>4.8支持指标计算模板（10种及以上），每个指标模版都要支持指标配置样例等</w:t>
            </w:r>
            <w:r>
              <w:rPr>
                <w:rFonts w:hint="eastAsia"/>
                <w:highlight w:val="none"/>
              </w:rPr>
              <w:t>；</w:t>
            </w:r>
          </w:p>
          <w:p w14:paraId="2E19D4F5">
            <w:pPr>
              <w:widowControl/>
              <w:autoSpaceDE/>
              <w:autoSpaceDN/>
              <w:spacing w:line="240" w:lineRule="auto"/>
              <w:ind w:firstLine="0" w:firstLineChars="0"/>
              <w:jc w:val="left"/>
              <w:rPr>
                <w:highlight w:val="none"/>
              </w:rPr>
            </w:pPr>
            <w:r>
              <w:rPr>
                <w:highlight w:val="none"/>
              </w:rPr>
              <w:t>支持部分复杂指标的模块化配置包含二维关联统计模版、链式统计模版、复合运算模版</w:t>
            </w:r>
            <w:r>
              <w:rPr>
                <w:rFonts w:hint="eastAsia"/>
                <w:highlight w:val="none"/>
              </w:rPr>
              <w:t>；</w:t>
            </w:r>
            <w:r>
              <w:rPr>
                <w:highlight w:val="none"/>
              </w:rPr>
              <w:t>二维关联统计模板（在关联对象的基础上进行二次关联查找，并对二次查找后的对象进行函数统计</w:t>
            </w:r>
            <w:r>
              <w:rPr>
                <w:rFonts w:hint="eastAsia"/>
                <w:highlight w:val="none"/>
              </w:rPr>
              <w:t>，例如近1天同账号关联交易对手的最大交易金额</w:t>
            </w:r>
            <w:r>
              <w:rPr>
                <w:highlight w:val="none"/>
              </w:rPr>
              <w:t>）；链式统计模板（如：同银行卡登录后10分钟内，修改支付密码或修改登录密码或修改限额，随后30分钟内进行金额大于等于5000元的转账）；复合运算模板：基于多个字段或不同的指标进行函数运算</w:t>
            </w:r>
            <w:r>
              <w:rPr>
                <w:rFonts w:hint="eastAsia"/>
                <w:highlight w:val="none"/>
              </w:rPr>
              <w:t>；</w:t>
            </w:r>
          </w:p>
          <w:p w14:paraId="300B8AE1">
            <w:pPr>
              <w:widowControl/>
              <w:autoSpaceDE/>
              <w:autoSpaceDN/>
              <w:spacing w:line="240" w:lineRule="auto"/>
              <w:ind w:firstLine="210" w:firstLineChars="100"/>
              <w:jc w:val="left"/>
              <w:rPr>
                <w:highlight w:val="none"/>
              </w:rPr>
            </w:pPr>
            <w:r>
              <w:rPr>
                <w:highlight w:val="none"/>
              </w:rPr>
              <w:t>4.9支持指标上下线双人复核及审批机制</w:t>
            </w:r>
            <w:r>
              <w:rPr>
                <w:rFonts w:hint="eastAsia"/>
                <w:highlight w:val="none"/>
              </w:rPr>
              <w:t>；</w:t>
            </w:r>
          </w:p>
          <w:p w14:paraId="45DBA557">
            <w:pPr>
              <w:widowControl/>
              <w:autoSpaceDE/>
              <w:autoSpaceDN/>
              <w:spacing w:line="240" w:lineRule="auto"/>
              <w:ind w:firstLine="0" w:firstLineChars="0"/>
              <w:jc w:val="left"/>
              <w:rPr>
                <w:highlight w:val="none"/>
              </w:rPr>
            </w:pPr>
          </w:p>
        </w:tc>
      </w:tr>
      <w:tr w14:paraId="7A3F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A1238D9">
            <w:pPr>
              <w:spacing w:line="240" w:lineRule="auto"/>
              <w:ind w:firstLine="0" w:firstLineChars="0"/>
              <w:jc w:val="center"/>
              <w:rPr>
                <w:highlight w:val="none"/>
              </w:rPr>
            </w:pPr>
            <w:r>
              <w:rPr>
                <w:rFonts w:hint="eastAsia"/>
                <w:highlight w:val="none"/>
              </w:rPr>
              <w:t>5</w:t>
            </w:r>
          </w:p>
        </w:tc>
        <w:tc>
          <w:tcPr>
            <w:tcW w:w="1812" w:type="dxa"/>
            <w:tcBorders>
              <w:top w:val="single" w:color="auto" w:sz="4" w:space="0"/>
              <w:left w:val="single" w:color="auto" w:sz="4" w:space="0"/>
              <w:bottom w:val="single" w:color="auto" w:sz="4" w:space="0"/>
              <w:right w:val="single" w:color="auto" w:sz="4" w:space="0"/>
            </w:tcBorders>
          </w:tcPr>
          <w:p w14:paraId="581BD6F7">
            <w:pPr>
              <w:spacing w:line="240" w:lineRule="auto"/>
              <w:ind w:firstLine="0" w:firstLineChars="0"/>
              <w:jc w:val="center"/>
              <w:rPr>
                <w:highlight w:val="none"/>
              </w:rPr>
            </w:pPr>
            <w:r>
              <w:rPr>
                <w:rFonts w:hint="eastAsia"/>
                <w:highlight w:val="none"/>
              </w:rPr>
              <w:t>智能决策引擎</w:t>
            </w:r>
          </w:p>
        </w:tc>
        <w:tc>
          <w:tcPr>
            <w:tcW w:w="5981" w:type="dxa"/>
            <w:tcBorders>
              <w:top w:val="single" w:color="auto" w:sz="4" w:space="0"/>
              <w:left w:val="single" w:color="auto" w:sz="4" w:space="0"/>
              <w:bottom w:val="single" w:color="auto" w:sz="4" w:space="0"/>
              <w:right w:val="single" w:color="auto" w:sz="4" w:space="0"/>
            </w:tcBorders>
          </w:tcPr>
          <w:p w14:paraId="3F129E6B">
            <w:pPr>
              <w:widowControl/>
              <w:autoSpaceDE/>
              <w:autoSpaceDN/>
              <w:spacing w:line="240" w:lineRule="auto"/>
              <w:ind w:firstLine="210" w:firstLineChars="100"/>
              <w:jc w:val="left"/>
              <w:rPr>
                <w:highlight w:val="none"/>
              </w:rPr>
            </w:pPr>
            <w:r>
              <w:rPr>
                <w:highlight w:val="none"/>
              </w:rPr>
              <w:t>5.1</w:t>
            </w:r>
            <w:r>
              <w:rPr>
                <w:rFonts w:hint="eastAsia"/>
                <w:highlight w:val="none"/>
              </w:rPr>
              <w:t>支持海量数据场景下快速流水级决策，实现从实时、准实时、离线不同时效的计算及决策方式；</w:t>
            </w:r>
          </w:p>
          <w:p w14:paraId="48543CCC">
            <w:pPr>
              <w:widowControl/>
              <w:autoSpaceDE/>
              <w:autoSpaceDN/>
              <w:spacing w:line="240" w:lineRule="auto"/>
              <w:ind w:firstLine="210" w:firstLineChars="100"/>
              <w:jc w:val="left"/>
              <w:rPr>
                <w:highlight w:val="none"/>
              </w:rPr>
            </w:pPr>
            <w:r>
              <w:rPr>
                <w:highlight w:val="none"/>
              </w:rPr>
              <w:t>5.2支持批式场景下，基于逐笔流水进行指标计算和决策，更加敏感地识别出中间态风险数据</w:t>
            </w:r>
            <w:r>
              <w:rPr>
                <w:rFonts w:hint="eastAsia"/>
                <w:highlight w:val="none"/>
              </w:rPr>
              <w:t>；</w:t>
            </w:r>
          </w:p>
          <w:p w14:paraId="62AD345A">
            <w:pPr>
              <w:widowControl/>
              <w:autoSpaceDE/>
              <w:autoSpaceDN/>
              <w:spacing w:line="240" w:lineRule="auto"/>
              <w:ind w:firstLine="210" w:firstLineChars="100"/>
              <w:jc w:val="left"/>
              <w:rPr>
                <w:highlight w:val="none"/>
              </w:rPr>
            </w:pPr>
            <w:r>
              <w:rPr>
                <w:highlight w:val="none"/>
              </w:rPr>
              <w:t>5.3决策引擎支持跨渠道、跨交易类型的综合风险识别能力和决策能力</w:t>
            </w:r>
            <w:r>
              <w:rPr>
                <w:rFonts w:hint="eastAsia"/>
                <w:highlight w:val="none"/>
              </w:rPr>
              <w:t>；</w:t>
            </w:r>
          </w:p>
          <w:p w14:paraId="29BE3D29">
            <w:pPr>
              <w:widowControl/>
              <w:autoSpaceDE/>
              <w:autoSpaceDN/>
              <w:spacing w:line="240" w:lineRule="auto"/>
              <w:ind w:firstLine="210" w:firstLineChars="100"/>
              <w:jc w:val="left"/>
              <w:rPr>
                <w:highlight w:val="none"/>
              </w:rPr>
            </w:pPr>
            <w:r>
              <w:rPr>
                <w:highlight w:val="none"/>
              </w:rPr>
              <w:t>5.4支持对满足部分条件的客户群体或具体名单中的客户群体执行特定规则决策</w:t>
            </w:r>
            <w:r>
              <w:rPr>
                <w:rFonts w:hint="eastAsia"/>
                <w:highlight w:val="none"/>
              </w:rPr>
              <w:t>；</w:t>
            </w:r>
          </w:p>
          <w:p w14:paraId="023D06EB">
            <w:pPr>
              <w:widowControl/>
              <w:autoSpaceDE/>
              <w:autoSpaceDN/>
              <w:spacing w:line="240" w:lineRule="auto"/>
              <w:ind w:firstLine="210" w:firstLineChars="100"/>
              <w:jc w:val="left"/>
              <w:rPr>
                <w:highlight w:val="none"/>
              </w:rPr>
            </w:pPr>
            <w:r>
              <w:rPr>
                <w:highlight w:val="none"/>
              </w:rPr>
              <w:t>5.5支持PMML格式的模型文件，并实现模型的列表管理、模型文件的上传、下载、测试、查询等功能</w:t>
            </w:r>
            <w:r>
              <w:rPr>
                <w:rFonts w:hint="eastAsia"/>
                <w:highlight w:val="none"/>
              </w:rPr>
              <w:t>；</w:t>
            </w:r>
          </w:p>
        </w:tc>
      </w:tr>
      <w:tr w14:paraId="55AE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2F95F60">
            <w:pPr>
              <w:spacing w:line="240" w:lineRule="auto"/>
              <w:ind w:firstLine="0" w:firstLineChars="0"/>
              <w:jc w:val="center"/>
              <w:rPr>
                <w:highlight w:val="none"/>
              </w:rPr>
            </w:pPr>
            <w:r>
              <w:rPr>
                <w:rFonts w:hint="eastAsia"/>
                <w:highlight w:val="none"/>
              </w:rPr>
              <w:t>6</w:t>
            </w:r>
          </w:p>
        </w:tc>
        <w:tc>
          <w:tcPr>
            <w:tcW w:w="1812" w:type="dxa"/>
            <w:tcBorders>
              <w:top w:val="single" w:color="auto" w:sz="4" w:space="0"/>
              <w:left w:val="single" w:color="auto" w:sz="4" w:space="0"/>
              <w:bottom w:val="single" w:color="auto" w:sz="4" w:space="0"/>
              <w:right w:val="single" w:color="auto" w:sz="4" w:space="0"/>
            </w:tcBorders>
          </w:tcPr>
          <w:p w14:paraId="13CCC077">
            <w:pPr>
              <w:spacing w:line="240" w:lineRule="auto"/>
              <w:ind w:firstLine="0" w:firstLineChars="0"/>
              <w:jc w:val="center"/>
              <w:rPr>
                <w:rFonts w:ascii="宋体" w:cs="宋体"/>
                <w:szCs w:val="21"/>
                <w:highlight w:val="none"/>
              </w:rPr>
            </w:pPr>
            <w:r>
              <w:rPr>
                <w:rFonts w:hint="eastAsia" w:ascii="宋体" w:cs="宋体"/>
                <w:szCs w:val="21"/>
                <w:highlight w:val="none"/>
              </w:rPr>
              <w:t>规则配置管理</w:t>
            </w:r>
          </w:p>
        </w:tc>
        <w:tc>
          <w:tcPr>
            <w:tcW w:w="5981" w:type="dxa"/>
            <w:tcBorders>
              <w:top w:val="single" w:color="auto" w:sz="4" w:space="0"/>
              <w:left w:val="single" w:color="auto" w:sz="4" w:space="0"/>
              <w:bottom w:val="single" w:color="auto" w:sz="4" w:space="0"/>
              <w:right w:val="single" w:color="auto" w:sz="4" w:space="0"/>
            </w:tcBorders>
          </w:tcPr>
          <w:p w14:paraId="31005FDC">
            <w:pPr>
              <w:widowControl/>
              <w:autoSpaceDE/>
              <w:autoSpaceDN/>
              <w:spacing w:line="240" w:lineRule="auto"/>
              <w:ind w:firstLine="210" w:firstLineChars="100"/>
              <w:jc w:val="left"/>
              <w:rPr>
                <w:highlight w:val="none"/>
              </w:rPr>
            </w:pPr>
            <w:r>
              <w:rPr>
                <w:highlight w:val="none"/>
              </w:rPr>
              <w:t>6.1</w:t>
            </w:r>
            <w:r>
              <w:rPr>
                <w:rFonts w:hint="eastAsia"/>
                <w:highlight w:val="none"/>
              </w:rPr>
              <w:t>支持规则新建、修改、复制、移动、删除、测试、上下线、试运行等全生命周期管理能力。配置过程可视化、易理解；</w:t>
            </w:r>
          </w:p>
          <w:p w14:paraId="766A5176">
            <w:pPr>
              <w:widowControl/>
              <w:autoSpaceDE/>
              <w:autoSpaceDN/>
              <w:spacing w:line="240" w:lineRule="auto"/>
              <w:ind w:firstLine="210" w:firstLineChars="100"/>
              <w:jc w:val="left"/>
              <w:rPr>
                <w:highlight w:val="none"/>
              </w:rPr>
            </w:pPr>
            <w:r>
              <w:rPr>
                <w:highlight w:val="none"/>
              </w:rPr>
              <w:t>6.2</w:t>
            </w:r>
            <w:r>
              <w:rPr>
                <w:rFonts w:hint="eastAsia"/>
                <w:highlight w:val="none"/>
              </w:rPr>
              <w:t>支持多种规则参数配置，包括但不限于事件参数、字段、策略、风险类型、风险等级、决策标签等；</w:t>
            </w:r>
          </w:p>
          <w:p w14:paraId="67C41433">
            <w:pPr>
              <w:widowControl/>
              <w:autoSpaceDE/>
              <w:autoSpaceDN/>
              <w:spacing w:line="240" w:lineRule="auto"/>
              <w:ind w:firstLine="210" w:firstLineChars="100"/>
              <w:jc w:val="left"/>
              <w:rPr>
                <w:highlight w:val="none"/>
              </w:rPr>
            </w:pPr>
            <w:r>
              <w:rPr>
                <w:highlight w:val="none"/>
              </w:rPr>
              <w:t>6.3</w:t>
            </w:r>
            <w:r>
              <w:rPr>
                <w:rFonts w:hint="eastAsia"/>
                <w:highlight w:val="none"/>
              </w:rPr>
              <w:t>支持引用名单、机器学习模型出参等资源配置规则；</w:t>
            </w:r>
          </w:p>
          <w:p w14:paraId="6847DDF0">
            <w:pPr>
              <w:widowControl/>
              <w:autoSpaceDE/>
              <w:autoSpaceDN/>
              <w:spacing w:line="240" w:lineRule="auto"/>
              <w:ind w:firstLine="210" w:firstLineChars="100"/>
              <w:jc w:val="left"/>
              <w:rPr>
                <w:highlight w:val="none"/>
              </w:rPr>
            </w:pPr>
            <w:r>
              <w:rPr>
                <w:highlight w:val="none"/>
              </w:rPr>
              <w:t>6.4</w:t>
            </w:r>
            <w:r>
              <w:rPr>
                <w:rFonts w:hint="eastAsia"/>
                <w:highlight w:val="none"/>
              </w:rPr>
              <w:t>支持规则历史版本查看、对比分析以及版本回滚，支持规则相似性检测；</w:t>
            </w:r>
          </w:p>
          <w:p w14:paraId="281A323B">
            <w:pPr>
              <w:widowControl/>
              <w:autoSpaceDE/>
              <w:autoSpaceDN/>
              <w:spacing w:line="240" w:lineRule="auto"/>
              <w:ind w:firstLine="210" w:firstLineChars="100"/>
              <w:jc w:val="left"/>
              <w:rPr>
                <w:highlight w:val="none"/>
              </w:rPr>
            </w:pPr>
            <w:r>
              <w:rPr>
                <w:highlight w:val="none"/>
              </w:rPr>
              <w:t>6.5</w:t>
            </w:r>
            <w:r>
              <w:rPr>
                <w:rFonts w:hint="eastAsia"/>
                <w:highlight w:val="none"/>
              </w:rPr>
              <w:t>支持规则正式运行、试运行等多种运行模式；</w:t>
            </w:r>
          </w:p>
          <w:p w14:paraId="1005C672">
            <w:pPr>
              <w:widowControl/>
              <w:autoSpaceDE/>
              <w:autoSpaceDN/>
              <w:spacing w:line="240" w:lineRule="auto"/>
              <w:ind w:firstLine="210" w:firstLineChars="100"/>
              <w:jc w:val="left"/>
              <w:rPr>
                <w:highlight w:val="none"/>
              </w:rPr>
            </w:pPr>
            <w:r>
              <w:rPr>
                <w:highlight w:val="none"/>
              </w:rPr>
              <w:t>6.6</w:t>
            </w:r>
            <w:r>
              <w:rPr>
                <w:rFonts w:hint="eastAsia"/>
                <w:highlight w:val="none"/>
              </w:rPr>
              <w:t>支持多种规则触发模式，包括评分模式、最坏匹配、首次匹配等；</w:t>
            </w:r>
          </w:p>
          <w:p w14:paraId="489AC20E">
            <w:pPr>
              <w:widowControl/>
              <w:autoSpaceDE/>
              <w:autoSpaceDN/>
              <w:spacing w:line="240" w:lineRule="auto"/>
              <w:ind w:firstLine="210" w:firstLineChars="100"/>
              <w:jc w:val="left"/>
              <w:rPr>
                <w:highlight w:val="none"/>
              </w:rPr>
            </w:pPr>
            <w:r>
              <w:rPr>
                <w:highlight w:val="none"/>
              </w:rPr>
              <w:t>6.7</w:t>
            </w:r>
            <w:r>
              <w:rPr>
                <w:rFonts w:hint="eastAsia"/>
                <w:highlight w:val="none"/>
              </w:rPr>
              <w:t>支持关系引用查询，对于系统配置项的互相引用情况进行关联查询，包括规则集、规则、指标、字段等之间相互引用情况；</w:t>
            </w:r>
          </w:p>
          <w:p w14:paraId="7413673A">
            <w:pPr>
              <w:widowControl/>
              <w:autoSpaceDE/>
              <w:autoSpaceDN/>
              <w:spacing w:line="240" w:lineRule="auto"/>
              <w:ind w:firstLine="210" w:firstLineChars="100"/>
              <w:jc w:val="left"/>
              <w:rPr>
                <w:highlight w:val="none"/>
              </w:rPr>
            </w:pPr>
            <w:r>
              <w:rPr>
                <w:highlight w:val="none"/>
              </w:rPr>
              <w:t>6.8</w:t>
            </w:r>
            <w:r>
              <w:rPr>
                <w:rFonts w:hint="eastAsia"/>
                <w:highlight w:val="none"/>
              </w:rPr>
              <w:t>支持返回渠道信息的丰富性，包括命中规则、自定义字段、特定指标信息；</w:t>
            </w:r>
          </w:p>
          <w:p w14:paraId="276C1B9A">
            <w:pPr>
              <w:widowControl/>
              <w:autoSpaceDE/>
              <w:autoSpaceDN/>
              <w:spacing w:line="240" w:lineRule="auto"/>
              <w:ind w:firstLine="210" w:firstLineChars="100"/>
              <w:jc w:val="left"/>
              <w:rPr>
                <w:highlight w:val="none"/>
              </w:rPr>
            </w:pPr>
            <w:r>
              <w:rPr>
                <w:highlight w:val="none"/>
              </w:rPr>
              <w:t>6.9</w:t>
            </w:r>
            <w:r>
              <w:rPr>
                <w:rFonts w:hint="eastAsia"/>
                <w:highlight w:val="none"/>
              </w:rPr>
              <w:t>支持事件回溯（回跑历史数据分析新规则的效果），1）对规则回溯结果进行界面可视化，可验证规则的触发率、触发账户、关联流水等，预估一段时间内的触发量；2）支持结合黑样本数据，对规则进行批量执行，预测规则识别能力，展示风险触发时序图、评价指标（如查全率、查准率、召回率、错误率）及触发的流水明细；3）支持对验证中规则的阈值、逻辑关系进行调整，规则中关联的指标在规则条件变化后，批量执行规则时可自动重新计算指标，并更新规则效果；</w:t>
            </w:r>
          </w:p>
          <w:p w14:paraId="796B9C6A">
            <w:pPr>
              <w:widowControl/>
              <w:autoSpaceDE/>
              <w:autoSpaceDN/>
              <w:spacing w:line="240" w:lineRule="auto"/>
              <w:ind w:firstLine="210" w:firstLineChars="100"/>
              <w:jc w:val="left"/>
              <w:rPr>
                <w:highlight w:val="none"/>
              </w:rPr>
            </w:pPr>
            <w:r>
              <w:rPr>
                <w:highlight w:val="none"/>
              </w:rPr>
              <w:t>6.10</w:t>
            </w:r>
            <w:r>
              <w:rPr>
                <w:rFonts w:hint="eastAsia"/>
                <w:highlight w:val="none"/>
              </w:rPr>
              <w:t>支持规则或规则集的上下线双人复核及审批机制，系统内置多种针对不同决策资产的复核流程，业务人员可根据实际业务灵活配置各类型操作的复核或审批流程，并控制流程的启用/停用；</w:t>
            </w:r>
          </w:p>
          <w:p w14:paraId="305C7490">
            <w:pPr>
              <w:widowControl/>
              <w:autoSpaceDE/>
              <w:autoSpaceDN/>
              <w:spacing w:line="240" w:lineRule="auto"/>
              <w:ind w:firstLine="210" w:firstLineChars="100"/>
              <w:jc w:val="left"/>
              <w:rPr>
                <w:highlight w:val="none"/>
              </w:rPr>
            </w:pPr>
            <w:r>
              <w:rPr>
                <w:highlight w:val="none"/>
              </w:rPr>
              <w:t>6.11</w:t>
            </w:r>
            <w:r>
              <w:rPr>
                <w:rFonts w:hint="eastAsia"/>
                <w:highlight w:val="none"/>
              </w:rPr>
              <w:t>支持按照业务部门、业务渠道、业务类型区分配置规则；</w:t>
            </w:r>
          </w:p>
          <w:p w14:paraId="65F07B12">
            <w:pPr>
              <w:widowControl/>
              <w:autoSpaceDE/>
              <w:autoSpaceDN/>
              <w:spacing w:line="240" w:lineRule="auto"/>
              <w:ind w:firstLine="210" w:firstLineChars="100"/>
              <w:jc w:val="left"/>
              <w:rPr>
                <w:highlight w:val="none"/>
              </w:rPr>
            </w:pPr>
            <w:r>
              <w:rPr>
                <w:highlight w:val="none"/>
              </w:rPr>
              <w:t>6.12</w:t>
            </w:r>
            <w:r>
              <w:rPr>
                <w:rFonts w:hint="eastAsia"/>
                <w:highlight w:val="none"/>
              </w:rPr>
              <w:t>支持对决策平台资产内容进行导入导出，包含字段库、事件、指标组和指标、脚本、模型、规则/规则包等；</w:t>
            </w:r>
          </w:p>
        </w:tc>
      </w:tr>
      <w:tr w14:paraId="34A0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CFFB22C">
            <w:pPr>
              <w:spacing w:line="240" w:lineRule="auto"/>
              <w:ind w:firstLine="0" w:firstLineChars="0"/>
              <w:jc w:val="center"/>
              <w:rPr>
                <w:highlight w:val="none"/>
              </w:rPr>
            </w:pPr>
            <w:r>
              <w:rPr>
                <w:rFonts w:hint="eastAsia"/>
                <w:highlight w:val="none"/>
              </w:rPr>
              <w:t>7</w:t>
            </w:r>
          </w:p>
        </w:tc>
        <w:tc>
          <w:tcPr>
            <w:tcW w:w="1812" w:type="dxa"/>
            <w:tcBorders>
              <w:top w:val="single" w:color="auto" w:sz="4" w:space="0"/>
              <w:left w:val="single" w:color="auto" w:sz="4" w:space="0"/>
              <w:bottom w:val="single" w:color="auto" w:sz="4" w:space="0"/>
              <w:right w:val="single" w:color="auto" w:sz="4" w:space="0"/>
            </w:tcBorders>
          </w:tcPr>
          <w:p w14:paraId="18630FEA">
            <w:pPr>
              <w:spacing w:line="240" w:lineRule="auto"/>
              <w:ind w:firstLine="0" w:firstLineChars="0"/>
              <w:jc w:val="center"/>
              <w:rPr>
                <w:rFonts w:ascii="宋体" w:cs="宋体"/>
                <w:szCs w:val="21"/>
                <w:highlight w:val="none"/>
              </w:rPr>
            </w:pPr>
            <w:r>
              <w:rPr>
                <w:rFonts w:hint="eastAsia" w:ascii="宋体" w:cs="宋体"/>
                <w:szCs w:val="21"/>
                <w:highlight w:val="none"/>
              </w:rPr>
              <w:t>账户分级分类</w:t>
            </w:r>
          </w:p>
        </w:tc>
        <w:tc>
          <w:tcPr>
            <w:tcW w:w="5981" w:type="dxa"/>
            <w:tcBorders>
              <w:top w:val="single" w:color="auto" w:sz="4" w:space="0"/>
              <w:left w:val="single" w:color="auto" w:sz="4" w:space="0"/>
              <w:bottom w:val="single" w:color="auto" w:sz="4" w:space="0"/>
              <w:right w:val="single" w:color="auto" w:sz="4" w:space="0"/>
            </w:tcBorders>
          </w:tcPr>
          <w:p w14:paraId="2B6633E3">
            <w:pPr>
              <w:widowControl/>
              <w:autoSpaceDE/>
              <w:autoSpaceDN/>
              <w:spacing w:line="240" w:lineRule="auto"/>
              <w:ind w:firstLine="210" w:firstLineChars="100"/>
              <w:jc w:val="left"/>
              <w:rPr>
                <w:highlight w:val="none"/>
              </w:rPr>
            </w:pPr>
            <w:r>
              <w:rPr>
                <w:highlight w:val="none"/>
              </w:rPr>
              <w:t>7.1</w:t>
            </w:r>
            <w:r>
              <w:rPr>
                <w:rFonts w:hint="eastAsia"/>
                <w:highlight w:val="none"/>
              </w:rPr>
              <w:t>具备开户、存续阶段的账户评级能力，支持新开账户在开户时实时开展账户分级分类，并定期进行检测；</w:t>
            </w:r>
          </w:p>
          <w:p w14:paraId="0AE167EE">
            <w:pPr>
              <w:widowControl/>
              <w:autoSpaceDE/>
              <w:autoSpaceDN/>
              <w:spacing w:line="240" w:lineRule="auto"/>
              <w:ind w:firstLine="210" w:firstLineChars="100"/>
              <w:jc w:val="left"/>
              <w:rPr>
                <w:highlight w:val="none"/>
              </w:rPr>
            </w:pPr>
            <w:r>
              <w:rPr>
                <w:highlight w:val="none"/>
              </w:rPr>
              <w:t>7.2支持构成开户评级的指标、规则配置</w:t>
            </w:r>
            <w:r>
              <w:rPr>
                <w:rFonts w:hint="eastAsia"/>
                <w:highlight w:val="none"/>
              </w:rPr>
              <w:t>；</w:t>
            </w:r>
          </w:p>
          <w:p w14:paraId="045CCE7C">
            <w:pPr>
              <w:widowControl/>
              <w:autoSpaceDE/>
              <w:autoSpaceDN/>
              <w:spacing w:line="240" w:lineRule="auto"/>
              <w:ind w:firstLine="210" w:firstLineChars="100"/>
              <w:jc w:val="left"/>
              <w:rPr>
                <w:highlight w:val="none"/>
              </w:rPr>
            </w:pPr>
            <w:r>
              <w:rPr>
                <w:highlight w:val="none"/>
              </w:rPr>
              <w:t>7.3支持基于开户流水，实时输出开户评级结果</w:t>
            </w:r>
            <w:r>
              <w:rPr>
                <w:rFonts w:hint="eastAsia"/>
                <w:highlight w:val="none"/>
              </w:rPr>
              <w:t>；</w:t>
            </w:r>
          </w:p>
          <w:p w14:paraId="776A2749">
            <w:pPr>
              <w:widowControl/>
              <w:autoSpaceDE/>
              <w:autoSpaceDN/>
              <w:spacing w:line="240" w:lineRule="auto"/>
              <w:ind w:firstLine="210" w:firstLineChars="100"/>
              <w:jc w:val="left"/>
              <w:rPr>
                <w:highlight w:val="none"/>
              </w:rPr>
            </w:pPr>
            <w:r>
              <w:rPr>
                <w:highlight w:val="none"/>
              </w:rPr>
              <w:t>7.4支持流水维度的开户评级结果和触发规则的结果展示</w:t>
            </w:r>
            <w:r>
              <w:rPr>
                <w:rFonts w:hint="eastAsia"/>
                <w:highlight w:val="none"/>
              </w:rPr>
              <w:t>；</w:t>
            </w:r>
          </w:p>
          <w:p w14:paraId="3E721D39">
            <w:pPr>
              <w:widowControl/>
              <w:autoSpaceDE/>
              <w:autoSpaceDN/>
              <w:spacing w:line="240" w:lineRule="auto"/>
              <w:ind w:firstLine="210" w:firstLineChars="100"/>
              <w:jc w:val="left"/>
              <w:rPr>
                <w:highlight w:val="none"/>
              </w:rPr>
            </w:pPr>
            <w:r>
              <w:rPr>
                <w:highlight w:val="none"/>
              </w:rPr>
              <w:t>7.5需支持存续账户评级指标、规则配置</w:t>
            </w:r>
            <w:r>
              <w:rPr>
                <w:rFonts w:hint="eastAsia"/>
                <w:highlight w:val="none"/>
              </w:rPr>
              <w:t>；</w:t>
            </w:r>
          </w:p>
          <w:p w14:paraId="3AD7D75E">
            <w:pPr>
              <w:widowControl/>
              <w:autoSpaceDE/>
              <w:autoSpaceDN/>
              <w:spacing w:line="240" w:lineRule="auto"/>
              <w:ind w:firstLine="210" w:firstLineChars="100"/>
              <w:jc w:val="left"/>
              <w:rPr>
                <w:highlight w:val="none"/>
              </w:rPr>
            </w:pPr>
            <w:r>
              <w:rPr>
                <w:highlight w:val="none"/>
              </w:rPr>
              <w:t>7.6支持存续期账户的全量离线评级，并输出评级结果</w:t>
            </w:r>
            <w:r>
              <w:rPr>
                <w:rFonts w:hint="eastAsia"/>
                <w:highlight w:val="none"/>
              </w:rPr>
              <w:t>；</w:t>
            </w:r>
          </w:p>
          <w:p w14:paraId="056E0BD1">
            <w:pPr>
              <w:widowControl/>
              <w:autoSpaceDE/>
              <w:autoSpaceDN/>
              <w:spacing w:line="240" w:lineRule="auto"/>
              <w:ind w:firstLine="210" w:firstLineChars="100"/>
              <w:jc w:val="left"/>
              <w:rPr>
                <w:highlight w:val="none"/>
              </w:rPr>
            </w:pPr>
            <w:r>
              <w:rPr>
                <w:highlight w:val="none"/>
              </w:rPr>
              <w:t>7.7支持账户存续评级结果和历史评级结果查看，并支持按需根据时间排序查看账户重点行为记录，包括开户、变更、风险处置等</w:t>
            </w:r>
            <w:r>
              <w:rPr>
                <w:rFonts w:hint="eastAsia"/>
                <w:highlight w:val="none"/>
              </w:rPr>
              <w:t>；</w:t>
            </w:r>
          </w:p>
          <w:p w14:paraId="69C7FC28">
            <w:pPr>
              <w:widowControl/>
              <w:autoSpaceDE/>
              <w:autoSpaceDN/>
              <w:spacing w:line="240" w:lineRule="auto"/>
              <w:ind w:firstLine="210" w:firstLineChars="100"/>
              <w:jc w:val="left"/>
              <w:rPr>
                <w:highlight w:val="none"/>
              </w:rPr>
            </w:pPr>
            <w:r>
              <w:rPr>
                <w:highlight w:val="none"/>
              </w:rPr>
              <w:t>7.8支持历史评级结果比对（即本次与历史评级结果的变化趋势比对、相同账户不同时间段的变化情况）</w:t>
            </w:r>
            <w:r>
              <w:rPr>
                <w:rFonts w:hint="eastAsia"/>
                <w:highlight w:val="none"/>
              </w:rPr>
              <w:t>；</w:t>
            </w:r>
          </w:p>
          <w:p w14:paraId="38218351">
            <w:pPr>
              <w:widowControl/>
              <w:autoSpaceDE/>
              <w:autoSpaceDN/>
              <w:spacing w:line="240" w:lineRule="auto"/>
              <w:ind w:firstLine="210" w:firstLineChars="100"/>
              <w:jc w:val="left"/>
              <w:rPr>
                <w:highlight w:val="none"/>
              </w:rPr>
            </w:pPr>
            <w:r>
              <w:rPr>
                <w:highlight w:val="none"/>
              </w:rPr>
              <w:t>7.9支持对系统评级结果进行人工自定义认定修改，并自定义有效期；支持灵活调整分级分类等级；</w:t>
            </w:r>
          </w:p>
          <w:p w14:paraId="78B78CC5">
            <w:pPr>
              <w:widowControl/>
              <w:autoSpaceDE/>
              <w:autoSpaceDN/>
              <w:spacing w:line="240" w:lineRule="auto"/>
              <w:ind w:firstLine="210" w:firstLineChars="100"/>
              <w:jc w:val="left"/>
              <w:rPr>
                <w:highlight w:val="none"/>
              </w:rPr>
            </w:pPr>
            <w:r>
              <w:rPr>
                <w:highlight w:val="none"/>
              </w:rPr>
              <w:t>7.10</w:t>
            </w:r>
            <w:r>
              <w:rPr>
                <w:rFonts w:hint="eastAsia"/>
                <w:highlight w:val="none"/>
              </w:rPr>
              <w:t>支持</w:t>
            </w:r>
            <w:r>
              <w:rPr>
                <w:highlight w:val="none"/>
              </w:rPr>
              <w:t>对每次账户分级分类结果进行统计分析（全行级、按机构、按时间、按客户、按账户等多维度），并支持对历史分类结果进行分析</w:t>
            </w:r>
            <w:r>
              <w:rPr>
                <w:rFonts w:hint="eastAsia"/>
                <w:highlight w:val="none"/>
              </w:rPr>
              <w:t>比对</w:t>
            </w:r>
            <w:r>
              <w:rPr>
                <w:highlight w:val="none"/>
              </w:rPr>
              <w:t>；</w:t>
            </w:r>
          </w:p>
        </w:tc>
      </w:tr>
      <w:tr w14:paraId="26B6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5A8CD5A">
            <w:pPr>
              <w:spacing w:line="240" w:lineRule="auto"/>
              <w:ind w:firstLine="0" w:firstLineChars="0"/>
              <w:jc w:val="center"/>
              <w:rPr>
                <w:highlight w:val="none"/>
              </w:rPr>
            </w:pPr>
            <w:r>
              <w:rPr>
                <w:rFonts w:hint="eastAsia"/>
                <w:highlight w:val="none"/>
              </w:rPr>
              <w:t>8</w:t>
            </w:r>
          </w:p>
        </w:tc>
        <w:tc>
          <w:tcPr>
            <w:tcW w:w="1812" w:type="dxa"/>
            <w:tcBorders>
              <w:top w:val="single" w:color="auto" w:sz="4" w:space="0"/>
              <w:left w:val="single" w:color="auto" w:sz="4" w:space="0"/>
              <w:bottom w:val="single" w:color="auto" w:sz="4" w:space="0"/>
              <w:right w:val="single" w:color="auto" w:sz="4" w:space="0"/>
            </w:tcBorders>
          </w:tcPr>
          <w:p w14:paraId="37DAAC65">
            <w:pPr>
              <w:spacing w:line="240" w:lineRule="auto"/>
              <w:ind w:firstLine="0" w:firstLineChars="0"/>
              <w:jc w:val="center"/>
              <w:rPr>
                <w:rFonts w:ascii="宋体" w:cs="宋体"/>
                <w:szCs w:val="21"/>
                <w:highlight w:val="none"/>
              </w:rPr>
            </w:pPr>
            <w:r>
              <w:rPr>
                <w:rFonts w:hint="eastAsia" w:ascii="宋体" w:cs="宋体"/>
                <w:szCs w:val="21"/>
                <w:highlight w:val="none"/>
              </w:rPr>
              <w:t>运营分析</w:t>
            </w:r>
          </w:p>
        </w:tc>
        <w:tc>
          <w:tcPr>
            <w:tcW w:w="5981" w:type="dxa"/>
            <w:tcBorders>
              <w:top w:val="single" w:color="auto" w:sz="4" w:space="0"/>
              <w:left w:val="single" w:color="auto" w:sz="4" w:space="0"/>
              <w:bottom w:val="single" w:color="auto" w:sz="4" w:space="0"/>
              <w:right w:val="single" w:color="auto" w:sz="4" w:space="0"/>
            </w:tcBorders>
          </w:tcPr>
          <w:p w14:paraId="5B146918">
            <w:pPr>
              <w:widowControl/>
              <w:autoSpaceDE/>
              <w:autoSpaceDN/>
              <w:spacing w:line="240" w:lineRule="auto"/>
              <w:ind w:firstLine="210" w:firstLineChars="100"/>
              <w:jc w:val="left"/>
              <w:rPr>
                <w:highlight w:val="none"/>
              </w:rPr>
            </w:pPr>
            <w:r>
              <w:rPr>
                <w:highlight w:val="none"/>
              </w:rPr>
              <w:t>8.1</w:t>
            </w:r>
            <w:r>
              <w:rPr>
                <w:rFonts w:hint="eastAsia"/>
                <w:highlight w:val="none"/>
              </w:rPr>
              <w:t>支持统计策略命中次数，可按渠道、场景、特定维度（例如客户号）分别统计，支持将策略命中次数作为指标供规则使用；</w:t>
            </w:r>
          </w:p>
          <w:p w14:paraId="3910A5B8">
            <w:pPr>
              <w:widowControl/>
              <w:autoSpaceDE/>
              <w:autoSpaceDN/>
              <w:spacing w:line="240" w:lineRule="auto"/>
              <w:ind w:firstLine="210" w:firstLineChars="100"/>
              <w:jc w:val="left"/>
              <w:rPr>
                <w:highlight w:val="none"/>
              </w:rPr>
            </w:pPr>
            <w:r>
              <w:rPr>
                <w:highlight w:val="none"/>
              </w:rPr>
              <w:t>8.2支持查询风控事件（展示交易详情及策略命中情况），支持批量下载</w:t>
            </w:r>
            <w:r>
              <w:rPr>
                <w:rFonts w:hint="eastAsia"/>
                <w:highlight w:val="none"/>
              </w:rPr>
              <w:t>；</w:t>
            </w:r>
          </w:p>
          <w:p w14:paraId="4EB2622E">
            <w:pPr>
              <w:widowControl/>
              <w:autoSpaceDE/>
              <w:autoSpaceDN/>
              <w:spacing w:line="240" w:lineRule="auto"/>
              <w:ind w:firstLine="210" w:firstLineChars="100"/>
              <w:jc w:val="left"/>
              <w:rPr>
                <w:highlight w:val="none"/>
              </w:rPr>
            </w:pPr>
            <w:r>
              <w:rPr>
                <w:highlight w:val="none"/>
              </w:rPr>
              <w:t>8.3风险详情展示信息全面，可分别展示正式上线风控</w:t>
            </w:r>
            <w:r>
              <w:rPr>
                <w:rFonts w:hint="eastAsia"/>
                <w:highlight w:val="none"/>
              </w:rPr>
              <w:t>规则</w:t>
            </w:r>
            <w:r>
              <w:rPr>
                <w:highlight w:val="none"/>
              </w:rPr>
              <w:t>命中详情和试运行风控</w:t>
            </w:r>
            <w:r>
              <w:rPr>
                <w:rFonts w:hint="eastAsia"/>
                <w:highlight w:val="none"/>
              </w:rPr>
              <w:t>规则</w:t>
            </w:r>
            <w:r>
              <w:rPr>
                <w:highlight w:val="none"/>
              </w:rPr>
              <w:t>命中详情，同时可进一步查看每条</w:t>
            </w:r>
            <w:r>
              <w:rPr>
                <w:rFonts w:hint="eastAsia"/>
                <w:highlight w:val="none"/>
              </w:rPr>
              <w:t>规则</w:t>
            </w:r>
            <w:r>
              <w:rPr>
                <w:highlight w:val="none"/>
              </w:rPr>
              <w:t>涉及的所有</w:t>
            </w:r>
            <w:r>
              <w:rPr>
                <w:rFonts w:hint="eastAsia"/>
                <w:highlight w:val="none"/>
              </w:rPr>
              <w:t>指标</w:t>
            </w:r>
            <w:r>
              <w:rPr>
                <w:highlight w:val="none"/>
              </w:rPr>
              <w:t>详情</w:t>
            </w:r>
            <w:r>
              <w:rPr>
                <w:rFonts w:hint="eastAsia"/>
                <w:highlight w:val="none"/>
              </w:rPr>
              <w:t>；</w:t>
            </w:r>
          </w:p>
          <w:p w14:paraId="2C6D4C7D">
            <w:pPr>
              <w:widowControl/>
              <w:autoSpaceDE/>
              <w:autoSpaceDN/>
              <w:spacing w:line="240" w:lineRule="auto"/>
              <w:ind w:firstLine="210" w:firstLineChars="100"/>
              <w:jc w:val="left"/>
              <w:rPr>
                <w:highlight w:val="none"/>
              </w:rPr>
            </w:pPr>
            <w:r>
              <w:rPr>
                <w:highlight w:val="none"/>
              </w:rPr>
              <w:t>8.4支持对策略上线一段时间内的决策情况进行分析展示，查看策略的运行情况</w:t>
            </w:r>
            <w:r>
              <w:rPr>
                <w:rFonts w:hint="eastAsia"/>
                <w:highlight w:val="none"/>
              </w:rPr>
              <w:t>；</w:t>
            </w:r>
          </w:p>
          <w:p w14:paraId="781C1FB6">
            <w:pPr>
              <w:widowControl/>
              <w:autoSpaceDE/>
              <w:autoSpaceDN/>
              <w:spacing w:line="240" w:lineRule="auto"/>
              <w:ind w:firstLine="210" w:firstLineChars="100"/>
              <w:jc w:val="left"/>
              <w:rPr>
                <w:highlight w:val="none"/>
              </w:rPr>
            </w:pPr>
            <w:r>
              <w:rPr>
                <w:highlight w:val="none"/>
              </w:rPr>
              <w:t>8.5</w:t>
            </w:r>
            <w:r>
              <w:rPr>
                <w:rFonts w:hint="eastAsia"/>
                <w:highlight w:val="none"/>
              </w:rPr>
              <w:t>支持</w:t>
            </w:r>
            <w:r>
              <w:rPr>
                <w:highlight w:val="none"/>
              </w:rPr>
              <w:t>客户命中情况统计查询（在一个页面查询不同渠道的策略命中及处置情况）或者在账户分级分类结果展示相关信息</w:t>
            </w:r>
            <w:r>
              <w:rPr>
                <w:rFonts w:hint="eastAsia"/>
                <w:highlight w:val="none"/>
              </w:rPr>
              <w:t>；</w:t>
            </w:r>
          </w:p>
          <w:p w14:paraId="69F9942F">
            <w:pPr>
              <w:widowControl/>
              <w:autoSpaceDE/>
              <w:autoSpaceDN/>
              <w:spacing w:line="240" w:lineRule="auto"/>
              <w:ind w:firstLine="210" w:firstLineChars="100"/>
              <w:jc w:val="left"/>
              <w:rPr>
                <w:highlight w:val="none"/>
              </w:rPr>
            </w:pPr>
            <w:r>
              <w:rPr>
                <w:highlight w:val="none"/>
              </w:rPr>
              <w:t>8.6</w:t>
            </w:r>
            <w:r>
              <w:rPr>
                <w:rFonts w:hint="eastAsia"/>
                <w:highlight w:val="none"/>
              </w:rPr>
              <w:t>支持</w:t>
            </w:r>
            <w:r>
              <w:rPr>
                <w:highlight w:val="none"/>
              </w:rPr>
              <w:t>以账户的维度，统计分析出一段时间内，该账户的“交易概括”、“资金关联概括”、“风险特征”、“关联分析”等信息</w:t>
            </w:r>
            <w:r>
              <w:rPr>
                <w:rFonts w:hint="eastAsia"/>
                <w:highlight w:val="none"/>
              </w:rPr>
              <w:t>；</w:t>
            </w:r>
          </w:p>
        </w:tc>
      </w:tr>
      <w:tr w14:paraId="2FA3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932E267">
            <w:pPr>
              <w:spacing w:line="240" w:lineRule="auto"/>
              <w:ind w:firstLine="0" w:firstLineChars="0"/>
              <w:jc w:val="center"/>
              <w:rPr>
                <w:highlight w:val="none"/>
              </w:rPr>
            </w:pPr>
            <w:r>
              <w:rPr>
                <w:rFonts w:hint="eastAsia"/>
                <w:highlight w:val="none"/>
              </w:rPr>
              <w:t>9</w:t>
            </w:r>
          </w:p>
        </w:tc>
        <w:tc>
          <w:tcPr>
            <w:tcW w:w="1812" w:type="dxa"/>
            <w:tcBorders>
              <w:top w:val="single" w:color="auto" w:sz="4" w:space="0"/>
              <w:left w:val="single" w:color="auto" w:sz="4" w:space="0"/>
              <w:bottom w:val="single" w:color="auto" w:sz="4" w:space="0"/>
              <w:right w:val="single" w:color="auto" w:sz="4" w:space="0"/>
            </w:tcBorders>
          </w:tcPr>
          <w:p w14:paraId="4024679A">
            <w:pPr>
              <w:spacing w:line="240" w:lineRule="auto"/>
              <w:ind w:firstLine="0" w:firstLineChars="0"/>
              <w:jc w:val="center"/>
              <w:rPr>
                <w:rFonts w:ascii="宋体" w:cs="宋体"/>
                <w:szCs w:val="21"/>
                <w:highlight w:val="none"/>
              </w:rPr>
            </w:pPr>
            <w:r>
              <w:rPr>
                <w:rFonts w:hint="eastAsia" w:ascii="宋体" w:cs="宋体"/>
                <w:szCs w:val="21"/>
                <w:highlight w:val="none"/>
              </w:rPr>
              <w:t>核查处置</w:t>
            </w:r>
          </w:p>
        </w:tc>
        <w:tc>
          <w:tcPr>
            <w:tcW w:w="5981" w:type="dxa"/>
            <w:tcBorders>
              <w:top w:val="single" w:color="auto" w:sz="4" w:space="0"/>
              <w:left w:val="single" w:color="auto" w:sz="4" w:space="0"/>
              <w:bottom w:val="single" w:color="auto" w:sz="4" w:space="0"/>
              <w:right w:val="single" w:color="auto" w:sz="4" w:space="0"/>
            </w:tcBorders>
          </w:tcPr>
          <w:p w14:paraId="4FA76526">
            <w:pPr>
              <w:widowControl/>
              <w:autoSpaceDE/>
              <w:autoSpaceDN/>
              <w:spacing w:line="240" w:lineRule="auto"/>
              <w:ind w:firstLine="210" w:firstLineChars="100"/>
              <w:jc w:val="left"/>
              <w:rPr>
                <w:highlight w:val="none"/>
              </w:rPr>
            </w:pPr>
            <w:r>
              <w:rPr>
                <w:highlight w:val="none"/>
              </w:rPr>
              <w:t>9.1</w:t>
            </w:r>
            <w:r>
              <w:rPr>
                <w:rFonts w:hint="eastAsia"/>
                <w:highlight w:val="none"/>
              </w:rPr>
              <w:t>支持实时（在线交易预警）、准实时（结算账户动账交易秒级预警）、事后（账户）等多种类型核查单的推送及处置；</w:t>
            </w:r>
          </w:p>
          <w:p w14:paraId="63E0335A">
            <w:pPr>
              <w:widowControl/>
              <w:autoSpaceDE/>
              <w:autoSpaceDN/>
              <w:spacing w:line="240" w:lineRule="auto"/>
              <w:ind w:firstLine="210" w:firstLineChars="100"/>
              <w:jc w:val="left"/>
              <w:rPr>
                <w:highlight w:val="none"/>
              </w:rPr>
            </w:pPr>
            <w:r>
              <w:rPr>
                <w:highlight w:val="none"/>
              </w:rPr>
              <w:t>9.2支持风控规则触发和人工提报</w:t>
            </w:r>
            <w:r>
              <w:rPr>
                <w:rFonts w:hint="eastAsia"/>
                <w:highlight w:val="none"/>
              </w:rPr>
              <w:t>生成核查单</w:t>
            </w:r>
            <w:r>
              <w:rPr>
                <w:highlight w:val="none"/>
              </w:rPr>
              <w:t>；</w:t>
            </w:r>
          </w:p>
          <w:p w14:paraId="2B1EE7A7">
            <w:pPr>
              <w:widowControl/>
              <w:autoSpaceDE/>
              <w:autoSpaceDN/>
              <w:spacing w:line="240" w:lineRule="auto"/>
              <w:ind w:firstLine="210" w:firstLineChars="100"/>
              <w:jc w:val="left"/>
              <w:rPr>
                <w:highlight w:val="none"/>
              </w:rPr>
            </w:pPr>
            <w:r>
              <w:rPr>
                <w:highlight w:val="none"/>
              </w:rPr>
              <w:t>9.3支持系统自动分配、手动分配任务；</w:t>
            </w:r>
          </w:p>
          <w:p w14:paraId="5BA9B0FB">
            <w:pPr>
              <w:widowControl/>
              <w:autoSpaceDE/>
              <w:autoSpaceDN/>
              <w:spacing w:line="240" w:lineRule="auto"/>
              <w:ind w:firstLine="210" w:firstLineChars="100"/>
              <w:jc w:val="left"/>
              <w:rPr>
                <w:highlight w:val="none"/>
              </w:rPr>
            </w:pPr>
            <w:r>
              <w:rPr>
                <w:highlight w:val="none"/>
              </w:rPr>
              <w:t>9.4支持按照业务归属机构、岗位、所属渠道、交易环节、任务来源、处置结果、风险标签自动分配至对应审核人员；</w:t>
            </w:r>
          </w:p>
          <w:p w14:paraId="17F779AF">
            <w:pPr>
              <w:widowControl/>
              <w:autoSpaceDE/>
              <w:autoSpaceDN/>
              <w:spacing w:line="240" w:lineRule="auto"/>
              <w:ind w:firstLine="210" w:firstLineChars="100"/>
              <w:jc w:val="left"/>
              <w:rPr>
                <w:highlight w:val="none"/>
              </w:rPr>
            </w:pPr>
            <w:r>
              <w:rPr>
                <w:highlight w:val="none"/>
              </w:rPr>
              <w:t>9.5支持灵活配置审核流，如有些核查单只需要一级审核，有些核查单需要二级审核；</w:t>
            </w:r>
          </w:p>
          <w:p w14:paraId="0C03E2A7">
            <w:pPr>
              <w:widowControl/>
              <w:autoSpaceDE/>
              <w:autoSpaceDN/>
              <w:spacing w:line="240" w:lineRule="auto"/>
              <w:ind w:firstLine="210" w:firstLineChars="100"/>
              <w:jc w:val="left"/>
              <w:rPr>
                <w:highlight w:val="none"/>
              </w:rPr>
            </w:pPr>
            <w:r>
              <w:rPr>
                <w:highlight w:val="none"/>
              </w:rPr>
              <w:t>9.6支持转派任务到具体的审核人员；支持跨机构流转核实单（即支持A机构将核实单转发至B机构）</w:t>
            </w:r>
            <w:r>
              <w:rPr>
                <w:rFonts w:hint="eastAsia"/>
                <w:highlight w:val="none"/>
              </w:rPr>
              <w:t>；</w:t>
            </w:r>
          </w:p>
          <w:p w14:paraId="0C1ADD5D">
            <w:pPr>
              <w:widowControl/>
              <w:autoSpaceDE/>
              <w:autoSpaceDN/>
              <w:spacing w:line="240" w:lineRule="auto"/>
              <w:ind w:firstLine="210" w:firstLineChars="100"/>
              <w:jc w:val="left"/>
              <w:rPr>
                <w:highlight w:val="none"/>
              </w:rPr>
            </w:pPr>
            <w:r>
              <w:rPr>
                <w:highlight w:val="none"/>
              </w:rPr>
              <w:t>9.7支持提炼事件中的关键主体属性，如设备指纹、IP、银行卡号、手机号等信息，并支持审核人员录黑至对应的名单集中，形成风控闭环；</w:t>
            </w:r>
          </w:p>
          <w:p w14:paraId="7DAAF134">
            <w:pPr>
              <w:widowControl/>
              <w:autoSpaceDE/>
              <w:autoSpaceDN/>
              <w:spacing w:line="240" w:lineRule="auto"/>
              <w:ind w:firstLine="210" w:firstLineChars="100"/>
              <w:jc w:val="left"/>
              <w:rPr>
                <w:highlight w:val="none"/>
              </w:rPr>
            </w:pPr>
            <w:r>
              <w:rPr>
                <w:highlight w:val="none"/>
              </w:rPr>
              <w:t>9.8支持归档功能，将不同审核结果的核查单进行分类管理且核查结果报表支持下载；</w:t>
            </w:r>
          </w:p>
          <w:p w14:paraId="21F44F7A">
            <w:pPr>
              <w:widowControl/>
              <w:autoSpaceDE/>
              <w:autoSpaceDN/>
              <w:spacing w:line="240" w:lineRule="auto"/>
              <w:ind w:firstLine="210" w:firstLineChars="100"/>
              <w:jc w:val="left"/>
              <w:rPr>
                <w:highlight w:val="none"/>
              </w:rPr>
            </w:pPr>
            <w:r>
              <w:rPr>
                <w:highlight w:val="none"/>
              </w:rPr>
              <w:t>9.9核查处置状态实时展示、筛选</w:t>
            </w:r>
            <w:r>
              <w:rPr>
                <w:rFonts w:hint="eastAsia"/>
                <w:highlight w:val="none"/>
              </w:rPr>
              <w:t>，支持查看核查流程节点</w:t>
            </w:r>
            <w:r>
              <w:rPr>
                <w:highlight w:val="none"/>
              </w:rPr>
              <w:t>；</w:t>
            </w:r>
          </w:p>
          <w:p w14:paraId="3499D144">
            <w:pPr>
              <w:widowControl/>
              <w:autoSpaceDE/>
              <w:autoSpaceDN/>
              <w:spacing w:line="240" w:lineRule="auto"/>
              <w:ind w:firstLine="210" w:firstLineChars="100"/>
              <w:jc w:val="left"/>
              <w:rPr>
                <w:highlight w:val="none"/>
              </w:rPr>
            </w:pPr>
            <w:r>
              <w:rPr>
                <w:highlight w:val="none"/>
              </w:rPr>
              <w:t>9.10支持将核查单以账户维度进行合并预警</w:t>
            </w:r>
            <w:r>
              <w:rPr>
                <w:rFonts w:hint="eastAsia"/>
                <w:highlight w:val="none"/>
              </w:rPr>
              <w:t>；</w:t>
            </w:r>
          </w:p>
          <w:p w14:paraId="0BFDDE4B">
            <w:pPr>
              <w:widowControl/>
              <w:autoSpaceDE/>
              <w:autoSpaceDN/>
              <w:spacing w:line="240" w:lineRule="auto"/>
              <w:ind w:firstLine="210" w:firstLineChars="100"/>
              <w:jc w:val="left"/>
              <w:rPr>
                <w:highlight w:val="none"/>
              </w:rPr>
            </w:pPr>
            <w:r>
              <w:rPr>
                <w:highlight w:val="none"/>
              </w:rPr>
              <w:t>9.11支持在核查单中嵌入支行尽职调查及审核材料查询流程；</w:t>
            </w:r>
          </w:p>
          <w:p w14:paraId="2545ACC1">
            <w:pPr>
              <w:widowControl/>
              <w:autoSpaceDE/>
              <w:autoSpaceDN/>
              <w:spacing w:line="240" w:lineRule="auto"/>
              <w:ind w:firstLine="210" w:firstLineChars="100"/>
              <w:jc w:val="left"/>
              <w:rPr>
                <w:highlight w:val="none"/>
              </w:rPr>
            </w:pPr>
            <w:r>
              <w:rPr>
                <w:highlight w:val="none"/>
              </w:rPr>
              <w:t>9.12</w:t>
            </w:r>
            <w:r>
              <w:rPr>
                <w:rFonts w:hint="eastAsia"/>
                <w:highlight w:val="none"/>
              </w:rPr>
              <w:t>支持查看登陆账号的待办事项（包括待审核事件、案件或待复核案件）、已办事项（已办事件、已办案件）；支持按照角色自定义系统初始页面（运营条线核查人员，需要将待办事项页面设为首页）；</w:t>
            </w:r>
          </w:p>
          <w:p w14:paraId="7D0122DB">
            <w:pPr>
              <w:widowControl/>
              <w:autoSpaceDE/>
              <w:autoSpaceDN/>
              <w:spacing w:line="240" w:lineRule="auto"/>
              <w:ind w:firstLine="210" w:firstLineChars="100"/>
              <w:jc w:val="left"/>
              <w:rPr>
                <w:highlight w:val="none"/>
              </w:rPr>
            </w:pPr>
            <w:r>
              <w:rPr>
                <w:highlight w:val="none"/>
              </w:rPr>
              <w:t>9.13</w:t>
            </w:r>
            <w:r>
              <w:rPr>
                <w:rFonts w:hint="eastAsia"/>
                <w:highlight w:val="none"/>
              </w:rPr>
              <w:t>账户管控：支持配置账户的管控逻辑，支持账户管控措施动态调整；支持根据核心系统（风控系统直接对接核心）对应的管控措施，灵活调整管控措施，核心管控接口的参数支持在风控平台参数化配置；</w:t>
            </w:r>
          </w:p>
        </w:tc>
      </w:tr>
      <w:tr w14:paraId="4765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E68D0E7">
            <w:pPr>
              <w:spacing w:line="240" w:lineRule="auto"/>
              <w:ind w:firstLine="0" w:firstLineChars="0"/>
              <w:jc w:val="center"/>
              <w:rPr>
                <w:highlight w:val="none"/>
              </w:rPr>
            </w:pPr>
            <w:r>
              <w:rPr>
                <w:rFonts w:hint="eastAsia"/>
                <w:highlight w:val="none"/>
              </w:rPr>
              <w:t>10</w:t>
            </w:r>
          </w:p>
        </w:tc>
        <w:tc>
          <w:tcPr>
            <w:tcW w:w="1812" w:type="dxa"/>
            <w:tcBorders>
              <w:top w:val="single" w:color="auto" w:sz="4" w:space="0"/>
              <w:left w:val="single" w:color="auto" w:sz="4" w:space="0"/>
              <w:bottom w:val="single" w:color="auto" w:sz="4" w:space="0"/>
              <w:right w:val="single" w:color="auto" w:sz="4" w:space="0"/>
            </w:tcBorders>
          </w:tcPr>
          <w:p w14:paraId="36230117">
            <w:pPr>
              <w:spacing w:line="240" w:lineRule="auto"/>
              <w:ind w:firstLine="0" w:firstLineChars="0"/>
              <w:jc w:val="center"/>
              <w:rPr>
                <w:rFonts w:ascii="宋体" w:cs="宋体"/>
                <w:szCs w:val="21"/>
                <w:highlight w:val="none"/>
              </w:rPr>
            </w:pPr>
            <w:r>
              <w:rPr>
                <w:rFonts w:hint="eastAsia" w:ascii="宋体" w:cs="宋体"/>
                <w:szCs w:val="21"/>
                <w:highlight w:val="none"/>
              </w:rPr>
              <w:t>驾驶舱业务监控</w:t>
            </w:r>
          </w:p>
        </w:tc>
        <w:tc>
          <w:tcPr>
            <w:tcW w:w="5981" w:type="dxa"/>
            <w:tcBorders>
              <w:top w:val="single" w:color="auto" w:sz="4" w:space="0"/>
              <w:left w:val="single" w:color="auto" w:sz="4" w:space="0"/>
              <w:bottom w:val="single" w:color="auto" w:sz="4" w:space="0"/>
              <w:right w:val="single" w:color="auto" w:sz="4" w:space="0"/>
            </w:tcBorders>
          </w:tcPr>
          <w:p w14:paraId="77ED9AA8">
            <w:pPr>
              <w:widowControl/>
              <w:autoSpaceDE/>
              <w:autoSpaceDN/>
              <w:spacing w:line="240" w:lineRule="auto"/>
              <w:ind w:firstLine="210" w:firstLineChars="100"/>
              <w:jc w:val="left"/>
              <w:rPr>
                <w:highlight w:val="none"/>
              </w:rPr>
            </w:pPr>
            <w:r>
              <w:rPr>
                <w:highlight w:val="none"/>
              </w:rPr>
              <w:t>10.1</w:t>
            </w:r>
            <w:r>
              <w:rPr>
                <w:rFonts w:hint="eastAsia"/>
                <w:highlight w:val="none"/>
              </w:rPr>
              <w:t>平台的统计报表、监控图表、监控指标等展示支持针对行内需求定制化开发；支持简洁、直观、美观的驾驶舱展现形式，便于业务人员及时了解系统关键信息；</w:t>
            </w:r>
          </w:p>
          <w:p w14:paraId="71530DEC">
            <w:pPr>
              <w:widowControl/>
              <w:autoSpaceDE/>
              <w:autoSpaceDN/>
              <w:spacing w:line="240" w:lineRule="auto"/>
              <w:ind w:firstLine="210" w:firstLineChars="100"/>
              <w:jc w:val="left"/>
              <w:rPr>
                <w:highlight w:val="none"/>
              </w:rPr>
            </w:pPr>
            <w:r>
              <w:rPr>
                <w:highlight w:val="none"/>
              </w:rPr>
              <w:t>10.2</w:t>
            </w:r>
            <w:r>
              <w:rPr>
                <w:rFonts w:hint="eastAsia"/>
                <w:highlight w:val="none"/>
              </w:rPr>
              <w:t>支持</w:t>
            </w:r>
            <w:r>
              <w:rPr>
                <w:highlight w:val="none"/>
              </w:rPr>
              <w:t>展示系统目前维护的所有策略、规则等风控资产情况，支持按照所有及细分渠道、事件展示</w:t>
            </w:r>
            <w:r>
              <w:rPr>
                <w:rFonts w:hint="eastAsia"/>
                <w:highlight w:val="none"/>
              </w:rPr>
              <w:t>；支持系统对风控规则进行定期评估，分析规则命中情况及误拦截情况，并根据结果对规则进行分析，并提出可优化规则建议；</w:t>
            </w:r>
          </w:p>
          <w:p w14:paraId="1A4A1058">
            <w:pPr>
              <w:widowControl/>
              <w:autoSpaceDE/>
              <w:autoSpaceDN/>
              <w:spacing w:line="240" w:lineRule="auto"/>
              <w:ind w:firstLine="210" w:firstLineChars="100"/>
              <w:jc w:val="left"/>
              <w:rPr>
                <w:highlight w:val="none"/>
              </w:rPr>
            </w:pPr>
            <w:r>
              <w:rPr>
                <w:highlight w:val="none"/>
              </w:rPr>
              <w:t>10.3</w:t>
            </w:r>
            <w:r>
              <w:rPr>
                <w:rFonts w:hint="eastAsia"/>
                <w:highlight w:val="none"/>
              </w:rPr>
              <w:t>支持</w:t>
            </w:r>
            <w:r>
              <w:rPr>
                <w:highlight w:val="none"/>
              </w:rPr>
              <w:t>展示系统目前维护的所有名单情况，以及规则管理和数据量变化情况</w:t>
            </w:r>
            <w:r>
              <w:rPr>
                <w:rFonts w:hint="eastAsia"/>
                <w:highlight w:val="none"/>
              </w:rPr>
              <w:t>；</w:t>
            </w:r>
          </w:p>
          <w:p w14:paraId="2661D251">
            <w:pPr>
              <w:widowControl/>
              <w:autoSpaceDE/>
              <w:autoSpaceDN/>
              <w:spacing w:line="240" w:lineRule="auto"/>
              <w:ind w:firstLine="210" w:firstLineChars="100"/>
              <w:jc w:val="left"/>
              <w:rPr>
                <w:highlight w:val="none"/>
              </w:rPr>
            </w:pPr>
            <w:r>
              <w:rPr>
                <w:highlight w:val="none"/>
              </w:rPr>
              <w:t>10.4</w:t>
            </w:r>
            <w:r>
              <w:rPr>
                <w:rFonts w:hint="eastAsia"/>
                <w:highlight w:val="none"/>
              </w:rPr>
              <w:t>支持展示指定时间范围内的系统调用及规则执行情况；</w:t>
            </w:r>
          </w:p>
          <w:p w14:paraId="11CE38CF">
            <w:pPr>
              <w:widowControl/>
              <w:autoSpaceDE/>
              <w:autoSpaceDN/>
              <w:spacing w:line="240" w:lineRule="auto"/>
              <w:ind w:firstLine="210" w:firstLineChars="100"/>
              <w:jc w:val="left"/>
              <w:rPr>
                <w:highlight w:val="none"/>
              </w:rPr>
            </w:pPr>
            <w:r>
              <w:rPr>
                <w:highlight w:val="none"/>
              </w:rPr>
              <w:t>10.5支持报表种类：需包含规则有效性统计报表、规则触警统计报表。报表统计层级支持一级分支机构、一级机构下属网点、业务条线等多种维度</w:t>
            </w:r>
            <w:r>
              <w:rPr>
                <w:rFonts w:hint="eastAsia"/>
                <w:highlight w:val="none"/>
              </w:rPr>
              <w:t>；</w:t>
            </w:r>
          </w:p>
          <w:p w14:paraId="2F660656">
            <w:pPr>
              <w:widowControl/>
              <w:autoSpaceDE/>
              <w:autoSpaceDN/>
              <w:spacing w:line="240" w:lineRule="auto"/>
              <w:ind w:firstLine="210" w:firstLineChars="100"/>
              <w:jc w:val="left"/>
              <w:rPr>
                <w:highlight w:val="none"/>
              </w:rPr>
            </w:pPr>
            <w:r>
              <w:rPr>
                <w:highlight w:val="none"/>
              </w:rPr>
              <w:t>10.6报表权限：需支持区分机构、部门、业务条线的报表查看、下载权限。例如，某网点A无法查看另一网点B的报表数据，但A与B属同一个上级机构C，C可查看A以及B的报表数据</w:t>
            </w:r>
            <w:r>
              <w:rPr>
                <w:rFonts w:hint="eastAsia"/>
                <w:highlight w:val="none"/>
              </w:rPr>
              <w:t>；</w:t>
            </w:r>
          </w:p>
          <w:p w14:paraId="780DE05D">
            <w:pPr>
              <w:widowControl/>
              <w:autoSpaceDE/>
              <w:autoSpaceDN/>
              <w:spacing w:line="240" w:lineRule="auto"/>
              <w:ind w:firstLine="210" w:firstLineChars="100"/>
              <w:jc w:val="left"/>
              <w:rPr>
                <w:highlight w:val="none"/>
              </w:rPr>
            </w:pPr>
            <w:r>
              <w:rPr>
                <w:highlight w:val="none"/>
              </w:rPr>
              <w:t>10.7支持用户画像功能，展示当前客户基本信息及关联账户信息，客户关联图谱展示，为用户进一步挖掘客户关联关系提供更为全面的视角</w:t>
            </w:r>
            <w:r>
              <w:rPr>
                <w:rFonts w:hint="eastAsia"/>
                <w:highlight w:val="none"/>
              </w:rPr>
              <w:t>；</w:t>
            </w:r>
          </w:p>
        </w:tc>
      </w:tr>
      <w:tr w14:paraId="150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3A67B13">
            <w:pPr>
              <w:spacing w:line="240" w:lineRule="auto"/>
              <w:ind w:firstLine="0" w:firstLineChars="0"/>
              <w:jc w:val="center"/>
              <w:rPr>
                <w:highlight w:val="none"/>
              </w:rPr>
            </w:pPr>
            <w:r>
              <w:rPr>
                <w:rFonts w:hint="eastAsia"/>
                <w:highlight w:val="none"/>
              </w:rPr>
              <w:t>11</w:t>
            </w:r>
          </w:p>
        </w:tc>
        <w:tc>
          <w:tcPr>
            <w:tcW w:w="1812" w:type="dxa"/>
            <w:tcBorders>
              <w:top w:val="single" w:color="auto" w:sz="4" w:space="0"/>
              <w:left w:val="single" w:color="auto" w:sz="4" w:space="0"/>
              <w:bottom w:val="single" w:color="auto" w:sz="4" w:space="0"/>
              <w:right w:val="single" w:color="auto" w:sz="4" w:space="0"/>
            </w:tcBorders>
          </w:tcPr>
          <w:p w14:paraId="74CC4DE2">
            <w:pPr>
              <w:spacing w:line="240" w:lineRule="auto"/>
              <w:ind w:firstLine="0" w:firstLineChars="0"/>
              <w:jc w:val="center"/>
              <w:rPr>
                <w:rFonts w:ascii="宋体" w:cs="宋体"/>
                <w:szCs w:val="21"/>
                <w:highlight w:val="none"/>
              </w:rPr>
            </w:pPr>
            <w:r>
              <w:rPr>
                <w:rFonts w:hint="eastAsia" w:ascii="宋体" w:cs="宋体"/>
                <w:szCs w:val="21"/>
                <w:highlight w:val="none"/>
              </w:rPr>
              <w:t>系统管理</w:t>
            </w:r>
          </w:p>
        </w:tc>
        <w:tc>
          <w:tcPr>
            <w:tcW w:w="5981" w:type="dxa"/>
            <w:tcBorders>
              <w:top w:val="single" w:color="auto" w:sz="4" w:space="0"/>
              <w:left w:val="single" w:color="auto" w:sz="4" w:space="0"/>
              <w:bottom w:val="single" w:color="auto" w:sz="4" w:space="0"/>
              <w:right w:val="single" w:color="auto" w:sz="4" w:space="0"/>
            </w:tcBorders>
          </w:tcPr>
          <w:p w14:paraId="5CD4C9F7">
            <w:pPr>
              <w:widowControl/>
              <w:autoSpaceDE/>
              <w:autoSpaceDN/>
              <w:spacing w:line="240" w:lineRule="auto"/>
              <w:ind w:firstLine="210" w:firstLineChars="100"/>
              <w:jc w:val="left"/>
              <w:rPr>
                <w:highlight w:val="none"/>
              </w:rPr>
            </w:pPr>
            <w:r>
              <w:rPr>
                <w:highlight w:val="none"/>
              </w:rPr>
              <w:t>11.1</w:t>
            </w:r>
            <w:r>
              <w:rPr>
                <w:rFonts w:hint="eastAsia"/>
                <w:highlight w:val="none"/>
              </w:rPr>
              <w:t>具备系统管理能力，用于管理系统使用过程中一些配置内容。如操作日志、规则编码配置、指标编码配置、安全配置等；</w:t>
            </w:r>
          </w:p>
          <w:p w14:paraId="6A54F41A">
            <w:pPr>
              <w:widowControl/>
              <w:autoSpaceDE/>
              <w:autoSpaceDN/>
              <w:spacing w:line="240" w:lineRule="auto"/>
              <w:ind w:firstLine="210" w:firstLineChars="100"/>
              <w:jc w:val="left"/>
              <w:rPr>
                <w:highlight w:val="none"/>
              </w:rPr>
            </w:pPr>
            <w:r>
              <w:rPr>
                <w:highlight w:val="none"/>
              </w:rPr>
              <w:t>11.2授权管理：1）支持对人员进行机构、角色和渠道应用的授权管理；2）支持授权下放，超级管理员可以将指定的系统权限的分配权给到机构、岗位或者特定人员，再由机构、岗位或者特定人员对其下属人员进行权限分配</w:t>
            </w:r>
            <w:r>
              <w:rPr>
                <w:rFonts w:hint="eastAsia"/>
                <w:highlight w:val="none"/>
              </w:rPr>
              <w:t>；</w:t>
            </w:r>
          </w:p>
          <w:p w14:paraId="58256E73">
            <w:pPr>
              <w:widowControl/>
              <w:autoSpaceDE/>
              <w:autoSpaceDN/>
              <w:spacing w:line="240" w:lineRule="auto"/>
              <w:ind w:firstLine="210" w:firstLineChars="100"/>
              <w:jc w:val="left"/>
              <w:rPr>
                <w:highlight w:val="none"/>
              </w:rPr>
            </w:pPr>
            <w:r>
              <w:rPr>
                <w:highlight w:val="none"/>
              </w:rPr>
              <w:t>11.3支持设立常规操作用户，将尽量多的常规操作权限赋予该用户，履行超管账户的“最小使用”原则；</w:t>
            </w:r>
          </w:p>
          <w:p w14:paraId="2F0B05EC">
            <w:pPr>
              <w:widowControl/>
              <w:autoSpaceDE/>
              <w:autoSpaceDN/>
              <w:spacing w:line="240" w:lineRule="auto"/>
              <w:ind w:firstLine="210" w:firstLineChars="100"/>
              <w:jc w:val="left"/>
              <w:rPr>
                <w:highlight w:val="none"/>
              </w:rPr>
            </w:pPr>
            <w:r>
              <w:rPr>
                <w:highlight w:val="none"/>
              </w:rPr>
              <w:t>11.4</w:t>
            </w:r>
            <w:r>
              <w:rPr>
                <w:rFonts w:hint="eastAsia"/>
                <w:highlight w:val="none"/>
              </w:rPr>
              <w:t>支持同步行内其他系统的用户角色、角色关系、用户权限等；支持对接行内统一认证平台；</w:t>
            </w:r>
          </w:p>
          <w:p w14:paraId="54EF07E6">
            <w:pPr>
              <w:widowControl/>
              <w:autoSpaceDE/>
              <w:autoSpaceDN/>
              <w:spacing w:line="240" w:lineRule="auto"/>
              <w:ind w:firstLine="210" w:firstLineChars="100"/>
              <w:jc w:val="left"/>
              <w:rPr>
                <w:highlight w:val="none"/>
              </w:rPr>
            </w:pPr>
            <w:r>
              <w:rPr>
                <w:highlight w:val="none"/>
              </w:rPr>
              <w:t>11.5</w:t>
            </w:r>
            <w:r>
              <w:rPr>
                <w:rFonts w:hint="eastAsia"/>
                <w:highlight w:val="none"/>
              </w:rPr>
              <w:t>对用户权限管理</w:t>
            </w:r>
            <w:r>
              <w:rPr>
                <w:highlight w:val="none"/>
              </w:rPr>
              <w:t>支持按照“双人原则”，所有操作均需复核（复核人和操作人不能为同一人）</w:t>
            </w:r>
            <w:r>
              <w:rPr>
                <w:rFonts w:hint="eastAsia"/>
                <w:highlight w:val="none"/>
              </w:rPr>
              <w:t>；</w:t>
            </w:r>
          </w:p>
          <w:p w14:paraId="710EE23C">
            <w:pPr>
              <w:widowControl/>
              <w:autoSpaceDE/>
              <w:autoSpaceDN/>
              <w:spacing w:line="240" w:lineRule="auto"/>
              <w:ind w:firstLine="210" w:firstLineChars="100"/>
              <w:jc w:val="left"/>
              <w:rPr>
                <w:highlight w:val="none"/>
              </w:rPr>
            </w:pPr>
            <w:r>
              <w:rPr>
                <w:highlight w:val="none"/>
              </w:rPr>
              <w:t>11.6超管账户能够自定义，不能使用admin</w:t>
            </w:r>
            <w:r>
              <w:rPr>
                <w:rFonts w:hint="eastAsia"/>
                <w:highlight w:val="none"/>
              </w:rPr>
              <w:t>；</w:t>
            </w:r>
          </w:p>
          <w:p w14:paraId="630A1646">
            <w:pPr>
              <w:widowControl/>
              <w:autoSpaceDE/>
              <w:autoSpaceDN/>
              <w:spacing w:line="240" w:lineRule="auto"/>
              <w:ind w:firstLine="210" w:firstLineChars="100"/>
              <w:jc w:val="left"/>
              <w:rPr>
                <w:highlight w:val="none"/>
              </w:rPr>
            </w:pPr>
            <w:r>
              <w:rPr>
                <w:highlight w:val="none"/>
              </w:rPr>
              <w:t>11.7支持账户密码固定周期强制更换，比如90天必须强制账户更换密码</w:t>
            </w:r>
            <w:r>
              <w:rPr>
                <w:rFonts w:hint="eastAsia"/>
                <w:highlight w:val="none"/>
              </w:rPr>
              <w:t>；支持灵活配置密码强弱规则；</w:t>
            </w:r>
          </w:p>
        </w:tc>
      </w:tr>
    </w:tbl>
    <w:p w14:paraId="0C25E164">
      <w:pPr>
        <w:ind w:firstLine="420"/>
        <w:rPr>
          <w:highlight w:val="none"/>
        </w:rPr>
      </w:pPr>
      <w:r>
        <w:rPr>
          <w:highlight w:val="none"/>
        </w:rPr>
        <w:t>2、</w:t>
      </w:r>
      <w:r>
        <w:rPr>
          <w:rFonts w:hint="eastAsia"/>
          <w:highlight w:val="none"/>
        </w:rPr>
        <w:t>技术要求</w:t>
      </w:r>
    </w:p>
    <w:p w14:paraId="24447EF0">
      <w:pPr>
        <w:ind w:firstLine="420"/>
        <w:rPr>
          <w:highlight w:val="none"/>
        </w:rPr>
      </w:pPr>
      <w:r>
        <w:rPr>
          <w:rFonts w:hint="eastAsia"/>
          <w:highlight w:val="none"/>
        </w:rPr>
        <w:t>2</w:t>
      </w:r>
      <w:r>
        <w:rPr>
          <w:highlight w:val="none"/>
        </w:rPr>
        <w:t xml:space="preserve">.1 </w:t>
      </w:r>
      <w:r>
        <w:rPr>
          <w:rFonts w:hint="eastAsia"/>
          <w:highlight w:val="none"/>
        </w:rPr>
        <w:t>总体原则</w:t>
      </w:r>
    </w:p>
    <w:p w14:paraId="72C68D35">
      <w:pPr>
        <w:ind w:firstLine="420"/>
        <w:rPr>
          <w:szCs w:val="24"/>
          <w:highlight w:val="none"/>
        </w:rPr>
      </w:pPr>
      <w:r>
        <w:rPr>
          <w:rFonts w:hint="eastAsia"/>
          <w:szCs w:val="24"/>
          <w:highlight w:val="none"/>
        </w:rPr>
        <w:t>系统的建设应遵循集成性、先进性、可扩展性、稳定性、安全性、经济性、前瞻性和可维护性相结合的原则。</w:t>
      </w:r>
    </w:p>
    <w:p w14:paraId="46242A28">
      <w:pPr>
        <w:ind w:firstLine="420"/>
        <w:rPr>
          <w:szCs w:val="24"/>
          <w:highlight w:val="none"/>
        </w:rPr>
      </w:pPr>
      <w:r>
        <w:rPr>
          <w:szCs w:val="24"/>
          <w:highlight w:val="none"/>
        </w:rPr>
        <w:t xml:space="preserve">2.1.1 </w:t>
      </w:r>
      <w:r>
        <w:rPr>
          <w:rFonts w:hint="eastAsia"/>
          <w:szCs w:val="24"/>
          <w:highlight w:val="none"/>
        </w:rPr>
        <w:t>集成性：系统建设需充分考虑与其它系统的集成，能快速与采购人其它业务和管理系统的集成。</w:t>
      </w:r>
    </w:p>
    <w:p w14:paraId="74721CC4">
      <w:pPr>
        <w:ind w:firstLine="420"/>
        <w:rPr>
          <w:szCs w:val="24"/>
          <w:highlight w:val="none"/>
        </w:rPr>
      </w:pPr>
      <w:r>
        <w:rPr>
          <w:szCs w:val="24"/>
          <w:highlight w:val="none"/>
        </w:rPr>
        <w:t>2.1.</w:t>
      </w:r>
      <w:r>
        <w:rPr>
          <w:rFonts w:hint="eastAsia"/>
          <w:szCs w:val="24"/>
          <w:highlight w:val="none"/>
        </w:rPr>
        <w:t>2 先进性：软件系统的选择与开发应在满足业务需求的基础上具有易改造、易升级、易操作、易维护等特点。</w:t>
      </w:r>
    </w:p>
    <w:p w14:paraId="58C67C0B">
      <w:pPr>
        <w:ind w:firstLine="420"/>
        <w:rPr>
          <w:szCs w:val="24"/>
          <w:highlight w:val="none"/>
        </w:rPr>
      </w:pPr>
      <w:r>
        <w:rPr>
          <w:szCs w:val="24"/>
          <w:highlight w:val="none"/>
        </w:rPr>
        <w:t>2.1.</w:t>
      </w:r>
      <w:r>
        <w:rPr>
          <w:rFonts w:hint="eastAsia"/>
          <w:szCs w:val="24"/>
          <w:highlight w:val="none"/>
        </w:rPr>
        <w:t>3 可扩展性：支持业务和系统的可扩展，支持行业应用可扩展，具有向后兼容的能力。</w:t>
      </w:r>
    </w:p>
    <w:p w14:paraId="5191A11D">
      <w:pPr>
        <w:ind w:firstLine="420"/>
        <w:rPr>
          <w:szCs w:val="24"/>
          <w:highlight w:val="none"/>
        </w:rPr>
      </w:pPr>
      <w:r>
        <w:rPr>
          <w:szCs w:val="24"/>
          <w:highlight w:val="none"/>
        </w:rPr>
        <w:t>2.1.</w:t>
      </w:r>
      <w:r>
        <w:rPr>
          <w:rFonts w:hint="eastAsia"/>
          <w:szCs w:val="24"/>
          <w:highlight w:val="none"/>
        </w:rPr>
        <w:t>4 稳定性：系统要确保系统平稳运行，支持7×24小时连续运行，满足高峰处理的需要。</w:t>
      </w:r>
    </w:p>
    <w:p w14:paraId="5ADEBDAF">
      <w:pPr>
        <w:ind w:firstLine="420"/>
        <w:rPr>
          <w:szCs w:val="24"/>
          <w:highlight w:val="none"/>
        </w:rPr>
      </w:pPr>
      <w:r>
        <w:rPr>
          <w:szCs w:val="24"/>
          <w:highlight w:val="none"/>
        </w:rPr>
        <w:t>2.1.</w:t>
      </w:r>
      <w:r>
        <w:rPr>
          <w:rFonts w:hint="eastAsia"/>
          <w:szCs w:val="24"/>
          <w:highlight w:val="none"/>
        </w:rPr>
        <w:t>5 安全性：</w:t>
      </w:r>
    </w:p>
    <w:p w14:paraId="2E1FCED9">
      <w:pPr>
        <w:ind w:firstLine="420"/>
        <w:rPr>
          <w:szCs w:val="24"/>
          <w:highlight w:val="none"/>
        </w:rPr>
      </w:pPr>
      <w:r>
        <w:rPr>
          <w:szCs w:val="24"/>
          <w:highlight w:val="none"/>
        </w:rPr>
        <w:t>1</w:t>
      </w:r>
      <w:r>
        <w:rPr>
          <w:rFonts w:hint="eastAsia"/>
          <w:szCs w:val="24"/>
          <w:highlight w:val="none"/>
        </w:rPr>
        <w:t>）系统必须建立在成熟稳定的硬件环境和应用软件基础上，通过完善的备份恢复策略、安全控制机制、可靠的运行管理监控和故障处理手段来保障系统的运行稳定、安全。</w:t>
      </w:r>
    </w:p>
    <w:p w14:paraId="154F205E">
      <w:pPr>
        <w:ind w:firstLine="420"/>
        <w:rPr>
          <w:szCs w:val="24"/>
          <w:highlight w:val="none"/>
        </w:rPr>
      </w:pPr>
      <w:r>
        <w:rPr>
          <w:szCs w:val="24"/>
          <w:highlight w:val="none"/>
        </w:rPr>
        <w:t>2</w:t>
      </w:r>
      <w:r>
        <w:rPr>
          <w:rFonts w:hint="eastAsia"/>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7997F35">
      <w:pPr>
        <w:ind w:firstLine="420"/>
        <w:rPr>
          <w:szCs w:val="24"/>
          <w:highlight w:val="none"/>
        </w:rPr>
      </w:pPr>
      <w:r>
        <w:rPr>
          <w:szCs w:val="24"/>
          <w:highlight w:val="none"/>
        </w:rPr>
        <w:t>2.1.</w:t>
      </w:r>
      <w:r>
        <w:rPr>
          <w:rFonts w:hint="eastAsia"/>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76B1CB8C">
      <w:pPr>
        <w:ind w:firstLine="420"/>
        <w:rPr>
          <w:szCs w:val="24"/>
          <w:highlight w:val="none"/>
        </w:rPr>
      </w:pPr>
      <w:r>
        <w:rPr>
          <w:szCs w:val="24"/>
          <w:highlight w:val="none"/>
        </w:rPr>
        <w:t>2.1.</w:t>
      </w:r>
      <w:r>
        <w:rPr>
          <w:rFonts w:hint="eastAsia"/>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1DDABC03">
      <w:pPr>
        <w:ind w:firstLine="420"/>
        <w:rPr>
          <w:szCs w:val="24"/>
          <w:highlight w:val="none"/>
        </w:rPr>
      </w:pPr>
      <w:r>
        <w:rPr>
          <w:szCs w:val="24"/>
          <w:highlight w:val="none"/>
        </w:rPr>
        <w:t>2.1.</w:t>
      </w:r>
      <w:r>
        <w:rPr>
          <w:rFonts w:hint="eastAsia"/>
          <w:szCs w:val="24"/>
          <w:highlight w:val="none"/>
        </w:rPr>
        <w:t>8 可维护性：系统可维护，运行成本可控。</w:t>
      </w:r>
    </w:p>
    <w:p w14:paraId="6B6B8632">
      <w:pPr>
        <w:ind w:firstLine="420"/>
        <w:rPr>
          <w:highlight w:val="none"/>
        </w:rPr>
      </w:pPr>
      <w:r>
        <w:rPr>
          <w:rFonts w:hint="eastAsia"/>
          <w:highlight w:val="none"/>
        </w:rPr>
        <w:t>2.2 用户体验要求</w:t>
      </w:r>
    </w:p>
    <w:p w14:paraId="17081478">
      <w:pPr>
        <w:ind w:firstLine="420"/>
        <w:rPr>
          <w:szCs w:val="24"/>
          <w:highlight w:val="none"/>
        </w:rPr>
      </w:pPr>
      <w:r>
        <w:rPr>
          <w:rFonts w:hint="eastAsia"/>
          <w:szCs w:val="24"/>
          <w:highlight w:val="none"/>
        </w:rPr>
        <w:t>界面可根据用户需求灵活更改（增强标签分类特性），注重用户体验，使系统各项功能易见、易学、易用。</w:t>
      </w:r>
    </w:p>
    <w:p w14:paraId="2C05ED14">
      <w:pPr>
        <w:ind w:firstLine="420"/>
        <w:rPr>
          <w:szCs w:val="24"/>
          <w:highlight w:val="none"/>
        </w:rPr>
      </w:pPr>
      <w:r>
        <w:rPr>
          <w:rFonts w:hint="eastAsia"/>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A64D58E">
      <w:pPr>
        <w:ind w:firstLine="420"/>
        <w:rPr>
          <w:highlight w:val="none"/>
        </w:rPr>
      </w:pPr>
      <w:r>
        <w:rPr>
          <w:rFonts w:hint="eastAsia"/>
          <w:highlight w:val="none"/>
        </w:rPr>
        <w:t>2</w:t>
      </w:r>
      <w:r>
        <w:rPr>
          <w:highlight w:val="none"/>
        </w:rPr>
        <w:t xml:space="preserve">.3 </w:t>
      </w:r>
      <w:r>
        <w:rPr>
          <w:rFonts w:hint="eastAsia"/>
          <w:highlight w:val="none"/>
        </w:rPr>
        <w:t>系统技术架构要求</w:t>
      </w:r>
    </w:p>
    <w:p w14:paraId="096198C2">
      <w:pPr>
        <w:ind w:firstLine="420"/>
        <w:rPr>
          <w:szCs w:val="24"/>
          <w:highlight w:val="none"/>
        </w:rPr>
      </w:pPr>
      <w:r>
        <w:rPr>
          <w:rFonts w:hint="eastAsia"/>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02DFACF">
      <w:pPr>
        <w:ind w:firstLine="420"/>
        <w:rPr>
          <w:szCs w:val="24"/>
          <w:highlight w:val="none"/>
        </w:rPr>
      </w:pPr>
      <w:r>
        <w:rPr>
          <w:rFonts w:hint="eastAsia"/>
          <w:szCs w:val="24"/>
          <w:highlight w:val="none"/>
        </w:rPr>
        <w:t>2）系统技术架构合理，数据结构合理，避免数据冗余，具有良好的扩展性、维护性和稳定性。如服务限流机制、服务降级机制等服务管控机制的应用，保障系统稳定运行。</w:t>
      </w:r>
    </w:p>
    <w:p w14:paraId="7EFB90BE">
      <w:pPr>
        <w:ind w:firstLine="420"/>
        <w:rPr>
          <w:szCs w:val="24"/>
          <w:highlight w:val="none"/>
        </w:rPr>
      </w:pPr>
      <w:r>
        <w:rPr>
          <w:rFonts w:hint="eastAsia"/>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3ECB60C">
      <w:pPr>
        <w:ind w:firstLine="420"/>
        <w:rPr>
          <w:szCs w:val="24"/>
          <w:highlight w:val="none"/>
        </w:rPr>
      </w:pPr>
      <w:r>
        <w:rPr>
          <w:rFonts w:hint="eastAsia"/>
          <w:szCs w:val="24"/>
          <w:highlight w:val="none"/>
        </w:rPr>
        <w:t>4）支持集群部署方式，适应采购人未来业务发展的需要。应用系统之间逻辑独立、启停服务时系统间不相互影响的部署方案。应用系统应支持双活跨数据中心的部署方案。</w:t>
      </w:r>
    </w:p>
    <w:p w14:paraId="7B10B74F">
      <w:pPr>
        <w:ind w:firstLine="420"/>
        <w:rPr>
          <w:szCs w:val="24"/>
          <w:highlight w:val="none"/>
        </w:rPr>
      </w:pPr>
      <w:r>
        <w:rPr>
          <w:rFonts w:hint="eastAsia"/>
          <w:szCs w:val="24"/>
          <w:highlight w:val="none"/>
        </w:rPr>
        <w:t>5）系统支持域名部署。</w:t>
      </w:r>
    </w:p>
    <w:p w14:paraId="4B554071">
      <w:pPr>
        <w:ind w:firstLine="420"/>
        <w:rPr>
          <w:highlight w:val="none"/>
        </w:rPr>
      </w:pPr>
      <w:r>
        <w:rPr>
          <w:highlight w:val="none"/>
        </w:rPr>
        <w:t xml:space="preserve">2.4 </w:t>
      </w:r>
      <w:r>
        <w:rPr>
          <w:rFonts w:hint="eastAsia"/>
          <w:highlight w:val="none"/>
        </w:rPr>
        <w:t>系统性能要求</w:t>
      </w:r>
    </w:p>
    <w:p w14:paraId="20961AE0">
      <w:pPr>
        <w:ind w:firstLine="420"/>
        <w:rPr>
          <w:szCs w:val="24"/>
          <w:highlight w:val="none"/>
        </w:rPr>
      </w:pPr>
      <w:r>
        <w:rPr>
          <w:rFonts w:hint="eastAsia"/>
          <w:szCs w:val="24"/>
          <w:highlight w:val="none"/>
        </w:rPr>
        <w:t>1）应具有高效的运行效率，能通过负载均衡、流量控制、消息缓存等机制，提供大规模、高并发量的交易处理能力，满足登陆、查询、日终批量等性能需求；</w:t>
      </w:r>
    </w:p>
    <w:p w14:paraId="3991C576">
      <w:pPr>
        <w:ind w:firstLine="420"/>
        <w:rPr>
          <w:szCs w:val="24"/>
          <w:highlight w:val="none"/>
        </w:rPr>
      </w:pPr>
      <w:r>
        <w:rPr>
          <w:rFonts w:hint="eastAsia"/>
          <w:szCs w:val="24"/>
          <w:highlight w:val="none"/>
        </w:rPr>
        <w:t>2）系统必须提供平台级的负载均衡和容错能力；</w:t>
      </w:r>
    </w:p>
    <w:p w14:paraId="285121A6">
      <w:pPr>
        <w:ind w:firstLine="420"/>
        <w:rPr>
          <w:szCs w:val="24"/>
          <w:highlight w:val="none"/>
        </w:rPr>
      </w:pPr>
      <w:r>
        <w:rPr>
          <w:rFonts w:hint="eastAsia"/>
          <w:szCs w:val="24"/>
          <w:highlight w:val="none"/>
        </w:rPr>
        <w:t>3）主机系统能够保持7*24稳定的不间断运行，从系统软硬件平台及网络等方面来保证系统的稳定性；</w:t>
      </w:r>
    </w:p>
    <w:p w14:paraId="4B84B8B8">
      <w:pPr>
        <w:ind w:firstLine="420"/>
        <w:rPr>
          <w:szCs w:val="24"/>
          <w:highlight w:val="none"/>
        </w:rPr>
      </w:pPr>
      <w:r>
        <w:rPr>
          <w:rFonts w:hint="eastAsia"/>
          <w:szCs w:val="24"/>
          <w:highlight w:val="none"/>
        </w:rPr>
        <w:t>4）可用率：系统总体平均可用率在99.99%以上。</w:t>
      </w:r>
    </w:p>
    <w:p w14:paraId="3DAF3566">
      <w:pPr>
        <w:ind w:firstLine="420"/>
        <w:rPr>
          <w:highlight w:val="none"/>
        </w:rPr>
      </w:pPr>
      <w:r>
        <w:rPr>
          <w:rFonts w:hint="eastAsia"/>
          <w:highlight w:val="none"/>
        </w:rPr>
        <w:t>2</w:t>
      </w:r>
      <w:r>
        <w:rPr>
          <w:highlight w:val="none"/>
        </w:rPr>
        <w:t xml:space="preserve">.5 </w:t>
      </w:r>
      <w:r>
        <w:rPr>
          <w:rFonts w:hint="eastAsia"/>
          <w:highlight w:val="none"/>
        </w:rPr>
        <w:t>安全性要求</w:t>
      </w:r>
    </w:p>
    <w:p w14:paraId="05A059A2">
      <w:pPr>
        <w:ind w:firstLine="420"/>
        <w:rPr>
          <w:szCs w:val="24"/>
          <w:highlight w:val="none"/>
        </w:rPr>
      </w:pPr>
      <w:r>
        <w:rPr>
          <w:rFonts w:hint="eastAsia"/>
          <w:szCs w:val="24"/>
          <w:highlight w:val="none"/>
        </w:rPr>
        <w:t>为确保信息安全，采取的措施包括但不限于以下：</w:t>
      </w:r>
    </w:p>
    <w:p w14:paraId="739B4B94">
      <w:pPr>
        <w:ind w:firstLine="420"/>
        <w:rPr>
          <w:szCs w:val="24"/>
          <w:highlight w:val="none"/>
        </w:rPr>
      </w:pPr>
      <w:r>
        <w:rPr>
          <w:rFonts w:hint="eastAsia"/>
          <w:szCs w:val="24"/>
          <w:highlight w:val="none"/>
        </w:rPr>
        <w:t>1）平台安全：架构设计符合安全性要求，平台软件达到安全设计标准且不低于同业相关系统要求。</w:t>
      </w:r>
    </w:p>
    <w:p w14:paraId="27AF61A8">
      <w:pPr>
        <w:ind w:firstLine="420"/>
        <w:rPr>
          <w:szCs w:val="24"/>
          <w:highlight w:val="none"/>
        </w:rPr>
      </w:pPr>
      <w:r>
        <w:rPr>
          <w:rFonts w:hint="eastAsia"/>
          <w:szCs w:val="24"/>
          <w:highlight w:val="none"/>
        </w:rPr>
        <w:t>2）数据安全：支持文档安全软件整合技术，从而做到数据传输加密、远程安全访问、数据存储加密，数据部署网络区域应支持入侵检测与防御系统、防火墙的应用。</w:t>
      </w:r>
    </w:p>
    <w:p w14:paraId="0E422B4C">
      <w:pPr>
        <w:ind w:firstLine="420"/>
        <w:rPr>
          <w:szCs w:val="24"/>
          <w:highlight w:val="none"/>
        </w:rPr>
      </w:pPr>
      <w:r>
        <w:rPr>
          <w:rFonts w:hint="eastAsia"/>
          <w:szCs w:val="24"/>
          <w:highlight w:val="none"/>
        </w:rPr>
        <w:t>3）容灾备份：支持各种容灾的软硬件设备的使用等。</w:t>
      </w:r>
    </w:p>
    <w:p w14:paraId="1B83BE1B">
      <w:pPr>
        <w:ind w:firstLine="420"/>
        <w:rPr>
          <w:szCs w:val="24"/>
          <w:highlight w:val="none"/>
        </w:rPr>
      </w:pPr>
      <w:r>
        <w:rPr>
          <w:rFonts w:hint="eastAsia"/>
          <w:szCs w:val="24"/>
          <w:highlight w:val="none"/>
        </w:rPr>
        <w:t>4）管理安全：提供完善的日志功能，能够记录系统使用人员的关键操作，保证系统应用的安全。</w:t>
      </w:r>
    </w:p>
    <w:p w14:paraId="2820CDD4">
      <w:pPr>
        <w:ind w:firstLine="420"/>
        <w:rPr>
          <w:szCs w:val="24"/>
          <w:highlight w:val="none"/>
        </w:rPr>
      </w:pPr>
      <w:r>
        <w:rPr>
          <w:rFonts w:hint="eastAsia"/>
          <w:szCs w:val="24"/>
          <w:highlight w:val="none"/>
        </w:rPr>
        <w:t>5）密码策略：初始密码强制更改、启用验证码、密码过期控制、密码错误次数控制、密码强度设置等，不得以明文的方式保存任何相关密码，防止暴力破解和恶意攻击。</w:t>
      </w:r>
    </w:p>
    <w:p w14:paraId="0D850474">
      <w:pPr>
        <w:ind w:firstLine="420"/>
        <w:rPr>
          <w:szCs w:val="24"/>
          <w:highlight w:val="none"/>
        </w:rPr>
      </w:pPr>
      <w:r>
        <w:rPr>
          <w:rFonts w:hint="eastAsia"/>
          <w:szCs w:val="24"/>
          <w:highlight w:val="none"/>
        </w:rPr>
        <w:t>6）系统严密、灵活的访问安全控制；</w:t>
      </w:r>
    </w:p>
    <w:p w14:paraId="43087FBA">
      <w:pPr>
        <w:ind w:firstLine="420"/>
        <w:rPr>
          <w:szCs w:val="24"/>
          <w:highlight w:val="none"/>
        </w:rPr>
      </w:pPr>
      <w:r>
        <w:rPr>
          <w:rFonts w:hint="eastAsia"/>
          <w:szCs w:val="24"/>
          <w:highlight w:val="none"/>
        </w:rPr>
        <w:t>7）系统有整体的用户/权限管理体系，可统一进行用户/权限的管理，实现到字段级的查询、修改、管理权限控制；</w:t>
      </w:r>
    </w:p>
    <w:p w14:paraId="3818D524">
      <w:pPr>
        <w:ind w:firstLine="420"/>
        <w:rPr>
          <w:rStyle w:val="27"/>
          <w:highlight w:val="none"/>
        </w:rPr>
      </w:pPr>
      <w:r>
        <w:rPr>
          <w:rFonts w:hint="eastAsia"/>
          <w:szCs w:val="24"/>
          <w:highlight w:val="none"/>
        </w:rPr>
        <w:t>8）系统开发必须满足采购</w:t>
      </w:r>
      <w:r>
        <w:rPr>
          <w:szCs w:val="24"/>
          <w:highlight w:val="none"/>
        </w:rPr>
        <w:t>人</w:t>
      </w:r>
      <w:r>
        <w:rPr>
          <w:rFonts w:hint="eastAsia"/>
          <w:szCs w:val="24"/>
          <w:highlight w:val="none"/>
        </w:rPr>
        <w:t>软件研发项目安全需求基线要求。</w:t>
      </w:r>
      <w:r>
        <w:rPr>
          <w:rStyle w:val="27"/>
          <w:highlight w:val="none"/>
        </w:rPr>
        <w:t>具体如下表所示：</w:t>
      </w:r>
    </w:p>
    <w:tbl>
      <w:tblPr>
        <w:tblStyle w:val="23"/>
        <w:tblW w:w="8951" w:type="dxa"/>
        <w:jc w:val="center"/>
        <w:tblLayout w:type="fixed"/>
        <w:tblCellMar>
          <w:top w:w="0" w:type="dxa"/>
          <w:left w:w="108" w:type="dxa"/>
          <w:bottom w:w="0" w:type="dxa"/>
          <w:right w:w="108" w:type="dxa"/>
        </w:tblCellMar>
      </w:tblPr>
      <w:tblGrid>
        <w:gridCol w:w="1091"/>
        <w:gridCol w:w="968"/>
        <w:gridCol w:w="6892"/>
      </w:tblGrid>
      <w:tr w14:paraId="03FCE4B5">
        <w:tblPrEx>
          <w:tblCellMar>
            <w:top w:w="0" w:type="dxa"/>
            <w:left w:w="108" w:type="dxa"/>
            <w:bottom w:w="0" w:type="dxa"/>
            <w:right w:w="108" w:type="dxa"/>
          </w:tblCellMar>
        </w:tblPrEx>
        <w:trPr>
          <w:trHeight w:val="240"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BFBFBF"/>
            <w:vAlign w:val="center"/>
          </w:tcPr>
          <w:p w14:paraId="2BB5A65D">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类别</w:t>
            </w:r>
          </w:p>
        </w:tc>
        <w:tc>
          <w:tcPr>
            <w:tcW w:w="968" w:type="dxa"/>
            <w:tcBorders>
              <w:top w:val="single" w:color="auto" w:sz="4" w:space="0"/>
              <w:left w:val="nil"/>
              <w:bottom w:val="single" w:color="auto" w:sz="4" w:space="0"/>
              <w:right w:val="single" w:color="auto" w:sz="4" w:space="0"/>
            </w:tcBorders>
            <w:shd w:val="clear" w:color="000000" w:fill="BFBFBF"/>
            <w:vAlign w:val="center"/>
          </w:tcPr>
          <w:p w14:paraId="72BC00EB">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子类</w:t>
            </w:r>
          </w:p>
        </w:tc>
        <w:tc>
          <w:tcPr>
            <w:tcW w:w="6892" w:type="dxa"/>
            <w:tcBorders>
              <w:top w:val="single" w:color="auto" w:sz="4" w:space="0"/>
              <w:left w:val="nil"/>
              <w:bottom w:val="single" w:color="auto" w:sz="4" w:space="0"/>
              <w:right w:val="single" w:color="auto" w:sz="4" w:space="0"/>
            </w:tcBorders>
            <w:shd w:val="clear" w:color="000000" w:fill="BFBFBF"/>
            <w:vAlign w:val="center"/>
          </w:tcPr>
          <w:p w14:paraId="317C2DFC">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安全需求</w:t>
            </w:r>
          </w:p>
        </w:tc>
      </w:tr>
      <w:tr w14:paraId="5294BF70">
        <w:tblPrEx>
          <w:tblCellMar>
            <w:top w:w="0" w:type="dxa"/>
            <w:left w:w="108" w:type="dxa"/>
            <w:bottom w:w="0" w:type="dxa"/>
            <w:right w:w="108" w:type="dxa"/>
          </w:tblCellMar>
        </w:tblPrEx>
        <w:trPr>
          <w:trHeight w:val="841"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17DEA429">
            <w:pPr>
              <w:snapToGrid w:val="0"/>
              <w:ind w:firstLine="0" w:firstLineChars="0"/>
              <w:rPr>
                <w:rFonts w:eastAsia="方正仿宋_GBK" w:cs="Times New Roman"/>
                <w:sz w:val="20"/>
                <w:highlight w:val="none"/>
              </w:rPr>
            </w:pPr>
            <w:r>
              <w:rPr>
                <w:rFonts w:eastAsia="方正仿宋_GBK" w:cs="Times New Roman"/>
                <w:sz w:val="20"/>
                <w:highlight w:val="none"/>
              </w:rPr>
              <w:t>身份认证</w:t>
            </w:r>
          </w:p>
        </w:tc>
        <w:tc>
          <w:tcPr>
            <w:tcW w:w="968" w:type="dxa"/>
            <w:tcBorders>
              <w:top w:val="single" w:color="auto" w:sz="4" w:space="0"/>
              <w:left w:val="nil"/>
              <w:bottom w:val="single" w:color="auto" w:sz="4" w:space="0"/>
              <w:right w:val="single" w:color="auto" w:sz="4" w:space="0"/>
            </w:tcBorders>
            <w:vAlign w:val="center"/>
          </w:tcPr>
          <w:p w14:paraId="534C7968">
            <w:pPr>
              <w:snapToGrid w:val="0"/>
              <w:ind w:firstLine="0" w:firstLineChars="0"/>
              <w:rPr>
                <w:rFonts w:eastAsia="方正仿宋_GBK" w:cs="Times New Roman"/>
                <w:sz w:val="20"/>
                <w:highlight w:val="none"/>
              </w:rPr>
            </w:pPr>
            <w:r>
              <w:rPr>
                <w:rFonts w:eastAsia="方正仿宋_GBK" w:cs="Times New Roman"/>
                <w:sz w:val="20"/>
                <w:highlight w:val="none"/>
              </w:rPr>
              <w:t>口令安全策略</w:t>
            </w:r>
          </w:p>
        </w:tc>
        <w:tc>
          <w:tcPr>
            <w:tcW w:w="6892" w:type="dxa"/>
            <w:tcBorders>
              <w:top w:val="single" w:color="auto" w:sz="4" w:space="0"/>
              <w:left w:val="nil"/>
              <w:bottom w:val="single" w:color="auto" w:sz="4" w:space="0"/>
              <w:right w:val="single" w:color="auto" w:sz="4" w:space="0"/>
            </w:tcBorders>
            <w:vAlign w:val="center"/>
          </w:tcPr>
          <w:p w14:paraId="37DA73AF">
            <w:pPr>
              <w:snapToGrid w:val="0"/>
              <w:ind w:firstLine="0" w:firstLineChars="0"/>
              <w:rPr>
                <w:rFonts w:eastAsia="方正仿宋_GBK" w:cs="Times New Roman"/>
                <w:sz w:val="20"/>
                <w:highlight w:val="none"/>
              </w:rPr>
            </w:pPr>
            <w:r>
              <w:rPr>
                <w:rFonts w:eastAsia="方正仿宋_GBK" w:cs="Times New Roman"/>
                <w:sz w:val="20"/>
                <w:highlight w:val="none"/>
              </w:rPr>
              <w:t>应用系统应具有口令复杂度限制功能，并在设置密码、修改密码、重置密码的时候进行密码复杂度校验：</w:t>
            </w:r>
            <w:r>
              <w:rPr>
                <w:rFonts w:eastAsia="方正仿宋_GBK" w:cs="Times New Roman"/>
                <w:sz w:val="20"/>
                <w:highlight w:val="none"/>
              </w:rPr>
              <w:br w:type="textWrapping"/>
            </w:r>
            <w:r>
              <w:rPr>
                <w:rFonts w:eastAsia="方正仿宋_GBK" w:cs="Times New Roman"/>
                <w:sz w:val="20"/>
                <w:highlight w:val="none"/>
              </w:rPr>
              <w:t>（1）口令复杂度要求：长度8位及以上，至少包含大写，小写字母，数字，特殊字符中的三种或三种以上；</w:t>
            </w:r>
            <w:r>
              <w:rPr>
                <w:rFonts w:eastAsia="方正仿宋_GBK" w:cs="Times New Roman"/>
                <w:sz w:val="20"/>
                <w:highlight w:val="none"/>
              </w:rPr>
              <w:br w:type="textWrapping"/>
            </w:r>
            <w:r>
              <w:rPr>
                <w:rFonts w:eastAsia="方正仿宋_GBK" w:cs="Times New Roman"/>
                <w:sz w:val="20"/>
                <w:highlight w:val="none"/>
              </w:rPr>
              <w:t>（2）不能使用和用户名相同的密码；</w:t>
            </w:r>
            <w:r>
              <w:rPr>
                <w:rFonts w:eastAsia="方正仿宋_GBK" w:cs="Times New Roman"/>
                <w:sz w:val="20"/>
                <w:highlight w:val="none"/>
              </w:rPr>
              <w:br w:type="textWrapping"/>
            </w:r>
            <w:r>
              <w:rPr>
                <w:rFonts w:eastAsia="方正仿宋_GBK" w:cs="Times New Roman"/>
                <w:sz w:val="20"/>
                <w:highlight w:val="none"/>
              </w:rPr>
              <w:t>（3）避免使用默认口令，如果使用，应在用户首次登录时，强制用户修改密码。</w:t>
            </w:r>
            <w:r>
              <w:rPr>
                <w:rFonts w:eastAsia="方正仿宋_GBK" w:cs="Times New Roman"/>
                <w:sz w:val="20"/>
                <w:highlight w:val="none"/>
              </w:rPr>
              <w:br w:type="textWrapping"/>
            </w:r>
            <w:r>
              <w:rPr>
                <w:rFonts w:eastAsia="方正仿宋_GBK" w:cs="Times New Roman"/>
                <w:sz w:val="20"/>
                <w:highlight w:val="none"/>
              </w:rPr>
              <w:t>（4）系统各用户应根据使用场景定期更改密码，设置密码更新周期频率（最长不超过90天）。</w:t>
            </w:r>
          </w:p>
        </w:tc>
      </w:tr>
      <w:tr w14:paraId="0FCC6867">
        <w:tblPrEx>
          <w:tblCellMar>
            <w:top w:w="0" w:type="dxa"/>
            <w:left w:w="108" w:type="dxa"/>
            <w:bottom w:w="0" w:type="dxa"/>
            <w:right w:w="108" w:type="dxa"/>
          </w:tblCellMar>
        </w:tblPrEx>
        <w:trPr>
          <w:trHeight w:val="1263"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2F8114BD">
            <w:pPr>
              <w:ind w:firstLine="420"/>
              <w:rPr>
                <w:highlight w:val="none"/>
              </w:rPr>
            </w:pPr>
          </w:p>
        </w:tc>
        <w:tc>
          <w:tcPr>
            <w:tcW w:w="968" w:type="dxa"/>
            <w:tcBorders>
              <w:top w:val="nil"/>
              <w:left w:val="nil"/>
              <w:bottom w:val="single" w:color="auto" w:sz="4" w:space="0"/>
              <w:right w:val="single" w:color="auto" w:sz="4" w:space="0"/>
            </w:tcBorders>
            <w:vAlign w:val="center"/>
          </w:tcPr>
          <w:p w14:paraId="06056377">
            <w:pPr>
              <w:snapToGrid w:val="0"/>
              <w:ind w:firstLine="0" w:firstLineChars="0"/>
              <w:rPr>
                <w:rFonts w:eastAsia="方正仿宋_GBK" w:cs="Times New Roman"/>
                <w:sz w:val="20"/>
                <w:highlight w:val="none"/>
              </w:rPr>
            </w:pPr>
            <w:r>
              <w:rPr>
                <w:rFonts w:eastAsia="方正仿宋_GBK" w:cs="Times New Roman"/>
                <w:sz w:val="20"/>
                <w:highlight w:val="none"/>
              </w:rPr>
              <w:t>口令加密传输</w:t>
            </w:r>
          </w:p>
        </w:tc>
        <w:tc>
          <w:tcPr>
            <w:tcW w:w="6892" w:type="dxa"/>
            <w:tcBorders>
              <w:top w:val="nil"/>
              <w:left w:val="nil"/>
              <w:bottom w:val="single" w:color="auto" w:sz="4" w:space="0"/>
              <w:right w:val="single" w:color="auto" w:sz="4" w:space="0"/>
            </w:tcBorders>
            <w:vAlign w:val="center"/>
          </w:tcPr>
          <w:p w14:paraId="17C586AD">
            <w:pPr>
              <w:snapToGrid w:val="0"/>
              <w:ind w:firstLine="0" w:firstLineChars="0"/>
              <w:rPr>
                <w:rFonts w:eastAsia="方正仿宋_GBK" w:cs="Times New Roman"/>
                <w:sz w:val="20"/>
                <w:highlight w:val="none"/>
              </w:rPr>
            </w:pPr>
            <w:r>
              <w:rPr>
                <w:rFonts w:eastAsia="方正仿宋_GBK" w:cs="Times New Roman"/>
                <w:sz w:val="20"/>
                <w:highlight w:val="none"/>
              </w:rPr>
              <w:t>用户口令在传输过程中需进行加密，建议使用md5加盐(随机数)、sha2、pbkdf2等方式进行加密传输，禁止直接使用明文传输，禁止直接使用MD5、sha1等弱加密方式。</w:t>
            </w:r>
          </w:p>
        </w:tc>
      </w:tr>
      <w:tr w14:paraId="782869DE">
        <w:tblPrEx>
          <w:tblCellMar>
            <w:top w:w="0" w:type="dxa"/>
            <w:left w:w="108" w:type="dxa"/>
            <w:bottom w:w="0" w:type="dxa"/>
            <w:right w:w="108" w:type="dxa"/>
          </w:tblCellMar>
        </w:tblPrEx>
        <w:trPr>
          <w:trHeight w:val="2455"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2FCDEAD2">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09B644FF">
            <w:pPr>
              <w:snapToGrid w:val="0"/>
              <w:ind w:firstLine="0" w:firstLineChars="0"/>
              <w:rPr>
                <w:rFonts w:eastAsia="方正仿宋_GBK" w:cs="Times New Roman"/>
                <w:sz w:val="20"/>
                <w:highlight w:val="none"/>
              </w:rPr>
            </w:pPr>
            <w:r>
              <w:rPr>
                <w:rFonts w:eastAsia="方正仿宋_GBK" w:cs="Times New Roman"/>
                <w:sz w:val="20"/>
                <w:highlight w:val="none"/>
              </w:rPr>
              <w:t>防暴力猜解</w:t>
            </w:r>
          </w:p>
        </w:tc>
        <w:tc>
          <w:tcPr>
            <w:tcW w:w="6892" w:type="dxa"/>
            <w:tcBorders>
              <w:top w:val="single" w:color="auto" w:sz="4" w:space="0"/>
              <w:left w:val="single" w:color="auto" w:sz="4" w:space="0"/>
              <w:bottom w:val="single" w:color="auto" w:sz="4" w:space="0"/>
              <w:right w:val="single" w:color="auto" w:sz="4" w:space="0"/>
            </w:tcBorders>
            <w:vAlign w:val="center"/>
          </w:tcPr>
          <w:p w14:paraId="3081A1C9">
            <w:pPr>
              <w:snapToGrid w:val="0"/>
              <w:ind w:firstLine="0" w:firstLineChars="0"/>
              <w:rPr>
                <w:rFonts w:eastAsia="方正仿宋_GBK" w:cs="Times New Roman"/>
                <w:sz w:val="20"/>
                <w:highlight w:val="none"/>
              </w:rPr>
            </w:pPr>
            <w:r>
              <w:rPr>
                <w:rFonts w:eastAsia="方正仿宋_GBK" w:cs="Times New Roman"/>
                <w:sz w:val="20"/>
                <w:highlight w:val="none"/>
              </w:rPr>
              <w:t>身份认证时，应防止暴力猜解账号口令：</w:t>
            </w:r>
            <w:r>
              <w:rPr>
                <w:rFonts w:eastAsia="方正仿宋_GBK" w:cs="Times New Roman"/>
                <w:sz w:val="20"/>
                <w:highlight w:val="none"/>
              </w:rPr>
              <w:br w:type="textWrapping"/>
            </w:r>
            <w:r>
              <w:rPr>
                <w:rFonts w:eastAsia="方正仿宋_GBK" w:cs="Times New Roman"/>
                <w:sz w:val="20"/>
                <w:highlight w:val="none"/>
              </w:rPr>
              <w:t>（1）在登录认证失败时给出通用的错误提示（如“账号或密码错误”），不能透露用户ID是否存在等信息。</w:t>
            </w:r>
            <w:r>
              <w:rPr>
                <w:rFonts w:eastAsia="方正仿宋_GBK" w:cs="Times New Roman"/>
                <w:sz w:val="20"/>
                <w:highlight w:val="none"/>
              </w:rPr>
              <w:br w:type="textWrapping"/>
            </w:r>
            <w:r>
              <w:rPr>
                <w:rFonts w:eastAsia="方正仿宋_GBK" w:cs="Times New Roman"/>
                <w:sz w:val="20"/>
                <w:highlight w:val="none"/>
              </w:rPr>
              <w:t>（2）记录尝试次数，当超过阈值时（例如五次），限制访问（限制IP或锁定用户，锁定时间及解锁方式自行确定）。</w:t>
            </w:r>
            <w:r>
              <w:rPr>
                <w:rFonts w:eastAsia="方正仿宋_GBK" w:cs="Times New Roman"/>
                <w:sz w:val="20"/>
                <w:highlight w:val="none"/>
              </w:rPr>
              <w:br w:type="textWrapping"/>
            </w:r>
            <w:r>
              <w:rPr>
                <w:rFonts w:eastAsia="方正仿宋_GBK" w:cs="Times New Roman"/>
                <w:sz w:val="20"/>
                <w:highlight w:val="none"/>
              </w:rPr>
              <w:t>（3）使用图片验证码防止暴力破解。</w:t>
            </w:r>
          </w:p>
        </w:tc>
      </w:tr>
      <w:tr w14:paraId="024E440E">
        <w:tblPrEx>
          <w:tblCellMar>
            <w:top w:w="0" w:type="dxa"/>
            <w:left w:w="108" w:type="dxa"/>
            <w:bottom w:w="0" w:type="dxa"/>
            <w:right w:w="108" w:type="dxa"/>
          </w:tblCellMar>
        </w:tblPrEx>
        <w:trPr>
          <w:trHeight w:val="762"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FFFFFF"/>
            <w:vAlign w:val="center"/>
          </w:tcPr>
          <w:p w14:paraId="41725F49">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968" w:type="dxa"/>
            <w:tcBorders>
              <w:top w:val="single" w:color="auto" w:sz="4" w:space="0"/>
              <w:left w:val="nil"/>
              <w:bottom w:val="single" w:color="auto" w:sz="4" w:space="0"/>
              <w:right w:val="single" w:color="auto" w:sz="4" w:space="0"/>
            </w:tcBorders>
            <w:vAlign w:val="center"/>
          </w:tcPr>
          <w:p w14:paraId="5BBE5440">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6892" w:type="dxa"/>
            <w:tcBorders>
              <w:top w:val="single" w:color="auto" w:sz="4" w:space="0"/>
              <w:left w:val="nil"/>
              <w:bottom w:val="single" w:color="auto" w:sz="4" w:space="0"/>
              <w:right w:val="single" w:color="auto" w:sz="4" w:space="0"/>
            </w:tcBorders>
            <w:vAlign w:val="center"/>
          </w:tcPr>
          <w:p w14:paraId="2FB30832">
            <w:pPr>
              <w:snapToGrid w:val="0"/>
              <w:ind w:firstLine="0" w:firstLineChars="0"/>
              <w:rPr>
                <w:rFonts w:eastAsia="方正仿宋_GBK" w:cs="Times New Roman"/>
                <w:sz w:val="20"/>
                <w:highlight w:val="none"/>
              </w:rPr>
            </w:pPr>
            <w:r>
              <w:rPr>
                <w:rFonts w:eastAsia="方正仿宋_GBK" w:cs="Times New Roman"/>
                <w:sz w:val="20"/>
                <w:highlight w:val="none"/>
              </w:rPr>
              <w:t>禁止将账号口令等敏感信息明文或简单编码存放在Cookie中。</w:t>
            </w:r>
          </w:p>
        </w:tc>
      </w:tr>
      <w:tr w14:paraId="7FF6DCCF">
        <w:tblPrEx>
          <w:tblCellMar>
            <w:top w:w="0" w:type="dxa"/>
            <w:left w:w="108" w:type="dxa"/>
            <w:bottom w:w="0" w:type="dxa"/>
            <w:right w:w="108" w:type="dxa"/>
          </w:tblCellMar>
        </w:tblPrEx>
        <w:trPr>
          <w:trHeight w:val="840" w:hRule="atLeast"/>
          <w:jc w:val="center"/>
        </w:trPr>
        <w:tc>
          <w:tcPr>
            <w:tcW w:w="1091" w:type="dxa"/>
            <w:vMerge w:val="restart"/>
            <w:tcBorders>
              <w:top w:val="nil"/>
              <w:left w:val="single" w:color="auto" w:sz="4" w:space="0"/>
              <w:bottom w:val="single" w:color="auto" w:sz="4" w:space="0"/>
              <w:right w:val="single" w:color="auto" w:sz="4" w:space="0"/>
            </w:tcBorders>
            <w:vAlign w:val="center"/>
          </w:tcPr>
          <w:p w14:paraId="0F95710E">
            <w:pPr>
              <w:snapToGrid w:val="0"/>
              <w:ind w:firstLine="0" w:firstLineChars="0"/>
              <w:rPr>
                <w:rFonts w:eastAsia="方正仿宋_GBK" w:cs="Times New Roman"/>
                <w:sz w:val="20"/>
                <w:highlight w:val="none"/>
              </w:rPr>
            </w:pPr>
            <w:r>
              <w:rPr>
                <w:rFonts w:eastAsia="方正仿宋_GBK" w:cs="Times New Roman"/>
                <w:sz w:val="20"/>
                <w:highlight w:val="none"/>
              </w:rPr>
              <w:t>访问控制</w:t>
            </w:r>
          </w:p>
        </w:tc>
        <w:tc>
          <w:tcPr>
            <w:tcW w:w="968" w:type="dxa"/>
            <w:tcBorders>
              <w:top w:val="nil"/>
              <w:left w:val="nil"/>
              <w:bottom w:val="single" w:color="auto" w:sz="4" w:space="0"/>
              <w:right w:val="single" w:color="auto" w:sz="4" w:space="0"/>
            </w:tcBorders>
            <w:vAlign w:val="center"/>
          </w:tcPr>
          <w:p w14:paraId="731EE0C1">
            <w:pPr>
              <w:snapToGrid w:val="0"/>
              <w:ind w:firstLine="0" w:firstLineChars="0"/>
              <w:rPr>
                <w:rFonts w:eastAsia="方正仿宋_GBK" w:cs="Times New Roman"/>
                <w:sz w:val="20"/>
                <w:highlight w:val="none"/>
              </w:rPr>
            </w:pPr>
            <w:r>
              <w:rPr>
                <w:rFonts w:eastAsia="方正仿宋_GBK" w:cs="Times New Roman"/>
                <w:sz w:val="20"/>
                <w:highlight w:val="none"/>
              </w:rPr>
              <w:t>未授权访问</w:t>
            </w:r>
          </w:p>
        </w:tc>
        <w:tc>
          <w:tcPr>
            <w:tcW w:w="6892" w:type="dxa"/>
            <w:tcBorders>
              <w:top w:val="nil"/>
              <w:left w:val="nil"/>
              <w:bottom w:val="single" w:color="auto" w:sz="4" w:space="0"/>
              <w:right w:val="single" w:color="auto" w:sz="4" w:space="0"/>
            </w:tcBorders>
            <w:vAlign w:val="center"/>
          </w:tcPr>
          <w:p w14:paraId="02A14593">
            <w:pPr>
              <w:snapToGrid w:val="0"/>
              <w:ind w:firstLine="0" w:firstLineChars="0"/>
              <w:rPr>
                <w:rFonts w:eastAsia="方正仿宋_GBK" w:cs="Times New Roman"/>
                <w:sz w:val="20"/>
                <w:highlight w:val="none"/>
              </w:rPr>
            </w:pPr>
            <w:r>
              <w:rPr>
                <w:rFonts w:eastAsia="方正仿宋_GBK" w:cs="Times New Roman"/>
                <w:sz w:val="20"/>
                <w:highlight w:val="none"/>
              </w:rPr>
              <w:t>应建立安全的访问控制机制，禁止未登录用户访问用户登录后的资源、页面或URL。</w:t>
            </w:r>
          </w:p>
        </w:tc>
      </w:tr>
      <w:tr w14:paraId="702DD01B">
        <w:tblPrEx>
          <w:tblCellMar>
            <w:top w:w="0" w:type="dxa"/>
            <w:left w:w="108" w:type="dxa"/>
            <w:bottom w:w="0" w:type="dxa"/>
            <w:right w:w="108" w:type="dxa"/>
          </w:tblCellMar>
        </w:tblPrEx>
        <w:trPr>
          <w:trHeight w:val="123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3C81EB2F">
            <w:pPr>
              <w:ind w:firstLine="420"/>
              <w:rPr>
                <w:highlight w:val="none"/>
              </w:rPr>
            </w:pPr>
          </w:p>
        </w:tc>
        <w:tc>
          <w:tcPr>
            <w:tcW w:w="968" w:type="dxa"/>
            <w:tcBorders>
              <w:top w:val="nil"/>
              <w:left w:val="nil"/>
              <w:bottom w:val="single" w:color="auto" w:sz="4" w:space="0"/>
              <w:right w:val="single" w:color="auto" w:sz="4" w:space="0"/>
            </w:tcBorders>
            <w:vAlign w:val="center"/>
          </w:tcPr>
          <w:p w14:paraId="5F284FE6">
            <w:pPr>
              <w:snapToGrid w:val="0"/>
              <w:ind w:firstLine="0" w:firstLineChars="0"/>
              <w:rPr>
                <w:rFonts w:eastAsia="方正仿宋_GBK" w:cs="Times New Roman"/>
                <w:sz w:val="20"/>
                <w:highlight w:val="none"/>
              </w:rPr>
            </w:pPr>
            <w:r>
              <w:rPr>
                <w:rFonts w:eastAsia="方正仿宋_GBK" w:cs="Times New Roman"/>
                <w:sz w:val="20"/>
                <w:highlight w:val="none"/>
              </w:rPr>
              <w:t>防水平越权</w:t>
            </w:r>
          </w:p>
        </w:tc>
        <w:tc>
          <w:tcPr>
            <w:tcW w:w="6892" w:type="dxa"/>
            <w:tcBorders>
              <w:top w:val="nil"/>
              <w:left w:val="nil"/>
              <w:bottom w:val="single" w:color="auto" w:sz="4" w:space="0"/>
              <w:right w:val="single" w:color="auto" w:sz="4" w:space="0"/>
            </w:tcBorders>
            <w:vAlign w:val="center"/>
          </w:tcPr>
          <w:p w14:paraId="288E24FD">
            <w:pPr>
              <w:snapToGrid w:val="0"/>
              <w:ind w:firstLine="0" w:firstLineChars="0"/>
              <w:rPr>
                <w:rFonts w:eastAsia="方正仿宋_GBK" w:cs="Times New Roman"/>
                <w:sz w:val="20"/>
                <w:highlight w:val="none"/>
              </w:rPr>
            </w:pPr>
            <w:r>
              <w:rPr>
                <w:rFonts w:eastAsia="方正仿宋_GBK" w:cs="Times New Roman"/>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5B79E2CF">
        <w:tblPrEx>
          <w:tblCellMar>
            <w:top w:w="0" w:type="dxa"/>
            <w:left w:w="108" w:type="dxa"/>
            <w:bottom w:w="0" w:type="dxa"/>
            <w:right w:w="108" w:type="dxa"/>
          </w:tblCellMar>
        </w:tblPrEx>
        <w:trPr>
          <w:trHeight w:val="175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28957F9D">
            <w:pPr>
              <w:ind w:firstLine="420"/>
              <w:rPr>
                <w:highlight w:val="none"/>
              </w:rPr>
            </w:pPr>
          </w:p>
        </w:tc>
        <w:tc>
          <w:tcPr>
            <w:tcW w:w="968" w:type="dxa"/>
            <w:tcBorders>
              <w:top w:val="nil"/>
              <w:left w:val="nil"/>
              <w:bottom w:val="single" w:color="auto" w:sz="4" w:space="0"/>
              <w:right w:val="single" w:color="auto" w:sz="4" w:space="0"/>
            </w:tcBorders>
            <w:vAlign w:val="center"/>
          </w:tcPr>
          <w:p w14:paraId="0A4D81C8">
            <w:pPr>
              <w:snapToGrid w:val="0"/>
              <w:ind w:firstLine="0" w:firstLineChars="0"/>
              <w:rPr>
                <w:rFonts w:eastAsia="方正仿宋_GBK" w:cs="Times New Roman"/>
                <w:sz w:val="20"/>
                <w:highlight w:val="none"/>
              </w:rPr>
            </w:pPr>
            <w:r>
              <w:rPr>
                <w:rFonts w:eastAsia="方正仿宋_GBK" w:cs="Times New Roman"/>
                <w:sz w:val="20"/>
                <w:highlight w:val="none"/>
              </w:rPr>
              <w:t>防垂直越权</w:t>
            </w:r>
          </w:p>
        </w:tc>
        <w:tc>
          <w:tcPr>
            <w:tcW w:w="6892" w:type="dxa"/>
            <w:tcBorders>
              <w:top w:val="nil"/>
              <w:left w:val="nil"/>
              <w:bottom w:val="single" w:color="auto" w:sz="4" w:space="0"/>
              <w:right w:val="single" w:color="auto" w:sz="4" w:space="0"/>
            </w:tcBorders>
            <w:vAlign w:val="center"/>
          </w:tcPr>
          <w:p w14:paraId="5A787DAB">
            <w:pPr>
              <w:snapToGrid w:val="0"/>
              <w:ind w:firstLine="0" w:firstLineChars="0"/>
              <w:rPr>
                <w:rFonts w:eastAsia="方正仿宋_GBK" w:cs="Times New Roman"/>
                <w:sz w:val="20"/>
                <w:highlight w:val="none"/>
              </w:rPr>
            </w:pPr>
            <w:r>
              <w:rPr>
                <w:rFonts w:eastAsia="方正仿宋_GBK" w:cs="Times New Roman"/>
                <w:sz w:val="20"/>
                <w:highlight w:val="none"/>
              </w:rPr>
              <w:t>（1）授予不同账户为完成各自承担任务所需的最小权限，应严格限制默认账户或预设账户的权限，禁止将所有权限集中在某一预设账户上。</w:t>
            </w:r>
            <w:r>
              <w:rPr>
                <w:rFonts w:eastAsia="方正仿宋_GBK" w:cs="Times New Roman"/>
                <w:sz w:val="20"/>
                <w:highlight w:val="none"/>
              </w:rPr>
              <w:br w:type="textWrapping"/>
            </w:r>
            <w:r>
              <w:rPr>
                <w:rFonts w:eastAsia="方正仿宋_GBK" w:cs="Times New Roman"/>
                <w:sz w:val="20"/>
                <w:highlight w:val="none"/>
              </w:rPr>
              <w:t>（2）在为用户授权时，服务器端按照权限规则对权限进行校验，互斥的权限不能共存于一人。如操作和审核权限。</w:t>
            </w:r>
            <w:r>
              <w:rPr>
                <w:rFonts w:eastAsia="方正仿宋_GBK" w:cs="Times New Roman"/>
                <w:sz w:val="20"/>
                <w:highlight w:val="none"/>
              </w:rPr>
              <w:br w:type="textWrapping"/>
            </w:r>
            <w:r>
              <w:rPr>
                <w:rFonts w:eastAsia="方正仿宋_GBK" w:cs="Times New Roman"/>
                <w:sz w:val="20"/>
                <w:highlight w:val="none"/>
              </w:rPr>
              <w:t>（3）在重要操作（如账号增删改、授权、业务操作、业务审批）时，系统应在服务器端对当前用户的权限进行校验，防止垂直越权。</w:t>
            </w:r>
          </w:p>
        </w:tc>
      </w:tr>
      <w:tr w14:paraId="35A8C4BE">
        <w:tblPrEx>
          <w:tblCellMar>
            <w:top w:w="0" w:type="dxa"/>
            <w:left w:w="108" w:type="dxa"/>
            <w:bottom w:w="0" w:type="dxa"/>
            <w:right w:w="108" w:type="dxa"/>
          </w:tblCellMar>
        </w:tblPrEx>
        <w:trPr>
          <w:trHeight w:val="1530"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6DFF094C">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968" w:type="dxa"/>
            <w:tcBorders>
              <w:top w:val="single" w:color="auto" w:sz="4" w:space="0"/>
              <w:left w:val="single" w:color="auto" w:sz="4" w:space="0"/>
              <w:bottom w:val="single" w:color="auto" w:sz="4" w:space="0"/>
              <w:right w:val="single" w:color="auto" w:sz="4" w:space="0"/>
            </w:tcBorders>
            <w:vAlign w:val="center"/>
          </w:tcPr>
          <w:p w14:paraId="6C148A3D">
            <w:pPr>
              <w:snapToGrid w:val="0"/>
              <w:ind w:firstLine="0" w:firstLineChars="0"/>
              <w:rPr>
                <w:rFonts w:eastAsia="方正仿宋_GBK" w:cs="Times New Roman"/>
                <w:sz w:val="20"/>
                <w:highlight w:val="none"/>
              </w:rPr>
            </w:pPr>
            <w:r>
              <w:rPr>
                <w:rFonts w:eastAsia="方正仿宋_GBK" w:cs="Times New Roman"/>
                <w:sz w:val="20"/>
                <w:highlight w:val="none"/>
              </w:rPr>
              <w:t>防sql注入</w:t>
            </w:r>
          </w:p>
        </w:tc>
        <w:tc>
          <w:tcPr>
            <w:tcW w:w="6892" w:type="dxa"/>
            <w:tcBorders>
              <w:top w:val="single" w:color="auto" w:sz="4" w:space="0"/>
              <w:left w:val="single" w:color="auto" w:sz="4" w:space="0"/>
              <w:bottom w:val="single" w:color="auto" w:sz="4" w:space="0"/>
              <w:right w:val="single" w:color="auto" w:sz="4" w:space="0"/>
            </w:tcBorders>
            <w:vAlign w:val="center"/>
          </w:tcPr>
          <w:p w14:paraId="6B083A12">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应用系统应具有统一的防SQL注入机制：</w:t>
            </w:r>
            <w:r>
              <w:rPr>
                <w:rFonts w:eastAsia="方正仿宋_GBK" w:cs="Times New Roman"/>
                <w:sz w:val="20"/>
                <w:highlight w:val="none"/>
              </w:rPr>
              <w:br w:type="textWrapping"/>
            </w:r>
            <w:r>
              <w:rPr>
                <w:rFonts w:eastAsia="方正仿宋_GBK" w:cs="Times New Roman"/>
                <w:sz w:val="20"/>
                <w:highlight w:val="none"/>
              </w:rPr>
              <w:t>（1）防SQL注入输入校验，至少校验以下危险字符：select、 where、 from、and、or、union等。</w:t>
            </w:r>
            <w:r>
              <w:rPr>
                <w:rFonts w:eastAsia="方正仿宋_GBK" w:cs="Times New Roman"/>
                <w:sz w:val="20"/>
                <w:highlight w:val="none"/>
              </w:rPr>
              <w:br w:type="textWrapping"/>
            </w:r>
            <w:r>
              <w:rPr>
                <w:rFonts w:eastAsia="方正仿宋_GBK" w:cs="Times New Roman"/>
                <w:sz w:val="20"/>
                <w:highlight w:val="none"/>
              </w:rPr>
              <w:t>（2）应使用存储过程或参数化查询，避免使用字符串拼接SQL语句，防止SQL注入。</w:t>
            </w:r>
          </w:p>
        </w:tc>
      </w:tr>
      <w:tr w14:paraId="2051B005">
        <w:tblPrEx>
          <w:tblCellMar>
            <w:top w:w="0" w:type="dxa"/>
            <w:left w:w="108" w:type="dxa"/>
            <w:bottom w:w="0" w:type="dxa"/>
            <w:right w:w="108" w:type="dxa"/>
          </w:tblCellMar>
        </w:tblPrEx>
        <w:trPr>
          <w:trHeight w:val="2130"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26907EC6">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105C2BED">
            <w:pPr>
              <w:snapToGrid w:val="0"/>
              <w:ind w:firstLine="0" w:firstLineChars="0"/>
              <w:rPr>
                <w:rFonts w:eastAsia="方正仿宋_GBK" w:cs="Times New Roman"/>
                <w:sz w:val="20"/>
                <w:highlight w:val="none"/>
              </w:rPr>
            </w:pPr>
            <w:r>
              <w:rPr>
                <w:rFonts w:eastAsia="方正仿宋_GBK" w:cs="Times New Roman"/>
                <w:sz w:val="20"/>
                <w:highlight w:val="none"/>
              </w:rPr>
              <w:t>防跨站</w:t>
            </w:r>
          </w:p>
        </w:tc>
        <w:tc>
          <w:tcPr>
            <w:tcW w:w="6892" w:type="dxa"/>
            <w:tcBorders>
              <w:top w:val="single" w:color="auto" w:sz="4" w:space="0"/>
              <w:left w:val="single" w:color="auto" w:sz="4" w:space="0"/>
              <w:bottom w:val="single" w:color="auto" w:sz="4" w:space="0"/>
              <w:right w:val="single" w:color="auto" w:sz="4" w:space="0"/>
            </w:tcBorders>
            <w:vAlign w:val="center"/>
          </w:tcPr>
          <w:p w14:paraId="3B0DED34">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应用系统应具有统一的防XSS跨站校验攻击机制：</w:t>
            </w:r>
            <w:r>
              <w:rPr>
                <w:rFonts w:eastAsia="方正仿宋_GBK" w:cs="Times New Roman"/>
                <w:sz w:val="20"/>
                <w:highlight w:val="none"/>
              </w:rPr>
              <w:br w:type="textWrapping"/>
            </w:r>
            <w:r>
              <w:rPr>
                <w:rFonts w:eastAsia="方正仿宋_GBK" w:cs="Times New Roman"/>
                <w:sz w:val="20"/>
                <w:highlight w:val="none"/>
              </w:rPr>
              <w:t>（1）防跨站输入校验，至少应校验以下危险字符：&lt; &gt; " ' % ( ) &amp; + \ \' \"，prompt，script， alert等。</w:t>
            </w:r>
            <w:r>
              <w:rPr>
                <w:rFonts w:eastAsia="方正仿宋_GBK" w:cs="Times New Roman"/>
                <w:sz w:val="20"/>
                <w:highlight w:val="none"/>
              </w:rPr>
              <w:br w:type="textWrapping"/>
            </w:r>
            <w:r>
              <w:rPr>
                <w:rFonts w:eastAsia="方正仿宋_GBK" w:cs="Times New Roman"/>
                <w:sz w:val="20"/>
                <w:highlight w:val="none"/>
              </w:rPr>
              <w:t>（2）防跨站输出编码，如果数据是输出到HTML中则进行Html输出编码，如果数据是输出到javascript代码中进行拼接，则进行javascript输出编码。</w:t>
            </w:r>
            <w:r>
              <w:rPr>
                <w:rFonts w:eastAsia="方正仿宋_GBK" w:cs="Times New Roman"/>
                <w:sz w:val="20"/>
                <w:highlight w:val="none"/>
              </w:rPr>
              <w:br w:type="textWrapping"/>
            </w:r>
            <w:r>
              <w:rPr>
                <w:rFonts w:eastAsia="方正仿宋_GBK" w:cs="Times New Roman"/>
                <w:sz w:val="20"/>
                <w:highlight w:val="none"/>
              </w:rPr>
              <w:t>（3）设置cookie的HttpOnly属性，能够有效防止XSS攻击。</w:t>
            </w:r>
          </w:p>
        </w:tc>
      </w:tr>
      <w:tr w14:paraId="46523CA8">
        <w:tblPrEx>
          <w:tblCellMar>
            <w:top w:w="0" w:type="dxa"/>
            <w:left w:w="108" w:type="dxa"/>
            <w:bottom w:w="0" w:type="dxa"/>
            <w:right w:w="108" w:type="dxa"/>
          </w:tblCellMar>
        </w:tblPrEx>
        <w:trPr>
          <w:trHeight w:val="2113" w:hRule="atLeast"/>
          <w:jc w:val="center"/>
        </w:trPr>
        <w:tc>
          <w:tcPr>
            <w:tcW w:w="1091" w:type="dxa"/>
            <w:vMerge w:val="restart"/>
            <w:tcBorders>
              <w:top w:val="single" w:color="auto" w:sz="4" w:space="0"/>
              <w:left w:val="single" w:color="auto" w:sz="4" w:space="0"/>
              <w:bottom w:val="single" w:color="auto" w:sz="4" w:space="0"/>
              <w:right w:val="single" w:color="auto" w:sz="4" w:space="0"/>
            </w:tcBorders>
            <w:vAlign w:val="center"/>
          </w:tcPr>
          <w:p w14:paraId="78DA7845">
            <w:pPr>
              <w:snapToGrid w:val="0"/>
              <w:ind w:firstLine="0" w:firstLineChars="0"/>
              <w:rPr>
                <w:rFonts w:eastAsia="方正仿宋_GBK" w:cs="Times New Roman"/>
                <w:sz w:val="20"/>
                <w:highlight w:val="none"/>
              </w:rPr>
            </w:pPr>
            <w:r>
              <w:rPr>
                <w:rFonts w:eastAsia="方正仿宋_GBK" w:cs="Times New Roman"/>
                <w:sz w:val="20"/>
                <w:highlight w:val="none"/>
              </w:rPr>
              <w:t>文件上传</w:t>
            </w:r>
          </w:p>
        </w:tc>
        <w:tc>
          <w:tcPr>
            <w:tcW w:w="968" w:type="dxa"/>
            <w:tcBorders>
              <w:top w:val="single" w:color="auto" w:sz="4" w:space="0"/>
              <w:left w:val="nil"/>
              <w:bottom w:val="single" w:color="auto" w:sz="4" w:space="0"/>
              <w:right w:val="single" w:color="auto" w:sz="4" w:space="0"/>
            </w:tcBorders>
            <w:vAlign w:val="center"/>
          </w:tcPr>
          <w:p w14:paraId="7044E1B4">
            <w:pPr>
              <w:snapToGrid w:val="0"/>
              <w:ind w:firstLine="0" w:firstLineChars="0"/>
              <w:rPr>
                <w:rFonts w:eastAsia="方正仿宋_GBK" w:cs="Times New Roman"/>
                <w:sz w:val="20"/>
                <w:highlight w:val="none"/>
              </w:rPr>
            </w:pPr>
            <w:r>
              <w:rPr>
                <w:rFonts w:eastAsia="方正仿宋_GBK" w:cs="Times New Roman"/>
                <w:sz w:val="20"/>
                <w:highlight w:val="none"/>
              </w:rPr>
              <w:t>防止任意文件上传</w:t>
            </w:r>
          </w:p>
        </w:tc>
        <w:tc>
          <w:tcPr>
            <w:tcW w:w="6892" w:type="dxa"/>
            <w:tcBorders>
              <w:top w:val="single" w:color="auto" w:sz="4" w:space="0"/>
              <w:left w:val="nil"/>
              <w:bottom w:val="single" w:color="auto" w:sz="4" w:space="0"/>
              <w:right w:val="single" w:color="auto" w:sz="4" w:space="0"/>
            </w:tcBorders>
            <w:vAlign w:val="center"/>
          </w:tcPr>
          <w:p w14:paraId="1D93B34C">
            <w:pPr>
              <w:snapToGrid w:val="0"/>
              <w:ind w:firstLine="0" w:firstLineChars="0"/>
              <w:rPr>
                <w:rFonts w:eastAsia="方正仿宋_GBK" w:cs="Times New Roman"/>
                <w:sz w:val="20"/>
                <w:highlight w:val="none"/>
              </w:rPr>
            </w:pPr>
            <w:r>
              <w:rPr>
                <w:rFonts w:eastAsia="方正仿宋_GBK" w:cs="Times New Roman"/>
                <w:sz w:val="20"/>
                <w:highlight w:val="none"/>
              </w:rPr>
              <w:t>应对上传文件进行以下处理，防止任意文件上传：</w:t>
            </w:r>
            <w:r>
              <w:rPr>
                <w:rFonts w:eastAsia="方正仿宋_GBK" w:cs="Times New Roman"/>
                <w:sz w:val="20"/>
                <w:highlight w:val="none"/>
              </w:rPr>
              <w:br w:type="textWrapping"/>
            </w:r>
            <w:r>
              <w:rPr>
                <w:rFonts w:eastAsia="方正仿宋_GBK" w:cs="Times New Roman"/>
                <w:sz w:val="20"/>
                <w:highlight w:val="none"/>
              </w:rPr>
              <w:t>（1）使用白名单方式控制上传文件的类型。服务器端应对上传文件的大小、扩展名、类型（报头信息）进行校验，防止任意文件上传。</w:t>
            </w:r>
            <w:r>
              <w:rPr>
                <w:rFonts w:eastAsia="方正仿宋_GBK" w:cs="Times New Roman"/>
                <w:sz w:val="20"/>
                <w:highlight w:val="none"/>
              </w:rPr>
              <w:br w:type="textWrapping"/>
            </w:r>
            <w:r>
              <w:rPr>
                <w:rFonts w:eastAsia="方正仿宋_GBK" w:cs="Times New Roman"/>
                <w:sz w:val="20"/>
                <w:highlight w:val="none"/>
              </w:rPr>
              <w:t>（2）文件应尽量保存在文件服务器或web目录外部，避免通过web应用直接访问上传的文件。</w:t>
            </w:r>
            <w:r>
              <w:rPr>
                <w:rFonts w:eastAsia="方正仿宋_GBK" w:cs="Times New Roman"/>
                <w:sz w:val="20"/>
                <w:highlight w:val="none"/>
              </w:rPr>
              <w:br w:type="textWrapping"/>
            </w:r>
            <w:r>
              <w:rPr>
                <w:rFonts w:eastAsia="方正仿宋_GBK" w:cs="Times New Roman"/>
                <w:sz w:val="20"/>
                <w:highlight w:val="none"/>
              </w:rPr>
              <w:t>（3）应控制文件上传目录的权限，禁止运行权限。</w:t>
            </w:r>
            <w:r>
              <w:rPr>
                <w:rFonts w:eastAsia="方正仿宋_GBK" w:cs="Times New Roman"/>
                <w:sz w:val="20"/>
                <w:highlight w:val="none"/>
              </w:rPr>
              <w:br w:type="textWrapping"/>
            </w:r>
            <w:r>
              <w:rPr>
                <w:rFonts w:eastAsia="方正仿宋_GBK" w:cs="Times New Roman"/>
                <w:sz w:val="20"/>
                <w:highlight w:val="none"/>
              </w:rPr>
              <w:t>（4）应对上传文件进行重命名。</w:t>
            </w:r>
          </w:p>
        </w:tc>
      </w:tr>
      <w:tr w14:paraId="0190F737">
        <w:tblPrEx>
          <w:tblCellMar>
            <w:top w:w="0" w:type="dxa"/>
            <w:left w:w="108" w:type="dxa"/>
            <w:bottom w:w="0" w:type="dxa"/>
            <w:right w:w="108" w:type="dxa"/>
          </w:tblCellMar>
        </w:tblPrEx>
        <w:trPr>
          <w:trHeight w:val="99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BEDCEE6">
            <w:pPr>
              <w:ind w:firstLine="420"/>
              <w:rPr>
                <w:highlight w:val="none"/>
              </w:rPr>
            </w:pPr>
          </w:p>
        </w:tc>
        <w:tc>
          <w:tcPr>
            <w:tcW w:w="968" w:type="dxa"/>
            <w:tcBorders>
              <w:top w:val="nil"/>
              <w:left w:val="nil"/>
              <w:bottom w:val="single" w:color="auto" w:sz="4" w:space="0"/>
              <w:right w:val="single" w:color="auto" w:sz="4" w:space="0"/>
            </w:tcBorders>
            <w:vAlign w:val="center"/>
          </w:tcPr>
          <w:p w14:paraId="4D272D8A">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6892" w:type="dxa"/>
            <w:tcBorders>
              <w:top w:val="nil"/>
              <w:left w:val="nil"/>
              <w:bottom w:val="single" w:color="auto" w:sz="4" w:space="0"/>
              <w:right w:val="single" w:color="auto" w:sz="4" w:space="0"/>
            </w:tcBorders>
            <w:vAlign w:val="center"/>
          </w:tcPr>
          <w:p w14:paraId="730AD4C1">
            <w:pPr>
              <w:snapToGrid w:val="0"/>
              <w:ind w:firstLine="0" w:firstLineChars="0"/>
              <w:rPr>
                <w:rFonts w:eastAsia="方正仿宋_GBK" w:cs="Times New Roman"/>
                <w:sz w:val="20"/>
                <w:highlight w:val="none"/>
              </w:rPr>
            </w:pPr>
            <w:r>
              <w:rPr>
                <w:rFonts w:eastAsia="方正仿宋_GBK" w:cs="Times New Roman"/>
                <w:sz w:val="20"/>
                <w:highlight w:val="none"/>
              </w:rPr>
              <w:t>应对上传文件中的所有参数字段（如文件名称、文件类型、其他信息等）进行输入校验，防止注入、跨站等漏洞。</w:t>
            </w:r>
          </w:p>
        </w:tc>
      </w:tr>
      <w:tr w14:paraId="69CC0A20">
        <w:tblPrEx>
          <w:tblCellMar>
            <w:top w:w="0" w:type="dxa"/>
            <w:left w:w="108" w:type="dxa"/>
            <w:bottom w:w="0" w:type="dxa"/>
            <w:right w:w="108" w:type="dxa"/>
          </w:tblCellMar>
        </w:tblPrEx>
        <w:trPr>
          <w:trHeight w:val="975" w:hRule="atLeast"/>
          <w:jc w:val="center"/>
        </w:trPr>
        <w:tc>
          <w:tcPr>
            <w:tcW w:w="1091" w:type="dxa"/>
            <w:vMerge w:val="restart"/>
            <w:tcBorders>
              <w:top w:val="nil"/>
              <w:left w:val="single" w:color="auto" w:sz="4" w:space="0"/>
              <w:bottom w:val="single" w:color="auto" w:sz="4" w:space="0"/>
              <w:right w:val="single" w:color="auto" w:sz="4" w:space="0"/>
            </w:tcBorders>
            <w:vAlign w:val="center"/>
          </w:tcPr>
          <w:p w14:paraId="31689947">
            <w:pPr>
              <w:snapToGrid w:val="0"/>
              <w:ind w:firstLine="0" w:firstLineChars="0"/>
              <w:rPr>
                <w:rFonts w:eastAsia="方正仿宋_GBK" w:cs="Times New Roman"/>
                <w:sz w:val="20"/>
                <w:highlight w:val="none"/>
              </w:rPr>
            </w:pPr>
            <w:r>
              <w:rPr>
                <w:rFonts w:eastAsia="方正仿宋_GBK" w:cs="Times New Roman"/>
                <w:sz w:val="20"/>
                <w:highlight w:val="none"/>
              </w:rPr>
              <w:t>数据安全</w:t>
            </w:r>
          </w:p>
        </w:tc>
        <w:tc>
          <w:tcPr>
            <w:tcW w:w="968" w:type="dxa"/>
            <w:tcBorders>
              <w:top w:val="nil"/>
              <w:left w:val="nil"/>
              <w:bottom w:val="single" w:color="auto" w:sz="4" w:space="0"/>
              <w:right w:val="single" w:color="auto" w:sz="4" w:space="0"/>
            </w:tcBorders>
            <w:vAlign w:val="center"/>
          </w:tcPr>
          <w:p w14:paraId="14CCF74A">
            <w:pPr>
              <w:snapToGrid w:val="0"/>
              <w:ind w:firstLine="0" w:firstLineChars="0"/>
              <w:rPr>
                <w:rFonts w:eastAsia="方正仿宋_GBK" w:cs="Times New Roman"/>
                <w:sz w:val="20"/>
                <w:highlight w:val="none"/>
              </w:rPr>
            </w:pPr>
            <w:r>
              <w:rPr>
                <w:rFonts w:eastAsia="方正仿宋_GBK" w:cs="Times New Roman"/>
                <w:sz w:val="20"/>
                <w:highlight w:val="none"/>
              </w:rPr>
              <w:t>口令加密存储</w:t>
            </w:r>
          </w:p>
        </w:tc>
        <w:tc>
          <w:tcPr>
            <w:tcW w:w="6892" w:type="dxa"/>
            <w:tcBorders>
              <w:top w:val="nil"/>
              <w:left w:val="nil"/>
              <w:bottom w:val="single" w:color="auto" w:sz="4" w:space="0"/>
              <w:right w:val="single" w:color="auto" w:sz="4" w:space="0"/>
            </w:tcBorders>
            <w:vAlign w:val="center"/>
          </w:tcPr>
          <w:p w14:paraId="16377D3B">
            <w:pPr>
              <w:snapToGrid w:val="0"/>
              <w:ind w:firstLine="0" w:firstLineChars="0"/>
              <w:rPr>
                <w:rFonts w:eastAsia="方正仿宋_GBK" w:cs="Times New Roman"/>
                <w:sz w:val="20"/>
                <w:highlight w:val="none"/>
              </w:rPr>
            </w:pPr>
            <w:r>
              <w:rPr>
                <w:rFonts w:eastAsia="方正仿宋_GBK" w:cs="Times New Roman"/>
                <w:sz w:val="20"/>
                <w:highlight w:val="none"/>
              </w:rPr>
              <w:t>用户口令在存储过程中需进行加密，建议使用md5加盐(随机数)、sha2、pbkdf2等方式进行加密存储，禁止直接使用明文存储，禁止直接使用MD5、sha1等弱加密方式。</w:t>
            </w:r>
          </w:p>
        </w:tc>
      </w:tr>
      <w:tr w14:paraId="3D05D4C6">
        <w:tblPrEx>
          <w:tblCellMar>
            <w:top w:w="0" w:type="dxa"/>
            <w:left w:w="108" w:type="dxa"/>
            <w:bottom w:w="0" w:type="dxa"/>
            <w:right w:w="108" w:type="dxa"/>
          </w:tblCellMar>
        </w:tblPrEx>
        <w:trPr>
          <w:trHeight w:val="64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3AD4CF8">
            <w:pPr>
              <w:ind w:firstLine="420"/>
              <w:rPr>
                <w:highlight w:val="none"/>
              </w:rPr>
            </w:pPr>
          </w:p>
        </w:tc>
        <w:tc>
          <w:tcPr>
            <w:tcW w:w="968" w:type="dxa"/>
            <w:tcBorders>
              <w:top w:val="nil"/>
              <w:left w:val="nil"/>
              <w:bottom w:val="single" w:color="auto" w:sz="4" w:space="0"/>
              <w:right w:val="single" w:color="auto" w:sz="4" w:space="0"/>
            </w:tcBorders>
            <w:vAlign w:val="center"/>
          </w:tcPr>
          <w:p w14:paraId="3A6EB86F">
            <w:pPr>
              <w:snapToGrid w:val="0"/>
              <w:ind w:firstLine="0" w:firstLineChars="0"/>
              <w:rPr>
                <w:rFonts w:eastAsia="方正仿宋_GBK" w:cs="Times New Roman"/>
                <w:sz w:val="20"/>
                <w:highlight w:val="none"/>
              </w:rPr>
            </w:pPr>
            <w:r>
              <w:rPr>
                <w:rFonts w:eastAsia="方正仿宋_GBK" w:cs="Times New Roman"/>
                <w:sz w:val="20"/>
                <w:highlight w:val="none"/>
              </w:rPr>
              <w:t>多余信息返回</w:t>
            </w:r>
          </w:p>
        </w:tc>
        <w:tc>
          <w:tcPr>
            <w:tcW w:w="6892" w:type="dxa"/>
            <w:tcBorders>
              <w:top w:val="nil"/>
              <w:left w:val="nil"/>
              <w:bottom w:val="single" w:color="auto" w:sz="4" w:space="0"/>
              <w:right w:val="single" w:color="auto" w:sz="4" w:space="0"/>
            </w:tcBorders>
            <w:vAlign w:val="center"/>
          </w:tcPr>
          <w:p w14:paraId="44A65B35">
            <w:pPr>
              <w:snapToGrid w:val="0"/>
              <w:ind w:firstLine="0" w:firstLineChars="0"/>
              <w:rPr>
                <w:rFonts w:eastAsia="方正仿宋_GBK" w:cs="Times New Roman"/>
                <w:sz w:val="20"/>
                <w:highlight w:val="none"/>
              </w:rPr>
            </w:pPr>
            <w:r>
              <w:rPr>
                <w:rFonts w:eastAsia="方正仿宋_GBK" w:cs="Times New Roman"/>
                <w:sz w:val="20"/>
                <w:highlight w:val="none"/>
              </w:rPr>
              <w:t>对服务器返回的参数做严格的限制，保证不是功能必须的参数不在返回的参数中，防止多余信息引起的数据泄露。</w:t>
            </w:r>
          </w:p>
        </w:tc>
      </w:tr>
      <w:tr w14:paraId="053F4919">
        <w:tblPrEx>
          <w:tblCellMar>
            <w:top w:w="0" w:type="dxa"/>
            <w:left w:w="108" w:type="dxa"/>
            <w:bottom w:w="0" w:type="dxa"/>
            <w:right w:w="108" w:type="dxa"/>
          </w:tblCellMar>
        </w:tblPrEx>
        <w:trPr>
          <w:trHeight w:val="160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23C08593">
            <w:pPr>
              <w:ind w:firstLine="420"/>
              <w:rPr>
                <w:highlight w:val="none"/>
              </w:rPr>
            </w:pPr>
          </w:p>
        </w:tc>
        <w:tc>
          <w:tcPr>
            <w:tcW w:w="968" w:type="dxa"/>
            <w:tcBorders>
              <w:top w:val="nil"/>
              <w:left w:val="nil"/>
              <w:bottom w:val="single" w:color="auto" w:sz="4" w:space="0"/>
              <w:right w:val="single" w:color="auto" w:sz="4" w:space="0"/>
            </w:tcBorders>
            <w:vAlign w:val="center"/>
          </w:tcPr>
          <w:p w14:paraId="2BD1237B">
            <w:pPr>
              <w:snapToGrid w:val="0"/>
              <w:ind w:firstLine="0" w:firstLineChars="0"/>
              <w:rPr>
                <w:rFonts w:eastAsia="方正仿宋_GBK" w:cs="Times New Roman"/>
                <w:sz w:val="20"/>
                <w:highlight w:val="none"/>
              </w:rPr>
            </w:pPr>
            <w:r>
              <w:rPr>
                <w:rFonts w:eastAsia="方正仿宋_GBK" w:cs="Times New Roman"/>
                <w:sz w:val="20"/>
                <w:highlight w:val="none"/>
              </w:rPr>
              <w:t>敏感信息显示要求</w:t>
            </w:r>
          </w:p>
        </w:tc>
        <w:tc>
          <w:tcPr>
            <w:tcW w:w="6892" w:type="dxa"/>
            <w:tcBorders>
              <w:top w:val="nil"/>
              <w:left w:val="nil"/>
              <w:bottom w:val="single" w:color="auto" w:sz="4" w:space="0"/>
              <w:right w:val="single" w:color="auto" w:sz="4" w:space="0"/>
            </w:tcBorders>
            <w:vAlign w:val="center"/>
          </w:tcPr>
          <w:p w14:paraId="114AFFAD">
            <w:pPr>
              <w:snapToGrid w:val="0"/>
              <w:ind w:firstLine="0" w:firstLineChars="0"/>
              <w:rPr>
                <w:rFonts w:eastAsia="方正仿宋_GBK" w:cs="Times New Roman"/>
                <w:sz w:val="20"/>
                <w:highlight w:val="none"/>
              </w:rPr>
            </w:pPr>
            <w:r>
              <w:rPr>
                <w:rFonts w:eastAsia="方正仿宋_GBK" w:cs="Times New Roman"/>
                <w:sz w:val="20"/>
                <w:highlight w:val="none"/>
              </w:rPr>
              <w:t>避免在html页面、js文件、客户端等前端上直接显示绝对路径、内网IP地址、账号口令等敏感信息。如：</w:t>
            </w:r>
            <w:r>
              <w:rPr>
                <w:rFonts w:eastAsia="方正仿宋_GBK" w:cs="Times New Roman"/>
                <w:sz w:val="20"/>
                <w:highlight w:val="none"/>
              </w:rPr>
              <w:br w:type="textWrapping"/>
            </w:r>
            <w:r>
              <w:rPr>
                <w:rFonts w:eastAsia="方正仿宋_GBK" w:cs="Times New Roman"/>
                <w:sz w:val="20"/>
                <w:highlight w:val="none"/>
              </w:rPr>
              <w:t>http://xxxx/index.js;</w:t>
            </w:r>
            <w:r>
              <w:rPr>
                <w:rFonts w:eastAsia="方正仿宋_GBK" w:cs="Times New Roman"/>
                <w:sz w:val="20"/>
                <w:highlight w:val="none"/>
              </w:rPr>
              <w:br w:type="textWrapping"/>
            </w:r>
            <w:r>
              <w:rPr>
                <w:rFonts w:eastAsia="方正仿宋_GBK" w:cs="Times New Roman"/>
                <w:sz w:val="20"/>
                <w:highlight w:val="none"/>
              </w:rPr>
              <w:t>/var/www/html;</w:t>
            </w:r>
            <w:r>
              <w:rPr>
                <w:rFonts w:eastAsia="方正仿宋_GBK" w:cs="Times New Roman"/>
                <w:sz w:val="20"/>
                <w:highlight w:val="none"/>
              </w:rPr>
              <w:br w:type="textWrapping"/>
            </w:r>
            <w:r>
              <w:rPr>
                <w:rFonts w:eastAsia="方正仿宋_GBK" w:cs="Times New Roman"/>
                <w:sz w:val="20"/>
                <w:highlight w:val="none"/>
              </w:rPr>
              <w:t>user=admin,pass=admin;</w:t>
            </w:r>
          </w:p>
        </w:tc>
      </w:tr>
      <w:tr w14:paraId="375171E0">
        <w:tblPrEx>
          <w:tblCellMar>
            <w:top w:w="0" w:type="dxa"/>
            <w:left w:w="108" w:type="dxa"/>
            <w:bottom w:w="0" w:type="dxa"/>
            <w:right w:w="108" w:type="dxa"/>
          </w:tblCellMar>
        </w:tblPrEx>
        <w:trPr>
          <w:trHeight w:val="181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67E3EEDD">
            <w:pPr>
              <w:ind w:firstLine="420"/>
              <w:rPr>
                <w:highlight w:val="none"/>
              </w:rPr>
            </w:pPr>
          </w:p>
        </w:tc>
        <w:tc>
          <w:tcPr>
            <w:tcW w:w="968" w:type="dxa"/>
            <w:tcBorders>
              <w:top w:val="nil"/>
              <w:left w:val="nil"/>
              <w:bottom w:val="single" w:color="auto" w:sz="4" w:space="0"/>
              <w:right w:val="single" w:color="auto" w:sz="4" w:space="0"/>
            </w:tcBorders>
            <w:vAlign w:val="center"/>
          </w:tcPr>
          <w:p w14:paraId="2E4F89A0">
            <w:pPr>
              <w:snapToGrid w:val="0"/>
              <w:ind w:firstLine="0" w:firstLineChars="0"/>
              <w:rPr>
                <w:rFonts w:eastAsia="方正仿宋_GBK" w:cs="Times New Roman"/>
                <w:sz w:val="20"/>
                <w:highlight w:val="none"/>
              </w:rPr>
            </w:pPr>
            <w:r>
              <w:rPr>
                <w:rFonts w:eastAsia="方正仿宋_GBK" w:cs="Times New Roman"/>
                <w:sz w:val="20"/>
                <w:highlight w:val="none"/>
              </w:rPr>
              <w:t>敏感数据脱敏</w:t>
            </w:r>
          </w:p>
        </w:tc>
        <w:tc>
          <w:tcPr>
            <w:tcW w:w="6892" w:type="dxa"/>
            <w:tcBorders>
              <w:top w:val="nil"/>
              <w:left w:val="nil"/>
              <w:bottom w:val="single" w:color="auto" w:sz="4" w:space="0"/>
              <w:right w:val="single" w:color="auto" w:sz="4" w:space="0"/>
            </w:tcBorders>
            <w:vAlign w:val="center"/>
          </w:tcPr>
          <w:p w14:paraId="3C5F83D6">
            <w:pPr>
              <w:snapToGrid w:val="0"/>
              <w:ind w:firstLine="0" w:firstLineChars="0"/>
              <w:rPr>
                <w:rFonts w:eastAsia="方正仿宋_GBK" w:cs="Times New Roman"/>
                <w:sz w:val="20"/>
                <w:highlight w:val="none"/>
              </w:rPr>
            </w:pPr>
            <w:r>
              <w:rPr>
                <w:rFonts w:eastAsia="方正仿宋_GBK" w:cs="Times New Roman"/>
                <w:sz w:val="20"/>
                <w:highlight w:val="none"/>
              </w:rPr>
              <w:t>敏感数据在显示时，应进行脱敏处理，如：</w:t>
            </w:r>
            <w:r>
              <w:rPr>
                <w:rFonts w:eastAsia="方正仿宋_GBK" w:cs="Times New Roman"/>
                <w:sz w:val="20"/>
                <w:highlight w:val="none"/>
              </w:rPr>
              <w:br w:type="textWrapping"/>
            </w:r>
            <w:r>
              <w:rPr>
                <w:rFonts w:eastAsia="方正仿宋_GBK" w:cs="Times New Roman"/>
                <w:sz w:val="20"/>
                <w:highlight w:val="none"/>
              </w:rPr>
              <w:t>姓名：张三脱敏为*三</w:t>
            </w:r>
            <w:r>
              <w:rPr>
                <w:rFonts w:eastAsia="方正仿宋_GBK" w:cs="Times New Roman"/>
                <w:sz w:val="20"/>
                <w:highlight w:val="none"/>
              </w:rPr>
              <w:br w:type="textWrapping"/>
            </w:r>
            <w:r>
              <w:rPr>
                <w:rFonts w:eastAsia="方正仿宋_GBK" w:cs="Times New Roman"/>
                <w:sz w:val="20"/>
                <w:highlight w:val="none"/>
              </w:rPr>
              <w:t>身份证号：1002**********1237</w:t>
            </w:r>
            <w:r>
              <w:rPr>
                <w:rFonts w:eastAsia="方正仿宋_GBK" w:cs="Times New Roman"/>
                <w:sz w:val="20"/>
                <w:highlight w:val="none"/>
              </w:rPr>
              <w:br w:type="textWrapping"/>
            </w:r>
            <w:r>
              <w:rPr>
                <w:rFonts w:eastAsia="方正仿宋_GBK" w:cs="Times New Roman"/>
                <w:sz w:val="20"/>
                <w:highlight w:val="none"/>
              </w:rPr>
              <w:t>手机号：186****0781</w:t>
            </w:r>
            <w:r>
              <w:rPr>
                <w:rFonts w:eastAsia="方正仿宋_GBK" w:cs="Times New Roman"/>
                <w:sz w:val="20"/>
                <w:highlight w:val="none"/>
              </w:rPr>
              <w:br w:type="textWrapping"/>
            </w:r>
            <w:r>
              <w:rPr>
                <w:rFonts w:eastAsia="方正仿宋_GBK" w:cs="Times New Roman"/>
                <w:sz w:val="20"/>
                <w:highlight w:val="none"/>
              </w:rPr>
              <w:t>银行卡号：623078*********4846</w:t>
            </w:r>
            <w:r>
              <w:rPr>
                <w:rFonts w:eastAsia="方正仿宋_GBK" w:cs="Times New Roman"/>
                <w:sz w:val="20"/>
                <w:highlight w:val="none"/>
              </w:rPr>
              <w:br w:type="textWrapping"/>
            </w:r>
            <w:r>
              <w:rPr>
                <w:rFonts w:eastAsia="方正仿宋_GBK" w:cs="Times New Roman"/>
                <w:sz w:val="20"/>
                <w:highlight w:val="none"/>
              </w:rPr>
              <w:t>住址：****3单元302</w:t>
            </w:r>
          </w:p>
        </w:tc>
      </w:tr>
      <w:tr w14:paraId="646E420E">
        <w:tblPrEx>
          <w:tblCellMar>
            <w:top w:w="0" w:type="dxa"/>
            <w:left w:w="108" w:type="dxa"/>
            <w:bottom w:w="0" w:type="dxa"/>
            <w:right w:w="108" w:type="dxa"/>
          </w:tblCellMar>
        </w:tblPrEx>
        <w:trPr>
          <w:trHeight w:val="129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A8A5CA4">
            <w:pPr>
              <w:snapToGrid w:val="0"/>
              <w:ind w:firstLine="0" w:firstLineChars="0"/>
              <w:rPr>
                <w:rFonts w:eastAsia="方正仿宋_GBK" w:cs="Times New Roman"/>
                <w:sz w:val="20"/>
                <w:highlight w:val="none"/>
              </w:rPr>
            </w:pPr>
            <w:r>
              <w:rPr>
                <w:rFonts w:eastAsia="方正仿宋_GBK" w:cs="Times New Roman"/>
                <w:sz w:val="20"/>
                <w:highlight w:val="none"/>
              </w:rPr>
              <w:t>系统容错</w:t>
            </w:r>
          </w:p>
        </w:tc>
        <w:tc>
          <w:tcPr>
            <w:tcW w:w="968" w:type="dxa"/>
            <w:tcBorders>
              <w:top w:val="single" w:color="auto" w:sz="4" w:space="0"/>
              <w:left w:val="nil"/>
              <w:bottom w:val="single" w:color="auto" w:sz="4" w:space="0"/>
              <w:right w:val="single" w:color="auto" w:sz="4" w:space="0"/>
            </w:tcBorders>
            <w:vAlign w:val="center"/>
          </w:tcPr>
          <w:p w14:paraId="3910D73F">
            <w:pPr>
              <w:snapToGrid w:val="0"/>
              <w:ind w:firstLine="0" w:firstLineChars="0"/>
              <w:rPr>
                <w:rFonts w:eastAsia="方正仿宋_GBK" w:cs="Times New Roman"/>
                <w:sz w:val="20"/>
                <w:highlight w:val="none"/>
              </w:rPr>
            </w:pPr>
            <w:r>
              <w:rPr>
                <w:rFonts w:eastAsia="方正仿宋_GBK" w:cs="Times New Roman"/>
                <w:sz w:val="20"/>
                <w:highlight w:val="none"/>
              </w:rPr>
              <w:t>统一错误处理</w:t>
            </w:r>
          </w:p>
        </w:tc>
        <w:tc>
          <w:tcPr>
            <w:tcW w:w="6892" w:type="dxa"/>
            <w:tcBorders>
              <w:top w:val="single" w:color="auto" w:sz="4" w:space="0"/>
              <w:left w:val="nil"/>
              <w:bottom w:val="single" w:color="auto" w:sz="4" w:space="0"/>
              <w:right w:val="single" w:color="auto" w:sz="4" w:space="0"/>
            </w:tcBorders>
            <w:vAlign w:val="center"/>
          </w:tcPr>
          <w:p w14:paraId="561E534B">
            <w:pPr>
              <w:snapToGrid w:val="0"/>
              <w:ind w:firstLine="0" w:firstLineChars="0"/>
              <w:rPr>
                <w:rFonts w:eastAsia="方正仿宋_GBK" w:cs="Times New Roman"/>
                <w:sz w:val="20"/>
                <w:highlight w:val="none"/>
              </w:rPr>
            </w:pPr>
            <w:r>
              <w:rPr>
                <w:rFonts w:eastAsia="方正仿宋_GBK" w:cs="Times New Roman"/>
                <w:sz w:val="20"/>
                <w:highlight w:val="none"/>
              </w:rPr>
              <w:t>应用系统应有统一错误处理功能，有效屏蔽系统技术错误信息，不将系统产生的错误信息（如中间件信息、数据库信息）直接反馈给客户端，提升用户体验，防止信息泄露。</w:t>
            </w:r>
          </w:p>
        </w:tc>
      </w:tr>
      <w:tr w14:paraId="36622EF5">
        <w:tblPrEx>
          <w:tblCellMar>
            <w:top w:w="0" w:type="dxa"/>
            <w:left w:w="108" w:type="dxa"/>
            <w:bottom w:w="0" w:type="dxa"/>
            <w:right w:w="108" w:type="dxa"/>
          </w:tblCellMar>
        </w:tblPrEx>
        <w:trPr>
          <w:trHeight w:val="2808"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74E8FCCF">
            <w:pPr>
              <w:snapToGrid w:val="0"/>
              <w:ind w:firstLine="0" w:firstLineChars="0"/>
              <w:rPr>
                <w:rFonts w:eastAsia="方正仿宋_GBK" w:cs="Times New Roman"/>
                <w:sz w:val="20"/>
                <w:highlight w:val="none"/>
              </w:rPr>
            </w:pPr>
            <w:r>
              <w:rPr>
                <w:rFonts w:eastAsia="方正仿宋_GBK" w:cs="Times New Roman"/>
                <w:sz w:val="20"/>
                <w:highlight w:val="none"/>
              </w:rPr>
              <w:t>框架安全</w:t>
            </w:r>
          </w:p>
        </w:tc>
        <w:tc>
          <w:tcPr>
            <w:tcW w:w="968" w:type="dxa"/>
            <w:tcBorders>
              <w:top w:val="single" w:color="auto" w:sz="4" w:space="0"/>
              <w:left w:val="nil"/>
              <w:bottom w:val="single" w:color="auto" w:sz="4" w:space="0"/>
              <w:right w:val="single" w:color="auto" w:sz="4" w:space="0"/>
            </w:tcBorders>
            <w:vAlign w:val="center"/>
          </w:tcPr>
          <w:p w14:paraId="2937765B">
            <w:pPr>
              <w:snapToGrid w:val="0"/>
              <w:ind w:firstLine="0" w:firstLineChars="0"/>
              <w:rPr>
                <w:rFonts w:eastAsia="方正仿宋_GBK" w:cs="Times New Roman"/>
                <w:sz w:val="20"/>
                <w:highlight w:val="none"/>
              </w:rPr>
            </w:pPr>
            <w:r>
              <w:rPr>
                <w:rFonts w:eastAsia="方正仿宋_GBK" w:cs="Times New Roman"/>
                <w:sz w:val="20"/>
                <w:highlight w:val="none"/>
              </w:rPr>
              <w:t>第三方组件或框架</w:t>
            </w:r>
          </w:p>
        </w:tc>
        <w:tc>
          <w:tcPr>
            <w:tcW w:w="6892" w:type="dxa"/>
            <w:tcBorders>
              <w:top w:val="single" w:color="auto" w:sz="4" w:space="0"/>
              <w:left w:val="nil"/>
              <w:bottom w:val="single" w:color="auto" w:sz="4" w:space="0"/>
              <w:right w:val="single" w:color="auto" w:sz="4" w:space="0"/>
            </w:tcBorders>
            <w:vAlign w:val="center"/>
          </w:tcPr>
          <w:p w14:paraId="4FC43CED">
            <w:pPr>
              <w:snapToGrid w:val="0"/>
              <w:ind w:firstLine="0" w:firstLineChars="0"/>
              <w:rPr>
                <w:rFonts w:eastAsia="方正仿宋_GBK" w:cs="Times New Roman"/>
                <w:sz w:val="20"/>
                <w:highlight w:val="none"/>
              </w:rPr>
            </w:pPr>
            <w:r>
              <w:rPr>
                <w:rFonts w:eastAsia="方正仿宋_GBK" w:cs="Times New Roman"/>
                <w:sz w:val="20"/>
                <w:highlight w:val="none"/>
              </w:rPr>
              <w:t>组件和中间件是导致漏洞的重要原因，使用时需遵守如下要求：</w:t>
            </w:r>
            <w:r>
              <w:rPr>
                <w:rFonts w:eastAsia="方正仿宋_GBK" w:cs="Times New Roman"/>
                <w:sz w:val="20"/>
                <w:highlight w:val="none"/>
              </w:rPr>
              <w:br w:type="textWrapping"/>
            </w:r>
            <w:r>
              <w:rPr>
                <w:rFonts w:eastAsia="方正仿宋_GBK" w:cs="Times New Roman"/>
                <w:sz w:val="20"/>
                <w:highlight w:val="none"/>
              </w:rPr>
              <w:t>1.使用的版本需是官方正常维护的版本，如不是最新版本，需更新当前版本的安全补丁或升级；</w:t>
            </w:r>
            <w:r>
              <w:rPr>
                <w:rFonts w:eastAsia="方正仿宋_GBK" w:cs="Times New Roman"/>
                <w:sz w:val="20"/>
                <w:highlight w:val="none"/>
              </w:rPr>
              <w:br w:type="textWrapping"/>
            </w:r>
            <w:r>
              <w:rPr>
                <w:rFonts w:eastAsia="方正仿宋_GBK" w:cs="Times New Roman"/>
                <w:sz w:val="20"/>
                <w:highlight w:val="none"/>
              </w:rPr>
              <w:t>2.对使用的组件进行安全认证或限制源IP访问，避免造成未授权访问漏洞，如mongoDB、redis、Memcached、JBOSS、VNC、Zookeeper、Rsync、ElasticSearch、Hadoop、Kibana、Confluence、Jenkins、spring boot等；</w:t>
            </w:r>
            <w:r>
              <w:rPr>
                <w:rFonts w:eastAsia="方正仿宋_GBK" w:cs="Times New Roman"/>
                <w:sz w:val="20"/>
                <w:highlight w:val="none"/>
              </w:rPr>
              <w:br w:type="textWrapping"/>
            </w:r>
            <w:r>
              <w:rPr>
                <w:rFonts w:eastAsia="方正仿宋_GBK" w:cs="Times New Roman"/>
                <w:sz w:val="20"/>
                <w:highlight w:val="none"/>
              </w:rPr>
              <w:t>3.登录各组件的默认口令需进行修改，修改要求参照口令安全策略，如JBOSS、Tomcat、ActiveMQ等；</w:t>
            </w:r>
          </w:p>
        </w:tc>
      </w:tr>
    </w:tbl>
    <w:p w14:paraId="6FB04531">
      <w:pPr>
        <w:ind w:firstLine="420"/>
        <w:rPr>
          <w:szCs w:val="24"/>
          <w:highlight w:val="none"/>
        </w:rPr>
      </w:pPr>
    </w:p>
    <w:p w14:paraId="585B60FC">
      <w:pPr>
        <w:ind w:firstLine="420"/>
        <w:rPr>
          <w:highlight w:val="none"/>
        </w:rPr>
      </w:pPr>
      <w:r>
        <w:rPr>
          <w:rFonts w:hint="eastAsia"/>
          <w:highlight w:val="none"/>
        </w:rPr>
        <w:t>2</w:t>
      </w:r>
      <w:r>
        <w:rPr>
          <w:highlight w:val="none"/>
        </w:rPr>
        <w:t xml:space="preserve">.6 </w:t>
      </w:r>
      <w:r>
        <w:rPr>
          <w:rFonts w:hint="eastAsia"/>
          <w:highlight w:val="none"/>
        </w:rPr>
        <w:t>可扩展性需求</w:t>
      </w:r>
    </w:p>
    <w:p w14:paraId="44A48ADF">
      <w:pPr>
        <w:ind w:firstLine="420"/>
        <w:rPr>
          <w:szCs w:val="24"/>
          <w:highlight w:val="none"/>
        </w:rPr>
      </w:pPr>
      <w:r>
        <w:rPr>
          <w:rFonts w:hint="eastAsia"/>
          <w:szCs w:val="24"/>
          <w:highlight w:val="none"/>
        </w:rPr>
        <w:t>1）系统要求支持主流操作系统、数据库和通讯中间件，对软、硬件平台具有良好的可扩展能力，支持跨平台客制化开发；</w:t>
      </w:r>
    </w:p>
    <w:p w14:paraId="7770795B">
      <w:pPr>
        <w:ind w:firstLine="420"/>
        <w:rPr>
          <w:szCs w:val="24"/>
          <w:highlight w:val="none"/>
        </w:rPr>
      </w:pPr>
      <w:r>
        <w:rPr>
          <w:rFonts w:hint="eastAsia"/>
          <w:szCs w:val="24"/>
          <w:highlight w:val="none"/>
        </w:rPr>
        <w:t>2）支持交易数据导入、模型参数维护、计量、会计核算、报表模块对于新产品的支持，系统容易改进、扩展和升级；</w:t>
      </w:r>
    </w:p>
    <w:p w14:paraId="30EC8AED">
      <w:pPr>
        <w:ind w:firstLine="420"/>
        <w:rPr>
          <w:szCs w:val="24"/>
          <w:highlight w:val="none"/>
        </w:rPr>
      </w:pPr>
      <w:r>
        <w:rPr>
          <w:rFonts w:hint="eastAsia"/>
          <w:szCs w:val="24"/>
          <w:highlight w:val="none"/>
        </w:rPr>
        <w:t>3）提供的平台能够很好的实现业务功能扩展的灵活性，通过后台服务器对业务功能的模块化处理和可配置处理实现对功能的一站式更新，且不影响原有系统的正常运行；</w:t>
      </w:r>
    </w:p>
    <w:p w14:paraId="7D9A6B1A">
      <w:pPr>
        <w:ind w:firstLine="420"/>
        <w:rPr>
          <w:szCs w:val="24"/>
          <w:highlight w:val="none"/>
        </w:rPr>
      </w:pPr>
      <w:r>
        <w:rPr>
          <w:rFonts w:hint="eastAsia"/>
          <w:szCs w:val="24"/>
          <w:highlight w:val="none"/>
        </w:rPr>
        <w:t>4）系统的计算能力支持横向扩展；</w:t>
      </w:r>
    </w:p>
    <w:p w14:paraId="280BCFD0">
      <w:pPr>
        <w:ind w:firstLine="420"/>
        <w:rPr>
          <w:szCs w:val="24"/>
          <w:highlight w:val="none"/>
        </w:rPr>
      </w:pPr>
      <w:r>
        <w:rPr>
          <w:rFonts w:hint="eastAsia"/>
          <w:szCs w:val="24"/>
          <w:highlight w:val="none"/>
        </w:rPr>
        <w:t>5）对第三方平台提供良好的接口支持和扩展能力。</w:t>
      </w:r>
    </w:p>
    <w:p w14:paraId="683032B4">
      <w:pPr>
        <w:ind w:firstLine="420"/>
        <w:rPr>
          <w:highlight w:val="none"/>
        </w:rPr>
      </w:pPr>
      <w:r>
        <w:rPr>
          <w:rFonts w:hint="eastAsia"/>
          <w:highlight w:val="none"/>
        </w:rPr>
        <w:t>2</w:t>
      </w:r>
      <w:r>
        <w:rPr>
          <w:highlight w:val="none"/>
        </w:rPr>
        <w:t xml:space="preserve">.7 </w:t>
      </w:r>
      <w:r>
        <w:rPr>
          <w:rFonts w:hint="eastAsia"/>
          <w:highlight w:val="none"/>
        </w:rPr>
        <w:t>二次开发要求</w:t>
      </w:r>
    </w:p>
    <w:p w14:paraId="1C1622EC">
      <w:pPr>
        <w:ind w:firstLine="420"/>
        <w:rPr>
          <w:szCs w:val="24"/>
          <w:highlight w:val="none"/>
        </w:rPr>
      </w:pPr>
      <w:r>
        <w:rPr>
          <w:rFonts w:hint="eastAsia"/>
          <w:szCs w:val="24"/>
          <w:highlight w:val="none"/>
        </w:rPr>
        <w:t>为满足采购人业务发展需要，系统应能灵活、方便、快捷地支持个性化需求开发，相关要求包括：</w:t>
      </w:r>
    </w:p>
    <w:p w14:paraId="1846710F">
      <w:pPr>
        <w:ind w:firstLine="420"/>
        <w:rPr>
          <w:szCs w:val="24"/>
          <w:highlight w:val="none"/>
        </w:rPr>
      </w:pPr>
      <w:r>
        <w:rPr>
          <w:rFonts w:hint="eastAsia"/>
          <w:szCs w:val="24"/>
          <w:highlight w:val="none"/>
        </w:rPr>
        <w:t>1）支持模型参数的个性化调整，从而适应监管要求及行内业务需求的变化；</w:t>
      </w:r>
    </w:p>
    <w:p w14:paraId="616BFE33">
      <w:pPr>
        <w:ind w:firstLine="420"/>
        <w:rPr>
          <w:szCs w:val="24"/>
          <w:highlight w:val="none"/>
        </w:rPr>
      </w:pPr>
      <w:r>
        <w:rPr>
          <w:rFonts w:hint="eastAsia"/>
          <w:szCs w:val="24"/>
          <w:highlight w:val="none"/>
        </w:rPr>
        <w:t>2）支持数据采集范围扩展及接口快速开发；</w:t>
      </w:r>
    </w:p>
    <w:p w14:paraId="0703DBBF">
      <w:pPr>
        <w:ind w:firstLine="420"/>
        <w:rPr>
          <w:szCs w:val="24"/>
          <w:highlight w:val="none"/>
        </w:rPr>
      </w:pPr>
      <w:r>
        <w:rPr>
          <w:rFonts w:hint="eastAsia"/>
          <w:szCs w:val="24"/>
          <w:highlight w:val="none"/>
        </w:rPr>
        <w:t>3）支持较为便捷的全量/增量程序版本抽取和提交；</w:t>
      </w:r>
    </w:p>
    <w:p w14:paraId="3A11F379">
      <w:pPr>
        <w:ind w:firstLine="420"/>
        <w:rPr>
          <w:szCs w:val="24"/>
          <w:highlight w:val="none"/>
        </w:rPr>
      </w:pPr>
      <w:r>
        <w:rPr>
          <w:rFonts w:hint="eastAsia"/>
          <w:szCs w:val="24"/>
          <w:highlight w:val="none"/>
        </w:rPr>
        <w:t>4）支持日常需求改造涉及的其他开发要求。</w:t>
      </w:r>
    </w:p>
    <w:p w14:paraId="5DB62E90">
      <w:pPr>
        <w:ind w:firstLine="420"/>
        <w:rPr>
          <w:highlight w:val="none"/>
        </w:rPr>
      </w:pPr>
      <w:r>
        <w:rPr>
          <w:rFonts w:hint="eastAsia"/>
          <w:highlight w:val="none"/>
        </w:rPr>
        <w:t>2</w:t>
      </w:r>
      <w:r>
        <w:rPr>
          <w:highlight w:val="none"/>
        </w:rPr>
        <w:t xml:space="preserve">.8 </w:t>
      </w:r>
      <w:r>
        <w:rPr>
          <w:rFonts w:hint="eastAsia"/>
          <w:highlight w:val="none"/>
        </w:rPr>
        <w:t>其它非功能性要求</w:t>
      </w:r>
    </w:p>
    <w:p w14:paraId="312540B3">
      <w:pPr>
        <w:ind w:firstLine="420"/>
        <w:rPr>
          <w:szCs w:val="24"/>
          <w:highlight w:val="none"/>
        </w:rPr>
      </w:pPr>
      <w:r>
        <w:rPr>
          <w:szCs w:val="24"/>
          <w:highlight w:val="none"/>
        </w:rPr>
        <w:t>2.8.</w:t>
      </w:r>
      <w:r>
        <w:rPr>
          <w:rFonts w:hint="eastAsia"/>
          <w:szCs w:val="24"/>
          <w:highlight w:val="none"/>
        </w:rPr>
        <w:t>1 运维要求</w:t>
      </w:r>
    </w:p>
    <w:p w14:paraId="7D2FEC90">
      <w:pPr>
        <w:ind w:firstLine="420"/>
        <w:rPr>
          <w:szCs w:val="24"/>
          <w:highlight w:val="none"/>
        </w:rPr>
      </w:pPr>
      <w:r>
        <w:rPr>
          <w:rFonts w:hint="eastAsia"/>
          <w:szCs w:val="24"/>
          <w:highlight w:val="none"/>
        </w:rPr>
        <w:t>1）提供日常运行监控和完整的系统维护管理的方案：提供日志、实时交易监控等系统问题定位方案；提供日志和历史数据备份、清理机制；</w:t>
      </w:r>
    </w:p>
    <w:p w14:paraId="329352D7">
      <w:pPr>
        <w:ind w:firstLine="420"/>
        <w:rPr>
          <w:szCs w:val="24"/>
          <w:highlight w:val="none"/>
        </w:rPr>
      </w:pPr>
      <w:r>
        <w:rPr>
          <w:rFonts w:hint="eastAsia"/>
          <w:szCs w:val="24"/>
          <w:highlight w:val="none"/>
        </w:rPr>
        <w:t>2）系统日志需接入采购人智能运维平台，满足《重庆三峡银行应用日志规范》中的要求；</w:t>
      </w:r>
    </w:p>
    <w:p w14:paraId="58DDC5C4">
      <w:pPr>
        <w:ind w:firstLine="420"/>
        <w:rPr>
          <w:szCs w:val="24"/>
          <w:highlight w:val="none"/>
        </w:rPr>
      </w:pPr>
      <w:r>
        <w:rPr>
          <w:rFonts w:hint="eastAsia"/>
          <w:szCs w:val="24"/>
          <w:highlight w:val="none"/>
        </w:rPr>
        <w:t>3）提供应用系统之间逻辑独立、启停服务时系统间不相互影响的部署方案（十分重要），保障系统的7*24小时运行；</w:t>
      </w:r>
    </w:p>
    <w:p w14:paraId="4EF8CADE">
      <w:pPr>
        <w:ind w:firstLine="420"/>
        <w:rPr>
          <w:szCs w:val="24"/>
          <w:highlight w:val="none"/>
        </w:rPr>
      </w:pPr>
      <w:r>
        <w:rPr>
          <w:rFonts w:hint="eastAsia"/>
          <w:szCs w:val="24"/>
          <w:highlight w:val="none"/>
        </w:rPr>
        <w:t>4）提供系统资源运行情况实时监控报告；提供系统出现异常预警报告；提供系统运行情况报表等；</w:t>
      </w:r>
    </w:p>
    <w:p w14:paraId="398B783F">
      <w:pPr>
        <w:ind w:firstLine="420"/>
        <w:rPr>
          <w:szCs w:val="24"/>
          <w:highlight w:val="none"/>
        </w:rPr>
      </w:pPr>
      <w:r>
        <w:rPr>
          <w:szCs w:val="24"/>
          <w:highlight w:val="none"/>
        </w:rPr>
        <w:t>5</w:t>
      </w:r>
      <w:r>
        <w:rPr>
          <w:rFonts w:hint="eastAsia"/>
          <w:szCs w:val="24"/>
          <w:highlight w:val="none"/>
        </w:rPr>
        <w:t>）涉及重大生产故障，需15分钟内响应，30分钟内提供临时解决方案并能恢复生产服务，并安排响应的技术专家进行技术支持。</w:t>
      </w:r>
    </w:p>
    <w:p w14:paraId="3690DB4F">
      <w:pPr>
        <w:ind w:firstLine="420"/>
        <w:rPr>
          <w:rFonts w:cs="Times New Roman"/>
          <w:szCs w:val="24"/>
          <w:highlight w:val="none"/>
        </w:rPr>
      </w:pPr>
      <w:r>
        <w:rPr>
          <w:rFonts w:hint="eastAsia"/>
          <w:szCs w:val="24"/>
          <w:highlight w:val="none"/>
        </w:rPr>
        <w:t>6）对接采购人</w:t>
      </w:r>
      <w:r>
        <w:rPr>
          <w:rFonts w:hint="eastAsia" w:cs="Times New Roman"/>
          <w:szCs w:val="24"/>
          <w:highlight w:val="none"/>
        </w:rPr>
        <w:t>监控运维体系，满足监控体系各项要求。</w:t>
      </w:r>
    </w:p>
    <w:p w14:paraId="6E3A380B">
      <w:pPr>
        <w:ind w:firstLine="420"/>
        <w:rPr>
          <w:szCs w:val="24"/>
          <w:highlight w:val="none"/>
        </w:rPr>
      </w:pPr>
      <w:r>
        <w:rPr>
          <w:szCs w:val="24"/>
          <w:highlight w:val="none"/>
        </w:rPr>
        <w:t>2.8.</w:t>
      </w:r>
      <w:r>
        <w:rPr>
          <w:rFonts w:hint="eastAsia"/>
          <w:szCs w:val="24"/>
          <w:highlight w:val="none"/>
        </w:rPr>
        <w:t>2 日志要求</w:t>
      </w:r>
    </w:p>
    <w:p w14:paraId="4A84EFBD">
      <w:pPr>
        <w:ind w:firstLine="420"/>
        <w:rPr>
          <w:szCs w:val="24"/>
          <w:highlight w:val="none"/>
        </w:rPr>
      </w:pPr>
      <w:r>
        <w:rPr>
          <w:rFonts w:hint="eastAsia"/>
          <w:szCs w:val="24"/>
          <w:highlight w:val="none"/>
        </w:rPr>
        <w:t>1）应完整记录所有通讯日志，如果通讯日志为字节码的，不能直接查看的，应提供查看工具；</w:t>
      </w:r>
    </w:p>
    <w:p w14:paraId="68EDF54F">
      <w:pPr>
        <w:ind w:firstLine="420"/>
        <w:rPr>
          <w:szCs w:val="24"/>
          <w:highlight w:val="none"/>
        </w:rPr>
      </w:pPr>
      <w:r>
        <w:rPr>
          <w:rFonts w:hint="eastAsia"/>
          <w:szCs w:val="24"/>
          <w:highlight w:val="none"/>
        </w:rPr>
        <w:t>2）应完整记录交易日志，方便交易统计分析，不同类型的交易可分不同的交易日志表；</w:t>
      </w:r>
    </w:p>
    <w:p w14:paraId="0BE8B4C3">
      <w:pPr>
        <w:ind w:firstLine="420"/>
        <w:rPr>
          <w:szCs w:val="24"/>
          <w:highlight w:val="none"/>
        </w:rPr>
      </w:pPr>
      <w:r>
        <w:rPr>
          <w:rFonts w:hint="eastAsia"/>
          <w:szCs w:val="24"/>
          <w:highlight w:val="none"/>
        </w:rPr>
        <w:t>3）可在线动态调整日志级别，在生产环境下定位问题时不需要中断服务；</w:t>
      </w:r>
    </w:p>
    <w:p w14:paraId="796B673E">
      <w:pPr>
        <w:ind w:firstLine="420"/>
        <w:rPr>
          <w:szCs w:val="24"/>
          <w:highlight w:val="none"/>
        </w:rPr>
      </w:pPr>
      <w:r>
        <w:rPr>
          <w:rFonts w:hint="eastAsia"/>
          <w:szCs w:val="24"/>
          <w:highlight w:val="none"/>
        </w:rPr>
        <w:t>4）系统相关日志应输出在应用目录之外；</w:t>
      </w:r>
    </w:p>
    <w:p w14:paraId="28649D87">
      <w:pPr>
        <w:ind w:firstLine="420"/>
        <w:rPr>
          <w:szCs w:val="24"/>
          <w:highlight w:val="none"/>
        </w:rPr>
      </w:pPr>
      <w:r>
        <w:rPr>
          <w:rFonts w:hint="eastAsia"/>
          <w:szCs w:val="24"/>
          <w:highlight w:val="none"/>
        </w:rPr>
        <w:t>5）不应在日志中记录客户支付敏感信息；不允许保留非本机构的客户敏感信息。</w:t>
      </w:r>
    </w:p>
    <w:p w14:paraId="36FBFC04">
      <w:pPr>
        <w:ind w:firstLine="420"/>
        <w:rPr>
          <w:szCs w:val="24"/>
          <w:highlight w:val="none"/>
        </w:rPr>
      </w:pPr>
      <w:r>
        <w:rPr>
          <w:szCs w:val="24"/>
          <w:highlight w:val="none"/>
        </w:rPr>
        <w:t>2.8.</w:t>
      </w:r>
      <w:r>
        <w:rPr>
          <w:rFonts w:hint="eastAsia"/>
          <w:szCs w:val="24"/>
          <w:highlight w:val="none"/>
        </w:rPr>
        <w:t>3 自动监控指标</w:t>
      </w:r>
    </w:p>
    <w:p w14:paraId="7BFFF33A">
      <w:pPr>
        <w:ind w:firstLine="420"/>
        <w:rPr>
          <w:szCs w:val="24"/>
          <w:highlight w:val="none"/>
        </w:rPr>
      </w:pPr>
      <w:r>
        <w:rPr>
          <w:rFonts w:hint="eastAsia"/>
          <w:szCs w:val="24"/>
          <w:highlight w:val="none"/>
        </w:rPr>
        <w:t>1）磁盘占用率（关键目录）、CPU使用率、内存占用率等；</w:t>
      </w:r>
    </w:p>
    <w:p w14:paraId="2522E6BE">
      <w:pPr>
        <w:ind w:firstLine="420"/>
        <w:rPr>
          <w:szCs w:val="24"/>
          <w:highlight w:val="none"/>
        </w:rPr>
      </w:pPr>
      <w:r>
        <w:rPr>
          <w:rFonts w:hint="eastAsia"/>
          <w:szCs w:val="24"/>
          <w:highlight w:val="none"/>
        </w:rPr>
        <w:t>2）数据库连接池使用情况：总连接数、空闲连接数、使用中连接数；线程池使用情况：总线程、空闲线程、使用中线程；</w:t>
      </w:r>
    </w:p>
    <w:p w14:paraId="46FAC570">
      <w:pPr>
        <w:ind w:firstLine="420"/>
        <w:rPr>
          <w:szCs w:val="24"/>
          <w:highlight w:val="none"/>
        </w:rPr>
      </w:pPr>
      <w:r>
        <w:rPr>
          <w:rFonts w:hint="eastAsia"/>
          <w:szCs w:val="24"/>
          <w:highlight w:val="none"/>
        </w:rPr>
        <w:t>3）虚拟机堆内存情况（适用Java）：空闲内存、使用中内存；</w:t>
      </w:r>
    </w:p>
    <w:p w14:paraId="1D753F4B">
      <w:pPr>
        <w:ind w:firstLine="420"/>
        <w:rPr>
          <w:szCs w:val="24"/>
          <w:highlight w:val="none"/>
        </w:rPr>
      </w:pPr>
      <w:r>
        <w:rPr>
          <w:rFonts w:hint="eastAsia"/>
          <w:szCs w:val="24"/>
          <w:highlight w:val="none"/>
        </w:rPr>
        <w:t>4）交易级的错误，应用系统重大错误。</w:t>
      </w:r>
    </w:p>
    <w:p w14:paraId="3609DF69">
      <w:pPr>
        <w:ind w:firstLine="420"/>
        <w:rPr>
          <w:highlight w:val="none"/>
        </w:rPr>
      </w:pPr>
      <w:r>
        <w:rPr>
          <w:rFonts w:hint="eastAsia"/>
          <w:highlight w:val="none"/>
        </w:rPr>
        <w:t>2</w:t>
      </w:r>
      <w:r>
        <w:rPr>
          <w:highlight w:val="none"/>
        </w:rPr>
        <w:t xml:space="preserve">.9 </w:t>
      </w:r>
      <w:r>
        <w:rPr>
          <w:rFonts w:hint="eastAsia"/>
          <w:highlight w:val="none"/>
        </w:rPr>
        <w:t>应当遵循的标准和规范</w:t>
      </w:r>
    </w:p>
    <w:p w14:paraId="33CC9DB5">
      <w:pPr>
        <w:ind w:firstLine="420"/>
        <w:rPr>
          <w:szCs w:val="24"/>
          <w:highlight w:val="none"/>
        </w:rPr>
      </w:pPr>
      <w:r>
        <w:rPr>
          <w:rFonts w:hint="eastAsia"/>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BCAE512">
      <w:pPr>
        <w:ind w:firstLine="420"/>
        <w:rPr>
          <w:szCs w:val="24"/>
          <w:highlight w:val="none"/>
        </w:rPr>
      </w:pPr>
      <w:r>
        <w:rPr>
          <w:rFonts w:hint="eastAsia"/>
          <w:szCs w:val="24"/>
          <w:highlight w:val="none"/>
        </w:rPr>
        <w:t>系统架构必须遵循</w:t>
      </w:r>
      <w:r>
        <w:rPr>
          <w:szCs w:val="24"/>
          <w:highlight w:val="none"/>
        </w:rPr>
        <w:t>采购</w:t>
      </w:r>
      <w:r>
        <w:rPr>
          <w:rFonts w:hint="eastAsia"/>
          <w:szCs w:val="24"/>
          <w:highlight w:val="none"/>
        </w:rPr>
        <w:t>人应用架构统一架构规范；对外交互界面（含接口、交互流程）均需遵照</w:t>
      </w:r>
      <w:r>
        <w:rPr>
          <w:szCs w:val="24"/>
          <w:highlight w:val="none"/>
        </w:rPr>
        <w:t>采购</w:t>
      </w:r>
      <w:r>
        <w:rPr>
          <w:rFonts w:hint="eastAsia"/>
          <w:szCs w:val="24"/>
          <w:highlight w:val="none"/>
        </w:rPr>
        <w:t>人确定统一规范进行设计和开发</w:t>
      </w:r>
      <w:r>
        <w:rPr>
          <w:rFonts w:hint="eastAsia" w:cs="Times New Roman"/>
          <w:szCs w:val="24"/>
          <w:highlight w:val="none"/>
        </w:rPr>
        <w:t>，接口交互均需要通过分布式应用服务管理平台（以下简称“ESC”），数据文件交互优先使用 ESC 文件中心进行文件交互</w:t>
      </w:r>
      <w:r>
        <w:rPr>
          <w:rFonts w:hint="eastAsia"/>
          <w:szCs w:val="24"/>
          <w:highlight w:val="none"/>
        </w:rPr>
        <w:t>；同时开发过程的产出物（如：设计文档、代码、测试案例、测试报告等）也需完全遵照</w:t>
      </w:r>
      <w:r>
        <w:rPr>
          <w:szCs w:val="24"/>
          <w:highlight w:val="none"/>
        </w:rPr>
        <w:t>采购</w:t>
      </w:r>
      <w:r>
        <w:rPr>
          <w:rFonts w:hint="eastAsia"/>
          <w:szCs w:val="24"/>
          <w:highlight w:val="none"/>
        </w:rPr>
        <w:t>人确定的统一标准规范完成。</w:t>
      </w:r>
    </w:p>
    <w:p w14:paraId="41C2C5D8">
      <w:pPr>
        <w:ind w:firstLine="420"/>
        <w:rPr>
          <w:szCs w:val="24"/>
          <w:highlight w:val="none"/>
        </w:rPr>
      </w:pPr>
      <w:r>
        <w:rPr>
          <w:rFonts w:hint="eastAsia" w:cs="Times New Roman"/>
          <w:szCs w:val="24"/>
          <w:highlight w:val="none"/>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682CD54B">
      <w:pPr>
        <w:ind w:firstLine="420"/>
        <w:rPr>
          <w:szCs w:val="24"/>
          <w:highlight w:val="none"/>
        </w:rPr>
      </w:pPr>
      <w:r>
        <w:rPr>
          <w:rFonts w:hint="eastAsia"/>
          <w:szCs w:val="24"/>
          <w:highlight w:val="none"/>
        </w:rPr>
        <w:t>业务处理符合国家法律、法规和有关政策规定。数据标准要满足银监会及人民银行相关管理办法及标准化的要求。</w:t>
      </w:r>
    </w:p>
    <w:p w14:paraId="1AFF98AE">
      <w:pPr>
        <w:ind w:firstLine="420"/>
        <w:rPr>
          <w:highlight w:val="none"/>
        </w:rPr>
      </w:pPr>
      <w:r>
        <w:rPr>
          <w:rFonts w:hint="eastAsia"/>
          <w:highlight w:val="none"/>
        </w:rPr>
        <w:t>2</w:t>
      </w:r>
      <w:r>
        <w:rPr>
          <w:highlight w:val="none"/>
        </w:rPr>
        <w:t xml:space="preserve">.10 </w:t>
      </w:r>
      <w:r>
        <w:rPr>
          <w:rFonts w:hint="eastAsia"/>
          <w:highlight w:val="none"/>
        </w:rPr>
        <w:t>其他技术要求</w:t>
      </w:r>
    </w:p>
    <w:p w14:paraId="5A911D68">
      <w:pPr>
        <w:ind w:firstLine="420"/>
        <w:rPr>
          <w:szCs w:val="24"/>
          <w:highlight w:val="none"/>
        </w:rPr>
      </w:pPr>
      <w:r>
        <w:rPr>
          <w:rFonts w:hint="eastAsia"/>
          <w:szCs w:val="24"/>
          <w:highlight w:val="none"/>
        </w:rPr>
        <w:t>1）开发环境基于J2EE轻量级框架，支持JDK版本：JDK1.8及以上版本。</w:t>
      </w:r>
    </w:p>
    <w:p w14:paraId="0C220297">
      <w:pPr>
        <w:ind w:firstLine="420"/>
        <w:rPr>
          <w:szCs w:val="24"/>
          <w:highlight w:val="none"/>
        </w:rPr>
      </w:pPr>
      <w:r>
        <w:rPr>
          <w:rFonts w:hint="eastAsia"/>
          <w:szCs w:val="24"/>
          <w:highlight w:val="none"/>
        </w:rPr>
        <w:t>2）操作系统、数据库和中间件满足</w:t>
      </w:r>
      <w:r>
        <w:rPr>
          <w:szCs w:val="24"/>
          <w:highlight w:val="none"/>
        </w:rPr>
        <w:t>信创基线</w:t>
      </w:r>
      <w:r>
        <w:rPr>
          <w:rFonts w:hint="eastAsia"/>
          <w:szCs w:val="24"/>
          <w:highlight w:val="none"/>
        </w:rPr>
        <w:t>要求</w:t>
      </w:r>
      <w:r>
        <w:rPr>
          <w:szCs w:val="24"/>
          <w:highlight w:val="none"/>
        </w:rPr>
        <w:t>，当前部分基线如下：服务端操作系统支持银河麒麟V10，支持OceanBase数据库，支持东方通内嵌中间件</w:t>
      </w:r>
      <w:r>
        <w:rPr>
          <w:rFonts w:hint="eastAsia"/>
          <w:szCs w:val="24"/>
          <w:highlight w:val="none"/>
        </w:rPr>
        <w:t>。</w:t>
      </w:r>
    </w:p>
    <w:p w14:paraId="0FCA0C3D">
      <w:pPr>
        <w:ind w:firstLine="420"/>
        <w:rPr>
          <w:szCs w:val="24"/>
          <w:highlight w:val="none"/>
        </w:rPr>
      </w:pPr>
      <w:r>
        <w:rPr>
          <w:rFonts w:hint="eastAsia"/>
          <w:szCs w:val="24"/>
          <w:highlight w:val="none"/>
        </w:rPr>
        <w:t>3）必须支持Windows全系操作系统，即WinXP/Win7/Win8/Win10，</w:t>
      </w:r>
      <w:r>
        <w:rPr>
          <w:rFonts w:hint="eastAsia" w:cs="Times New Roman"/>
          <w:szCs w:val="24"/>
          <w:highlight w:val="none"/>
        </w:rPr>
        <w:t>支持麒麟桌面操作系统，</w:t>
      </w:r>
      <w:r>
        <w:rPr>
          <w:rFonts w:hint="eastAsia"/>
          <w:szCs w:val="24"/>
          <w:highlight w:val="none"/>
        </w:rPr>
        <w:t>支持谷歌、360、IE6及以上版本浏览器使用</w:t>
      </w:r>
      <w:r>
        <w:rPr>
          <w:rFonts w:hint="eastAsia" w:cs="Times New Roman"/>
          <w:szCs w:val="24"/>
          <w:highlight w:val="none"/>
        </w:rPr>
        <w:t>，支持统信、奇安信、360等国产浏览器使用。</w:t>
      </w:r>
    </w:p>
    <w:p w14:paraId="5544282C">
      <w:pPr>
        <w:ind w:firstLine="420"/>
        <w:rPr>
          <w:szCs w:val="24"/>
          <w:highlight w:val="none"/>
        </w:rPr>
      </w:pPr>
      <w:r>
        <w:rPr>
          <w:szCs w:val="24"/>
          <w:highlight w:val="none"/>
        </w:rPr>
        <w:t>4</w:t>
      </w:r>
      <w:r>
        <w:rPr>
          <w:rFonts w:hint="eastAsia"/>
          <w:szCs w:val="24"/>
          <w:highlight w:val="none"/>
        </w:rPr>
        <w:t>）系统基础架构和底层数据库具备灵活性。</w:t>
      </w:r>
    </w:p>
    <w:p w14:paraId="32C5F9AD">
      <w:pPr>
        <w:ind w:firstLine="420"/>
        <w:rPr>
          <w:szCs w:val="24"/>
          <w:highlight w:val="none"/>
        </w:rPr>
      </w:pPr>
      <w:r>
        <w:rPr>
          <w:szCs w:val="24"/>
          <w:highlight w:val="none"/>
        </w:rPr>
        <w:t>5</w:t>
      </w:r>
      <w:r>
        <w:rPr>
          <w:rFonts w:hint="eastAsia"/>
          <w:szCs w:val="24"/>
          <w:highlight w:val="none"/>
        </w:rPr>
        <w:t>）系统可集群部署，支持负载均衡，具备横向可扩展性。</w:t>
      </w:r>
    </w:p>
    <w:p w14:paraId="70082595">
      <w:pPr>
        <w:ind w:firstLine="420"/>
        <w:rPr>
          <w:szCs w:val="24"/>
          <w:highlight w:val="none"/>
        </w:rPr>
      </w:pPr>
      <w:r>
        <w:rPr>
          <w:szCs w:val="24"/>
          <w:highlight w:val="none"/>
        </w:rPr>
        <w:t>6</w:t>
      </w:r>
      <w:r>
        <w:rPr>
          <w:rFonts w:hint="eastAsia"/>
          <w:szCs w:val="24"/>
          <w:highlight w:val="none"/>
        </w:rPr>
        <w:t>）系统处理能力能够满足现有业务数据以及未来三年可能发展的业务数据量。</w:t>
      </w:r>
    </w:p>
    <w:p w14:paraId="0396A6C4">
      <w:pPr>
        <w:ind w:firstLine="420"/>
        <w:rPr>
          <w:szCs w:val="24"/>
          <w:highlight w:val="none"/>
        </w:rPr>
      </w:pPr>
      <w:r>
        <w:rPr>
          <w:szCs w:val="24"/>
          <w:highlight w:val="none"/>
        </w:rPr>
        <w:t>7</w:t>
      </w:r>
      <w:r>
        <w:rPr>
          <w:rFonts w:hint="eastAsia"/>
          <w:szCs w:val="24"/>
          <w:highlight w:val="none"/>
        </w:rPr>
        <w:t>）系统开发需要符合采购人开发规范和整体框架要求。</w:t>
      </w:r>
    </w:p>
    <w:p w14:paraId="45885464">
      <w:pPr>
        <w:ind w:firstLine="420"/>
        <w:rPr>
          <w:szCs w:val="24"/>
          <w:highlight w:val="none"/>
        </w:rPr>
      </w:pPr>
      <w:r>
        <w:rPr>
          <w:szCs w:val="24"/>
          <w:highlight w:val="none"/>
        </w:rPr>
        <w:t>8</w:t>
      </w:r>
      <w:r>
        <w:rPr>
          <w:rFonts w:hint="eastAsia"/>
          <w:szCs w:val="24"/>
          <w:highlight w:val="none"/>
        </w:rPr>
        <w:t>）系统需支持dns方式连接数据库以及应用。</w:t>
      </w:r>
    </w:p>
    <w:p w14:paraId="1A1A5A18">
      <w:pPr>
        <w:ind w:firstLine="420"/>
        <w:rPr>
          <w:szCs w:val="24"/>
          <w:highlight w:val="none"/>
        </w:rPr>
      </w:pPr>
      <w:r>
        <w:rPr>
          <w:szCs w:val="24"/>
          <w:highlight w:val="none"/>
        </w:rPr>
        <w:t>9</w:t>
      </w:r>
      <w:r>
        <w:rPr>
          <w:rFonts w:hint="eastAsia"/>
          <w:szCs w:val="24"/>
          <w:highlight w:val="none"/>
        </w:rPr>
        <w:t>）原则上不对系统许可（license）做限制</w:t>
      </w:r>
      <w:r>
        <w:rPr>
          <w:szCs w:val="24"/>
          <w:highlight w:val="none"/>
        </w:rPr>
        <w:t>，响应人提供的产品若为License授权方式，需提供永久授权且无需定期申请延期。</w:t>
      </w:r>
    </w:p>
    <w:p w14:paraId="7FFF156B">
      <w:pPr>
        <w:ind w:firstLine="420"/>
        <w:rPr>
          <w:szCs w:val="24"/>
          <w:highlight w:val="none"/>
        </w:rPr>
      </w:pPr>
      <w:r>
        <w:rPr>
          <w:rFonts w:hint="eastAsia"/>
          <w:szCs w:val="24"/>
          <w:highlight w:val="none"/>
        </w:rPr>
        <w:t>1</w:t>
      </w:r>
      <w:r>
        <w:rPr>
          <w:szCs w:val="24"/>
          <w:highlight w:val="none"/>
        </w:rPr>
        <w:t>0</w:t>
      </w:r>
      <w:r>
        <w:rPr>
          <w:rFonts w:hint="eastAsia"/>
          <w:szCs w:val="24"/>
          <w:highlight w:val="none"/>
        </w:rPr>
        <w:t>）响应人需提供完善的数据备份方案及备份机制。</w:t>
      </w:r>
    </w:p>
    <w:p w14:paraId="77E5ADBE">
      <w:pPr>
        <w:ind w:firstLine="420"/>
        <w:rPr>
          <w:szCs w:val="24"/>
          <w:highlight w:val="none"/>
        </w:rPr>
      </w:pPr>
      <w:r>
        <w:rPr>
          <w:rFonts w:hint="eastAsia"/>
          <w:szCs w:val="24"/>
          <w:highlight w:val="none"/>
        </w:rPr>
        <w:t>1</w:t>
      </w:r>
      <w:r>
        <w:rPr>
          <w:szCs w:val="24"/>
          <w:highlight w:val="none"/>
        </w:rPr>
        <w:t>1</w:t>
      </w:r>
      <w:r>
        <w:rPr>
          <w:rFonts w:hint="eastAsia"/>
          <w:szCs w:val="24"/>
          <w:highlight w:val="none"/>
        </w:rPr>
        <w:t>）技术RTO（恢复时间目标）：</w:t>
      </w:r>
      <w:r>
        <w:rPr>
          <w:szCs w:val="24"/>
          <w:highlight w:val="none"/>
        </w:rPr>
        <w:t>3</w:t>
      </w:r>
      <w:r>
        <w:rPr>
          <w:rFonts w:hint="eastAsia"/>
          <w:szCs w:val="24"/>
          <w:highlight w:val="none"/>
        </w:rPr>
        <w:t>小时；技术RPO（恢复时间点目标）：</w:t>
      </w:r>
      <w:r>
        <w:rPr>
          <w:szCs w:val="24"/>
          <w:highlight w:val="none"/>
        </w:rPr>
        <w:t>0.5</w:t>
      </w:r>
      <w:r>
        <w:rPr>
          <w:rFonts w:hint="eastAsia"/>
          <w:szCs w:val="24"/>
          <w:highlight w:val="none"/>
        </w:rPr>
        <w:t>小时。</w:t>
      </w:r>
    </w:p>
    <w:p w14:paraId="4147463D">
      <w:pPr>
        <w:ind w:firstLine="420"/>
        <w:rPr>
          <w:szCs w:val="24"/>
          <w:highlight w:val="none"/>
        </w:rPr>
      </w:pPr>
      <w:r>
        <w:rPr>
          <w:rFonts w:hint="eastAsia"/>
          <w:szCs w:val="24"/>
          <w:highlight w:val="none"/>
        </w:rPr>
        <w:t>1</w:t>
      </w:r>
      <w:r>
        <w:rPr>
          <w:szCs w:val="24"/>
          <w:highlight w:val="none"/>
        </w:rPr>
        <w:t>2</w:t>
      </w:r>
      <w:r>
        <w:rPr>
          <w:rFonts w:hint="eastAsia"/>
          <w:szCs w:val="24"/>
          <w:highlight w:val="none"/>
        </w:rPr>
        <w:t>）需支持IPV6协议。</w:t>
      </w:r>
    </w:p>
    <w:p w14:paraId="665E6182">
      <w:pPr>
        <w:ind w:firstLine="420"/>
        <w:rPr>
          <w:szCs w:val="24"/>
          <w:highlight w:val="none"/>
        </w:rPr>
      </w:pPr>
      <w:r>
        <w:rPr>
          <w:rFonts w:hint="eastAsia"/>
          <w:szCs w:val="24"/>
          <w:highlight w:val="none"/>
        </w:rPr>
        <w:t>1</w:t>
      </w:r>
      <w:r>
        <w:rPr>
          <w:szCs w:val="24"/>
          <w:highlight w:val="none"/>
        </w:rPr>
        <w:t>3</w:t>
      </w:r>
      <w:r>
        <w:rPr>
          <w:rFonts w:hint="eastAsia"/>
          <w:szCs w:val="24"/>
          <w:highlight w:val="none"/>
        </w:rPr>
        <w:t>）禁止应用软件部署使用的安装码或授权码与其运行的基础环境（如：硬盘序列号、CPU序列号或网卡序列号等）进行绑定。</w:t>
      </w:r>
    </w:p>
    <w:p w14:paraId="4DCF9FC7">
      <w:pPr>
        <w:ind w:firstLine="420"/>
        <w:rPr>
          <w:szCs w:val="24"/>
          <w:highlight w:val="none"/>
        </w:rPr>
      </w:pPr>
      <w:r>
        <w:rPr>
          <w:rFonts w:hint="eastAsia"/>
          <w:szCs w:val="24"/>
          <w:highlight w:val="none"/>
        </w:rPr>
        <w:t>1</w:t>
      </w:r>
      <w:r>
        <w:rPr>
          <w:szCs w:val="24"/>
          <w:highlight w:val="none"/>
        </w:rPr>
        <w:t>4</w:t>
      </w:r>
      <w:r>
        <w:rPr>
          <w:rFonts w:hint="eastAsia"/>
          <w:szCs w:val="24"/>
          <w:highlight w:val="none"/>
        </w:rPr>
        <w:t>）系统在集群部署共享文件访问时使用对象存储（不得使用NAS）。</w:t>
      </w:r>
    </w:p>
    <w:p w14:paraId="3131702F">
      <w:pPr>
        <w:ind w:firstLine="420"/>
        <w:rPr>
          <w:szCs w:val="24"/>
          <w:highlight w:val="none"/>
        </w:rPr>
      </w:pPr>
      <w:r>
        <w:rPr>
          <w:rFonts w:hint="eastAsia"/>
          <w:szCs w:val="24"/>
          <w:highlight w:val="none"/>
        </w:rPr>
        <w:t>15）</w:t>
      </w:r>
      <w:r>
        <w:rPr>
          <w:rFonts w:hint="eastAsia" w:cs="Times New Roman"/>
          <w:szCs w:val="24"/>
          <w:highlight w:val="none"/>
        </w:rPr>
        <w:t>系统应按照</w:t>
      </w:r>
      <w:r>
        <w:rPr>
          <w:rFonts w:cs="Times New Roman"/>
          <w:szCs w:val="24"/>
          <w:highlight w:val="none"/>
        </w:rPr>
        <w:t>采购人</w:t>
      </w:r>
      <w:r>
        <w:rPr>
          <w:rFonts w:hint="eastAsia" w:cs="Times New Roman"/>
          <w:szCs w:val="24"/>
          <w:highlight w:val="none"/>
        </w:rPr>
        <w:t>研发运维标准完成</w:t>
      </w:r>
      <w:r>
        <w:rPr>
          <w:rFonts w:cs="Times New Roman"/>
          <w:szCs w:val="24"/>
          <w:highlight w:val="none"/>
        </w:rPr>
        <w:t>采购人</w:t>
      </w:r>
      <w:r>
        <w:rPr>
          <w:rFonts w:hint="eastAsia" w:cs="Times New Roman"/>
          <w:szCs w:val="24"/>
          <w:highlight w:val="none"/>
        </w:rPr>
        <w:t>DevOps研发效能平台和AiOps智能运维平台的对接</w:t>
      </w:r>
      <w:r>
        <w:rPr>
          <w:rFonts w:cs="Times New Roman"/>
          <w:szCs w:val="24"/>
          <w:highlight w:val="none"/>
        </w:rPr>
        <w:t>，满足《重庆三峡银行配置文件管理规范》和《重庆三峡银行应用日志规范》</w:t>
      </w:r>
      <w:r>
        <w:rPr>
          <w:rFonts w:hint="eastAsia" w:cs="Times New Roman"/>
          <w:szCs w:val="24"/>
          <w:highlight w:val="none"/>
        </w:rPr>
        <w:t>。</w:t>
      </w:r>
    </w:p>
    <w:p w14:paraId="50A97B36">
      <w:pPr>
        <w:ind w:firstLine="420"/>
        <w:rPr>
          <w:rFonts w:cs="Times New Roman"/>
          <w:szCs w:val="24"/>
          <w:highlight w:val="none"/>
        </w:rPr>
      </w:pPr>
      <w:r>
        <w:rPr>
          <w:rFonts w:hint="eastAsia" w:cs="Times New Roman"/>
          <w:szCs w:val="24"/>
          <w:highlight w:val="none"/>
        </w:rPr>
        <w:t>16）</w:t>
      </w:r>
      <w:r>
        <w:rPr>
          <w:rFonts w:hint="eastAsia"/>
          <w:szCs w:val="24"/>
          <w:highlight w:val="none"/>
        </w:rPr>
        <w:t>满足国家保密标准及要求</w:t>
      </w:r>
      <w:r>
        <w:rPr>
          <w:szCs w:val="24"/>
          <w:highlight w:val="none"/>
        </w:rPr>
        <w:t>，</w:t>
      </w:r>
      <w:r>
        <w:rPr>
          <w:rFonts w:hint="eastAsia" w:cs="Times New Roman"/>
          <w:szCs w:val="24"/>
          <w:highlight w:val="none"/>
        </w:rPr>
        <w:t>从底层技术框架及系统管理功能中提供完备的应用层面安全保密支撑，支持信创软硬件运行环境，对信息系统提供全方位的安全支持。</w:t>
      </w:r>
    </w:p>
    <w:p w14:paraId="10E8B30B">
      <w:pPr>
        <w:ind w:firstLine="420"/>
        <w:rPr>
          <w:rFonts w:cs="Times New Roman"/>
          <w:szCs w:val="24"/>
          <w:highlight w:val="none"/>
        </w:rPr>
      </w:pPr>
      <w:r>
        <w:rPr>
          <w:rFonts w:cs="Times New Roman"/>
          <w:szCs w:val="24"/>
          <w:highlight w:val="none"/>
        </w:rPr>
        <w:t>17）在项目正式验收通过之前需同步免费进行任意版本的升级，在维保期内的产品需同步免费进行基础版本的升级。</w:t>
      </w:r>
    </w:p>
    <w:p w14:paraId="4A295A1A">
      <w:pPr>
        <w:ind w:firstLine="420"/>
        <w:rPr>
          <w:rFonts w:cs="Times New Roman"/>
          <w:szCs w:val="24"/>
          <w:highlight w:val="none"/>
        </w:rPr>
      </w:pPr>
      <w:r>
        <w:rPr>
          <w:rFonts w:hint="eastAsia" w:cs="Times New Roman"/>
          <w:szCs w:val="24"/>
          <w:highlight w:val="none"/>
        </w:rPr>
        <w:t>18）项目验收合格后需提供一年免费</w:t>
      </w:r>
      <w:r>
        <w:rPr>
          <w:rFonts w:cs="Times New Roman"/>
          <w:szCs w:val="24"/>
          <w:highlight w:val="none"/>
        </w:rPr>
        <w:t>的</w:t>
      </w:r>
      <w:r>
        <w:rPr>
          <w:rFonts w:hint="eastAsia" w:cs="Times New Roman"/>
          <w:szCs w:val="24"/>
          <w:highlight w:val="none"/>
        </w:rPr>
        <w:t>规则模型调优服务</w:t>
      </w:r>
      <w:r>
        <w:rPr>
          <w:rFonts w:cs="Times New Roman"/>
          <w:szCs w:val="24"/>
          <w:highlight w:val="none"/>
        </w:rPr>
        <w:t>支持</w:t>
      </w:r>
      <w:r>
        <w:rPr>
          <w:rFonts w:hint="eastAsia" w:cs="Times New Roman"/>
          <w:szCs w:val="24"/>
          <w:highlight w:val="none"/>
        </w:rPr>
        <w:t>。</w:t>
      </w:r>
    </w:p>
    <w:p w14:paraId="2F727E9F">
      <w:pPr>
        <w:ind w:firstLine="600"/>
        <w:jc w:val="center"/>
        <w:rPr>
          <w:rStyle w:val="44"/>
          <w:rFonts w:hint="eastAsia" w:ascii="宋体" w:hAnsi="宋体"/>
          <w:sz w:val="30"/>
          <w:highlight w:val="none"/>
        </w:rPr>
      </w:pPr>
      <w:r>
        <w:rPr>
          <w:rStyle w:val="44"/>
          <w:rFonts w:ascii="宋体" w:hAnsi="宋体"/>
          <w:sz w:val="30"/>
          <w:highlight w:val="none"/>
        </w:rPr>
        <w:br w:type="page"/>
      </w:r>
      <w:r>
        <w:rPr>
          <w:rStyle w:val="44"/>
          <w:rFonts w:hint="eastAsia" w:ascii="宋体" w:hAnsi="宋体"/>
          <w:sz w:val="30"/>
          <w:highlight w:val="none"/>
        </w:rPr>
        <w:t>附件二：项目人员名单及人员应急退出机制</w:t>
      </w:r>
      <w:bookmarkEnd w:id="315"/>
    </w:p>
    <w:p w14:paraId="5670782C">
      <w:pPr>
        <w:ind w:firstLine="420"/>
        <w:rPr>
          <w:rStyle w:val="44"/>
          <w:rFonts w:hint="eastAsia" w:ascii="宋体" w:hAnsi="宋体"/>
          <w:kern w:val="0"/>
          <w:highlight w:val="none"/>
        </w:rPr>
      </w:pPr>
    </w:p>
    <w:p w14:paraId="33BF04BB">
      <w:pPr>
        <w:ind w:firstLine="422"/>
        <w:rPr>
          <w:rStyle w:val="44"/>
          <w:rFonts w:hint="eastAsia" w:ascii="宋体" w:hAnsi="宋体"/>
          <w:b/>
          <w:kern w:val="0"/>
          <w:highlight w:val="none"/>
        </w:rPr>
      </w:pPr>
      <w:r>
        <w:rPr>
          <w:rStyle w:val="44"/>
          <w:rFonts w:hint="eastAsia" w:ascii="宋体" w:hAnsi="宋体"/>
          <w:b/>
          <w:kern w:val="0"/>
          <w:highlight w:val="none"/>
        </w:rPr>
        <w:t>一、项目人员名单</w:t>
      </w:r>
    </w:p>
    <w:p w14:paraId="42253E1E">
      <w:pPr>
        <w:ind w:firstLine="420"/>
        <w:rPr>
          <w:rStyle w:val="44"/>
          <w:rFonts w:hint="eastAsia" w:ascii="宋体" w:hAnsi="宋体"/>
          <w:kern w:val="0"/>
          <w:highlight w:val="none"/>
        </w:rPr>
      </w:pPr>
      <w:r>
        <w:rPr>
          <w:rStyle w:val="44"/>
          <w:rFonts w:hint="eastAsia" w:ascii="宋体" w:hAnsi="宋体"/>
          <w:kern w:val="0"/>
          <w:highlight w:val="none"/>
        </w:rPr>
        <w:t xml:space="preserve">项目经理： </w:t>
      </w:r>
    </w:p>
    <w:p w14:paraId="29CCE9FA">
      <w:pPr>
        <w:ind w:firstLine="420"/>
        <w:rPr>
          <w:rStyle w:val="44"/>
          <w:rFonts w:hint="eastAsia" w:ascii="宋体" w:hAnsi="宋体"/>
          <w:kern w:val="0"/>
          <w:highlight w:val="none"/>
        </w:rPr>
      </w:pPr>
      <w:r>
        <w:rPr>
          <w:rStyle w:val="44"/>
          <w:rFonts w:hint="eastAsia" w:ascii="宋体" w:hAnsi="宋体"/>
          <w:kern w:val="0"/>
          <w:highlight w:val="none"/>
        </w:rPr>
        <w:t>技术骨干：</w:t>
      </w:r>
    </w:p>
    <w:p w14:paraId="3538F6EF">
      <w:pPr>
        <w:ind w:firstLine="420"/>
        <w:rPr>
          <w:rStyle w:val="44"/>
          <w:rFonts w:hint="eastAsia" w:ascii="宋体" w:hAnsi="宋体"/>
          <w:kern w:val="0"/>
          <w:highlight w:val="none"/>
        </w:rPr>
      </w:pPr>
      <w:r>
        <w:rPr>
          <w:rStyle w:val="44"/>
          <w:rFonts w:hint="eastAsia" w:ascii="宋体" w:hAnsi="宋体"/>
          <w:kern w:val="0"/>
          <w:highlight w:val="none"/>
        </w:rPr>
        <w:t xml:space="preserve">项目组成员： </w:t>
      </w:r>
    </w:p>
    <w:p w14:paraId="656603DE">
      <w:pPr>
        <w:ind w:firstLine="420"/>
        <w:rPr>
          <w:rStyle w:val="44"/>
          <w:rFonts w:hint="eastAsia" w:ascii="宋体" w:hAnsi="宋体"/>
          <w:kern w:val="0"/>
          <w:highlight w:val="none"/>
        </w:rPr>
      </w:pPr>
    </w:p>
    <w:p w14:paraId="15AF3BB6">
      <w:pPr>
        <w:ind w:firstLine="422"/>
        <w:rPr>
          <w:rStyle w:val="44"/>
          <w:rFonts w:hint="eastAsia" w:ascii="宋体" w:hAnsi="宋体"/>
          <w:b/>
          <w:kern w:val="0"/>
          <w:highlight w:val="none"/>
        </w:rPr>
      </w:pPr>
      <w:r>
        <w:rPr>
          <w:rStyle w:val="44"/>
          <w:rFonts w:hint="eastAsia" w:ascii="宋体" w:hAnsi="宋体"/>
          <w:b/>
          <w:kern w:val="0"/>
          <w:highlight w:val="none"/>
        </w:rPr>
        <w:t>二、人员应急退出机制</w:t>
      </w:r>
    </w:p>
    <w:p w14:paraId="7E926358">
      <w:pPr>
        <w:ind w:firstLine="420"/>
        <w:rPr>
          <w:rStyle w:val="44"/>
          <w:rFonts w:hint="eastAsia" w:ascii="宋体" w:hAnsi="宋体"/>
          <w:kern w:val="0"/>
          <w:highlight w:val="none"/>
        </w:rPr>
      </w:pPr>
      <w:r>
        <w:rPr>
          <w:rStyle w:val="44"/>
          <w:rFonts w:hint="eastAsia" w:ascii="宋体" w:hAns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0FA29F1">
      <w:pPr>
        <w:ind w:firstLine="465" w:firstLineChars="0"/>
        <w:rPr>
          <w:rStyle w:val="44"/>
          <w:rFonts w:hint="eastAsia" w:ascii="宋体" w:hAnsi="宋体"/>
          <w:kern w:val="0"/>
          <w:highlight w:val="none"/>
        </w:rPr>
      </w:pPr>
      <w:r>
        <w:rPr>
          <w:rStyle w:val="44"/>
          <w:rFonts w:hint="eastAsia" w:ascii="宋体" w:hAnsi="宋体"/>
          <w:kern w:val="0"/>
          <w:highlight w:val="none"/>
        </w:rPr>
        <w:t>备用项目经理：</w:t>
      </w:r>
    </w:p>
    <w:p w14:paraId="2827EFDF">
      <w:pPr>
        <w:ind w:firstLine="465" w:firstLineChars="0"/>
        <w:rPr>
          <w:rStyle w:val="44"/>
          <w:rFonts w:hint="eastAsia" w:ascii="宋体" w:hAnsi="宋体"/>
          <w:kern w:val="0"/>
          <w:highlight w:val="none"/>
        </w:rPr>
      </w:pPr>
      <w:r>
        <w:rPr>
          <w:rStyle w:val="44"/>
          <w:rFonts w:hint="eastAsia" w:ascii="宋体" w:hAnsi="宋体"/>
          <w:kern w:val="0"/>
          <w:highlight w:val="none"/>
        </w:rPr>
        <w:t>备用技术骨干：</w:t>
      </w:r>
    </w:p>
    <w:p w14:paraId="1F2A1861">
      <w:pPr>
        <w:ind w:firstLine="600"/>
        <w:jc w:val="center"/>
        <w:rPr>
          <w:rStyle w:val="44"/>
          <w:rFonts w:hint="eastAsia" w:ascii="宋体" w:hAnsi="宋体"/>
          <w:sz w:val="30"/>
          <w:highlight w:val="none"/>
        </w:rPr>
      </w:pPr>
      <w:r>
        <w:rPr>
          <w:rStyle w:val="44"/>
          <w:rFonts w:hint="eastAsia" w:ascii="宋体" w:hAnsi="宋体"/>
          <w:sz w:val="30"/>
          <w:highlight w:val="none"/>
        </w:rPr>
        <w:br w:type="page"/>
      </w:r>
      <w:bookmarkStart w:id="316" w:name="_Toc63757483"/>
      <w:r>
        <w:rPr>
          <w:rStyle w:val="44"/>
          <w:rFonts w:hint="eastAsia" w:ascii="宋体" w:hAnsi="宋体"/>
          <w:sz w:val="30"/>
          <w:highlight w:val="none"/>
        </w:rPr>
        <w:t>附件三：验收标准及流程</w:t>
      </w:r>
      <w:bookmarkEnd w:id="316"/>
    </w:p>
    <w:p w14:paraId="2CF5F6F7">
      <w:pPr>
        <w:ind w:firstLine="422"/>
        <w:rPr>
          <w:rStyle w:val="44"/>
          <w:rFonts w:hint="eastAsia" w:ascii="宋体" w:hAnsi="宋体"/>
          <w:kern w:val="0"/>
          <w:highlight w:val="none"/>
        </w:rPr>
      </w:pPr>
      <w:r>
        <w:rPr>
          <w:rStyle w:val="44"/>
          <w:rFonts w:hint="eastAsia" w:ascii="宋体" w:hAnsi="宋体"/>
          <w:b/>
          <w:kern w:val="0"/>
          <w:highlight w:val="none"/>
        </w:rPr>
        <w:t>一、验收标准</w:t>
      </w:r>
    </w:p>
    <w:p w14:paraId="73101E45">
      <w:pPr>
        <w:numPr>
          <w:ilvl w:val="0"/>
          <w:numId w:val="2"/>
        </w:numPr>
        <w:ind w:firstLineChars="0"/>
        <w:rPr>
          <w:rStyle w:val="44"/>
          <w:rFonts w:hint="eastAsia" w:ascii="宋体" w:hAnsi="宋体"/>
          <w:kern w:val="0"/>
          <w:highlight w:val="none"/>
        </w:rPr>
      </w:pPr>
      <w:r>
        <w:rPr>
          <w:rStyle w:val="44"/>
          <w:rFonts w:hint="eastAsia" w:ascii="宋体" w:hAnsi="宋体"/>
          <w:kern w:val="0"/>
          <w:highlight w:val="none"/>
        </w:rPr>
        <w:t>验收系统须满足试运行期内项目产品运行稳定、无遗留问题。</w:t>
      </w:r>
    </w:p>
    <w:p w14:paraId="4C663447">
      <w:pPr>
        <w:numPr>
          <w:ilvl w:val="0"/>
          <w:numId w:val="2"/>
        </w:numPr>
        <w:ind w:firstLineChars="0"/>
        <w:rPr>
          <w:rStyle w:val="44"/>
          <w:rFonts w:hint="eastAsia" w:ascii="宋体" w:hAnsi="宋体"/>
          <w:kern w:val="0"/>
          <w:highlight w:val="none"/>
        </w:rPr>
      </w:pPr>
      <w:r>
        <w:rPr>
          <w:rStyle w:val="44"/>
          <w:rFonts w:hint="eastAsia" w:ascii="宋体" w:hAnsi="宋体"/>
          <w:kern w:val="0"/>
          <w:highlight w:val="none"/>
        </w:rPr>
        <w:t>项目知识及文档已全部完成转移。</w:t>
      </w:r>
    </w:p>
    <w:p w14:paraId="07F06156">
      <w:pPr>
        <w:ind w:firstLine="315" w:firstLineChars="150"/>
        <w:rPr>
          <w:rStyle w:val="44"/>
          <w:rFonts w:hint="eastAsia" w:ascii="宋体" w:hAnsi="宋体"/>
          <w:kern w:val="0"/>
          <w:highlight w:val="none"/>
        </w:rPr>
      </w:pPr>
      <w:r>
        <w:rPr>
          <w:rStyle w:val="44"/>
          <w:rFonts w:hint="eastAsia" w:ascii="宋体" w:hAnsi="宋体"/>
          <w:kern w:val="0"/>
          <w:highlight w:val="none"/>
        </w:rPr>
        <w:t>3、 验收交付物包括：</w:t>
      </w:r>
    </w:p>
    <w:p w14:paraId="2BD2D60B">
      <w:pPr>
        <w:ind w:firstLine="420"/>
        <w:rPr>
          <w:rStyle w:val="44"/>
          <w:rFonts w:hint="eastAsia" w:ascii="宋体" w:hAnsi="宋体" w:cs="宋体"/>
          <w:kern w:val="0"/>
          <w:highlight w:val="none"/>
          <w:lang w:val="zh-CN"/>
        </w:rPr>
      </w:pPr>
      <w:r>
        <w:rPr>
          <w:rStyle w:val="44"/>
          <w:rFonts w:hint="eastAsia" w:ascii="宋体" w:hAnsi="宋体" w:cs="宋体"/>
          <w:kern w:val="0"/>
          <w:highlight w:val="none"/>
        </w:rPr>
        <w:t>《项目需求分析说明书》、《概要设计说明书》、《详细设计说明书》、《数据库设计说明书》、《系统安装部署手册》、《系统运行维护手册》、《用户操作手册》、《试运行报告》、《验收报告》</w:t>
      </w:r>
      <w:r>
        <w:rPr>
          <w:rStyle w:val="44"/>
          <w:rFonts w:ascii="宋体" w:hAnsi="宋体" w:cs="宋体"/>
          <w:kern w:val="0"/>
          <w:highlight w:val="none"/>
        </w:rPr>
        <w:t>、</w:t>
      </w:r>
      <w:r>
        <w:rPr>
          <w:rStyle w:val="44"/>
          <w:rFonts w:hint="eastAsia" w:ascii="宋体" w:hAnsi="宋体" w:cs="宋体"/>
          <w:kern w:val="0"/>
          <w:highlight w:val="none"/>
          <w:lang w:val="zh-CN"/>
        </w:rPr>
        <w:t>《系统测试计划》、《系统测试报告》、《性能测试报告》、《安全测试报告》</w:t>
      </w:r>
      <w:r>
        <w:rPr>
          <w:rStyle w:val="44"/>
          <w:rFonts w:ascii="宋体" w:hAnsi="宋体" w:cs="宋体"/>
          <w:kern w:val="0"/>
          <w:highlight w:val="none"/>
          <w:lang w:val="zh-CN"/>
        </w:rPr>
        <w:t>、源代码</w:t>
      </w:r>
    </w:p>
    <w:p w14:paraId="526A2781">
      <w:pPr>
        <w:ind w:firstLine="422"/>
        <w:rPr>
          <w:rStyle w:val="44"/>
          <w:rFonts w:hint="eastAsia" w:ascii="宋体" w:hAnsi="宋体"/>
          <w:b/>
          <w:kern w:val="0"/>
          <w:highlight w:val="none"/>
        </w:rPr>
      </w:pPr>
      <w:r>
        <w:rPr>
          <w:rStyle w:val="44"/>
          <w:rFonts w:hint="eastAsia" w:ascii="宋体" w:hAnsi="宋体"/>
          <w:b/>
          <w:kern w:val="0"/>
          <w:highlight w:val="none"/>
        </w:rPr>
        <w:t>二、验收流程</w:t>
      </w:r>
    </w:p>
    <w:p w14:paraId="4D7A72F4">
      <w:pPr>
        <w:ind w:left="2" w:leftChars="1" w:firstLine="315" w:firstLineChars="150"/>
        <w:rPr>
          <w:rStyle w:val="44"/>
          <w:rFonts w:hint="eastAsia" w:ascii="宋体" w:hAnsi="宋体"/>
          <w:kern w:val="0"/>
          <w:highlight w:val="none"/>
        </w:rPr>
      </w:pPr>
      <w:r>
        <w:rPr>
          <w:rStyle w:val="44"/>
          <w:rFonts w:hint="eastAsia" w:ascii="宋体" w:hAns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D98D47A">
      <w:pPr>
        <w:ind w:left="-358" w:firstLine="420"/>
        <w:rPr>
          <w:rStyle w:val="44"/>
          <w:rFonts w:hint="eastAsia" w:ascii="宋体" w:hAnsi="宋体"/>
          <w:kern w:val="0"/>
          <w:highlight w:val="none"/>
        </w:rPr>
      </w:pPr>
    </w:p>
    <w:p w14:paraId="1B1C445C">
      <w:pPr>
        <w:ind w:firstLine="600"/>
        <w:jc w:val="center"/>
        <w:rPr>
          <w:rStyle w:val="44"/>
          <w:rFonts w:hint="eastAsia" w:ascii="宋体" w:hAnsi="宋体"/>
          <w:sz w:val="30"/>
          <w:highlight w:val="none"/>
        </w:rPr>
      </w:pPr>
      <w:r>
        <w:rPr>
          <w:rStyle w:val="44"/>
          <w:rFonts w:hint="eastAsia" w:ascii="宋体" w:hAnsi="宋体"/>
          <w:sz w:val="30"/>
          <w:highlight w:val="none"/>
        </w:rPr>
        <w:br w:type="page"/>
      </w:r>
      <w:bookmarkStart w:id="317" w:name="_Toc63757484"/>
      <w:r>
        <w:rPr>
          <w:rStyle w:val="44"/>
          <w:rFonts w:hint="eastAsia" w:ascii="宋体" w:hAnsi="宋体"/>
          <w:sz w:val="30"/>
          <w:highlight w:val="none"/>
        </w:rPr>
        <w:t>附件四：维护服务条款</w:t>
      </w:r>
      <w:bookmarkEnd w:id="317"/>
    </w:p>
    <w:p w14:paraId="2677309A">
      <w:pPr>
        <w:ind w:firstLine="420"/>
        <w:rPr>
          <w:highlight w:val="none"/>
          <w:lang w:val="zh-CN"/>
        </w:rPr>
      </w:pPr>
      <w:r>
        <w:rPr>
          <w:rFonts w:hint="eastAsia"/>
          <w:highlight w:val="none"/>
          <w:lang w:val="zh-CN"/>
        </w:rPr>
        <w:t>（请根据</w:t>
      </w:r>
      <w:r>
        <w:rPr>
          <w:highlight w:val="none"/>
          <w:lang w:val="zh-CN"/>
        </w:rPr>
        <w:t>项目要求及采购文件</w:t>
      </w:r>
      <w:r>
        <w:rPr>
          <w:rFonts w:hint="eastAsia"/>
          <w:highlight w:val="none"/>
          <w:lang w:val="zh-CN"/>
        </w:rPr>
        <w:t>、</w:t>
      </w:r>
      <w:r>
        <w:rPr>
          <w:highlight w:val="none"/>
          <w:lang w:val="zh-CN"/>
        </w:rPr>
        <w:t>谈判文件等进行</w:t>
      </w:r>
      <w:r>
        <w:rPr>
          <w:rFonts w:hint="eastAsia"/>
          <w:highlight w:val="none"/>
          <w:lang w:val="zh-CN"/>
        </w:rPr>
        <w:t>修订</w:t>
      </w:r>
      <w:r>
        <w:rPr>
          <w:highlight w:val="none"/>
          <w:lang w:val="zh-CN"/>
        </w:rPr>
        <w:t>）</w:t>
      </w:r>
    </w:p>
    <w:p w14:paraId="459039BE">
      <w:pPr>
        <w:ind w:firstLine="480" w:firstLineChars="0"/>
        <w:rPr>
          <w:rStyle w:val="44"/>
          <w:rFonts w:hint="eastAsia" w:ascii="宋体" w:hAnsi="宋体"/>
          <w:kern w:val="0"/>
          <w:highlight w:val="none"/>
        </w:rPr>
      </w:pPr>
      <w:r>
        <w:rPr>
          <w:rStyle w:val="44"/>
          <w:rFonts w:hint="eastAsia" w:ascii="宋体" w:hAnsi="宋体"/>
          <w:kern w:val="0"/>
          <w:highlight w:val="none"/>
        </w:rPr>
        <w:t>乙方业务代表作为技术服务的第一联系人，项目经理作为该项目的技术服务第二联系人，随时接受客户的电话服务支持，并申请调配相关资源为客户提供及时服务。</w:t>
      </w:r>
    </w:p>
    <w:p w14:paraId="490417E6">
      <w:pPr>
        <w:numPr>
          <w:ilvl w:val="0"/>
          <w:numId w:val="3"/>
        </w:numPr>
        <w:ind w:firstLineChars="0"/>
        <w:rPr>
          <w:rStyle w:val="44"/>
          <w:rFonts w:hint="eastAsia" w:ascii="宋体" w:hAnsi="宋体"/>
          <w:highlight w:val="none"/>
        </w:rPr>
      </w:pPr>
      <w:r>
        <w:rPr>
          <w:rStyle w:val="44"/>
          <w:rFonts w:hint="eastAsia" w:ascii="宋体" w:hAns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44"/>
          <w:rFonts w:hint="eastAsia" w:ascii="宋体" w:hAnsi="宋体"/>
          <w:highlight w:val="none"/>
        </w:rPr>
        <w:t>至次年</w:t>
      </w:r>
      <w:r>
        <w:rPr>
          <w:rFonts w:hint="eastAsia" w:ascii="宋体"/>
          <w:highlight w:val="none"/>
        </w:rPr>
        <w:t>并延期至6月30日或12月31日中较近日期（即维保延期最长不超过半年）</w:t>
      </w:r>
      <w:r>
        <w:rPr>
          <w:rStyle w:val="44"/>
          <w:rFonts w:hint="eastAsia" w:ascii="宋体" w:hAnsi="宋体"/>
          <w:highlight w:val="none"/>
        </w:rPr>
        <w:t>提供支持和服务。</w:t>
      </w:r>
    </w:p>
    <w:p w14:paraId="3D159F48">
      <w:pPr>
        <w:numPr>
          <w:ilvl w:val="0"/>
          <w:numId w:val="3"/>
        </w:numPr>
        <w:ind w:firstLineChars="0"/>
        <w:rPr>
          <w:rStyle w:val="44"/>
          <w:rFonts w:hint="eastAsia" w:ascii="宋体" w:hAnsi="宋体"/>
          <w:highlight w:val="none"/>
        </w:rPr>
      </w:pPr>
      <w:r>
        <w:rPr>
          <w:rStyle w:val="44"/>
          <w:rFonts w:hint="eastAsia" w:ascii="宋体" w:hAnsi="宋体"/>
          <w:highlight w:val="none"/>
        </w:rPr>
        <w:t>维护期内，提供平台升级及优化服务。</w:t>
      </w:r>
    </w:p>
    <w:p w14:paraId="018C6700">
      <w:pPr>
        <w:numPr>
          <w:ilvl w:val="0"/>
          <w:numId w:val="3"/>
        </w:numPr>
        <w:ind w:firstLineChars="0"/>
        <w:rPr>
          <w:rStyle w:val="44"/>
          <w:rFonts w:hint="eastAsia" w:ascii="宋体" w:hAnsi="宋体"/>
          <w:highlight w:val="none"/>
        </w:rPr>
      </w:pPr>
      <w:r>
        <w:rPr>
          <w:rStyle w:val="44"/>
          <w:rFonts w:hint="eastAsia" w:ascii="宋体" w:hAnsi="宋体"/>
          <w:highlight w:val="none"/>
        </w:rPr>
        <w:t>系统上线后，提供二次系统和产品的培训，时间为每次1天。在维护期内，也可以根据用户需求，随时到客户现场进行系统和产品的培训。</w:t>
      </w:r>
    </w:p>
    <w:p w14:paraId="02581650">
      <w:pPr>
        <w:numPr>
          <w:ilvl w:val="0"/>
          <w:numId w:val="3"/>
        </w:numPr>
        <w:ind w:firstLineChars="0"/>
        <w:rPr>
          <w:rFonts w:ascii="宋体"/>
          <w:highlight w:val="none"/>
        </w:rPr>
      </w:pPr>
      <w:r>
        <w:rPr>
          <w:rStyle w:val="44"/>
          <w:rFonts w:hint="eastAsia" w:ascii="宋体" w:hAnsi="宋体"/>
          <w:highlight w:val="none"/>
        </w:rPr>
        <w:t>维护期内，每季度派工程师现场巡检一次，并在巡检后提交巡检报告，针对巡检中发现的问题立即组织整改。</w:t>
      </w:r>
      <w:bookmarkStart w:id="318" w:name="_Toc87509290"/>
      <w:bookmarkStart w:id="319" w:name="_Toc131174383"/>
      <w:bookmarkStart w:id="320" w:name="_Toc85087070"/>
    </w:p>
    <w:p w14:paraId="085CAE18">
      <w:pPr>
        <w:ind w:firstLine="420"/>
        <w:rPr>
          <w:rFonts w:ascii="宋体"/>
          <w:highlight w:val="none"/>
        </w:rPr>
      </w:pPr>
      <w:r>
        <w:rPr>
          <w:rFonts w:hint="eastAsia" w:ascii="宋体"/>
          <w:highlight w:val="none"/>
        </w:rPr>
        <w:t>支持方式和手段</w:t>
      </w:r>
      <w:bookmarkEnd w:id="318"/>
      <w:bookmarkEnd w:id="319"/>
      <w:bookmarkEnd w:id="320"/>
    </w:p>
    <w:p w14:paraId="668F8214">
      <w:pPr>
        <w:numPr>
          <w:ilvl w:val="0"/>
          <w:numId w:val="4"/>
        </w:numPr>
        <w:ind w:firstLineChars="0"/>
        <w:rPr>
          <w:rFonts w:ascii="宋体"/>
          <w:highlight w:val="none"/>
        </w:rPr>
      </w:pPr>
      <w:r>
        <w:rPr>
          <w:rFonts w:hint="eastAsia" w:ascii="宋体"/>
          <w:highlight w:val="none"/>
        </w:rPr>
        <w:t>热线电话</w:t>
      </w:r>
      <w:r>
        <w:rPr>
          <w:rFonts w:hint="eastAsia" w:ascii="宋体"/>
          <w:highlight w:val="none"/>
        </w:rPr>
        <w:br w:type="textWrapping"/>
      </w:r>
      <w:r>
        <w:rPr>
          <w:rFonts w:hint="eastAsia" w:ascii="宋体"/>
          <w:highlight w:val="none"/>
        </w:rPr>
        <w:t>针对具体业务过程中产生的各种技术咨询，开设专线，提供7*24小时的技术服务支持。</w:t>
      </w:r>
    </w:p>
    <w:p w14:paraId="2A7E230A">
      <w:pPr>
        <w:numPr>
          <w:ilvl w:val="0"/>
          <w:numId w:val="4"/>
        </w:numPr>
        <w:ind w:firstLineChars="0"/>
        <w:rPr>
          <w:rFonts w:ascii="宋体"/>
          <w:highlight w:val="none"/>
        </w:rPr>
      </w:pPr>
      <w:r>
        <w:rPr>
          <w:rFonts w:hint="eastAsia" w:ascii="宋体"/>
          <w:highlight w:val="none"/>
        </w:rPr>
        <w:t>E-mail</w:t>
      </w:r>
      <w:r>
        <w:rPr>
          <w:rFonts w:hint="eastAsia" w:ascii="宋体"/>
          <w:highlight w:val="none"/>
        </w:rPr>
        <w:br w:type="textWrapping"/>
      </w:r>
      <w:r>
        <w:rPr>
          <w:rFonts w:hint="eastAsia" w:ascii="宋体"/>
          <w:highlight w:val="none"/>
        </w:rPr>
        <w:t>客户建议、意见及技术支持同样可以通过</w:t>
      </w:r>
      <w:r>
        <w:rPr>
          <w:rFonts w:hint="eastAsia" w:ascii="宋体"/>
          <w:highlight w:val="none"/>
          <w:u w:val="single"/>
        </w:rPr>
        <w:t>XXXXX公司（乙方</w:t>
      </w:r>
      <w:r>
        <w:rPr>
          <w:rFonts w:ascii="宋体"/>
          <w:highlight w:val="none"/>
          <w:u w:val="single"/>
        </w:rPr>
        <w:t>）</w:t>
      </w:r>
      <w:r>
        <w:rPr>
          <w:rFonts w:hint="eastAsia" w:ascii="宋体"/>
          <w:highlight w:val="none"/>
        </w:rPr>
        <w:t>提供的服务支持电子信箱获得响应，我们将做出详细、全面的服务解答，在半天内给予E-mail回复。</w:t>
      </w:r>
    </w:p>
    <w:p w14:paraId="4412F4F9">
      <w:pPr>
        <w:numPr>
          <w:ilvl w:val="0"/>
          <w:numId w:val="4"/>
        </w:numPr>
        <w:ind w:firstLineChars="0"/>
        <w:rPr>
          <w:rFonts w:ascii="宋体"/>
          <w:highlight w:val="none"/>
        </w:rPr>
      </w:pPr>
      <w:r>
        <w:rPr>
          <w:rFonts w:hint="eastAsia" w:ascii="宋体"/>
          <w:highlight w:val="none"/>
        </w:rPr>
        <w:t>远程登录</w:t>
      </w:r>
      <w:r>
        <w:rPr>
          <w:rFonts w:hint="eastAsia" w:ascii="宋体"/>
          <w:highlight w:val="none"/>
        </w:rPr>
        <w:br w:type="textWrapping"/>
      </w:r>
      <w:r>
        <w:rPr>
          <w:rFonts w:hint="eastAsia" w:ascii="宋体"/>
          <w:highlight w:val="none"/>
        </w:rPr>
        <w:t>对客户所遇到技术问题可以在客户条件许可的情况下进行远程访问排除故障，以方便客户能够及时解决疑难杂症。</w:t>
      </w:r>
    </w:p>
    <w:p w14:paraId="264CD318">
      <w:pPr>
        <w:numPr>
          <w:ilvl w:val="0"/>
          <w:numId w:val="4"/>
        </w:numPr>
        <w:ind w:firstLineChars="0"/>
        <w:rPr>
          <w:rFonts w:ascii="宋体"/>
          <w:highlight w:val="none"/>
        </w:rPr>
      </w:pPr>
      <w:r>
        <w:rPr>
          <w:rFonts w:hint="eastAsia" w:ascii="宋体"/>
          <w:highlight w:val="none"/>
        </w:rPr>
        <w:t>现场支持</w:t>
      </w:r>
      <w:r>
        <w:rPr>
          <w:rFonts w:hint="eastAsia" w:ascii="宋体"/>
          <w:highlight w:val="none"/>
        </w:rPr>
        <w:br w:type="textWrapping"/>
      </w: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6C4B0301">
      <w:pPr>
        <w:numPr>
          <w:ilvl w:val="0"/>
          <w:numId w:val="4"/>
        </w:numPr>
        <w:ind w:firstLineChars="0"/>
        <w:rPr>
          <w:rFonts w:ascii="宋体"/>
          <w:highlight w:val="none"/>
        </w:rPr>
      </w:pPr>
      <w:r>
        <w:rPr>
          <w:rFonts w:hint="eastAsia" w:ascii="宋体"/>
          <w:highlight w:val="none"/>
        </w:rPr>
        <w:t>运行日志定期检查</w:t>
      </w:r>
      <w:r>
        <w:rPr>
          <w:rFonts w:hint="eastAsia" w:ascii="宋体"/>
          <w:highlight w:val="none"/>
        </w:rPr>
        <w:br w:type="textWrapping"/>
      </w:r>
      <w:r>
        <w:rPr>
          <w:rFonts w:hint="eastAsia" w:ascii="宋体"/>
          <w:highlight w:val="none"/>
        </w:rPr>
        <w:t>最好的服务方式是提前发现问题，将问题解决于发生前，在</w:t>
      </w:r>
      <w:r>
        <w:rPr>
          <w:rStyle w:val="44"/>
          <w:rFonts w:hint="eastAsia" w:ascii="宋体" w:hAns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14BF1B8D">
      <w:pPr>
        <w:numPr>
          <w:ilvl w:val="0"/>
          <w:numId w:val="4"/>
        </w:numPr>
        <w:ind w:firstLineChars="0"/>
        <w:rPr>
          <w:rFonts w:ascii="宋体"/>
          <w:highlight w:val="none"/>
        </w:rPr>
      </w:pPr>
      <w:r>
        <w:rPr>
          <w:rFonts w:hint="eastAsia" w:ascii="宋体"/>
          <w:highlight w:val="none"/>
        </w:rPr>
        <w:t>故障处理流程</w:t>
      </w:r>
    </w:p>
    <w:p w14:paraId="0290B024">
      <w:pPr>
        <w:ind w:left="420" w:firstLine="420"/>
        <w:rPr>
          <w:rFonts w:ascii="宋体"/>
          <w:highlight w:val="none"/>
        </w:rPr>
        <w:sectPr>
          <w:headerReference r:id="rId13" w:type="first"/>
          <w:footerReference r:id="rId16" w:type="first"/>
          <w:headerReference r:id="rId12" w:type="default"/>
          <w:footerReference r:id="rId14" w:type="default"/>
          <w:footerReference r:id="rId15" w:type="even"/>
          <w:pgSz w:w="11906" w:h="16838"/>
          <w:pgMar w:top="1440" w:right="1797" w:bottom="1440" w:left="1797" w:header="851" w:footer="992" w:gutter="0"/>
          <w:pgNumType w:fmt="decimal"/>
          <w:cols w:space="425" w:num="1"/>
          <w:docGrid w:type="lines" w:linePitch="326" w:charSpace="9390"/>
        </w:sectPr>
      </w:pPr>
      <w:r>
        <w:rPr>
          <w:rFonts w:hint="eastAsia" w:ascii="宋体"/>
          <w:highlight w:val="none"/>
        </w:rPr>
        <w:t>通过现象定位错误原因，编写处理说明书（包含处理完成时间）。</w:t>
      </w:r>
    </w:p>
    <w:p w14:paraId="03C2063C">
      <w:pPr>
        <w:ind w:firstLine="600"/>
        <w:jc w:val="center"/>
        <w:rPr>
          <w:rStyle w:val="44"/>
          <w:rFonts w:hint="eastAsia" w:ascii="宋体" w:hAnsi="宋体"/>
          <w:sz w:val="30"/>
          <w:highlight w:val="none"/>
        </w:rPr>
      </w:pPr>
      <w:bookmarkStart w:id="321" w:name="_Toc63757485"/>
      <w:r>
        <w:rPr>
          <w:rStyle w:val="44"/>
          <w:rFonts w:hint="eastAsia" w:ascii="宋体" w:hAnsi="宋体"/>
          <w:sz w:val="30"/>
          <w:highlight w:val="none"/>
        </w:rPr>
        <w:t>附件五：服务水平协议（SLA）</w:t>
      </w:r>
      <w:bookmarkEnd w:id="321"/>
    </w:p>
    <w:p w14:paraId="4575E545">
      <w:pPr>
        <w:ind w:firstLine="420"/>
        <w:rPr>
          <w:rFonts w:ascii="宋体"/>
          <w:kern w:val="0"/>
          <w:szCs w:val="24"/>
          <w:highlight w:val="none"/>
        </w:rPr>
      </w:pPr>
    </w:p>
    <w:p w14:paraId="56E95EBF">
      <w:pPr>
        <w:ind w:firstLine="422"/>
        <w:rPr>
          <w:rFonts w:ascii="宋体"/>
          <w:b/>
          <w:bCs/>
          <w:szCs w:val="24"/>
          <w:highlight w:val="none"/>
        </w:rPr>
      </w:pPr>
      <w:bookmarkStart w:id="322" w:name="_Toc254884639"/>
      <w:r>
        <w:rPr>
          <w:rFonts w:hint="eastAsia" w:ascii="宋体"/>
          <w:b/>
          <w:bCs/>
          <w:kern w:val="32"/>
          <w:szCs w:val="24"/>
          <w:highlight w:val="none"/>
        </w:rPr>
        <w:t>1. 目标</w:t>
      </w:r>
      <w:bookmarkEnd w:id="322"/>
    </w:p>
    <w:p w14:paraId="51E4BC5F">
      <w:pPr>
        <w:ind w:firstLine="420"/>
        <w:rPr>
          <w:rFonts w:ascii="宋体"/>
          <w:szCs w:val="24"/>
          <w:highlight w:val="none"/>
        </w:rPr>
      </w:pPr>
      <w:r>
        <w:rPr>
          <w:rFonts w:hint="eastAsia" w:ascii="宋体"/>
          <w:szCs w:val="24"/>
          <w:highlight w:val="none"/>
        </w:rPr>
        <w:t>本服务水平协议（SLA）的目标是为了清晰地定义由xxxxxx公司（乙方）在本项目中为重庆三峡银行（甲方）提供的服务水平，本SLA主要：</w:t>
      </w:r>
    </w:p>
    <w:p w14:paraId="4F1B736F">
      <w:pPr>
        <w:widowControl/>
        <w:numPr>
          <w:ilvl w:val="0"/>
          <w:numId w:val="5"/>
        </w:numPr>
        <w:ind w:firstLineChars="0"/>
        <w:jc w:val="left"/>
        <w:rPr>
          <w:rFonts w:ascii="宋体"/>
          <w:szCs w:val="24"/>
          <w:highlight w:val="none"/>
        </w:rPr>
      </w:pPr>
      <w:r>
        <w:rPr>
          <w:rFonts w:hint="eastAsia" w:ascii="宋体"/>
          <w:szCs w:val="24"/>
          <w:highlight w:val="none"/>
        </w:rPr>
        <w:t>明确甲方对外包乙方所提供服务水平的期望</w:t>
      </w:r>
    </w:p>
    <w:p w14:paraId="6B284AE1">
      <w:pPr>
        <w:widowControl/>
        <w:numPr>
          <w:ilvl w:val="0"/>
          <w:numId w:val="5"/>
        </w:numPr>
        <w:ind w:firstLineChars="0"/>
        <w:jc w:val="left"/>
        <w:rPr>
          <w:rFonts w:ascii="宋体"/>
          <w:szCs w:val="24"/>
          <w:highlight w:val="none"/>
        </w:rPr>
      </w:pPr>
      <w:r>
        <w:rPr>
          <w:rFonts w:hint="eastAsia" w:ascii="宋体"/>
          <w:szCs w:val="24"/>
          <w:highlight w:val="none"/>
        </w:rPr>
        <w:t>规范和加强甲方对乙方所提供服务水平的控制</w:t>
      </w:r>
    </w:p>
    <w:p w14:paraId="03CD869D">
      <w:pPr>
        <w:ind w:firstLine="420"/>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7EB1E5A9">
      <w:pPr>
        <w:ind w:firstLine="422"/>
        <w:rPr>
          <w:rFonts w:ascii="宋体"/>
          <w:b/>
          <w:bCs/>
          <w:kern w:val="32"/>
          <w:szCs w:val="24"/>
          <w:highlight w:val="none"/>
        </w:rPr>
      </w:pPr>
      <w:bookmarkStart w:id="323" w:name="_Toc254884640"/>
      <w:r>
        <w:rPr>
          <w:rFonts w:hint="eastAsia" w:ascii="宋体"/>
          <w:b/>
          <w:bCs/>
          <w:kern w:val="32"/>
          <w:szCs w:val="24"/>
          <w:highlight w:val="none"/>
        </w:rPr>
        <w:t>2. 协议期限</w:t>
      </w:r>
      <w:bookmarkEnd w:id="323"/>
    </w:p>
    <w:p w14:paraId="09C4802E">
      <w:pPr>
        <w:ind w:firstLine="371"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52761AE2">
      <w:pPr>
        <w:ind w:firstLine="422"/>
        <w:rPr>
          <w:rFonts w:ascii="宋体"/>
          <w:b/>
          <w:bCs/>
          <w:kern w:val="32"/>
          <w:szCs w:val="24"/>
          <w:highlight w:val="none"/>
        </w:rPr>
      </w:pPr>
      <w:bookmarkStart w:id="324" w:name="_Toc254884641"/>
      <w:r>
        <w:rPr>
          <w:rFonts w:hint="eastAsia" w:ascii="宋体"/>
          <w:b/>
          <w:bCs/>
          <w:kern w:val="32"/>
          <w:szCs w:val="24"/>
          <w:highlight w:val="none"/>
        </w:rPr>
        <w:t>3. 双方职责</w:t>
      </w:r>
      <w:bookmarkEnd w:id="324"/>
    </w:p>
    <w:p w14:paraId="17F23675">
      <w:pPr>
        <w:ind w:firstLine="422"/>
        <w:rPr>
          <w:rFonts w:ascii="宋体"/>
          <w:b/>
          <w:bCs/>
          <w:kern w:val="32"/>
          <w:szCs w:val="24"/>
          <w:highlight w:val="none"/>
        </w:rPr>
      </w:pPr>
      <w:bookmarkStart w:id="325" w:name="_Toc254884642"/>
      <w:r>
        <w:rPr>
          <w:rFonts w:hint="eastAsia" w:ascii="宋体"/>
          <w:b/>
          <w:bCs/>
          <w:kern w:val="32"/>
          <w:szCs w:val="24"/>
          <w:highlight w:val="none"/>
        </w:rPr>
        <w:t>3.1乙方</w:t>
      </w:r>
      <w:bookmarkEnd w:id="325"/>
    </w:p>
    <w:p w14:paraId="421FDEA0">
      <w:pPr>
        <w:ind w:firstLine="420"/>
        <w:rPr>
          <w:rFonts w:ascii="宋体"/>
          <w:szCs w:val="24"/>
          <w:highlight w:val="none"/>
        </w:rPr>
      </w:pPr>
      <w:r>
        <w:rPr>
          <w:rFonts w:hint="eastAsia" w:ascii="宋体"/>
          <w:szCs w:val="24"/>
          <w:highlight w:val="none"/>
        </w:rPr>
        <w:t>除本协议第7条描述的服务水平衡量和目标外，乙方还应：</w:t>
      </w:r>
    </w:p>
    <w:p w14:paraId="5BAC7BD6">
      <w:pPr>
        <w:widowControl/>
        <w:numPr>
          <w:ilvl w:val="0"/>
          <w:numId w:val="5"/>
        </w:numPr>
        <w:ind w:firstLineChars="0"/>
        <w:jc w:val="left"/>
        <w:rPr>
          <w:rFonts w:ascii="宋体"/>
          <w:szCs w:val="24"/>
          <w:highlight w:val="none"/>
        </w:rPr>
      </w:pPr>
      <w:r>
        <w:rPr>
          <w:rFonts w:hint="eastAsia" w:ascii="宋体"/>
          <w:szCs w:val="24"/>
          <w:highlight w:val="none"/>
        </w:rPr>
        <w:t>尽快向甲方管理层汇报发现的问题；</w:t>
      </w:r>
    </w:p>
    <w:p w14:paraId="0317A72C">
      <w:pPr>
        <w:widowControl/>
        <w:numPr>
          <w:ilvl w:val="0"/>
          <w:numId w:val="5"/>
        </w:numPr>
        <w:ind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3D750213">
      <w:pPr>
        <w:widowControl/>
        <w:numPr>
          <w:ilvl w:val="0"/>
          <w:numId w:val="6"/>
        </w:numPr>
        <w:ind w:firstLineChars="0"/>
        <w:jc w:val="left"/>
        <w:rPr>
          <w:rFonts w:ascii="宋体"/>
          <w:szCs w:val="24"/>
          <w:highlight w:val="none"/>
        </w:rPr>
      </w:pPr>
      <w:r>
        <w:rPr>
          <w:rFonts w:hint="eastAsia" w:ascii="宋体"/>
          <w:szCs w:val="24"/>
          <w:highlight w:val="none"/>
        </w:rPr>
        <w:t>组织架构变更</w:t>
      </w:r>
    </w:p>
    <w:p w14:paraId="4CDD6A7F">
      <w:pPr>
        <w:widowControl/>
        <w:numPr>
          <w:ilvl w:val="0"/>
          <w:numId w:val="6"/>
        </w:numPr>
        <w:ind w:firstLineChars="0"/>
        <w:jc w:val="left"/>
        <w:rPr>
          <w:rFonts w:ascii="宋体"/>
          <w:szCs w:val="24"/>
          <w:highlight w:val="none"/>
        </w:rPr>
      </w:pPr>
      <w:r>
        <w:rPr>
          <w:rFonts w:hint="eastAsia" w:ascii="宋体"/>
          <w:szCs w:val="24"/>
          <w:highlight w:val="none"/>
        </w:rPr>
        <w:t>技术变更</w:t>
      </w:r>
    </w:p>
    <w:p w14:paraId="654B6193">
      <w:pPr>
        <w:widowControl/>
        <w:numPr>
          <w:ilvl w:val="0"/>
          <w:numId w:val="6"/>
        </w:numPr>
        <w:ind w:firstLineChars="0"/>
        <w:jc w:val="left"/>
        <w:rPr>
          <w:rFonts w:ascii="宋体"/>
          <w:szCs w:val="24"/>
          <w:highlight w:val="none"/>
        </w:rPr>
      </w:pPr>
      <w:r>
        <w:rPr>
          <w:rFonts w:hint="eastAsia" w:ascii="宋体"/>
          <w:szCs w:val="24"/>
          <w:highlight w:val="none"/>
        </w:rPr>
        <w:t>职能变更</w:t>
      </w:r>
    </w:p>
    <w:p w14:paraId="17EB43A2">
      <w:pPr>
        <w:widowControl/>
        <w:numPr>
          <w:ilvl w:val="0"/>
          <w:numId w:val="6"/>
        </w:numPr>
        <w:ind w:firstLineChars="0"/>
        <w:jc w:val="left"/>
        <w:rPr>
          <w:rFonts w:ascii="宋体"/>
          <w:szCs w:val="24"/>
          <w:highlight w:val="none"/>
        </w:rPr>
      </w:pPr>
      <w:r>
        <w:rPr>
          <w:rFonts w:hint="eastAsia" w:ascii="宋体"/>
          <w:szCs w:val="24"/>
          <w:highlight w:val="none"/>
        </w:rPr>
        <w:t>其他可能影响对甲方服务的突发事件</w:t>
      </w:r>
    </w:p>
    <w:p w14:paraId="378E61AA">
      <w:pPr>
        <w:widowControl/>
        <w:numPr>
          <w:ilvl w:val="0"/>
          <w:numId w:val="5"/>
        </w:numPr>
        <w:ind w:left="709" w:hanging="229" w:firstLineChars="0"/>
        <w:jc w:val="left"/>
        <w:rPr>
          <w:rFonts w:ascii="宋体"/>
          <w:szCs w:val="24"/>
          <w:highlight w:val="none"/>
        </w:rPr>
      </w:pPr>
      <w:r>
        <w:rPr>
          <w:rFonts w:hint="eastAsia" w:ascii="宋体"/>
          <w:szCs w:val="24"/>
          <w:highlight w:val="none"/>
        </w:rPr>
        <w:t xml:space="preserve"> 协助甲方及时解决生产事件。当问题产生时，应尽快采取适当的措施识别并修复问题。</w:t>
      </w:r>
    </w:p>
    <w:p w14:paraId="6C4578FE">
      <w:pPr>
        <w:ind w:firstLine="422"/>
        <w:rPr>
          <w:rFonts w:ascii="宋体"/>
          <w:b/>
          <w:bCs/>
          <w:kern w:val="32"/>
          <w:szCs w:val="24"/>
          <w:highlight w:val="none"/>
        </w:rPr>
      </w:pPr>
      <w:r>
        <w:rPr>
          <w:rFonts w:hint="eastAsia" w:ascii="宋体"/>
          <w:b/>
          <w:bCs/>
          <w:kern w:val="32"/>
          <w:szCs w:val="24"/>
          <w:highlight w:val="none"/>
        </w:rPr>
        <w:t>3.2甲方</w:t>
      </w:r>
    </w:p>
    <w:p w14:paraId="403F97FE">
      <w:pPr>
        <w:widowControl/>
        <w:numPr>
          <w:ilvl w:val="0"/>
          <w:numId w:val="5"/>
        </w:numPr>
        <w:ind w:left="709" w:hanging="229" w:firstLineChars="0"/>
        <w:jc w:val="left"/>
        <w:rPr>
          <w:rFonts w:ascii="宋体"/>
          <w:szCs w:val="24"/>
          <w:highlight w:val="none"/>
        </w:rPr>
      </w:pPr>
      <w:r>
        <w:rPr>
          <w:rFonts w:hint="eastAsia" w:ascii="宋体"/>
          <w:szCs w:val="24"/>
          <w:highlight w:val="none"/>
        </w:rPr>
        <w:t>甲方将尽快将问题汇报给乙方管理层；</w:t>
      </w:r>
    </w:p>
    <w:p w14:paraId="62B6BE84">
      <w:pPr>
        <w:widowControl/>
        <w:numPr>
          <w:ilvl w:val="0"/>
          <w:numId w:val="5"/>
        </w:numPr>
        <w:ind w:left="709" w:hanging="229"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17B7C697">
      <w:pPr>
        <w:widowControl/>
        <w:numPr>
          <w:ilvl w:val="0"/>
          <w:numId w:val="6"/>
        </w:numPr>
        <w:ind w:firstLineChars="0"/>
        <w:jc w:val="left"/>
        <w:rPr>
          <w:rFonts w:ascii="宋体"/>
          <w:szCs w:val="24"/>
          <w:highlight w:val="none"/>
        </w:rPr>
      </w:pPr>
      <w:r>
        <w:rPr>
          <w:rFonts w:hint="eastAsia" w:ascii="宋体"/>
          <w:szCs w:val="24"/>
          <w:highlight w:val="none"/>
        </w:rPr>
        <w:t>组织架构变更</w:t>
      </w:r>
    </w:p>
    <w:p w14:paraId="004A5345">
      <w:pPr>
        <w:widowControl/>
        <w:numPr>
          <w:ilvl w:val="0"/>
          <w:numId w:val="6"/>
        </w:numPr>
        <w:ind w:firstLineChars="0"/>
        <w:jc w:val="left"/>
        <w:rPr>
          <w:rFonts w:ascii="宋体"/>
          <w:szCs w:val="24"/>
          <w:highlight w:val="none"/>
        </w:rPr>
      </w:pPr>
      <w:r>
        <w:rPr>
          <w:rFonts w:hint="eastAsia" w:ascii="宋体"/>
          <w:szCs w:val="24"/>
          <w:highlight w:val="none"/>
        </w:rPr>
        <w:t>技术变更</w:t>
      </w:r>
    </w:p>
    <w:p w14:paraId="3E692B53">
      <w:pPr>
        <w:widowControl/>
        <w:numPr>
          <w:ilvl w:val="0"/>
          <w:numId w:val="6"/>
        </w:numPr>
        <w:ind w:firstLineChars="0"/>
        <w:jc w:val="left"/>
        <w:rPr>
          <w:rFonts w:ascii="宋体"/>
          <w:szCs w:val="24"/>
          <w:highlight w:val="none"/>
        </w:rPr>
      </w:pPr>
      <w:r>
        <w:rPr>
          <w:rFonts w:hint="eastAsia" w:ascii="宋体"/>
          <w:szCs w:val="24"/>
          <w:highlight w:val="none"/>
        </w:rPr>
        <w:t>职能变更</w:t>
      </w:r>
    </w:p>
    <w:p w14:paraId="63AFDDE7">
      <w:pPr>
        <w:ind w:firstLine="422"/>
        <w:rPr>
          <w:rFonts w:ascii="宋体"/>
          <w:b/>
          <w:bCs/>
          <w:kern w:val="32"/>
          <w:szCs w:val="24"/>
          <w:highlight w:val="none"/>
        </w:rPr>
      </w:pPr>
      <w:bookmarkStart w:id="326" w:name="_Toc254884644"/>
      <w:r>
        <w:rPr>
          <w:rFonts w:hint="eastAsia" w:ascii="宋体"/>
          <w:b/>
          <w:bCs/>
          <w:kern w:val="32"/>
          <w:szCs w:val="24"/>
          <w:highlight w:val="none"/>
        </w:rPr>
        <w:t>4. 服务内容</w:t>
      </w:r>
      <w:bookmarkEnd w:id="326"/>
    </w:p>
    <w:tbl>
      <w:tblPr>
        <w:tblStyle w:val="23"/>
        <w:tblW w:w="889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3"/>
        <w:gridCol w:w="1970"/>
        <w:gridCol w:w="5903"/>
      </w:tblGrid>
      <w:tr w14:paraId="06EA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6CE0CB78">
            <w:pPr>
              <w:ind w:firstLine="0" w:firstLineChars="0"/>
              <w:rPr>
                <w:rFonts w:ascii="宋体"/>
                <w:szCs w:val="24"/>
                <w:highlight w:val="none"/>
              </w:rPr>
            </w:pPr>
            <w:r>
              <w:rPr>
                <w:rFonts w:hint="eastAsia" w:ascii="宋体"/>
                <w:b/>
                <w:bCs/>
                <w:kern w:val="32"/>
                <w:szCs w:val="24"/>
                <w:highlight w:val="none"/>
              </w:rPr>
              <w:t>4.1技术管理</w:t>
            </w:r>
          </w:p>
        </w:tc>
      </w:tr>
      <w:tr w14:paraId="7144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74AE45A2">
            <w:pPr>
              <w:ind w:firstLine="0" w:firstLineChars="0"/>
              <w:rPr>
                <w:rFonts w:ascii="宋体"/>
                <w:szCs w:val="24"/>
                <w:highlight w:val="none"/>
              </w:rPr>
            </w:pPr>
            <w:r>
              <w:rPr>
                <w:rFonts w:hint="eastAsia" w:ascii="宋体"/>
                <w:szCs w:val="24"/>
                <w:highlight w:val="none"/>
              </w:rPr>
              <w:t>4.1.1</w:t>
            </w:r>
          </w:p>
        </w:tc>
        <w:tc>
          <w:tcPr>
            <w:tcW w:w="1970" w:type="dxa"/>
            <w:tcBorders>
              <w:top w:val="single" w:color="000000" w:sz="4" w:space="0"/>
              <w:left w:val="single" w:color="000000" w:sz="4" w:space="0"/>
              <w:right w:val="single" w:color="000000" w:sz="4" w:space="0"/>
            </w:tcBorders>
            <w:vAlign w:val="center"/>
          </w:tcPr>
          <w:p w14:paraId="5CB23C41">
            <w:pPr>
              <w:ind w:firstLine="0" w:firstLineChars="0"/>
              <w:rPr>
                <w:rFonts w:ascii="宋体"/>
                <w:szCs w:val="24"/>
                <w:highlight w:val="none"/>
              </w:rPr>
            </w:pPr>
            <w:r>
              <w:rPr>
                <w:rFonts w:hint="eastAsia" w:ascii="宋体"/>
                <w:szCs w:val="24"/>
                <w:highlight w:val="none"/>
              </w:rPr>
              <w:t>项目执行控制</w:t>
            </w:r>
          </w:p>
        </w:tc>
        <w:tc>
          <w:tcPr>
            <w:tcW w:w="5903" w:type="dxa"/>
            <w:tcBorders>
              <w:top w:val="single" w:color="000000" w:sz="4" w:space="0"/>
              <w:left w:val="single" w:color="000000" w:sz="4" w:space="0"/>
              <w:bottom w:val="single" w:color="000000" w:sz="4" w:space="0"/>
              <w:right w:val="single" w:color="000000" w:sz="4" w:space="0"/>
            </w:tcBorders>
            <w:vAlign w:val="center"/>
          </w:tcPr>
          <w:p w14:paraId="3CBE72BD">
            <w:pPr>
              <w:ind w:firstLine="0" w:firstLineChars="0"/>
              <w:rPr>
                <w:rFonts w:ascii="宋体"/>
                <w:szCs w:val="24"/>
                <w:highlight w:val="none"/>
              </w:rPr>
            </w:pPr>
            <w:r>
              <w:rPr>
                <w:rFonts w:hint="eastAsia" w:ascii="宋体"/>
                <w:szCs w:val="24"/>
                <w:highlight w:val="none"/>
              </w:rPr>
              <w:t>管理目标、沟通和范围</w:t>
            </w:r>
          </w:p>
        </w:tc>
      </w:tr>
      <w:tr w14:paraId="1745D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E65A8A5">
            <w:pPr>
              <w:ind w:firstLine="0" w:firstLineChars="0"/>
              <w:rPr>
                <w:rFonts w:ascii="宋体"/>
                <w:szCs w:val="24"/>
                <w:highlight w:val="none"/>
              </w:rPr>
            </w:pPr>
            <w:r>
              <w:rPr>
                <w:rFonts w:hint="eastAsia" w:ascii="宋体"/>
                <w:szCs w:val="24"/>
                <w:highlight w:val="none"/>
              </w:rPr>
              <w:t>4.1.2</w:t>
            </w:r>
          </w:p>
        </w:tc>
        <w:tc>
          <w:tcPr>
            <w:tcW w:w="1970" w:type="dxa"/>
            <w:tcBorders>
              <w:top w:val="single" w:color="000000" w:sz="4" w:space="0"/>
              <w:left w:val="single" w:color="000000" w:sz="4" w:space="0"/>
              <w:right w:val="single" w:color="000000" w:sz="4" w:space="0"/>
            </w:tcBorders>
            <w:vAlign w:val="center"/>
          </w:tcPr>
          <w:p w14:paraId="4D03B64E">
            <w:pPr>
              <w:ind w:firstLine="0" w:firstLineChars="0"/>
              <w:rPr>
                <w:rFonts w:ascii="宋体"/>
                <w:szCs w:val="24"/>
                <w:highlight w:val="none"/>
              </w:rPr>
            </w:pPr>
            <w:r>
              <w:rPr>
                <w:rFonts w:hint="eastAsia" w:ascii="宋体"/>
                <w:szCs w:val="24"/>
                <w:highlight w:val="none"/>
              </w:rPr>
              <w:t>系统部署</w:t>
            </w:r>
          </w:p>
        </w:tc>
        <w:tc>
          <w:tcPr>
            <w:tcW w:w="5903" w:type="dxa"/>
            <w:tcBorders>
              <w:top w:val="single" w:color="000000" w:sz="4" w:space="0"/>
              <w:left w:val="single" w:color="000000" w:sz="4" w:space="0"/>
              <w:bottom w:val="single" w:color="000000" w:sz="4" w:space="0"/>
              <w:right w:val="single" w:color="000000" w:sz="4" w:space="0"/>
            </w:tcBorders>
            <w:vAlign w:val="center"/>
          </w:tcPr>
          <w:p w14:paraId="2275ABA0">
            <w:pPr>
              <w:ind w:firstLine="0" w:firstLineChars="0"/>
              <w:rPr>
                <w:rFonts w:ascii="宋体"/>
                <w:szCs w:val="24"/>
                <w:highlight w:val="none"/>
              </w:rPr>
            </w:pPr>
            <w:r>
              <w:rPr>
                <w:rFonts w:hint="eastAsia" w:ascii="宋体"/>
                <w:szCs w:val="24"/>
                <w:highlight w:val="none"/>
              </w:rPr>
              <w:t>在甲方所提供的技术环境内配置和部署系统接入所需的资源</w:t>
            </w:r>
          </w:p>
        </w:tc>
      </w:tr>
      <w:tr w14:paraId="69C57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C98D82D">
            <w:pPr>
              <w:ind w:firstLine="0" w:firstLineChars="0"/>
              <w:rPr>
                <w:rFonts w:ascii="宋体"/>
                <w:szCs w:val="24"/>
                <w:highlight w:val="none"/>
              </w:rPr>
            </w:pPr>
            <w:r>
              <w:rPr>
                <w:rFonts w:hint="eastAsia" w:ascii="宋体"/>
                <w:szCs w:val="24"/>
                <w:highlight w:val="none"/>
              </w:rPr>
              <w:t>4.1.3</w:t>
            </w:r>
          </w:p>
        </w:tc>
        <w:tc>
          <w:tcPr>
            <w:tcW w:w="1970" w:type="dxa"/>
            <w:tcBorders>
              <w:top w:val="single" w:color="000000" w:sz="4" w:space="0"/>
              <w:left w:val="single" w:color="000000" w:sz="4" w:space="0"/>
              <w:right w:val="single" w:color="000000" w:sz="4" w:space="0"/>
            </w:tcBorders>
            <w:vAlign w:val="center"/>
          </w:tcPr>
          <w:p w14:paraId="3EAA15CF">
            <w:pPr>
              <w:ind w:firstLine="0" w:firstLineChars="0"/>
              <w:rPr>
                <w:rFonts w:ascii="宋体"/>
                <w:szCs w:val="24"/>
                <w:highlight w:val="none"/>
              </w:rPr>
            </w:pPr>
            <w:r>
              <w:rPr>
                <w:rFonts w:hint="eastAsia" w:ascii="宋体"/>
                <w:szCs w:val="24"/>
                <w:highlight w:val="none"/>
              </w:rPr>
              <w:t>管理系统</w:t>
            </w:r>
          </w:p>
        </w:tc>
        <w:tc>
          <w:tcPr>
            <w:tcW w:w="5903" w:type="dxa"/>
            <w:tcBorders>
              <w:top w:val="single" w:color="000000" w:sz="4" w:space="0"/>
              <w:left w:val="single" w:color="000000" w:sz="4" w:space="0"/>
              <w:bottom w:val="single" w:color="000000" w:sz="4" w:space="0"/>
              <w:right w:val="single" w:color="000000" w:sz="4" w:space="0"/>
            </w:tcBorders>
            <w:vAlign w:val="center"/>
          </w:tcPr>
          <w:p w14:paraId="1E136990">
            <w:pPr>
              <w:ind w:firstLine="0" w:firstLineChars="0"/>
              <w:rPr>
                <w:rFonts w:ascii="宋体"/>
                <w:szCs w:val="24"/>
                <w:highlight w:val="none"/>
              </w:rPr>
            </w:pPr>
            <w:r>
              <w:rPr>
                <w:rFonts w:hint="eastAsia" w:ascii="宋体"/>
                <w:szCs w:val="24"/>
                <w:highlight w:val="none"/>
              </w:rPr>
              <w:t>管理运行过程中的各个环节和环境（如测试、培训、维护等）</w:t>
            </w:r>
          </w:p>
        </w:tc>
      </w:tr>
      <w:tr w14:paraId="4B668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579D5F86">
            <w:pPr>
              <w:ind w:firstLine="0" w:firstLineChars="0"/>
              <w:rPr>
                <w:rFonts w:ascii="宋体"/>
                <w:b/>
                <w:szCs w:val="24"/>
                <w:highlight w:val="none"/>
              </w:rPr>
            </w:pPr>
            <w:r>
              <w:rPr>
                <w:rFonts w:hint="eastAsia" w:ascii="宋体"/>
                <w:b/>
                <w:szCs w:val="24"/>
                <w:highlight w:val="none"/>
              </w:rPr>
              <w:t>4.2系统处理</w:t>
            </w:r>
          </w:p>
        </w:tc>
      </w:tr>
      <w:tr w14:paraId="7EAE1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8877A2A">
            <w:pPr>
              <w:ind w:firstLine="0" w:firstLineChars="0"/>
              <w:rPr>
                <w:rFonts w:ascii="宋体"/>
                <w:szCs w:val="24"/>
                <w:highlight w:val="none"/>
              </w:rPr>
            </w:pPr>
            <w:r>
              <w:rPr>
                <w:rFonts w:hint="eastAsia" w:ascii="宋体"/>
                <w:szCs w:val="24"/>
                <w:highlight w:val="none"/>
              </w:rPr>
              <w:t>4.2.1</w:t>
            </w:r>
          </w:p>
        </w:tc>
        <w:tc>
          <w:tcPr>
            <w:tcW w:w="1970" w:type="dxa"/>
            <w:tcBorders>
              <w:top w:val="single" w:color="000000" w:sz="4" w:space="0"/>
              <w:left w:val="single" w:color="000000" w:sz="4" w:space="0"/>
              <w:right w:val="single" w:color="000000" w:sz="4" w:space="0"/>
            </w:tcBorders>
            <w:vAlign w:val="center"/>
          </w:tcPr>
          <w:p w14:paraId="40666E55">
            <w:pPr>
              <w:ind w:firstLine="0" w:firstLineChars="0"/>
              <w:rPr>
                <w:rFonts w:ascii="宋体"/>
                <w:szCs w:val="24"/>
                <w:highlight w:val="none"/>
              </w:rPr>
            </w:pPr>
            <w:r>
              <w:rPr>
                <w:rFonts w:hint="eastAsia" w:ascii="宋体"/>
                <w:szCs w:val="24"/>
                <w:highlight w:val="none"/>
              </w:rPr>
              <w:t>备份</w:t>
            </w:r>
          </w:p>
        </w:tc>
        <w:tc>
          <w:tcPr>
            <w:tcW w:w="5903" w:type="dxa"/>
            <w:tcBorders>
              <w:top w:val="single" w:color="000000" w:sz="4" w:space="0"/>
              <w:left w:val="single" w:color="000000" w:sz="4" w:space="0"/>
              <w:bottom w:val="single" w:color="000000" w:sz="4" w:space="0"/>
              <w:right w:val="single" w:color="000000" w:sz="4" w:space="0"/>
            </w:tcBorders>
            <w:vAlign w:val="center"/>
          </w:tcPr>
          <w:p w14:paraId="34A37AE3">
            <w:pPr>
              <w:ind w:firstLine="0" w:firstLineChars="0"/>
              <w:rPr>
                <w:rFonts w:ascii="宋体"/>
                <w:szCs w:val="24"/>
                <w:highlight w:val="none"/>
              </w:rPr>
            </w:pPr>
            <w:r>
              <w:rPr>
                <w:rFonts w:hint="eastAsia" w:ascii="宋体"/>
                <w:szCs w:val="24"/>
                <w:highlight w:val="none"/>
              </w:rPr>
              <w:t>提供数据容量规划咨询，设计系统的备份策略，完成其有效性验证</w:t>
            </w:r>
          </w:p>
        </w:tc>
      </w:tr>
      <w:tr w14:paraId="3063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8F36F5D">
            <w:pPr>
              <w:ind w:firstLine="0" w:firstLineChars="0"/>
              <w:rPr>
                <w:rFonts w:ascii="宋体"/>
                <w:szCs w:val="24"/>
                <w:highlight w:val="none"/>
              </w:rPr>
            </w:pPr>
            <w:r>
              <w:rPr>
                <w:rFonts w:hint="eastAsia" w:ascii="宋体"/>
                <w:szCs w:val="24"/>
                <w:highlight w:val="none"/>
              </w:rPr>
              <w:t>4.2.2</w:t>
            </w:r>
          </w:p>
        </w:tc>
        <w:tc>
          <w:tcPr>
            <w:tcW w:w="1970" w:type="dxa"/>
            <w:tcBorders>
              <w:top w:val="single" w:color="000000" w:sz="4" w:space="0"/>
              <w:left w:val="single" w:color="000000" w:sz="4" w:space="0"/>
              <w:right w:val="single" w:color="000000" w:sz="4" w:space="0"/>
            </w:tcBorders>
            <w:vAlign w:val="center"/>
          </w:tcPr>
          <w:p w14:paraId="2E042B03">
            <w:pPr>
              <w:ind w:firstLine="0" w:firstLineChars="0"/>
              <w:rPr>
                <w:rFonts w:ascii="宋体"/>
                <w:szCs w:val="24"/>
                <w:highlight w:val="none"/>
              </w:rPr>
            </w:pPr>
            <w:r>
              <w:rPr>
                <w:rFonts w:hint="eastAsia" w:ascii="宋体"/>
                <w:szCs w:val="24"/>
                <w:highlight w:val="none"/>
              </w:rPr>
              <w:t>恢复</w:t>
            </w:r>
          </w:p>
        </w:tc>
        <w:tc>
          <w:tcPr>
            <w:tcW w:w="5903" w:type="dxa"/>
            <w:tcBorders>
              <w:top w:val="single" w:color="000000" w:sz="4" w:space="0"/>
              <w:left w:val="single" w:color="000000" w:sz="4" w:space="0"/>
              <w:bottom w:val="single" w:color="000000" w:sz="4" w:space="0"/>
              <w:right w:val="single" w:color="000000" w:sz="4" w:space="0"/>
            </w:tcBorders>
            <w:vAlign w:val="center"/>
          </w:tcPr>
          <w:p w14:paraId="70F2DF0A">
            <w:pPr>
              <w:ind w:firstLine="0" w:firstLineChars="0"/>
              <w:rPr>
                <w:rFonts w:ascii="宋体"/>
                <w:szCs w:val="24"/>
                <w:highlight w:val="none"/>
              </w:rPr>
            </w:pPr>
            <w:r>
              <w:rPr>
                <w:rFonts w:hint="eastAsia" w:ascii="宋体"/>
                <w:szCs w:val="24"/>
                <w:highlight w:val="none"/>
              </w:rPr>
              <w:t>设计系统的恢复策略，完成其有效性验证</w:t>
            </w:r>
          </w:p>
        </w:tc>
      </w:tr>
      <w:tr w14:paraId="3927A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72015BB2">
            <w:pPr>
              <w:ind w:firstLine="0" w:firstLineChars="0"/>
              <w:rPr>
                <w:rFonts w:ascii="宋体"/>
                <w:b/>
                <w:szCs w:val="24"/>
                <w:highlight w:val="none"/>
              </w:rPr>
            </w:pPr>
            <w:r>
              <w:rPr>
                <w:rFonts w:hint="eastAsia" w:ascii="宋体"/>
                <w:b/>
                <w:szCs w:val="24"/>
                <w:highlight w:val="none"/>
              </w:rPr>
              <w:t>4.3软件开发及测试</w:t>
            </w:r>
          </w:p>
        </w:tc>
      </w:tr>
      <w:tr w14:paraId="5288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40CFCE77">
            <w:pPr>
              <w:ind w:firstLine="0" w:firstLineChars="0"/>
              <w:rPr>
                <w:rFonts w:ascii="宋体"/>
                <w:szCs w:val="24"/>
                <w:highlight w:val="none"/>
              </w:rPr>
            </w:pPr>
            <w:r>
              <w:rPr>
                <w:rFonts w:hint="eastAsia" w:ascii="宋体"/>
                <w:szCs w:val="24"/>
                <w:highlight w:val="none"/>
              </w:rPr>
              <w:t>4.3.1</w:t>
            </w:r>
          </w:p>
        </w:tc>
        <w:tc>
          <w:tcPr>
            <w:tcW w:w="1970" w:type="dxa"/>
            <w:tcBorders>
              <w:top w:val="single" w:color="000000" w:sz="4" w:space="0"/>
              <w:left w:val="single" w:color="000000" w:sz="4" w:space="0"/>
              <w:right w:val="single" w:color="000000" w:sz="4" w:space="0"/>
            </w:tcBorders>
            <w:vAlign w:val="center"/>
          </w:tcPr>
          <w:p w14:paraId="7F309493">
            <w:pPr>
              <w:ind w:firstLine="0" w:firstLineChars="0"/>
              <w:rPr>
                <w:rFonts w:ascii="宋体"/>
                <w:szCs w:val="24"/>
                <w:highlight w:val="none"/>
              </w:rPr>
            </w:pPr>
            <w:r>
              <w:rPr>
                <w:rFonts w:hint="eastAsia" w:ascii="宋体"/>
                <w:szCs w:val="24"/>
                <w:highlight w:val="none"/>
              </w:rPr>
              <w:t>软件管理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05C0DA72">
            <w:pPr>
              <w:ind w:firstLine="0" w:firstLineChars="0"/>
              <w:rPr>
                <w:rFonts w:ascii="宋体"/>
                <w:szCs w:val="24"/>
                <w:highlight w:val="none"/>
              </w:rPr>
            </w:pPr>
            <w:r>
              <w:rPr>
                <w:rFonts w:hint="eastAsia" w:ascii="宋体"/>
                <w:szCs w:val="24"/>
                <w:highlight w:val="none"/>
              </w:rPr>
              <w:t>负责管理和设计应用软件，配合进行软件过程开发管理</w:t>
            </w:r>
          </w:p>
        </w:tc>
      </w:tr>
      <w:tr w14:paraId="0A70D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AA39ECB">
            <w:pPr>
              <w:ind w:firstLine="0" w:firstLineChars="0"/>
              <w:rPr>
                <w:rFonts w:ascii="宋体"/>
                <w:szCs w:val="24"/>
                <w:highlight w:val="none"/>
              </w:rPr>
            </w:pPr>
            <w:r>
              <w:rPr>
                <w:rFonts w:hint="eastAsia" w:ascii="宋体"/>
                <w:szCs w:val="24"/>
                <w:highlight w:val="none"/>
              </w:rPr>
              <w:t>4.3.2</w:t>
            </w:r>
          </w:p>
        </w:tc>
        <w:tc>
          <w:tcPr>
            <w:tcW w:w="1970" w:type="dxa"/>
            <w:tcBorders>
              <w:top w:val="single" w:color="000000" w:sz="4" w:space="0"/>
              <w:left w:val="single" w:color="000000" w:sz="4" w:space="0"/>
              <w:right w:val="single" w:color="000000" w:sz="4" w:space="0"/>
            </w:tcBorders>
            <w:vAlign w:val="center"/>
          </w:tcPr>
          <w:p w14:paraId="220FBFAB">
            <w:pPr>
              <w:ind w:firstLine="0" w:firstLineChars="0"/>
              <w:rPr>
                <w:rFonts w:ascii="宋体"/>
                <w:szCs w:val="24"/>
                <w:highlight w:val="none"/>
              </w:rPr>
            </w:pPr>
            <w:r>
              <w:rPr>
                <w:rFonts w:hint="eastAsia" w:ascii="宋体"/>
                <w:szCs w:val="24"/>
                <w:highlight w:val="none"/>
              </w:rPr>
              <w:t>系统接口开发</w:t>
            </w:r>
          </w:p>
        </w:tc>
        <w:tc>
          <w:tcPr>
            <w:tcW w:w="5903" w:type="dxa"/>
            <w:tcBorders>
              <w:top w:val="single" w:color="000000" w:sz="4" w:space="0"/>
              <w:left w:val="single" w:color="000000" w:sz="4" w:space="0"/>
              <w:bottom w:val="single" w:color="000000" w:sz="4" w:space="0"/>
              <w:right w:val="single" w:color="000000" w:sz="4" w:space="0"/>
            </w:tcBorders>
            <w:vAlign w:val="center"/>
          </w:tcPr>
          <w:p w14:paraId="5138C881">
            <w:pPr>
              <w:ind w:firstLine="0" w:firstLineChars="0"/>
              <w:rPr>
                <w:rFonts w:ascii="宋体"/>
                <w:szCs w:val="24"/>
                <w:highlight w:val="none"/>
              </w:rPr>
            </w:pPr>
            <w:r>
              <w:rPr>
                <w:rFonts w:hint="eastAsia" w:ascii="宋体"/>
                <w:szCs w:val="24"/>
                <w:highlight w:val="none"/>
              </w:rPr>
              <w:t>设计和开发系统内部各模块的接口以及与外部系统进行数据交互的接口</w:t>
            </w:r>
          </w:p>
        </w:tc>
      </w:tr>
      <w:tr w14:paraId="416B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270EBBE0">
            <w:pPr>
              <w:ind w:firstLine="0" w:firstLineChars="0"/>
              <w:rPr>
                <w:rFonts w:ascii="宋体"/>
                <w:szCs w:val="24"/>
                <w:highlight w:val="none"/>
              </w:rPr>
            </w:pPr>
            <w:r>
              <w:rPr>
                <w:rFonts w:hint="eastAsia" w:ascii="宋体"/>
                <w:szCs w:val="24"/>
                <w:highlight w:val="none"/>
              </w:rPr>
              <w:t>4.3.3</w:t>
            </w:r>
          </w:p>
        </w:tc>
        <w:tc>
          <w:tcPr>
            <w:tcW w:w="1970" w:type="dxa"/>
            <w:tcBorders>
              <w:top w:val="single" w:color="000000" w:sz="4" w:space="0"/>
              <w:left w:val="single" w:color="000000" w:sz="4" w:space="0"/>
              <w:right w:val="single" w:color="000000" w:sz="4" w:space="0"/>
            </w:tcBorders>
            <w:vAlign w:val="center"/>
          </w:tcPr>
          <w:p w14:paraId="7B4A350C">
            <w:pPr>
              <w:ind w:firstLine="0" w:firstLineChars="0"/>
              <w:rPr>
                <w:rFonts w:ascii="宋体"/>
                <w:szCs w:val="24"/>
                <w:highlight w:val="none"/>
              </w:rPr>
            </w:pPr>
            <w:r>
              <w:rPr>
                <w:rFonts w:hint="eastAsia" w:ascii="宋体"/>
                <w:szCs w:val="24"/>
                <w:highlight w:val="none"/>
              </w:rPr>
              <w:t>代码开发和测试</w:t>
            </w:r>
          </w:p>
        </w:tc>
        <w:tc>
          <w:tcPr>
            <w:tcW w:w="5903" w:type="dxa"/>
            <w:tcBorders>
              <w:top w:val="single" w:color="000000" w:sz="4" w:space="0"/>
              <w:left w:val="single" w:color="000000" w:sz="4" w:space="0"/>
              <w:bottom w:val="single" w:color="000000" w:sz="4" w:space="0"/>
              <w:right w:val="single" w:color="000000" w:sz="4" w:space="0"/>
            </w:tcBorders>
            <w:vAlign w:val="center"/>
          </w:tcPr>
          <w:p w14:paraId="68E201CC">
            <w:pPr>
              <w:ind w:firstLine="0" w:firstLineChars="0"/>
              <w:rPr>
                <w:rFonts w:ascii="宋体"/>
                <w:szCs w:val="24"/>
                <w:highlight w:val="none"/>
              </w:rPr>
            </w:pPr>
            <w:r>
              <w:rPr>
                <w:rFonts w:hint="eastAsia" w:ascii="宋体"/>
                <w:szCs w:val="24"/>
                <w:highlight w:val="none"/>
              </w:rPr>
              <w:t>编写代码并且完成开发自测与系统测试</w:t>
            </w:r>
          </w:p>
        </w:tc>
      </w:tr>
      <w:tr w14:paraId="6702E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09B51D8">
            <w:pPr>
              <w:ind w:firstLine="0" w:firstLineChars="0"/>
              <w:rPr>
                <w:rFonts w:ascii="宋体"/>
                <w:szCs w:val="24"/>
                <w:highlight w:val="none"/>
              </w:rPr>
            </w:pPr>
            <w:r>
              <w:rPr>
                <w:rFonts w:hint="eastAsia" w:ascii="宋体"/>
                <w:szCs w:val="24"/>
                <w:highlight w:val="none"/>
              </w:rPr>
              <w:t>4.3.4</w:t>
            </w:r>
          </w:p>
        </w:tc>
        <w:tc>
          <w:tcPr>
            <w:tcW w:w="1970" w:type="dxa"/>
            <w:tcBorders>
              <w:top w:val="single" w:color="000000" w:sz="4" w:space="0"/>
              <w:left w:val="single" w:color="000000" w:sz="4" w:space="0"/>
              <w:right w:val="single" w:color="000000" w:sz="4" w:space="0"/>
            </w:tcBorders>
            <w:vAlign w:val="center"/>
          </w:tcPr>
          <w:p w14:paraId="419FA35C">
            <w:pPr>
              <w:ind w:firstLine="0" w:firstLineChars="0"/>
              <w:rPr>
                <w:rFonts w:ascii="宋体"/>
                <w:szCs w:val="24"/>
                <w:highlight w:val="none"/>
              </w:rPr>
            </w:pPr>
            <w:r>
              <w:rPr>
                <w:rFonts w:hint="eastAsia" w:ascii="宋体"/>
                <w:szCs w:val="24"/>
                <w:highlight w:val="none"/>
              </w:rPr>
              <w:t>知识转移</w:t>
            </w:r>
          </w:p>
        </w:tc>
        <w:tc>
          <w:tcPr>
            <w:tcW w:w="5903" w:type="dxa"/>
            <w:tcBorders>
              <w:top w:val="single" w:color="000000" w:sz="4" w:space="0"/>
              <w:left w:val="single" w:color="000000" w:sz="4" w:space="0"/>
              <w:bottom w:val="single" w:color="000000" w:sz="4" w:space="0"/>
              <w:right w:val="single" w:color="000000" w:sz="4" w:space="0"/>
            </w:tcBorders>
            <w:vAlign w:val="center"/>
          </w:tcPr>
          <w:p w14:paraId="244ADCBC">
            <w:pPr>
              <w:ind w:firstLine="0" w:firstLineChars="0"/>
              <w:rPr>
                <w:rFonts w:ascii="宋体"/>
                <w:szCs w:val="24"/>
                <w:highlight w:val="none"/>
              </w:rPr>
            </w:pPr>
            <w:r>
              <w:rPr>
                <w:rFonts w:hint="eastAsia" w:ascii="宋体"/>
                <w:szCs w:val="24"/>
                <w:highlight w:val="none"/>
              </w:rPr>
              <w:t>负责现场培训</w:t>
            </w:r>
          </w:p>
        </w:tc>
      </w:tr>
      <w:tr w14:paraId="7C37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75CE08DE">
            <w:pPr>
              <w:ind w:firstLine="0" w:firstLineChars="0"/>
              <w:rPr>
                <w:rFonts w:ascii="宋体"/>
                <w:b/>
                <w:szCs w:val="24"/>
                <w:highlight w:val="none"/>
              </w:rPr>
            </w:pPr>
            <w:r>
              <w:rPr>
                <w:rFonts w:hint="eastAsia" w:ascii="宋体"/>
                <w:b/>
                <w:szCs w:val="24"/>
                <w:highlight w:val="none"/>
              </w:rPr>
              <w:t>4.4 支持和维护</w:t>
            </w:r>
          </w:p>
        </w:tc>
      </w:tr>
      <w:tr w14:paraId="6889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BDD37A5">
            <w:pPr>
              <w:ind w:firstLine="0" w:firstLineChars="0"/>
              <w:rPr>
                <w:rFonts w:ascii="宋体"/>
                <w:szCs w:val="24"/>
                <w:highlight w:val="none"/>
              </w:rPr>
            </w:pPr>
            <w:r>
              <w:rPr>
                <w:rFonts w:hint="eastAsia" w:ascii="宋体"/>
                <w:szCs w:val="24"/>
                <w:highlight w:val="none"/>
              </w:rPr>
              <w:t>4.4.1</w:t>
            </w:r>
          </w:p>
        </w:tc>
        <w:tc>
          <w:tcPr>
            <w:tcW w:w="1970" w:type="dxa"/>
            <w:tcBorders>
              <w:top w:val="single" w:color="000000" w:sz="4" w:space="0"/>
              <w:left w:val="single" w:color="000000" w:sz="4" w:space="0"/>
              <w:right w:val="single" w:color="000000" w:sz="4" w:space="0"/>
            </w:tcBorders>
            <w:vAlign w:val="center"/>
          </w:tcPr>
          <w:p w14:paraId="20ACB8E4">
            <w:pPr>
              <w:ind w:firstLine="0" w:firstLineChars="0"/>
              <w:rPr>
                <w:rFonts w:ascii="宋体"/>
                <w:szCs w:val="24"/>
                <w:highlight w:val="none"/>
              </w:rPr>
            </w:pPr>
            <w:r>
              <w:rPr>
                <w:rFonts w:hint="eastAsia" w:ascii="宋体"/>
                <w:szCs w:val="24"/>
                <w:highlight w:val="none"/>
              </w:rPr>
              <w:t>变更管理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1D3DD7B9">
            <w:pPr>
              <w:ind w:firstLine="0" w:firstLineChars="0"/>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1A8B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03BEC15B">
            <w:pPr>
              <w:ind w:firstLine="0" w:firstLineChars="0"/>
              <w:rPr>
                <w:rFonts w:ascii="宋体"/>
                <w:szCs w:val="24"/>
                <w:highlight w:val="none"/>
              </w:rPr>
            </w:pPr>
            <w:r>
              <w:rPr>
                <w:rFonts w:hint="eastAsia" w:ascii="宋体"/>
                <w:szCs w:val="24"/>
                <w:highlight w:val="none"/>
              </w:rPr>
              <w:t>4.4.2</w:t>
            </w:r>
          </w:p>
        </w:tc>
        <w:tc>
          <w:tcPr>
            <w:tcW w:w="1970" w:type="dxa"/>
            <w:tcBorders>
              <w:top w:val="single" w:color="000000" w:sz="4" w:space="0"/>
              <w:left w:val="single" w:color="000000" w:sz="4" w:space="0"/>
              <w:right w:val="single" w:color="000000" w:sz="4" w:space="0"/>
            </w:tcBorders>
            <w:vAlign w:val="center"/>
          </w:tcPr>
          <w:p w14:paraId="480C758F">
            <w:pPr>
              <w:ind w:firstLine="0" w:firstLineChars="0"/>
              <w:rPr>
                <w:rFonts w:ascii="宋体"/>
                <w:szCs w:val="24"/>
                <w:highlight w:val="none"/>
              </w:rPr>
            </w:pPr>
            <w:r>
              <w:rPr>
                <w:rFonts w:hint="eastAsia" w:ascii="宋体"/>
                <w:szCs w:val="24"/>
                <w:highlight w:val="none"/>
              </w:rPr>
              <w:t>系统监控</w:t>
            </w:r>
          </w:p>
        </w:tc>
        <w:tc>
          <w:tcPr>
            <w:tcW w:w="5903" w:type="dxa"/>
            <w:tcBorders>
              <w:top w:val="single" w:color="000000" w:sz="4" w:space="0"/>
              <w:left w:val="single" w:color="000000" w:sz="4" w:space="0"/>
              <w:bottom w:val="single" w:color="000000" w:sz="4" w:space="0"/>
              <w:right w:val="single" w:color="000000" w:sz="4" w:space="0"/>
            </w:tcBorders>
            <w:vAlign w:val="center"/>
          </w:tcPr>
          <w:p w14:paraId="2106BCF4">
            <w:pPr>
              <w:ind w:firstLine="0" w:firstLineChars="0"/>
              <w:rPr>
                <w:rFonts w:ascii="宋体"/>
                <w:szCs w:val="24"/>
                <w:highlight w:val="none"/>
              </w:rPr>
            </w:pPr>
            <w:r>
              <w:rPr>
                <w:rFonts w:hint="eastAsia" w:ascii="宋体"/>
                <w:szCs w:val="24"/>
                <w:highlight w:val="none"/>
              </w:rPr>
              <w:t>提供对系统监控的支持，包括专有硬件设备（如有）、应用系统进程、日志、连接等</w:t>
            </w:r>
          </w:p>
        </w:tc>
      </w:tr>
      <w:tr w14:paraId="004C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77A5FABF">
            <w:pPr>
              <w:ind w:firstLine="0" w:firstLineChars="0"/>
              <w:rPr>
                <w:rFonts w:ascii="宋体"/>
                <w:szCs w:val="24"/>
                <w:highlight w:val="none"/>
              </w:rPr>
            </w:pPr>
            <w:r>
              <w:rPr>
                <w:rFonts w:hint="eastAsia" w:ascii="宋体"/>
                <w:szCs w:val="24"/>
                <w:highlight w:val="none"/>
              </w:rPr>
              <w:t>4.4.3</w:t>
            </w:r>
          </w:p>
        </w:tc>
        <w:tc>
          <w:tcPr>
            <w:tcW w:w="1970" w:type="dxa"/>
            <w:tcBorders>
              <w:top w:val="single" w:color="000000" w:sz="4" w:space="0"/>
              <w:left w:val="single" w:color="000000" w:sz="4" w:space="0"/>
              <w:right w:val="single" w:color="000000" w:sz="4" w:space="0"/>
            </w:tcBorders>
            <w:vAlign w:val="center"/>
          </w:tcPr>
          <w:p w14:paraId="35917782">
            <w:pPr>
              <w:ind w:firstLine="0" w:firstLineChars="0"/>
              <w:rPr>
                <w:rFonts w:ascii="宋体"/>
                <w:szCs w:val="24"/>
                <w:highlight w:val="none"/>
              </w:rPr>
            </w:pPr>
            <w:r>
              <w:rPr>
                <w:rFonts w:hint="eastAsia" w:ascii="宋体"/>
                <w:szCs w:val="24"/>
                <w:highlight w:val="none"/>
              </w:rPr>
              <w:t>发布管理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28A29576">
            <w:pPr>
              <w:ind w:firstLine="0" w:firstLineChars="0"/>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791FD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1750FF5A">
            <w:pPr>
              <w:ind w:firstLine="0" w:firstLineChars="0"/>
              <w:rPr>
                <w:rFonts w:ascii="宋体"/>
                <w:szCs w:val="24"/>
                <w:highlight w:val="none"/>
              </w:rPr>
            </w:pPr>
            <w:r>
              <w:rPr>
                <w:rFonts w:hint="eastAsia" w:ascii="宋体"/>
                <w:szCs w:val="24"/>
                <w:highlight w:val="none"/>
              </w:rPr>
              <w:t>4.4.4</w:t>
            </w:r>
          </w:p>
        </w:tc>
        <w:tc>
          <w:tcPr>
            <w:tcW w:w="1970" w:type="dxa"/>
            <w:tcBorders>
              <w:top w:val="single" w:color="000000" w:sz="4" w:space="0"/>
              <w:left w:val="single" w:color="000000" w:sz="4" w:space="0"/>
              <w:right w:val="single" w:color="000000" w:sz="4" w:space="0"/>
            </w:tcBorders>
            <w:vAlign w:val="center"/>
          </w:tcPr>
          <w:p w14:paraId="1960E289">
            <w:pPr>
              <w:ind w:firstLine="0" w:firstLineChars="0"/>
              <w:rPr>
                <w:rFonts w:ascii="宋体"/>
                <w:szCs w:val="24"/>
                <w:highlight w:val="none"/>
              </w:rPr>
            </w:pPr>
            <w:r>
              <w:rPr>
                <w:rFonts w:hint="eastAsia" w:ascii="宋体"/>
                <w:szCs w:val="24"/>
                <w:highlight w:val="none"/>
              </w:rPr>
              <w:t>安全管理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34DF6483">
            <w:pPr>
              <w:ind w:firstLine="0" w:firstLineChars="0"/>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100DA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54A9C594">
            <w:pPr>
              <w:ind w:firstLine="0" w:firstLineChars="0"/>
              <w:rPr>
                <w:rFonts w:ascii="宋体"/>
                <w:b/>
                <w:szCs w:val="24"/>
                <w:highlight w:val="none"/>
              </w:rPr>
            </w:pPr>
            <w:r>
              <w:rPr>
                <w:rFonts w:hint="eastAsia" w:ascii="宋体"/>
                <w:b/>
                <w:szCs w:val="24"/>
                <w:highlight w:val="none"/>
              </w:rPr>
              <w:t>4.5 后续支持</w:t>
            </w:r>
          </w:p>
        </w:tc>
      </w:tr>
      <w:tr w14:paraId="0887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776D23E8">
            <w:pPr>
              <w:ind w:firstLine="0" w:firstLineChars="0"/>
              <w:rPr>
                <w:rFonts w:ascii="宋体"/>
                <w:szCs w:val="24"/>
                <w:highlight w:val="none"/>
              </w:rPr>
            </w:pPr>
            <w:r>
              <w:rPr>
                <w:rFonts w:hint="eastAsia" w:ascii="宋体"/>
                <w:szCs w:val="24"/>
                <w:highlight w:val="none"/>
              </w:rPr>
              <w:t>4.5.1</w:t>
            </w:r>
          </w:p>
        </w:tc>
        <w:tc>
          <w:tcPr>
            <w:tcW w:w="1970" w:type="dxa"/>
            <w:tcBorders>
              <w:top w:val="single" w:color="000000" w:sz="4" w:space="0"/>
              <w:left w:val="single" w:color="000000" w:sz="4" w:space="0"/>
              <w:right w:val="single" w:color="000000" w:sz="4" w:space="0"/>
            </w:tcBorders>
            <w:vAlign w:val="center"/>
          </w:tcPr>
          <w:p w14:paraId="31076275">
            <w:pPr>
              <w:ind w:firstLine="0" w:firstLineChars="0"/>
              <w:rPr>
                <w:rFonts w:ascii="宋体"/>
                <w:szCs w:val="24"/>
                <w:highlight w:val="none"/>
              </w:rPr>
            </w:pPr>
            <w:r>
              <w:rPr>
                <w:rFonts w:hint="eastAsia" w:ascii="宋体"/>
                <w:szCs w:val="24"/>
                <w:highlight w:val="none"/>
              </w:rPr>
              <w:t>版本安装、更新和升级</w:t>
            </w:r>
          </w:p>
        </w:tc>
        <w:tc>
          <w:tcPr>
            <w:tcW w:w="5903" w:type="dxa"/>
            <w:tcBorders>
              <w:top w:val="single" w:color="000000" w:sz="4" w:space="0"/>
              <w:left w:val="single" w:color="000000" w:sz="4" w:space="0"/>
              <w:bottom w:val="single" w:color="000000" w:sz="4" w:space="0"/>
              <w:right w:val="single" w:color="000000" w:sz="4" w:space="0"/>
            </w:tcBorders>
            <w:vAlign w:val="center"/>
          </w:tcPr>
          <w:p w14:paraId="035900FE">
            <w:pPr>
              <w:ind w:firstLine="0" w:firstLineChars="0"/>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34A2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5BB54B30">
            <w:pPr>
              <w:ind w:firstLine="0" w:firstLineChars="0"/>
              <w:rPr>
                <w:rFonts w:ascii="宋体"/>
                <w:szCs w:val="24"/>
                <w:highlight w:val="none"/>
              </w:rPr>
            </w:pPr>
            <w:r>
              <w:rPr>
                <w:rFonts w:hint="eastAsia" w:ascii="宋体"/>
                <w:szCs w:val="24"/>
                <w:highlight w:val="none"/>
              </w:rPr>
              <w:t>4.5.2</w:t>
            </w:r>
          </w:p>
        </w:tc>
        <w:tc>
          <w:tcPr>
            <w:tcW w:w="1970" w:type="dxa"/>
            <w:tcBorders>
              <w:top w:val="single" w:color="000000" w:sz="4" w:space="0"/>
              <w:left w:val="single" w:color="000000" w:sz="4" w:space="0"/>
              <w:right w:val="single" w:color="000000" w:sz="4" w:space="0"/>
            </w:tcBorders>
            <w:vAlign w:val="center"/>
          </w:tcPr>
          <w:p w14:paraId="551255E4">
            <w:pPr>
              <w:ind w:firstLine="0" w:firstLineChars="0"/>
              <w:rPr>
                <w:rFonts w:ascii="宋体"/>
                <w:szCs w:val="24"/>
                <w:highlight w:val="none"/>
              </w:rPr>
            </w:pPr>
            <w:r>
              <w:rPr>
                <w:rFonts w:hint="eastAsia" w:ascii="宋体"/>
                <w:szCs w:val="24"/>
                <w:highlight w:val="none"/>
              </w:rPr>
              <w:t>安全漏洞整改</w:t>
            </w:r>
          </w:p>
        </w:tc>
        <w:tc>
          <w:tcPr>
            <w:tcW w:w="5903" w:type="dxa"/>
            <w:tcBorders>
              <w:top w:val="single" w:color="000000" w:sz="4" w:space="0"/>
              <w:left w:val="single" w:color="000000" w:sz="4" w:space="0"/>
              <w:bottom w:val="single" w:color="000000" w:sz="4" w:space="0"/>
              <w:right w:val="single" w:color="000000" w:sz="4" w:space="0"/>
            </w:tcBorders>
            <w:vAlign w:val="center"/>
          </w:tcPr>
          <w:p w14:paraId="3B75E36B">
            <w:pPr>
              <w:ind w:firstLine="0" w:firstLineChars="0"/>
              <w:rPr>
                <w:rFonts w:ascii="宋体"/>
                <w:szCs w:val="24"/>
                <w:highlight w:val="none"/>
              </w:rPr>
            </w:pPr>
            <w:r>
              <w:rPr>
                <w:rFonts w:hint="eastAsia" w:ascii="宋体"/>
                <w:szCs w:val="24"/>
                <w:highlight w:val="none"/>
              </w:rPr>
              <w:t>针对系统运行过程中发现的安全漏洞，根据甲方要求完成整改工作</w:t>
            </w:r>
          </w:p>
        </w:tc>
      </w:tr>
      <w:tr w14:paraId="0769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5549B66A">
            <w:pPr>
              <w:ind w:firstLine="0" w:firstLineChars="0"/>
              <w:rPr>
                <w:rFonts w:ascii="宋体"/>
                <w:szCs w:val="24"/>
                <w:highlight w:val="none"/>
              </w:rPr>
            </w:pPr>
            <w:r>
              <w:rPr>
                <w:rFonts w:hint="eastAsia" w:ascii="宋体"/>
                <w:szCs w:val="24"/>
                <w:highlight w:val="none"/>
              </w:rPr>
              <w:t>4.5.3</w:t>
            </w:r>
          </w:p>
        </w:tc>
        <w:tc>
          <w:tcPr>
            <w:tcW w:w="1970" w:type="dxa"/>
            <w:tcBorders>
              <w:top w:val="single" w:color="000000" w:sz="4" w:space="0"/>
              <w:left w:val="single" w:color="000000" w:sz="4" w:space="0"/>
              <w:right w:val="single" w:color="000000" w:sz="4" w:space="0"/>
            </w:tcBorders>
            <w:vAlign w:val="center"/>
          </w:tcPr>
          <w:p w14:paraId="07E7E9DC">
            <w:pPr>
              <w:ind w:firstLine="0" w:firstLineChars="0"/>
              <w:rPr>
                <w:rFonts w:ascii="宋体"/>
                <w:szCs w:val="24"/>
                <w:highlight w:val="none"/>
              </w:rPr>
            </w:pPr>
            <w:r>
              <w:rPr>
                <w:rFonts w:hint="eastAsia" w:ascii="宋体"/>
                <w:szCs w:val="24"/>
                <w:highlight w:val="none"/>
              </w:rPr>
              <w:t>服务台支持</w:t>
            </w:r>
          </w:p>
        </w:tc>
        <w:tc>
          <w:tcPr>
            <w:tcW w:w="5903" w:type="dxa"/>
            <w:tcBorders>
              <w:top w:val="single" w:color="000000" w:sz="4" w:space="0"/>
              <w:left w:val="single" w:color="000000" w:sz="4" w:space="0"/>
              <w:bottom w:val="single" w:color="000000" w:sz="4" w:space="0"/>
              <w:right w:val="single" w:color="000000" w:sz="4" w:space="0"/>
            </w:tcBorders>
            <w:vAlign w:val="center"/>
          </w:tcPr>
          <w:p w14:paraId="67035F3B">
            <w:pPr>
              <w:ind w:firstLine="0" w:firstLineChars="0"/>
              <w:rPr>
                <w:rFonts w:ascii="宋体"/>
                <w:szCs w:val="24"/>
                <w:highlight w:val="none"/>
              </w:rPr>
            </w:pPr>
            <w:r>
              <w:rPr>
                <w:rFonts w:hint="eastAsia" w:ascii="宋体"/>
                <w:szCs w:val="24"/>
                <w:highlight w:val="none"/>
              </w:rPr>
              <w:t>提供7×24小时的技术支持服务</w:t>
            </w:r>
          </w:p>
        </w:tc>
      </w:tr>
      <w:tr w14:paraId="34E9C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E59E14F">
            <w:pPr>
              <w:ind w:firstLine="0" w:firstLineChars="0"/>
              <w:rPr>
                <w:rFonts w:ascii="宋体"/>
                <w:szCs w:val="24"/>
                <w:highlight w:val="none"/>
              </w:rPr>
            </w:pPr>
            <w:r>
              <w:rPr>
                <w:rFonts w:hint="eastAsia" w:ascii="宋体"/>
                <w:szCs w:val="24"/>
                <w:highlight w:val="none"/>
              </w:rPr>
              <w:t>4.5.4</w:t>
            </w:r>
          </w:p>
        </w:tc>
        <w:tc>
          <w:tcPr>
            <w:tcW w:w="1970" w:type="dxa"/>
            <w:tcBorders>
              <w:top w:val="single" w:color="000000" w:sz="4" w:space="0"/>
              <w:left w:val="single" w:color="000000" w:sz="4" w:space="0"/>
              <w:right w:val="single" w:color="000000" w:sz="4" w:space="0"/>
            </w:tcBorders>
            <w:vAlign w:val="center"/>
          </w:tcPr>
          <w:p w14:paraId="092585BE">
            <w:pPr>
              <w:ind w:firstLine="0" w:firstLineChars="0"/>
              <w:rPr>
                <w:rFonts w:ascii="宋体"/>
                <w:szCs w:val="24"/>
                <w:highlight w:val="none"/>
              </w:rPr>
            </w:pPr>
            <w:r>
              <w:rPr>
                <w:rFonts w:hint="eastAsia" w:ascii="宋体"/>
                <w:szCs w:val="24"/>
                <w:highlight w:val="none"/>
              </w:rPr>
              <w:t>巡检服务</w:t>
            </w:r>
          </w:p>
        </w:tc>
        <w:tc>
          <w:tcPr>
            <w:tcW w:w="5903" w:type="dxa"/>
            <w:tcBorders>
              <w:top w:val="single" w:color="000000" w:sz="4" w:space="0"/>
              <w:left w:val="single" w:color="000000" w:sz="4" w:space="0"/>
              <w:bottom w:val="single" w:color="000000" w:sz="4" w:space="0"/>
              <w:right w:val="single" w:color="000000" w:sz="4" w:space="0"/>
            </w:tcBorders>
            <w:vAlign w:val="center"/>
          </w:tcPr>
          <w:p w14:paraId="7F888F2E">
            <w:pPr>
              <w:ind w:firstLine="0" w:firstLineChars="0"/>
              <w:rPr>
                <w:rFonts w:ascii="宋体"/>
                <w:szCs w:val="24"/>
                <w:highlight w:val="none"/>
              </w:rPr>
            </w:pPr>
            <w:r>
              <w:rPr>
                <w:rFonts w:hint="eastAsia" w:ascii="宋体"/>
                <w:szCs w:val="24"/>
                <w:highlight w:val="none"/>
              </w:rPr>
              <w:t>提供系统运行状况报告</w:t>
            </w:r>
          </w:p>
        </w:tc>
      </w:tr>
      <w:tr w14:paraId="3CC0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081034B9">
            <w:pPr>
              <w:ind w:firstLine="0" w:firstLineChars="0"/>
              <w:rPr>
                <w:rFonts w:ascii="宋体"/>
                <w:szCs w:val="24"/>
                <w:highlight w:val="none"/>
              </w:rPr>
            </w:pPr>
            <w:r>
              <w:rPr>
                <w:rFonts w:hint="eastAsia" w:ascii="宋体"/>
                <w:szCs w:val="24"/>
                <w:highlight w:val="none"/>
              </w:rPr>
              <w:t>4.5.5</w:t>
            </w:r>
          </w:p>
        </w:tc>
        <w:tc>
          <w:tcPr>
            <w:tcW w:w="1970" w:type="dxa"/>
            <w:tcBorders>
              <w:top w:val="single" w:color="000000" w:sz="4" w:space="0"/>
              <w:left w:val="single" w:color="000000" w:sz="4" w:space="0"/>
              <w:right w:val="single" w:color="000000" w:sz="4" w:space="0"/>
            </w:tcBorders>
            <w:vAlign w:val="center"/>
          </w:tcPr>
          <w:p w14:paraId="70C35EB1">
            <w:pPr>
              <w:ind w:firstLine="0" w:firstLineChars="0"/>
              <w:rPr>
                <w:rFonts w:ascii="宋体"/>
                <w:szCs w:val="24"/>
                <w:highlight w:val="none"/>
              </w:rPr>
            </w:pPr>
            <w:r>
              <w:rPr>
                <w:rFonts w:hint="eastAsia" w:ascii="宋体"/>
                <w:szCs w:val="24"/>
                <w:highlight w:val="none"/>
              </w:rPr>
              <w:t>现场问题解决</w:t>
            </w:r>
          </w:p>
        </w:tc>
        <w:tc>
          <w:tcPr>
            <w:tcW w:w="5903" w:type="dxa"/>
            <w:tcBorders>
              <w:top w:val="single" w:color="000000" w:sz="4" w:space="0"/>
              <w:left w:val="single" w:color="000000" w:sz="4" w:space="0"/>
              <w:bottom w:val="single" w:color="000000" w:sz="4" w:space="0"/>
              <w:right w:val="single" w:color="000000" w:sz="4" w:space="0"/>
            </w:tcBorders>
            <w:vAlign w:val="center"/>
          </w:tcPr>
          <w:p w14:paraId="1214A311">
            <w:pPr>
              <w:ind w:firstLine="0" w:firstLineChars="0"/>
              <w:rPr>
                <w:rFonts w:ascii="宋体"/>
                <w:szCs w:val="24"/>
                <w:highlight w:val="none"/>
              </w:rPr>
            </w:pPr>
            <w:r>
              <w:rPr>
                <w:rFonts w:hint="eastAsia" w:ascii="宋体"/>
                <w:szCs w:val="24"/>
                <w:highlight w:val="none"/>
              </w:rPr>
              <w:t>提供重大问题现场解决，提供系统性能、容量、问题报告</w:t>
            </w:r>
          </w:p>
        </w:tc>
      </w:tr>
      <w:tr w14:paraId="3E1C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E04FCCE">
            <w:pPr>
              <w:ind w:firstLine="0" w:firstLineChars="0"/>
              <w:rPr>
                <w:rFonts w:ascii="宋体"/>
                <w:szCs w:val="24"/>
                <w:highlight w:val="none"/>
              </w:rPr>
            </w:pPr>
            <w:r>
              <w:rPr>
                <w:rFonts w:hint="eastAsia" w:ascii="宋体"/>
                <w:szCs w:val="24"/>
                <w:highlight w:val="none"/>
              </w:rPr>
              <w:t>4.5.6</w:t>
            </w:r>
          </w:p>
        </w:tc>
        <w:tc>
          <w:tcPr>
            <w:tcW w:w="1970" w:type="dxa"/>
            <w:tcBorders>
              <w:top w:val="single" w:color="000000" w:sz="4" w:space="0"/>
              <w:left w:val="single" w:color="000000" w:sz="4" w:space="0"/>
              <w:right w:val="single" w:color="000000" w:sz="4" w:space="0"/>
            </w:tcBorders>
            <w:vAlign w:val="center"/>
          </w:tcPr>
          <w:p w14:paraId="60635276">
            <w:pPr>
              <w:ind w:firstLine="0" w:firstLineChars="0"/>
              <w:rPr>
                <w:rFonts w:ascii="宋体"/>
                <w:szCs w:val="24"/>
                <w:highlight w:val="none"/>
              </w:rPr>
            </w:pPr>
            <w:r>
              <w:rPr>
                <w:rFonts w:hint="eastAsia" w:ascii="宋体"/>
                <w:szCs w:val="24"/>
                <w:highlight w:val="none"/>
              </w:rPr>
              <w:t>响应要求</w:t>
            </w:r>
          </w:p>
        </w:tc>
        <w:tc>
          <w:tcPr>
            <w:tcW w:w="5903" w:type="dxa"/>
            <w:tcBorders>
              <w:top w:val="single" w:color="000000" w:sz="4" w:space="0"/>
              <w:left w:val="single" w:color="000000" w:sz="4" w:space="0"/>
              <w:bottom w:val="single" w:color="000000" w:sz="4" w:space="0"/>
              <w:right w:val="single" w:color="000000" w:sz="4" w:space="0"/>
            </w:tcBorders>
            <w:vAlign w:val="center"/>
          </w:tcPr>
          <w:p w14:paraId="5D5F5AB9">
            <w:pPr>
              <w:ind w:firstLine="0" w:firstLineChars="0"/>
              <w:rPr>
                <w:rFonts w:ascii="宋体"/>
                <w:szCs w:val="24"/>
                <w:highlight w:val="none"/>
              </w:rPr>
            </w:pPr>
            <w:r>
              <w:rPr>
                <w:rFonts w:hint="eastAsia" w:ascii="宋体"/>
                <w:szCs w:val="24"/>
                <w:highlight w:val="none"/>
              </w:rPr>
              <w:t>要求按服务水平和指标及时响应：</w:t>
            </w:r>
          </w:p>
          <w:p w14:paraId="2E284D97">
            <w:pPr>
              <w:ind w:firstLine="0" w:firstLineChars="0"/>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B356049">
            <w:pPr>
              <w:ind w:firstLine="0" w:firstLineChars="0"/>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29BBC6D5">
            <w:pPr>
              <w:ind w:firstLine="0" w:firstLineChars="0"/>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23C7ABF4">
            <w:pPr>
              <w:ind w:firstLine="0" w:firstLineChars="0"/>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630A7C72">
      <w:pPr>
        <w:ind w:firstLine="422"/>
        <w:rPr>
          <w:rFonts w:ascii="宋体"/>
          <w:b/>
          <w:bCs/>
          <w:kern w:val="32"/>
          <w:szCs w:val="24"/>
          <w:highlight w:val="none"/>
        </w:rPr>
      </w:pPr>
      <w:bookmarkStart w:id="327" w:name="_Toc254884645"/>
      <w:r>
        <w:rPr>
          <w:rFonts w:hint="eastAsia" w:ascii="宋体"/>
          <w:b/>
          <w:bCs/>
          <w:kern w:val="32"/>
          <w:szCs w:val="24"/>
          <w:highlight w:val="none"/>
        </w:rPr>
        <w:t>5. 问题管理流程</w:t>
      </w:r>
      <w:bookmarkEnd w:id="327"/>
    </w:p>
    <w:p w14:paraId="24551807">
      <w:pPr>
        <w:ind w:firstLine="422"/>
        <w:rPr>
          <w:rFonts w:ascii="宋体"/>
          <w:b/>
          <w:bCs/>
          <w:kern w:val="32"/>
          <w:szCs w:val="24"/>
          <w:highlight w:val="none"/>
        </w:rPr>
      </w:pPr>
      <w:bookmarkStart w:id="328" w:name="_Toc254884646"/>
      <w:r>
        <w:rPr>
          <w:rFonts w:hint="eastAsia" w:ascii="宋体"/>
          <w:b/>
          <w:bCs/>
          <w:kern w:val="32"/>
          <w:szCs w:val="24"/>
          <w:highlight w:val="none"/>
        </w:rPr>
        <w:t>5.1问题处理流程</w:t>
      </w:r>
      <w:bookmarkEnd w:id="328"/>
    </w:p>
    <w:p w14:paraId="6F878C9F">
      <w:pPr>
        <w:widowControl/>
        <w:numPr>
          <w:ilvl w:val="0"/>
          <w:numId w:val="7"/>
        </w:numPr>
        <w:ind w:left="0" w:firstLine="567" w:firstLineChars="270"/>
        <w:rPr>
          <w:rFonts w:ascii="宋体"/>
          <w:szCs w:val="24"/>
          <w:highlight w:val="none"/>
        </w:rPr>
      </w:pPr>
      <w:r>
        <w:rPr>
          <w:rFonts w:hint="eastAsia" w:ascii="宋体"/>
          <w:szCs w:val="24"/>
          <w:highlight w:val="none"/>
        </w:rPr>
        <w:t>甲方或乙方均可以首先提出对问题解决方案有不同意见的看法；</w:t>
      </w:r>
    </w:p>
    <w:p w14:paraId="3E2AA5ED">
      <w:pPr>
        <w:widowControl/>
        <w:numPr>
          <w:ilvl w:val="0"/>
          <w:numId w:val="7"/>
        </w:numPr>
        <w:ind w:left="0" w:firstLine="567"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052C39D0">
      <w:pPr>
        <w:widowControl/>
        <w:numPr>
          <w:ilvl w:val="0"/>
          <w:numId w:val="7"/>
        </w:numPr>
        <w:ind w:left="0" w:firstLine="567"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0CB28355">
      <w:pPr>
        <w:widowControl/>
        <w:numPr>
          <w:ilvl w:val="0"/>
          <w:numId w:val="7"/>
        </w:numPr>
        <w:ind w:left="0" w:firstLine="567"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37651225">
      <w:pPr>
        <w:widowControl/>
        <w:numPr>
          <w:ilvl w:val="0"/>
          <w:numId w:val="7"/>
        </w:numPr>
        <w:ind w:left="0" w:firstLine="567"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3B75ED1C">
      <w:pPr>
        <w:ind w:firstLine="422"/>
        <w:rPr>
          <w:rFonts w:ascii="宋体"/>
          <w:b/>
          <w:bCs/>
          <w:kern w:val="32"/>
          <w:szCs w:val="24"/>
          <w:highlight w:val="none"/>
        </w:rPr>
      </w:pPr>
      <w:bookmarkStart w:id="329" w:name="_Toc254884647"/>
      <w:r>
        <w:rPr>
          <w:rFonts w:hint="eastAsia" w:ascii="宋体"/>
          <w:b/>
          <w:bCs/>
          <w:kern w:val="32"/>
          <w:szCs w:val="24"/>
          <w:highlight w:val="none"/>
        </w:rPr>
        <w:t>5.2问题升级流程</w:t>
      </w:r>
      <w:bookmarkEnd w:id="329"/>
    </w:p>
    <w:p w14:paraId="36161294">
      <w:pPr>
        <w:widowControl/>
        <w:numPr>
          <w:ilvl w:val="0"/>
          <w:numId w:val="8"/>
        </w:numPr>
        <w:ind w:firstLineChars="0"/>
        <w:rPr>
          <w:rFonts w:ascii="宋体"/>
          <w:szCs w:val="24"/>
          <w:highlight w:val="none"/>
        </w:rPr>
      </w:pPr>
      <w:r>
        <w:rPr>
          <w:rFonts w:hint="eastAsia" w:ascii="宋体"/>
          <w:szCs w:val="24"/>
          <w:highlight w:val="none"/>
        </w:rPr>
        <w:t>甲方或者乙方都有可能首先提出该流程；</w:t>
      </w:r>
    </w:p>
    <w:p w14:paraId="07D39594">
      <w:pPr>
        <w:widowControl/>
        <w:numPr>
          <w:ilvl w:val="0"/>
          <w:numId w:val="8"/>
        </w:numPr>
        <w:ind w:firstLineChars="0"/>
        <w:rPr>
          <w:rFonts w:ascii="宋体"/>
          <w:szCs w:val="24"/>
          <w:highlight w:val="none"/>
        </w:rPr>
      </w:pPr>
      <w:r>
        <w:rPr>
          <w:rFonts w:hint="eastAsia" w:ascii="宋体"/>
          <w:szCs w:val="24"/>
          <w:highlight w:val="none"/>
        </w:rPr>
        <w:t>首先提出的一方应及时通知对方问题升级流程已经启动；</w:t>
      </w:r>
    </w:p>
    <w:p w14:paraId="5B1E1220">
      <w:pPr>
        <w:widowControl/>
        <w:numPr>
          <w:ilvl w:val="0"/>
          <w:numId w:val="8"/>
        </w:numPr>
        <w:ind w:firstLineChars="0"/>
        <w:rPr>
          <w:rFonts w:ascii="宋体"/>
          <w:szCs w:val="24"/>
          <w:highlight w:val="none"/>
        </w:rPr>
      </w:pPr>
      <w:r>
        <w:rPr>
          <w:rFonts w:hint="eastAsia" w:ascii="宋体"/>
          <w:szCs w:val="24"/>
          <w:highlight w:val="none"/>
        </w:rPr>
        <w:t>问题升级到的管理层应当事先定义在联络人表中；</w:t>
      </w:r>
    </w:p>
    <w:p w14:paraId="2BAA3AC8">
      <w:pPr>
        <w:widowControl/>
        <w:numPr>
          <w:ilvl w:val="0"/>
          <w:numId w:val="8"/>
        </w:numPr>
        <w:ind w:firstLineChars="0"/>
        <w:rPr>
          <w:rFonts w:ascii="宋体"/>
          <w:szCs w:val="24"/>
          <w:highlight w:val="none"/>
        </w:rPr>
      </w:pPr>
      <w:r>
        <w:rPr>
          <w:rFonts w:hint="eastAsia" w:ascii="宋体"/>
          <w:szCs w:val="24"/>
          <w:highlight w:val="none"/>
        </w:rPr>
        <w:t>问题升级的层次在甲方和乙方之间应当保持一致，直至解决该问题。</w:t>
      </w:r>
    </w:p>
    <w:p w14:paraId="3C9DC660">
      <w:pPr>
        <w:ind w:firstLine="422"/>
        <w:rPr>
          <w:rFonts w:ascii="宋体"/>
          <w:b/>
          <w:bCs/>
          <w:kern w:val="32"/>
          <w:szCs w:val="24"/>
          <w:highlight w:val="none"/>
        </w:rPr>
      </w:pPr>
      <w:bookmarkStart w:id="330" w:name="_Toc254884648"/>
      <w:r>
        <w:rPr>
          <w:rFonts w:hint="eastAsia" w:ascii="宋体"/>
          <w:b/>
          <w:bCs/>
          <w:kern w:val="32"/>
          <w:szCs w:val="24"/>
          <w:highlight w:val="none"/>
        </w:rPr>
        <w:t>5.3联络表</w:t>
      </w:r>
      <w:bookmarkEnd w:id="330"/>
    </w:p>
    <w:tbl>
      <w:tblPr>
        <w:tblStyle w:val="23"/>
        <w:tblW w:w="8028" w:type="dxa"/>
        <w:tblInd w:w="675" w:type="dxa"/>
        <w:tblLayout w:type="fixed"/>
        <w:tblCellMar>
          <w:top w:w="0" w:type="dxa"/>
          <w:left w:w="108" w:type="dxa"/>
          <w:bottom w:w="0" w:type="dxa"/>
          <w:right w:w="108" w:type="dxa"/>
        </w:tblCellMar>
      </w:tblPr>
      <w:tblGrid>
        <w:gridCol w:w="2382"/>
        <w:gridCol w:w="2451"/>
        <w:gridCol w:w="3195"/>
      </w:tblGrid>
      <w:tr w14:paraId="72F8C10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BD021CD">
            <w:pPr>
              <w:ind w:firstLine="422"/>
              <w:jc w:val="center"/>
              <w:rPr>
                <w:rFonts w:ascii="宋体"/>
                <w:szCs w:val="24"/>
                <w:highlight w:val="none"/>
              </w:rPr>
            </w:pPr>
            <w:r>
              <w:rPr>
                <w:rFonts w:hint="eastAsia" w:ascii="宋体"/>
                <w:b/>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4AAD6F8B">
            <w:pPr>
              <w:ind w:firstLine="422"/>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tcPr>
          <w:p w14:paraId="7A9CF891">
            <w:pPr>
              <w:ind w:firstLine="422"/>
              <w:jc w:val="center"/>
              <w:rPr>
                <w:rFonts w:ascii="宋体"/>
                <w:b/>
                <w:szCs w:val="24"/>
                <w:highlight w:val="none"/>
              </w:rPr>
            </w:pPr>
            <w:r>
              <w:rPr>
                <w:rFonts w:hint="eastAsia" w:ascii="宋体"/>
                <w:b/>
                <w:szCs w:val="24"/>
                <w:highlight w:val="none"/>
              </w:rPr>
              <w:t>电话</w:t>
            </w:r>
          </w:p>
        </w:tc>
      </w:tr>
      <w:tr w14:paraId="46FB7FA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4C12B244">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44DAA81">
            <w:pPr>
              <w:ind w:firstLine="420"/>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tcPr>
          <w:p w14:paraId="3292DB80">
            <w:pPr>
              <w:ind w:firstLine="420"/>
              <w:jc w:val="center"/>
              <w:rPr>
                <w:rFonts w:ascii="宋体"/>
                <w:szCs w:val="24"/>
                <w:highlight w:val="none"/>
              </w:rPr>
            </w:pPr>
          </w:p>
        </w:tc>
      </w:tr>
      <w:tr w14:paraId="5D75051F">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95D5F25">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4E17E5BB">
            <w:pPr>
              <w:ind w:firstLine="420"/>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tcPr>
          <w:p w14:paraId="05D5283B">
            <w:pPr>
              <w:ind w:firstLine="420"/>
              <w:jc w:val="center"/>
              <w:rPr>
                <w:rFonts w:ascii="宋体"/>
                <w:szCs w:val="24"/>
                <w:highlight w:val="none"/>
              </w:rPr>
            </w:pPr>
          </w:p>
        </w:tc>
      </w:tr>
      <w:tr w14:paraId="6D8C91E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D525E1C">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BF14EF0">
            <w:pPr>
              <w:ind w:firstLine="420"/>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tcPr>
          <w:p w14:paraId="436DFCEB">
            <w:pPr>
              <w:ind w:firstLine="420"/>
              <w:jc w:val="center"/>
              <w:rPr>
                <w:rFonts w:ascii="宋体"/>
                <w:szCs w:val="24"/>
                <w:highlight w:val="none"/>
              </w:rPr>
            </w:pPr>
          </w:p>
        </w:tc>
      </w:tr>
      <w:tr w14:paraId="7A88C31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44C5E5D1">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770E64DB">
            <w:pPr>
              <w:ind w:firstLine="420"/>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tcPr>
          <w:p w14:paraId="7E400EE8">
            <w:pPr>
              <w:ind w:firstLine="420"/>
              <w:jc w:val="center"/>
              <w:rPr>
                <w:rFonts w:ascii="宋体"/>
                <w:szCs w:val="24"/>
                <w:highlight w:val="none"/>
              </w:rPr>
            </w:pPr>
          </w:p>
        </w:tc>
      </w:tr>
    </w:tbl>
    <w:p w14:paraId="6BB1C124">
      <w:pPr>
        <w:ind w:firstLine="422"/>
        <w:rPr>
          <w:rFonts w:ascii="宋体"/>
          <w:b/>
          <w:bCs/>
          <w:kern w:val="32"/>
          <w:szCs w:val="24"/>
          <w:highlight w:val="none"/>
        </w:rPr>
      </w:pPr>
      <w:bookmarkStart w:id="331" w:name="_Toc254884649"/>
      <w:r>
        <w:rPr>
          <w:rFonts w:hint="eastAsia" w:ascii="宋体"/>
          <w:b/>
          <w:bCs/>
          <w:kern w:val="32"/>
          <w:szCs w:val="24"/>
          <w:highlight w:val="none"/>
        </w:rPr>
        <w:t>6. 汇报内容及流程</w:t>
      </w:r>
      <w:bookmarkEnd w:id="331"/>
    </w:p>
    <w:p w14:paraId="1D4B764B">
      <w:pPr>
        <w:ind w:firstLine="420"/>
        <w:rPr>
          <w:rFonts w:ascii="宋体"/>
          <w:szCs w:val="24"/>
          <w:highlight w:val="none"/>
        </w:rPr>
      </w:pPr>
      <w:r>
        <w:rPr>
          <w:rFonts w:hint="eastAsia" w:ascii="宋体"/>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7305EA98">
      <w:pPr>
        <w:ind w:firstLine="422"/>
        <w:rPr>
          <w:rFonts w:ascii="宋体"/>
          <w:b/>
          <w:bCs/>
          <w:kern w:val="32"/>
          <w:szCs w:val="24"/>
          <w:highlight w:val="none"/>
        </w:rPr>
      </w:pPr>
      <w:bookmarkStart w:id="332" w:name="_Toc254884650"/>
      <w:r>
        <w:rPr>
          <w:rFonts w:hint="eastAsia" w:ascii="宋体"/>
          <w:b/>
          <w:bCs/>
          <w:kern w:val="32"/>
          <w:szCs w:val="24"/>
          <w:highlight w:val="none"/>
        </w:rPr>
        <w:t>7. 服务水平和指标</w:t>
      </w:r>
      <w:bookmarkEnd w:id="332"/>
    </w:p>
    <w:p w14:paraId="4505B0C5">
      <w:pPr>
        <w:ind w:firstLine="420"/>
        <w:rPr>
          <w:rFonts w:ascii="宋体"/>
          <w:szCs w:val="24"/>
          <w:highlight w:val="none"/>
        </w:rPr>
        <w:sectPr>
          <w:footerReference r:id="rId17" w:type="default"/>
          <w:pgSz w:w="11906" w:h="16838"/>
          <w:pgMar w:top="1384" w:right="1700" w:bottom="1440" w:left="1800" w:header="851" w:footer="992" w:gutter="0"/>
          <w:pgNumType w:fmt="decimal"/>
          <w:cols w:space="425" w:num="1"/>
          <w:docGrid w:type="lines" w:linePitch="312" w:charSpace="14336"/>
        </w:sectPr>
      </w:pPr>
      <w:r>
        <w:rPr>
          <w:rFonts w:hint="eastAsia" w:ascii="宋体"/>
          <w:szCs w:val="24"/>
          <w:highlight w:val="none"/>
        </w:rPr>
        <w:t>【开发</w:t>
      </w:r>
      <w:r>
        <w:rPr>
          <w:rFonts w:ascii="宋体"/>
          <w:szCs w:val="24"/>
          <w:highlight w:val="none"/>
        </w:rPr>
        <w:t>】</w:t>
      </w:r>
      <w:r>
        <w:rPr>
          <w:rFonts w:hint="eastAsia" w:ascii="宋体"/>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3"/>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22"/>
        <w:gridCol w:w="1543"/>
        <w:gridCol w:w="2244"/>
        <w:gridCol w:w="3647"/>
        <w:gridCol w:w="2385"/>
        <w:gridCol w:w="1122"/>
        <w:gridCol w:w="1075"/>
      </w:tblGrid>
      <w:tr w14:paraId="79D4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65B509C">
            <w:pPr>
              <w:ind w:firstLine="0" w:firstLineChars="0"/>
              <w:jc w:val="center"/>
              <w:rPr>
                <w:rFonts w:ascii="宋体" w:cs="Times New Roman"/>
                <w:b/>
                <w:szCs w:val="21"/>
                <w:highlight w:val="none"/>
              </w:rPr>
            </w:pPr>
            <w:r>
              <w:rPr>
                <w:rFonts w:ascii="宋体" w:cs="Times New Roman"/>
                <w:b/>
                <w:szCs w:val="21"/>
                <w:highlight w:val="none"/>
              </w:rPr>
              <w:t>序号</w:t>
            </w:r>
          </w:p>
        </w:tc>
        <w:tc>
          <w:tcPr>
            <w:tcW w:w="1122" w:type="dxa"/>
            <w:tcBorders>
              <w:top w:val="single" w:color="auto" w:sz="4" w:space="0"/>
              <w:left w:val="single" w:color="auto" w:sz="4" w:space="0"/>
              <w:bottom w:val="single" w:color="auto" w:sz="4" w:space="0"/>
              <w:right w:val="single" w:color="auto" w:sz="4" w:space="0"/>
            </w:tcBorders>
            <w:vAlign w:val="center"/>
          </w:tcPr>
          <w:p w14:paraId="78301861">
            <w:pPr>
              <w:ind w:firstLine="0" w:firstLineChars="0"/>
              <w:jc w:val="center"/>
              <w:rPr>
                <w:rFonts w:ascii="宋体" w:cs="Times New Roman"/>
                <w:b/>
                <w:szCs w:val="21"/>
                <w:highlight w:val="none"/>
              </w:rPr>
            </w:pPr>
            <w:r>
              <w:rPr>
                <w:rFonts w:ascii="宋体" w:cs="Times New Roman"/>
                <w:b/>
                <w:szCs w:val="21"/>
                <w:highlight w:val="none"/>
              </w:rPr>
              <w:t>评价维度</w:t>
            </w:r>
          </w:p>
        </w:tc>
        <w:tc>
          <w:tcPr>
            <w:tcW w:w="1543" w:type="dxa"/>
            <w:tcBorders>
              <w:top w:val="single" w:color="auto" w:sz="4" w:space="0"/>
              <w:left w:val="single" w:color="auto" w:sz="4" w:space="0"/>
              <w:bottom w:val="single" w:color="auto" w:sz="4" w:space="0"/>
              <w:right w:val="single" w:color="auto" w:sz="4" w:space="0"/>
            </w:tcBorders>
            <w:vAlign w:val="center"/>
          </w:tcPr>
          <w:p w14:paraId="68244BC7">
            <w:pPr>
              <w:ind w:firstLine="0" w:firstLineChars="0"/>
              <w:jc w:val="center"/>
              <w:rPr>
                <w:rFonts w:ascii="宋体" w:cs="Times New Roman"/>
                <w:b/>
                <w:szCs w:val="21"/>
                <w:highlight w:val="none"/>
              </w:rPr>
            </w:pPr>
            <w:r>
              <w:rPr>
                <w:rFonts w:ascii="宋体" w:cs="Times New Roman"/>
                <w:b/>
                <w:szCs w:val="21"/>
                <w:highlight w:val="none"/>
              </w:rPr>
              <w:t>评价指标</w:t>
            </w:r>
          </w:p>
        </w:tc>
        <w:tc>
          <w:tcPr>
            <w:tcW w:w="2244" w:type="dxa"/>
            <w:tcBorders>
              <w:top w:val="single" w:color="auto" w:sz="4" w:space="0"/>
              <w:left w:val="single" w:color="auto" w:sz="4" w:space="0"/>
              <w:bottom w:val="single" w:color="auto" w:sz="4" w:space="0"/>
              <w:right w:val="single" w:color="auto" w:sz="4" w:space="0"/>
            </w:tcBorders>
            <w:vAlign w:val="center"/>
          </w:tcPr>
          <w:p w14:paraId="537C0BF3">
            <w:pPr>
              <w:ind w:firstLine="0" w:firstLineChars="0"/>
              <w:jc w:val="center"/>
              <w:rPr>
                <w:rFonts w:ascii="宋体" w:cs="Times New Roman"/>
                <w:b/>
                <w:szCs w:val="21"/>
                <w:highlight w:val="none"/>
              </w:rPr>
            </w:pPr>
            <w:r>
              <w:rPr>
                <w:rFonts w:ascii="宋体" w:cs="Times New Roman"/>
                <w:b/>
                <w:szCs w:val="21"/>
                <w:highlight w:val="none"/>
              </w:rPr>
              <w:t>指标定义</w:t>
            </w:r>
          </w:p>
        </w:tc>
        <w:tc>
          <w:tcPr>
            <w:tcW w:w="3647" w:type="dxa"/>
            <w:tcBorders>
              <w:top w:val="single" w:color="auto" w:sz="4" w:space="0"/>
              <w:left w:val="single" w:color="auto" w:sz="4" w:space="0"/>
              <w:bottom w:val="single" w:color="auto" w:sz="4" w:space="0"/>
              <w:right w:val="single" w:color="auto" w:sz="4" w:space="0"/>
            </w:tcBorders>
            <w:vAlign w:val="center"/>
          </w:tcPr>
          <w:p w14:paraId="58E35061">
            <w:pPr>
              <w:ind w:firstLine="0" w:firstLineChars="0"/>
              <w:jc w:val="center"/>
              <w:rPr>
                <w:rFonts w:ascii="宋体" w:cs="Times New Roman"/>
                <w:b/>
                <w:szCs w:val="21"/>
                <w:highlight w:val="none"/>
              </w:rPr>
            </w:pPr>
            <w:r>
              <w:rPr>
                <w:rFonts w:ascii="宋体" w:cs="Times New Roman"/>
                <w:b/>
                <w:szCs w:val="21"/>
                <w:highlight w:val="none"/>
              </w:rPr>
              <w:t>评分</w:t>
            </w:r>
            <w:r>
              <w:rPr>
                <w:rFonts w:hint="eastAsia" w:ascii="宋体" w:cs="Times New Roman"/>
                <w:b/>
                <w:szCs w:val="21"/>
                <w:highlight w:val="none"/>
              </w:rPr>
              <w:t>/价</w:t>
            </w:r>
            <w:r>
              <w:rPr>
                <w:rFonts w:ascii="宋体" w:cs="Times New Roman"/>
                <w:b/>
                <w:szCs w:val="21"/>
                <w:highlight w:val="none"/>
              </w:rPr>
              <w:t>标准</w:t>
            </w:r>
          </w:p>
        </w:tc>
        <w:tc>
          <w:tcPr>
            <w:tcW w:w="2385" w:type="dxa"/>
            <w:tcBorders>
              <w:top w:val="single" w:color="auto" w:sz="4" w:space="0"/>
              <w:left w:val="single" w:color="auto" w:sz="4" w:space="0"/>
              <w:bottom w:val="single" w:color="auto" w:sz="4" w:space="0"/>
              <w:right w:val="single" w:color="auto" w:sz="4" w:space="0"/>
            </w:tcBorders>
            <w:vAlign w:val="center"/>
          </w:tcPr>
          <w:p w14:paraId="238F70AF">
            <w:pPr>
              <w:ind w:firstLine="0" w:firstLineChars="0"/>
              <w:jc w:val="center"/>
              <w:rPr>
                <w:rFonts w:ascii="宋体" w:cs="Times New Roman"/>
                <w:b/>
                <w:szCs w:val="21"/>
                <w:highlight w:val="none"/>
              </w:rPr>
            </w:pPr>
            <w:r>
              <w:rPr>
                <w:rFonts w:hint="eastAsia" w:ascii="宋体" w:cs="Times New Roman"/>
                <w:b/>
                <w:szCs w:val="21"/>
                <w:highlight w:val="none"/>
              </w:rPr>
              <w:t>违约金标准</w:t>
            </w:r>
          </w:p>
        </w:tc>
        <w:tc>
          <w:tcPr>
            <w:tcW w:w="1122" w:type="dxa"/>
            <w:tcBorders>
              <w:top w:val="single" w:color="auto" w:sz="4" w:space="0"/>
              <w:left w:val="single" w:color="auto" w:sz="4" w:space="0"/>
              <w:bottom w:val="single" w:color="auto" w:sz="4" w:space="0"/>
              <w:right w:val="single" w:color="auto" w:sz="4" w:space="0"/>
            </w:tcBorders>
            <w:vAlign w:val="center"/>
          </w:tcPr>
          <w:p w14:paraId="50E29C13">
            <w:pPr>
              <w:ind w:firstLine="0" w:firstLineChars="0"/>
              <w:jc w:val="center"/>
              <w:rPr>
                <w:rFonts w:ascii="宋体" w:cs="Times New Roman"/>
                <w:b/>
                <w:szCs w:val="21"/>
                <w:highlight w:val="none"/>
              </w:rPr>
            </w:pPr>
            <w:r>
              <w:rPr>
                <w:rFonts w:ascii="宋体" w:cs="Times New Roman"/>
                <w:b/>
                <w:szCs w:val="21"/>
                <w:highlight w:val="none"/>
              </w:rPr>
              <w:t>评价结果</w:t>
            </w:r>
          </w:p>
        </w:tc>
        <w:tc>
          <w:tcPr>
            <w:tcW w:w="1075" w:type="dxa"/>
            <w:tcBorders>
              <w:top w:val="single" w:color="auto" w:sz="4" w:space="0"/>
              <w:left w:val="single" w:color="auto" w:sz="4" w:space="0"/>
              <w:bottom w:val="single" w:color="auto" w:sz="4" w:space="0"/>
              <w:right w:val="single" w:color="auto" w:sz="4" w:space="0"/>
            </w:tcBorders>
            <w:vAlign w:val="center"/>
          </w:tcPr>
          <w:p w14:paraId="208A6F14">
            <w:pPr>
              <w:ind w:firstLine="0" w:firstLineChars="0"/>
              <w:jc w:val="center"/>
              <w:rPr>
                <w:rFonts w:ascii="宋体" w:cs="Times New Roman"/>
                <w:b/>
                <w:szCs w:val="21"/>
                <w:highlight w:val="none"/>
              </w:rPr>
            </w:pPr>
            <w:r>
              <w:rPr>
                <w:rFonts w:ascii="宋体" w:cs="Times New Roman"/>
                <w:b/>
                <w:szCs w:val="21"/>
                <w:highlight w:val="none"/>
              </w:rPr>
              <w:t>评价得分</w:t>
            </w:r>
          </w:p>
        </w:tc>
      </w:tr>
      <w:tr w14:paraId="0626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8236238">
            <w:pPr>
              <w:ind w:firstLine="0" w:firstLineChars="0"/>
              <w:jc w:val="center"/>
              <w:rPr>
                <w:rFonts w:ascii="宋体" w:cs="Times New Roman"/>
                <w:szCs w:val="21"/>
                <w:highlight w:val="none"/>
              </w:rPr>
            </w:pPr>
            <w:r>
              <w:rPr>
                <w:rFonts w:hint="eastAsia" w:ascii="宋体" w:cs="Times New Roman"/>
                <w:szCs w:val="21"/>
                <w:highlight w:val="none"/>
              </w:rPr>
              <w:t>1</w:t>
            </w:r>
          </w:p>
        </w:tc>
        <w:tc>
          <w:tcPr>
            <w:tcW w:w="1122" w:type="dxa"/>
            <w:vMerge w:val="restart"/>
            <w:tcBorders>
              <w:top w:val="single" w:color="auto" w:sz="4" w:space="0"/>
              <w:left w:val="single" w:color="auto" w:sz="4" w:space="0"/>
              <w:right w:val="single" w:color="auto" w:sz="4" w:space="0"/>
            </w:tcBorders>
            <w:vAlign w:val="center"/>
          </w:tcPr>
          <w:p w14:paraId="607BD196">
            <w:pPr>
              <w:ind w:firstLine="0" w:firstLineChars="0"/>
              <w:jc w:val="left"/>
              <w:rPr>
                <w:rFonts w:ascii="宋体" w:cs="Times New Roman"/>
                <w:szCs w:val="21"/>
                <w:highlight w:val="none"/>
              </w:rPr>
            </w:pPr>
            <w:r>
              <w:rPr>
                <w:rFonts w:hint="eastAsia" w:ascii="宋体" w:cs="Times New Roman"/>
                <w:szCs w:val="21"/>
                <w:highlight w:val="none"/>
              </w:rPr>
              <w:t>服务质量</w:t>
            </w:r>
          </w:p>
        </w:tc>
        <w:tc>
          <w:tcPr>
            <w:tcW w:w="1543" w:type="dxa"/>
            <w:tcBorders>
              <w:top w:val="single" w:color="auto" w:sz="4" w:space="0"/>
              <w:left w:val="single" w:color="auto" w:sz="4" w:space="0"/>
              <w:right w:val="single" w:color="auto" w:sz="4" w:space="0"/>
            </w:tcBorders>
            <w:vAlign w:val="center"/>
          </w:tcPr>
          <w:p w14:paraId="09246021">
            <w:pPr>
              <w:ind w:firstLine="0" w:firstLineChars="0"/>
              <w:rPr>
                <w:rFonts w:ascii="宋体" w:cs="Times New Roman"/>
                <w:szCs w:val="21"/>
                <w:highlight w:val="none"/>
              </w:rPr>
            </w:pPr>
            <w:r>
              <w:rPr>
                <w:rFonts w:ascii="宋体" w:cs="Times New Roman"/>
                <w:szCs w:val="21"/>
                <w:highlight w:val="none"/>
              </w:rPr>
              <w:t>交付成果质量</w:t>
            </w:r>
          </w:p>
        </w:tc>
        <w:tc>
          <w:tcPr>
            <w:tcW w:w="2244" w:type="dxa"/>
            <w:tcBorders>
              <w:top w:val="single" w:color="auto" w:sz="4" w:space="0"/>
              <w:left w:val="single" w:color="auto" w:sz="4" w:space="0"/>
              <w:right w:val="single" w:color="auto" w:sz="4" w:space="0"/>
            </w:tcBorders>
            <w:vAlign w:val="center"/>
          </w:tcPr>
          <w:p w14:paraId="53889666">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所提交的项目交付成果与</w:t>
            </w:r>
            <w:r>
              <w:rPr>
                <w:rFonts w:hint="eastAsia" w:ascii="宋体" w:cs="Times New Roman"/>
                <w:szCs w:val="21"/>
                <w:highlight w:val="none"/>
              </w:rPr>
              <w:t>甲方</w:t>
            </w:r>
            <w:r>
              <w:rPr>
                <w:rFonts w:ascii="宋体" w:cs="Times New Roman"/>
                <w:szCs w:val="21"/>
                <w:highlight w:val="none"/>
              </w:rPr>
              <w:t>要求的项目交付成果的契合度或交付成果质量与合同所约定要求的项目交付成果质量的满足程度</w:t>
            </w:r>
          </w:p>
        </w:tc>
        <w:tc>
          <w:tcPr>
            <w:tcW w:w="3647" w:type="dxa"/>
            <w:tcBorders>
              <w:top w:val="single" w:color="auto" w:sz="4" w:space="0"/>
              <w:left w:val="single" w:color="auto" w:sz="4" w:space="0"/>
              <w:right w:val="single" w:color="auto" w:sz="4" w:space="0"/>
            </w:tcBorders>
            <w:vAlign w:val="center"/>
          </w:tcPr>
          <w:p w14:paraId="39FE9AAD">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能够主动快速与</w:t>
            </w:r>
            <w:r>
              <w:rPr>
                <w:rFonts w:hint="eastAsia" w:ascii="宋体" w:cs="Times New Roman"/>
                <w:szCs w:val="21"/>
                <w:highlight w:val="none"/>
              </w:rPr>
              <w:t>甲方</w:t>
            </w:r>
            <w:r>
              <w:rPr>
                <w:rFonts w:ascii="宋体" w:cs="Times New Roman"/>
                <w:szCs w:val="21"/>
                <w:highlight w:val="none"/>
              </w:rPr>
              <w:t>进行有效的沟通，交付成果高度契合需求，完全满足并超出合同约定的预期目标，给</w:t>
            </w:r>
            <w:r>
              <w:rPr>
                <w:rFonts w:hint="eastAsia" w:ascii="宋体" w:cs="Times New Roman"/>
                <w:szCs w:val="21"/>
                <w:highlight w:val="none"/>
              </w:rPr>
              <w:t>甲方</w:t>
            </w:r>
            <w:r>
              <w:rPr>
                <w:rFonts w:ascii="宋体" w:cs="Times New Roman"/>
                <w:szCs w:val="21"/>
                <w:highlight w:val="none"/>
              </w:rPr>
              <w:t>带来显著的附加价值</w:t>
            </w:r>
            <w:r>
              <w:rPr>
                <w:rFonts w:hint="eastAsia" w:ascii="宋体" w:cs="Times New Roman"/>
                <w:szCs w:val="21"/>
                <w:highlight w:val="none"/>
              </w:rPr>
              <w:t>；</w:t>
            </w:r>
          </w:p>
          <w:p w14:paraId="7780AD98">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能够快速响应需求，交付成果达到合同约定的预期目标，基本契合需求，满足合同约定的预期目标</w:t>
            </w:r>
            <w:r>
              <w:rPr>
                <w:rFonts w:hint="eastAsia" w:ascii="宋体" w:cs="Times New Roman"/>
                <w:szCs w:val="21"/>
                <w:highlight w:val="none"/>
              </w:rPr>
              <w:t>；</w:t>
            </w:r>
          </w:p>
          <w:p w14:paraId="1E909CC0">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能够按要求响应需求，交付成果</w:t>
            </w:r>
            <w:r>
              <w:rPr>
                <w:rFonts w:hint="eastAsia" w:ascii="宋体" w:cs="Times New Roman"/>
                <w:szCs w:val="21"/>
                <w:highlight w:val="none"/>
              </w:rPr>
              <w:t>基本满足</w:t>
            </w:r>
            <w:r>
              <w:rPr>
                <w:rFonts w:ascii="宋体" w:cs="Times New Roman"/>
                <w:szCs w:val="21"/>
                <w:highlight w:val="none"/>
              </w:rPr>
              <w:t>需求，但是总体可满足合同约定的预期目标</w:t>
            </w:r>
            <w:r>
              <w:rPr>
                <w:rFonts w:hint="eastAsia" w:ascii="宋体" w:cs="Times New Roman"/>
                <w:szCs w:val="21"/>
                <w:highlight w:val="none"/>
              </w:rPr>
              <w:t>；</w:t>
            </w:r>
          </w:p>
          <w:p w14:paraId="2CDA4765">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乙方未</w:t>
            </w:r>
            <w:r>
              <w:rPr>
                <w:rFonts w:ascii="宋体" w:cs="Times New Roman"/>
                <w:szCs w:val="21"/>
                <w:highlight w:val="none"/>
              </w:rPr>
              <w:t>能够按要求响应需求，</w:t>
            </w:r>
            <w:r>
              <w:rPr>
                <w:rFonts w:hint="eastAsia" w:ascii="宋体" w:cs="Times New Roman"/>
                <w:szCs w:val="21"/>
                <w:highlight w:val="none"/>
              </w:rPr>
              <w:t>或</w:t>
            </w:r>
            <w:r>
              <w:rPr>
                <w:rFonts w:ascii="宋体" w:cs="Times New Roman"/>
                <w:szCs w:val="21"/>
                <w:highlight w:val="none"/>
              </w:rPr>
              <w:t>交付成果与需求</w:t>
            </w:r>
            <w:r>
              <w:rPr>
                <w:rFonts w:hint="eastAsia" w:ascii="宋体" w:cs="Times New Roman"/>
                <w:szCs w:val="21"/>
                <w:highlight w:val="none"/>
              </w:rPr>
              <w:t>契合度</w:t>
            </w:r>
            <w:r>
              <w:rPr>
                <w:rFonts w:ascii="宋体" w:cs="Times New Roman"/>
                <w:szCs w:val="21"/>
                <w:highlight w:val="none"/>
              </w:rPr>
              <w:t>差距较大，无法达到合同约定的预期目标</w:t>
            </w:r>
            <w:r>
              <w:rPr>
                <w:rFonts w:hint="eastAsia" w:ascii="宋体" w:cs="Times New Roman"/>
                <w:szCs w:val="21"/>
                <w:highlight w:val="none"/>
              </w:rPr>
              <w:t>。</w:t>
            </w:r>
          </w:p>
        </w:tc>
        <w:tc>
          <w:tcPr>
            <w:tcW w:w="2385" w:type="dxa"/>
            <w:tcBorders>
              <w:top w:val="single" w:color="auto" w:sz="4" w:space="0"/>
              <w:left w:val="single" w:color="auto" w:sz="4" w:space="0"/>
              <w:right w:val="single" w:color="auto" w:sz="4" w:space="0"/>
            </w:tcBorders>
            <w:vAlign w:val="center"/>
          </w:tcPr>
          <w:p w14:paraId="4CF1B8C5">
            <w:pPr>
              <w:ind w:firstLine="0" w:firstLineChars="0"/>
              <w:rPr>
                <w:rFonts w:ascii="宋体" w:cs="Times New Roman"/>
                <w:szCs w:val="21"/>
                <w:highlight w:val="none"/>
              </w:rPr>
            </w:pPr>
            <w:r>
              <w:rPr>
                <w:rFonts w:hint="eastAsia" w:ascii="宋体" w:cs="Times New Roman"/>
                <w:szCs w:val="21"/>
                <w:highlight w:val="none"/>
              </w:rPr>
              <w:t>交付成果每缺少一项扣除乙方金额人民币2</w:t>
            </w:r>
            <w:r>
              <w:rPr>
                <w:rFonts w:ascii="宋体" w:cs="Times New Roman"/>
                <w:szCs w:val="21"/>
                <w:highlight w:val="none"/>
              </w:rPr>
              <w:t>000</w:t>
            </w:r>
            <w:r>
              <w:rPr>
                <w:rFonts w:hint="eastAsia" w:ascii="宋体" w:cs="Times New Roman"/>
                <w:szCs w:val="21"/>
                <w:highlight w:val="none"/>
              </w:rPr>
              <w:t>元；每有一项交付成果质量不合格扣除乙方金额人民币2</w:t>
            </w:r>
            <w:r>
              <w:rPr>
                <w:rFonts w:ascii="宋体" w:cs="Times New Roman"/>
                <w:szCs w:val="21"/>
                <w:highlight w:val="none"/>
              </w:rPr>
              <w:t>000</w:t>
            </w:r>
            <w:r>
              <w:rPr>
                <w:rFonts w:hint="eastAsia" w:ascii="宋体" w:cs="Times New Roman"/>
                <w:szCs w:val="21"/>
                <w:highlight w:val="none"/>
              </w:rPr>
              <w:t>元。</w:t>
            </w:r>
          </w:p>
        </w:tc>
        <w:tc>
          <w:tcPr>
            <w:tcW w:w="1122" w:type="dxa"/>
            <w:tcBorders>
              <w:top w:val="single" w:color="auto" w:sz="4" w:space="0"/>
              <w:left w:val="single" w:color="auto" w:sz="4" w:space="0"/>
              <w:right w:val="single" w:color="auto" w:sz="4" w:space="0"/>
            </w:tcBorders>
            <w:vAlign w:val="center"/>
          </w:tcPr>
          <w:p w14:paraId="704A378D">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6A422231">
            <w:pPr>
              <w:ind w:firstLine="0" w:firstLineChars="0"/>
              <w:jc w:val="left"/>
              <w:rPr>
                <w:rFonts w:ascii="宋体" w:cs="Times New Roman"/>
                <w:szCs w:val="21"/>
                <w:highlight w:val="none"/>
              </w:rPr>
            </w:pPr>
          </w:p>
        </w:tc>
      </w:tr>
      <w:tr w14:paraId="6286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43A310A">
            <w:pPr>
              <w:ind w:firstLine="0" w:firstLineChars="0"/>
              <w:jc w:val="center"/>
              <w:rPr>
                <w:rFonts w:ascii="宋体" w:cs="Times New Roman"/>
                <w:szCs w:val="21"/>
                <w:highlight w:val="none"/>
              </w:rPr>
            </w:pPr>
            <w:r>
              <w:rPr>
                <w:rFonts w:hint="eastAsia" w:ascii="宋体" w:cs="Times New Roman"/>
                <w:szCs w:val="21"/>
                <w:highlight w:val="none"/>
              </w:rPr>
              <w:t>2</w:t>
            </w:r>
          </w:p>
        </w:tc>
        <w:tc>
          <w:tcPr>
            <w:tcW w:w="1122" w:type="dxa"/>
            <w:vMerge w:val="continue"/>
            <w:tcBorders>
              <w:top w:val="single" w:color="auto" w:sz="4" w:space="0"/>
              <w:left w:val="single" w:color="auto" w:sz="4" w:space="0"/>
              <w:right w:val="single" w:color="auto" w:sz="4" w:space="0"/>
            </w:tcBorders>
          </w:tcPr>
          <w:p w14:paraId="17781158">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743E2619">
            <w:pPr>
              <w:ind w:firstLine="0" w:firstLineChars="0"/>
              <w:rPr>
                <w:rFonts w:ascii="宋体" w:cs="Times New Roman"/>
                <w:szCs w:val="21"/>
                <w:highlight w:val="none"/>
              </w:rPr>
            </w:pPr>
            <w:r>
              <w:rPr>
                <w:rFonts w:ascii="宋体" w:cs="Times New Roman"/>
                <w:szCs w:val="21"/>
                <w:highlight w:val="none"/>
              </w:rPr>
              <w:t>成果交付延期情况</w:t>
            </w:r>
          </w:p>
        </w:tc>
        <w:tc>
          <w:tcPr>
            <w:tcW w:w="2244" w:type="dxa"/>
            <w:tcBorders>
              <w:top w:val="single" w:color="auto" w:sz="4" w:space="0"/>
              <w:left w:val="single" w:color="auto" w:sz="4" w:space="0"/>
              <w:right w:val="single" w:color="auto" w:sz="4" w:space="0"/>
            </w:tcBorders>
            <w:vAlign w:val="center"/>
          </w:tcPr>
          <w:p w14:paraId="0F4871B7">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因乙方原因导致</w:t>
            </w:r>
            <w:r>
              <w:rPr>
                <w:rFonts w:ascii="宋体" w:cs="Times New Roman"/>
                <w:szCs w:val="21"/>
                <w:highlight w:val="none"/>
              </w:rPr>
              <w:t>项目交付成果时间与合同规定时间之间的差距</w:t>
            </w:r>
          </w:p>
        </w:tc>
        <w:tc>
          <w:tcPr>
            <w:tcW w:w="3647" w:type="dxa"/>
            <w:tcBorders>
              <w:top w:val="single" w:color="auto" w:sz="4" w:space="0"/>
              <w:left w:val="single" w:color="auto" w:sz="4" w:space="0"/>
              <w:right w:val="single" w:color="auto" w:sz="4" w:space="0"/>
            </w:tcBorders>
            <w:vAlign w:val="center"/>
          </w:tcPr>
          <w:p w14:paraId="693F2ADB">
            <w:pPr>
              <w:ind w:firstLine="0" w:firstLineChars="0"/>
              <w:rPr>
                <w:rFonts w:ascii="宋体" w:cs="Times New Roman"/>
                <w:szCs w:val="21"/>
                <w:highlight w:val="none"/>
              </w:rPr>
            </w:pPr>
            <w:r>
              <w:rPr>
                <w:rFonts w:hint="eastAsia" w:ascii="宋体" w:cs="Times New Roman"/>
                <w:szCs w:val="21"/>
                <w:highlight w:val="none"/>
              </w:rPr>
              <w:t>实</w:t>
            </w:r>
            <w:r>
              <w:rPr>
                <w:rFonts w:ascii="宋体" w:cs="Times New Roman"/>
                <w:szCs w:val="21"/>
                <w:highlight w:val="none"/>
              </w:rPr>
              <w:t>际交付成果日期与合同约定交付日期之差</w:t>
            </w:r>
          </w:p>
          <w:p w14:paraId="375C084C">
            <w:pPr>
              <w:ind w:firstLine="0" w:firstLineChars="0"/>
              <w:rPr>
                <w:rFonts w:ascii="宋体" w:cs="Times New Roman"/>
                <w:szCs w:val="21"/>
                <w:highlight w:val="none"/>
              </w:rPr>
            </w:pPr>
            <w:r>
              <w:rPr>
                <w:rFonts w:hint="eastAsia" w:ascii="宋体" w:cs="Times New Roman"/>
                <w:b/>
                <w:bCs/>
                <w:szCs w:val="21"/>
                <w:highlight w:val="none"/>
              </w:rPr>
              <w:t>【得分上限5分】</w:t>
            </w:r>
          </w:p>
          <w:p w14:paraId="60B7254C">
            <w:pPr>
              <w:ind w:firstLine="0" w:firstLineChars="0"/>
              <w:rPr>
                <w:rFonts w:ascii="宋体" w:cs="Times New Roman"/>
                <w:szCs w:val="21"/>
                <w:highlight w:val="none"/>
              </w:rPr>
            </w:pPr>
            <w:r>
              <w:rPr>
                <w:rFonts w:hint="eastAsia" w:ascii="宋体" w:cs="Times New Roman"/>
                <w:b/>
                <w:bCs/>
                <w:szCs w:val="21"/>
                <w:highlight w:val="none"/>
              </w:rPr>
              <w:t>无延期：</w:t>
            </w:r>
            <w:r>
              <w:rPr>
                <w:rFonts w:hint="eastAsia" w:ascii="宋体" w:cs="Times New Roman"/>
                <w:szCs w:val="21"/>
                <w:highlight w:val="none"/>
              </w:rPr>
              <w:t>指未出现延期，该项指标满分；</w:t>
            </w:r>
          </w:p>
          <w:p w14:paraId="6D1EBEB5">
            <w:pPr>
              <w:ind w:firstLine="0" w:firstLineChars="0"/>
              <w:rPr>
                <w:rFonts w:ascii="宋体" w:cs="Times New Roman"/>
                <w:szCs w:val="21"/>
                <w:highlight w:val="none"/>
              </w:rPr>
            </w:pPr>
            <w:r>
              <w:rPr>
                <w:rFonts w:hint="eastAsia" w:ascii="宋体" w:cs="Times New Roman"/>
                <w:b/>
                <w:bCs/>
                <w:szCs w:val="21"/>
                <w:highlight w:val="none"/>
              </w:rPr>
              <w:t>0＜延期≤3个月：</w:t>
            </w:r>
            <w:r>
              <w:rPr>
                <w:rFonts w:hint="eastAsia" w:ascii="宋体" w:cs="Times New Roman"/>
                <w:szCs w:val="21"/>
                <w:highlight w:val="none"/>
              </w:rPr>
              <w:t>扣2分，指出现延期3个月</w:t>
            </w:r>
            <w:r>
              <w:rPr>
                <w:rFonts w:ascii="宋体" w:cs="Times New Roman"/>
                <w:szCs w:val="21"/>
                <w:highlight w:val="none"/>
              </w:rPr>
              <w:t>（含）</w:t>
            </w:r>
            <w:r>
              <w:rPr>
                <w:rFonts w:hint="eastAsia" w:ascii="宋体" w:cs="Times New Roman"/>
                <w:szCs w:val="21"/>
                <w:highlight w:val="none"/>
              </w:rPr>
              <w:t>以内；</w:t>
            </w:r>
          </w:p>
          <w:p w14:paraId="4F870763">
            <w:pPr>
              <w:ind w:firstLine="0" w:firstLineChars="0"/>
              <w:rPr>
                <w:rFonts w:ascii="宋体" w:cs="Times New Roman"/>
                <w:szCs w:val="21"/>
                <w:highlight w:val="none"/>
              </w:rPr>
            </w:pPr>
            <w:r>
              <w:rPr>
                <w:rFonts w:hint="eastAsia" w:ascii="宋体" w:cs="Times New Roman"/>
                <w:b/>
                <w:bCs/>
                <w:szCs w:val="21"/>
                <w:highlight w:val="none"/>
              </w:rPr>
              <w:t>3＜延期≤6个月：</w:t>
            </w:r>
            <w:r>
              <w:rPr>
                <w:rFonts w:hint="eastAsia" w:ascii="宋体" w:cs="Times New Roman"/>
                <w:szCs w:val="21"/>
                <w:highlight w:val="none"/>
              </w:rPr>
              <w:t>扣3分，指出现延期大于3个月且小于等于6个月；</w:t>
            </w:r>
          </w:p>
          <w:p w14:paraId="0A332E85">
            <w:pPr>
              <w:ind w:firstLine="0" w:firstLineChars="0"/>
              <w:rPr>
                <w:rFonts w:ascii="宋体" w:cs="Times New Roman"/>
                <w:b/>
                <w:bCs/>
                <w:szCs w:val="21"/>
                <w:highlight w:val="none"/>
              </w:rPr>
            </w:pPr>
            <w:r>
              <w:rPr>
                <w:rFonts w:hint="eastAsia" w:ascii="宋体" w:cs="Times New Roman"/>
                <w:b/>
                <w:bCs/>
                <w:szCs w:val="21"/>
                <w:highlight w:val="none"/>
              </w:rPr>
              <w:t>延期6个月以上：</w:t>
            </w:r>
            <w:r>
              <w:rPr>
                <w:rFonts w:hint="eastAsia" w:ascii="宋体" w:cs="Times New Roman"/>
                <w:szCs w:val="21"/>
                <w:highlight w:val="none"/>
              </w:rPr>
              <w:t>扣5分，指出现延期6个月以上。</w:t>
            </w:r>
          </w:p>
        </w:tc>
        <w:tc>
          <w:tcPr>
            <w:tcW w:w="2385" w:type="dxa"/>
            <w:tcBorders>
              <w:top w:val="single" w:color="auto" w:sz="4" w:space="0"/>
              <w:left w:val="single" w:color="auto" w:sz="4" w:space="0"/>
              <w:right w:val="single" w:color="auto" w:sz="4" w:space="0"/>
            </w:tcBorders>
            <w:vAlign w:val="center"/>
          </w:tcPr>
          <w:p w14:paraId="688C57B7">
            <w:pPr>
              <w:ind w:firstLine="0" w:firstLineChars="0"/>
              <w:rPr>
                <w:rFonts w:ascii="宋体" w:cs="Times New Roman"/>
                <w:b/>
                <w:bCs/>
                <w:szCs w:val="21"/>
                <w:highlight w:val="none"/>
              </w:rPr>
            </w:pPr>
            <w:r>
              <w:rPr>
                <w:rFonts w:hint="eastAsia" w:ascii="宋体" w:cs="Times New Roman"/>
                <w:szCs w:val="21"/>
                <w:highlight w:val="none"/>
              </w:rPr>
              <w:t>若延期超过1个月，每延期增加一天扣除合同总金额的0.1%（注：最多扣除不超过合同总金额的10%）。</w:t>
            </w:r>
          </w:p>
        </w:tc>
        <w:tc>
          <w:tcPr>
            <w:tcW w:w="1122" w:type="dxa"/>
            <w:tcBorders>
              <w:top w:val="single" w:color="auto" w:sz="4" w:space="0"/>
              <w:left w:val="single" w:color="auto" w:sz="4" w:space="0"/>
              <w:right w:val="single" w:color="auto" w:sz="4" w:space="0"/>
            </w:tcBorders>
            <w:vAlign w:val="center"/>
          </w:tcPr>
          <w:p w14:paraId="6B0DF88C">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204F05F">
            <w:pPr>
              <w:ind w:firstLine="0" w:firstLineChars="0"/>
              <w:jc w:val="left"/>
              <w:rPr>
                <w:rFonts w:ascii="宋体" w:cs="Times New Roman"/>
                <w:szCs w:val="21"/>
                <w:highlight w:val="none"/>
              </w:rPr>
            </w:pPr>
          </w:p>
        </w:tc>
      </w:tr>
      <w:tr w14:paraId="27E4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279D10F">
            <w:pPr>
              <w:ind w:firstLine="0" w:firstLineChars="0"/>
              <w:jc w:val="center"/>
              <w:rPr>
                <w:rFonts w:ascii="宋体" w:cs="Times New Roman"/>
                <w:szCs w:val="21"/>
                <w:highlight w:val="none"/>
              </w:rPr>
            </w:pPr>
            <w:r>
              <w:rPr>
                <w:rFonts w:hint="eastAsia" w:ascii="宋体" w:cs="Times New Roman"/>
                <w:szCs w:val="21"/>
                <w:highlight w:val="none"/>
              </w:rPr>
              <w:t>3</w:t>
            </w:r>
          </w:p>
        </w:tc>
        <w:tc>
          <w:tcPr>
            <w:tcW w:w="1122" w:type="dxa"/>
            <w:vMerge w:val="continue"/>
            <w:tcBorders>
              <w:top w:val="single" w:color="auto" w:sz="4" w:space="0"/>
              <w:left w:val="single" w:color="auto" w:sz="4" w:space="0"/>
              <w:right w:val="single" w:color="auto" w:sz="4" w:space="0"/>
            </w:tcBorders>
          </w:tcPr>
          <w:p w14:paraId="26560D09">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4E3ECAEA">
            <w:pPr>
              <w:ind w:firstLine="0" w:firstLineChars="0"/>
              <w:rPr>
                <w:rFonts w:ascii="宋体" w:cs="Times New Roman"/>
                <w:szCs w:val="21"/>
                <w:highlight w:val="none"/>
              </w:rPr>
            </w:pPr>
            <w:r>
              <w:rPr>
                <w:rFonts w:ascii="宋体" w:cs="Times New Roman"/>
                <w:szCs w:val="21"/>
                <w:highlight w:val="none"/>
              </w:rPr>
              <w:t>产品缺陷密度</w:t>
            </w:r>
          </w:p>
        </w:tc>
        <w:tc>
          <w:tcPr>
            <w:tcW w:w="2244" w:type="dxa"/>
            <w:tcBorders>
              <w:top w:val="single" w:color="auto" w:sz="4" w:space="0"/>
              <w:left w:val="single" w:color="auto" w:sz="4" w:space="0"/>
              <w:right w:val="single" w:color="auto" w:sz="4" w:space="0"/>
            </w:tcBorders>
            <w:vAlign w:val="center"/>
          </w:tcPr>
          <w:p w14:paraId="59FB5922">
            <w:pPr>
              <w:ind w:firstLine="0" w:firstLineChars="0"/>
              <w:rPr>
                <w:rFonts w:ascii="宋体" w:cs="Times New Roman"/>
                <w:szCs w:val="21"/>
                <w:highlight w:val="none"/>
              </w:rPr>
            </w:pPr>
            <w:r>
              <w:rPr>
                <w:rFonts w:ascii="宋体" w:cs="Times New Roman"/>
                <w:szCs w:val="21"/>
                <w:highlight w:val="none"/>
              </w:rPr>
              <w:t>用于记录统计周期内单位功能</w:t>
            </w:r>
            <w:r>
              <w:rPr>
                <w:rFonts w:hint="eastAsia" w:ascii="宋体" w:cs="Times New Roman"/>
                <w:szCs w:val="21"/>
                <w:highlight w:val="none"/>
              </w:rPr>
              <w:t>（案例）</w:t>
            </w:r>
            <w:r>
              <w:rPr>
                <w:rFonts w:ascii="宋体" w:cs="Times New Roman"/>
                <w:szCs w:val="21"/>
                <w:highlight w:val="none"/>
              </w:rPr>
              <w:t>点发现的缺陷数量</w:t>
            </w:r>
          </w:p>
        </w:tc>
        <w:tc>
          <w:tcPr>
            <w:tcW w:w="3647" w:type="dxa"/>
            <w:tcBorders>
              <w:top w:val="single" w:color="auto" w:sz="4" w:space="0"/>
              <w:left w:val="single" w:color="auto" w:sz="4" w:space="0"/>
              <w:right w:val="single" w:color="auto" w:sz="4" w:space="0"/>
            </w:tcBorders>
            <w:vAlign w:val="center"/>
          </w:tcPr>
          <w:p w14:paraId="1A975D4C">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品缺陷密度=统计周期内发现的该系统有效缺陷数/统计周期内该系统功能点总数</w:t>
            </w:r>
            <w:r>
              <w:rPr>
                <w:rFonts w:hint="eastAsia" w:ascii="宋体" w:cs="Times New Roman"/>
                <w:szCs w:val="21"/>
                <w:highlight w:val="none"/>
              </w:rPr>
              <w:t>（案例数）</w:t>
            </w:r>
          </w:p>
          <w:p w14:paraId="3BE2EE52">
            <w:pPr>
              <w:ind w:firstLine="0" w:firstLineChars="0"/>
              <w:rPr>
                <w:rFonts w:ascii="宋体" w:cs="Times New Roman"/>
                <w:b/>
                <w:szCs w:val="21"/>
                <w:highlight w:val="none"/>
              </w:rPr>
            </w:pPr>
            <w:r>
              <w:rPr>
                <w:rFonts w:hint="eastAsia" w:ascii="宋体" w:cs="Times New Roman"/>
                <w:b/>
                <w:szCs w:val="21"/>
                <w:highlight w:val="none"/>
              </w:rPr>
              <w:t>10分【0-5%】</w:t>
            </w:r>
          </w:p>
          <w:p w14:paraId="0BDDA518">
            <w:pPr>
              <w:ind w:firstLine="0" w:firstLineChars="0"/>
              <w:rPr>
                <w:rFonts w:ascii="宋体" w:cs="Times New Roman"/>
                <w:b/>
                <w:szCs w:val="21"/>
                <w:highlight w:val="none"/>
              </w:rPr>
            </w:pPr>
            <w:r>
              <w:rPr>
                <w:rFonts w:hint="eastAsia" w:ascii="宋体" w:cs="Times New Roman"/>
                <w:b/>
                <w:szCs w:val="21"/>
                <w:highlight w:val="none"/>
              </w:rPr>
              <w:t>5分【5%-20%】</w:t>
            </w:r>
          </w:p>
          <w:p w14:paraId="5113535F">
            <w:pPr>
              <w:ind w:firstLine="0" w:firstLineChars="0"/>
              <w:rPr>
                <w:rFonts w:ascii="宋体" w:cs="Times New Roman"/>
                <w:b/>
                <w:szCs w:val="21"/>
                <w:highlight w:val="none"/>
              </w:rPr>
            </w:pPr>
            <w:r>
              <w:rPr>
                <w:rFonts w:hint="eastAsia" w:ascii="宋体" w:cs="Times New Roman"/>
                <w:b/>
                <w:szCs w:val="21"/>
                <w:highlight w:val="none"/>
              </w:rPr>
              <w:t>0分【超过20%】</w:t>
            </w:r>
          </w:p>
        </w:tc>
        <w:tc>
          <w:tcPr>
            <w:tcW w:w="2385" w:type="dxa"/>
            <w:tcBorders>
              <w:top w:val="single" w:color="auto" w:sz="4" w:space="0"/>
              <w:left w:val="single" w:color="auto" w:sz="4" w:space="0"/>
              <w:right w:val="single" w:color="auto" w:sz="4" w:space="0"/>
            </w:tcBorders>
            <w:vAlign w:val="center"/>
          </w:tcPr>
          <w:p w14:paraId="6D72528E">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w:t>
            </w:r>
            <w:r>
              <w:rPr>
                <w:rFonts w:hint="eastAsia" w:ascii="宋体" w:cs="Times New Roman"/>
                <w:szCs w:val="21"/>
                <w:highlight w:val="none"/>
              </w:rPr>
              <w:t>陷</w:t>
            </w:r>
            <w:r>
              <w:rPr>
                <w:rFonts w:ascii="宋体" w:cs="Times New Roman"/>
                <w:szCs w:val="21"/>
                <w:highlight w:val="none"/>
              </w:rPr>
              <w:t>密度</w:t>
            </w:r>
            <w:r>
              <w:rPr>
                <w:rFonts w:hint="eastAsia" w:ascii="宋体" w:cs="Times New Roman"/>
                <w:szCs w:val="21"/>
                <w:highlight w:val="none"/>
              </w:rPr>
              <w:t>超过20%，缺陷密度每增加1%扣除合同总金额的0.1%。</w:t>
            </w:r>
          </w:p>
        </w:tc>
        <w:tc>
          <w:tcPr>
            <w:tcW w:w="1122" w:type="dxa"/>
            <w:tcBorders>
              <w:top w:val="single" w:color="auto" w:sz="4" w:space="0"/>
              <w:left w:val="single" w:color="auto" w:sz="4" w:space="0"/>
              <w:right w:val="single" w:color="auto" w:sz="4" w:space="0"/>
            </w:tcBorders>
            <w:vAlign w:val="center"/>
          </w:tcPr>
          <w:p w14:paraId="55D5F2C4">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BCF39AD">
            <w:pPr>
              <w:ind w:firstLine="0" w:firstLineChars="0"/>
              <w:jc w:val="left"/>
              <w:rPr>
                <w:rFonts w:ascii="宋体" w:cs="Times New Roman"/>
                <w:szCs w:val="21"/>
                <w:highlight w:val="none"/>
              </w:rPr>
            </w:pPr>
          </w:p>
        </w:tc>
      </w:tr>
      <w:tr w14:paraId="7EE4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B9C1A7D">
            <w:pPr>
              <w:ind w:firstLine="0" w:firstLineChars="0"/>
              <w:jc w:val="center"/>
              <w:rPr>
                <w:rFonts w:ascii="宋体" w:cs="Times New Roman"/>
                <w:szCs w:val="21"/>
                <w:highlight w:val="none"/>
              </w:rPr>
            </w:pPr>
            <w:r>
              <w:rPr>
                <w:rFonts w:hint="eastAsia" w:ascii="宋体" w:cs="Times New Roman"/>
                <w:szCs w:val="21"/>
                <w:highlight w:val="none"/>
              </w:rPr>
              <w:t>4</w:t>
            </w:r>
          </w:p>
        </w:tc>
        <w:tc>
          <w:tcPr>
            <w:tcW w:w="1122" w:type="dxa"/>
            <w:vMerge w:val="continue"/>
            <w:tcBorders>
              <w:top w:val="single" w:color="auto" w:sz="4" w:space="0"/>
              <w:left w:val="single" w:color="auto" w:sz="4" w:space="0"/>
              <w:right w:val="single" w:color="auto" w:sz="4" w:space="0"/>
            </w:tcBorders>
          </w:tcPr>
          <w:p w14:paraId="2EB1200D">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5C276943">
            <w:pPr>
              <w:ind w:firstLine="0" w:firstLineChars="0"/>
              <w:rPr>
                <w:rFonts w:ascii="宋体" w:cs="Times New Roman"/>
                <w:szCs w:val="21"/>
                <w:highlight w:val="none"/>
              </w:rPr>
            </w:pPr>
            <w:r>
              <w:rPr>
                <w:rFonts w:ascii="宋体" w:cs="Times New Roman"/>
                <w:szCs w:val="21"/>
                <w:highlight w:val="none"/>
              </w:rPr>
              <w:t>缺陷</w:t>
            </w:r>
            <w:r>
              <w:rPr>
                <w:rFonts w:hint="eastAsia" w:ascii="宋体" w:cs="Times New Roman"/>
                <w:szCs w:val="21"/>
                <w:highlight w:val="none"/>
              </w:rPr>
              <w:t>解决率</w:t>
            </w:r>
          </w:p>
        </w:tc>
        <w:tc>
          <w:tcPr>
            <w:tcW w:w="2244" w:type="dxa"/>
            <w:tcBorders>
              <w:top w:val="single" w:color="auto" w:sz="4" w:space="0"/>
              <w:left w:val="single" w:color="auto" w:sz="4" w:space="0"/>
              <w:right w:val="single" w:color="auto" w:sz="4" w:space="0"/>
            </w:tcBorders>
            <w:vAlign w:val="center"/>
          </w:tcPr>
          <w:p w14:paraId="6EFE27AC">
            <w:pPr>
              <w:ind w:firstLine="0" w:firstLineChars="0"/>
              <w:rPr>
                <w:rFonts w:ascii="宋体" w:cs="Times New Roman"/>
                <w:szCs w:val="21"/>
                <w:highlight w:val="none"/>
              </w:rPr>
            </w:pPr>
            <w:r>
              <w:rPr>
                <w:rFonts w:ascii="宋体" w:cs="Times New Roman"/>
                <w:szCs w:val="21"/>
                <w:highlight w:val="none"/>
              </w:rPr>
              <w:t>用于记录统计周期内测试发现的缺陷中已解决缺陷的比例</w:t>
            </w:r>
          </w:p>
        </w:tc>
        <w:tc>
          <w:tcPr>
            <w:tcW w:w="3647" w:type="dxa"/>
            <w:tcBorders>
              <w:top w:val="single" w:color="auto" w:sz="4" w:space="0"/>
              <w:left w:val="single" w:color="auto" w:sz="4" w:space="0"/>
              <w:right w:val="single" w:color="auto" w:sz="4" w:space="0"/>
            </w:tcBorders>
            <w:vAlign w:val="center"/>
          </w:tcPr>
          <w:p w14:paraId="2744E6C0">
            <w:pPr>
              <w:ind w:firstLine="0" w:firstLineChars="0"/>
              <w:rPr>
                <w:rFonts w:ascii="宋体" w:cs="Times New Roman"/>
                <w:szCs w:val="21"/>
                <w:highlight w:val="none"/>
              </w:rPr>
            </w:pPr>
            <w:r>
              <w:rPr>
                <w:rFonts w:ascii="宋体" w:cs="Times New Roman"/>
                <w:szCs w:val="21"/>
                <w:highlight w:val="none"/>
              </w:rPr>
              <w:t>缺陷解决率=统计周期内测试发现的有效缺陷中已解决的数量/统计周期内测试发现的有效缺陷总数量</w:t>
            </w:r>
          </w:p>
          <w:p w14:paraId="19551192">
            <w:pPr>
              <w:ind w:firstLine="0" w:firstLineChars="0"/>
              <w:rPr>
                <w:rFonts w:ascii="宋体" w:cs="Times New Roman"/>
                <w:b/>
                <w:szCs w:val="21"/>
                <w:highlight w:val="none"/>
              </w:rPr>
            </w:pPr>
            <w:r>
              <w:rPr>
                <w:rFonts w:hint="eastAsia" w:ascii="宋体" w:cs="Times New Roman"/>
                <w:b/>
                <w:szCs w:val="21"/>
                <w:highlight w:val="none"/>
              </w:rPr>
              <w:t>10分【98%-100%】</w:t>
            </w:r>
          </w:p>
          <w:p w14:paraId="6F8FBBE5">
            <w:pPr>
              <w:ind w:firstLine="0" w:firstLineChars="0"/>
              <w:rPr>
                <w:rFonts w:ascii="宋体" w:cs="Times New Roman"/>
                <w:b/>
                <w:szCs w:val="21"/>
                <w:highlight w:val="none"/>
              </w:rPr>
            </w:pPr>
            <w:r>
              <w:rPr>
                <w:rFonts w:hint="eastAsia" w:ascii="宋体" w:cs="Times New Roman"/>
                <w:b/>
                <w:szCs w:val="21"/>
                <w:highlight w:val="none"/>
              </w:rPr>
              <w:t>5分【95%-97%】</w:t>
            </w:r>
          </w:p>
          <w:p w14:paraId="78282052">
            <w:pPr>
              <w:ind w:firstLine="0" w:firstLineChars="0"/>
              <w:rPr>
                <w:rFonts w:ascii="宋体" w:cs="Times New Roman"/>
                <w:b/>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366CEBCA">
            <w:pPr>
              <w:ind w:firstLine="0" w:firstLineChars="0"/>
              <w:rPr>
                <w:rFonts w:ascii="宋体" w:cs="Times New Roman"/>
                <w:szCs w:val="21"/>
                <w:highlight w:val="none"/>
              </w:rPr>
            </w:pPr>
            <w:r>
              <w:rPr>
                <w:rFonts w:hint="eastAsia" w:ascii="宋体" w:cs="Times New Roman"/>
                <w:szCs w:val="21"/>
                <w:highlight w:val="none"/>
              </w:rPr>
              <w:t>若</w:t>
            </w:r>
            <w:r>
              <w:rPr>
                <w:rFonts w:ascii="宋体" w:cs="Times New Roman"/>
                <w:szCs w:val="21"/>
                <w:highlight w:val="none"/>
              </w:rPr>
              <w:t>缺陷解决率</w:t>
            </w:r>
            <w:r>
              <w:rPr>
                <w:rFonts w:hint="eastAsia" w:ascii="宋体" w:cs="Times New Roman"/>
                <w:bCs/>
                <w:szCs w:val="21"/>
                <w:highlight w:val="none"/>
              </w:rPr>
              <w:t>低于95</w:t>
            </w:r>
            <w:r>
              <w:rPr>
                <w:rFonts w:hint="eastAsia" w:ascii="宋体" w:cs="Times New Roman"/>
                <w:szCs w:val="21"/>
                <w:highlight w:val="none"/>
              </w:rPr>
              <w:t>%，</w:t>
            </w:r>
            <w:r>
              <w:rPr>
                <w:rFonts w:ascii="宋体" w:cs="Times New Roman"/>
                <w:szCs w:val="21"/>
                <w:highlight w:val="none"/>
              </w:rPr>
              <w:t>缺陷</w:t>
            </w:r>
            <w:r>
              <w:rPr>
                <w:rFonts w:hint="eastAsia" w:ascii="宋体" w:cs="Times New Roman"/>
                <w:szCs w:val="21"/>
                <w:highlight w:val="none"/>
              </w:rPr>
              <w:t>解决率每低1%扣除合同总金额的0.1%。</w:t>
            </w:r>
          </w:p>
        </w:tc>
        <w:tc>
          <w:tcPr>
            <w:tcW w:w="1122" w:type="dxa"/>
            <w:tcBorders>
              <w:top w:val="single" w:color="auto" w:sz="4" w:space="0"/>
              <w:left w:val="single" w:color="auto" w:sz="4" w:space="0"/>
              <w:right w:val="single" w:color="auto" w:sz="4" w:space="0"/>
            </w:tcBorders>
            <w:vAlign w:val="center"/>
          </w:tcPr>
          <w:p w14:paraId="0B9E83EB">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B37988C">
            <w:pPr>
              <w:ind w:firstLine="0" w:firstLineChars="0"/>
              <w:jc w:val="left"/>
              <w:rPr>
                <w:rFonts w:ascii="宋体" w:cs="Times New Roman"/>
                <w:szCs w:val="21"/>
                <w:highlight w:val="none"/>
              </w:rPr>
            </w:pPr>
          </w:p>
        </w:tc>
      </w:tr>
      <w:tr w14:paraId="50E5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2850A20">
            <w:pPr>
              <w:ind w:firstLine="0" w:firstLineChars="0"/>
              <w:jc w:val="center"/>
              <w:rPr>
                <w:rFonts w:ascii="宋体" w:cs="Times New Roman"/>
                <w:szCs w:val="21"/>
                <w:highlight w:val="none"/>
              </w:rPr>
            </w:pPr>
            <w:r>
              <w:rPr>
                <w:rFonts w:hint="eastAsia" w:ascii="宋体" w:cs="Times New Roman"/>
                <w:szCs w:val="21"/>
                <w:highlight w:val="none"/>
              </w:rPr>
              <w:t>5</w:t>
            </w:r>
          </w:p>
        </w:tc>
        <w:tc>
          <w:tcPr>
            <w:tcW w:w="1122" w:type="dxa"/>
            <w:vMerge w:val="restart"/>
            <w:tcBorders>
              <w:top w:val="single" w:color="auto" w:sz="4" w:space="0"/>
              <w:left w:val="single" w:color="auto" w:sz="4" w:space="0"/>
              <w:right w:val="single" w:color="auto" w:sz="4" w:space="0"/>
            </w:tcBorders>
            <w:vAlign w:val="center"/>
          </w:tcPr>
          <w:p w14:paraId="14E23A48">
            <w:pPr>
              <w:ind w:firstLine="0" w:firstLineChars="0"/>
              <w:jc w:val="left"/>
              <w:rPr>
                <w:rFonts w:ascii="宋体" w:cs="Times New Roman"/>
                <w:szCs w:val="21"/>
                <w:highlight w:val="none"/>
              </w:rPr>
            </w:pPr>
            <w:r>
              <w:rPr>
                <w:rFonts w:hint="eastAsia" w:ascii="宋体" w:cs="Times New Roman"/>
                <w:szCs w:val="21"/>
                <w:highlight w:val="none"/>
              </w:rPr>
              <w:t>协议履行</w:t>
            </w:r>
          </w:p>
        </w:tc>
        <w:tc>
          <w:tcPr>
            <w:tcW w:w="1543" w:type="dxa"/>
            <w:tcBorders>
              <w:top w:val="single" w:color="auto" w:sz="4" w:space="0"/>
              <w:left w:val="single" w:color="auto" w:sz="4" w:space="0"/>
              <w:right w:val="single" w:color="auto" w:sz="4" w:space="0"/>
            </w:tcBorders>
            <w:vAlign w:val="center"/>
          </w:tcPr>
          <w:p w14:paraId="45E288AA">
            <w:pPr>
              <w:ind w:firstLine="0" w:firstLineChars="0"/>
              <w:rPr>
                <w:rFonts w:ascii="宋体" w:cs="Times New Roman"/>
                <w:szCs w:val="21"/>
                <w:highlight w:val="none"/>
              </w:rPr>
            </w:pPr>
            <w:r>
              <w:rPr>
                <w:rFonts w:ascii="宋体" w:cs="Times New Roman"/>
                <w:szCs w:val="21"/>
                <w:highlight w:val="none"/>
              </w:rPr>
              <w:t>重大事项报告</w:t>
            </w:r>
          </w:p>
        </w:tc>
        <w:tc>
          <w:tcPr>
            <w:tcW w:w="2244" w:type="dxa"/>
            <w:tcBorders>
              <w:top w:val="single" w:color="auto" w:sz="4" w:space="0"/>
              <w:left w:val="single" w:color="auto" w:sz="4" w:space="0"/>
              <w:right w:val="single" w:color="auto" w:sz="4" w:space="0"/>
            </w:tcBorders>
            <w:vAlign w:val="center"/>
          </w:tcPr>
          <w:p w14:paraId="1EA1B78E">
            <w:pPr>
              <w:ind w:firstLine="0" w:firstLineChars="0"/>
              <w:rPr>
                <w:rFonts w:ascii="宋体" w:cs="Times New Roman"/>
                <w:szCs w:val="21"/>
                <w:highlight w:val="none"/>
              </w:rPr>
            </w:pPr>
            <w:r>
              <w:rPr>
                <w:rFonts w:hint="eastAsia" w:asci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47" w:type="dxa"/>
            <w:tcBorders>
              <w:top w:val="single" w:color="auto" w:sz="4" w:space="0"/>
              <w:left w:val="single" w:color="auto" w:sz="4" w:space="0"/>
              <w:right w:val="single" w:color="auto" w:sz="4" w:space="0"/>
            </w:tcBorders>
            <w:vAlign w:val="center"/>
          </w:tcPr>
          <w:p w14:paraId="3D0B753D">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指无重大事项或当发生重大事项时，能够于24小时内</w:t>
            </w:r>
            <w:r>
              <w:rPr>
                <w:rFonts w:hint="eastAsia" w:ascii="宋体" w:cs="Times New Roman"/>
                <w:szCs w:val="21"/>
                <w:highlight w:val="none"/>
              </w:rPr>
              <w:t>告知甲方；</w:t>
            </w:r>
          </w:p>
          <w:p w14:paraId="7B9D76E7">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指当发生重大事项时，能够于一周内告知</w:t>
            </w:r>
            <w:r>
              <w:rPr>
                <w:rFonts w:hint="eastAsia" w:ascii="宋体" w:cs="Times New Roman"/>
                <w:szCs w:val="21"/>
                <w:highlight w:val="none"/>
              </w:rPr>
              <w:t>甲方；</w:t>
            </w:r>
          </w:p>
          <w:p w14:paraId="62E782A3">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指当发生重大事项时，能够于一</w:t>
            </w:r>
            <w:r>
              <w:rPr>
                <w:rFonts w:hint="eastAsia" w:ascii="宋体" w:cs="Times New Roman"/>
                <w:szCs w:val="21"/>
                <w:highlight w:val="none"/>
              </w:rPr>
              <w:t>月</w:t>
            </w:r>
            <w:r>
              <w:rPr>
                <w:rFonts w:ascii="宋体" w:cs="Times New Roman"/>
                <w:szCs w:val="21"/>
                <w:highlight w:val="none"/>
              </w:rPr>
              <w:t>内告知</w:t>
            </w:r>
            <w:r>
              <w:rPr>
                <w:rFonts w:hint="eastAsia" w:ascii="宋体" w:cs="Times New Roman"/>
                <w:szCs w:val="21"/>
                <w:highlight w:val="none"/>
              </w:rPr>
              <w:t>甲方；</w:t>
            </w:r>
          </w:p>
          <w:p w14:paraId="668B97D4">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指当发生重大事项时，</w:t>
            </w:r>
            <w:r>
              <w:rPr>
                <w:rFonts w:hint="eastAsia" w:ascii="宋体" w:cs="Times New Roman"/>
                <w:szCs w:val="21"/>
                <w:highlight w:val="none"/>
              </w:rPr>
              <w:t>未</w:t>
            </w:r>
            <w:r>
              <w:rPr>
                <w:rFonts w:ascii="宋体" w:cs="Times New Roman"/>
                <w:szCs w:val="21"/>
                <w:highlight w:val="none"/>
              </w:rPr>
              <w:t>告知</w:t>
            </w:r>
            <w:r>
              <w:rPr>
                <w:rFonts w:hint="eastAsia" w:ascii="宋体" w:cs="Times New Roman"/>
                <w:szCs w:val="21"/>
                <w:highlight w:val="none"/>
              </w:rPr>
              <w:t>甲方。</w:t>
            </w:r>
          </w:p>
        </w:tc>
        <w:tc>
          <w:tcPr>
            <w:tcW w:w="2385" w:type="dxa"/>
            <w:tcBorders>
              <w:top w:val="single" w:color="auto" w:sz="4" w:space="0"/>
              <w:left w:val="single" w:color="auto" w:sz="4" w:space="0"/>
              <w:right w:val="single" w:color="auto" w:sz="4" w:space="0"/>
            </w:tcBorders>
            <w:vAlign w:val="center"/>
          </w:tcPr>
          <w:p w14:paraId="144CA072">
            <w:pPr>
              <w:ind w:firstLine="0" w:firstLineChars="0"/>
              <w:rPr>
                <w:rFonts w:ascii="宋体" w:cs="Times New Roman"/>
                <w:szCs w:val="21"/>
                <w:highlight w:val="none"/>
              </w:rPr>
            </w:pPr>
            <w:r>
              <w:rPr>
                <w:rFonts w:hint="eastAsia" w:ascii="宋体" w:cs="Times New Roman"/>
                <w:szCs w:val="21"/>
                <w:highlight w:val="none"/>
              </w:rPr>
              <w:t>评价为较差/差时，甲方根据实际情况有权终止合同，并要求乙方赔偿实际损失。</w:t>
            </w:r>
          </w:p>
        </w:tc>
        <w:tc>
          <w:tcPr>
            <w:tcW w:w="1122" w:type="dxa"/>
            <w:tcBorders>
              <w:top w:val="single" w:color="auto" w:sz="4" w:space="0"/>
              <w:left w:val="single" w:color="auto" w:sz="4" w:space="0"/>
              <w:right w:val="single" w:color="auto" w:sz="4" w:space="0"/>
            </w:tcBorders>
            <w:vAlign w:val="center"/>
          </w:tcPr>
          <w:p w14:paraId="5AB3F5A0">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44E2EE84">
            <w:pPr>
              <w:ind w:firstLine="0" w:firstLineChars="0"/>
              <w:jc w:val="left"/>
              <w:rPr>
                <w:rFonts w:ascii="宋体" w:cs="Times New Roman"/>
                <w:szCs w:val="21"/>
                <w:highlight w:val="none"/>
              </w:rPr>
            </w:pPr>
          </w:p>
        </w:tc>
      </w:tr>
      <w:tr w14:paraId="18F1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E3C2A85">
            <w:pPr>
              <w:ind w:firstLine="0" w:firstLineChars="0"/>
              <w:jc w:val="center"/>
              <w:rPr>
                <w:rFonts w:ascii="宋体" w:cs="Times New Roman"/>
                <w:szCs w:val="21"/>
                <w:highlight w:val="none"/>
              </w:rPr>
            </w:pPr>
            <w:r>
              <w:rPr>
                <w:rFonts w:hint="eastAsia" w:ascii="宋体" w:cs="Times New Roman"/>
                <w:szCs w:val="21"/>
                <w:highlight w:val="none"/>
              </w:rPr>
              <w:t>6</w:t>
            </w:r>
          </w:p>
        </w:tc>
        <w:tc>
          <w:tcPr>
            <w:tcW w:w="1122" w:type="dxa"/>
            <w:vMerge w:val="continue"/>
            <w:tcBorders>
              <w:top w:val="single" w:color="auto" w:sz="4" w:space="0"/>
              <w:left w:val="single" w:color="auto" w:sz="4" w:space="0"/>
              <w:right w:val="single" w:color="auto" w:sz="4" w:space="0"/>
            </w:tcBorders>
          </w:tcPr>
          <w:p w14:paraId="65383191">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37D26E41">
            <w:pPr>
              <w:ind w:firstLine="0" w:firstLineChars="0"/>
              <w:rPr>
                <w:rFonts w:ascii="宋体" w:cs="Times New Roman"/>
                <w:szCs w:val="21"/>
                <w:highlight w:val="none"/>
              </w:rPr>
            </w:pPr>
            <w:r>
              <w:rPr>
                <w:rFonts w:ascii="宋体" w:cs="Times New Roman"/>
                <w:szCs w:val="21"/>
                <w:highlight w:val="none"/>
              </w:rPr>
              <w:t>重大</w:t>
            </w:r>
            <w:r>
              <w:rPr>
                <w:rFonts w:hint="eastAsia" w:ascii="宋体" w:cs="Times New Roman"/>
                <w:szCs w:val="21"/>
                <w:highlight w:val="none"/>
              </w:rPr>
              <w:t>事件及质量缺陷</w:t>
            </w:r>
          </w:p>
        </w:tc>
        <w:tc>
          <w:tcPr>
            <w:tcW w:w="2244" w:type="dxa"/>
            <w:tcBorders>
              <w:top w:val="single" w:color="auto" w:sz="4" w:space="0"/>
              <w:left w:val="single" w:color="auto" w:sz="4" w:space="0"/>
              <w:right w:val="single" w:color="auto" w:sz="4" w:space="0"/>
            </w:tcBorders>
            <w:vAlign w:val="center"/>
          </w:tcPr>
          <w:p w14:paraId="1EDC80A4">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期内出现</w:t>
            </w:r>
            <w:r>
              <w:rPr>
                <w:rFonts w:hint="eastAsia" w:ascii="宋体" w:cs="Times New Roman"/>
                <w:szCs w:val="21"/>
                <w:highlight w:val="none"/>
              </w:rPr>
              <w:t>以下重大事件及质量缺陷次数：</w:t>
            </w:r>
          </w:p>
          <w:p w14:paraId="0C3FE2EE">
            <w:pPr>
              <w:ind w:firstLine="0" w:firstLineChars="0"/>
              <w:rPr>
                <w:rFonts w:ascii="宋体" w:cs="Times New Roman"/>
                <w:szCs w:val="21"/>
                <w:highlight w:val="none"/>
              </w:rPr>
            </w:pPr>
            <w:r>
              <w:rPr>
                <w:rFonts w:hint="eastAsia" w:ascii="宋体" w:cs="Times New Roman"/>
                <w:szCs w:val="21"/>
                <w:highlight w:val="none"/>
              </w:rPr>
              <w:t>a.应用软件出现I</w:t>
            </w:r>
            <w:r>
              <w:rPr>
                <w:rFonts w:ascii="宋体" w:cs="Times New Roman"/>
                <w:szCs w:val="21"/>
                <w:highlight w:val="none"/>
              </w:rPr>
              <w:t>II</w:t>
            </w:r>
            <w:r>
              <w:rPr>
                <w:rFonts w:hint="eastAsia" w:ascii="宋体" w:cs="Times New Roman"/>
                <w:szCs w:val="21"/>
                <w:highlight w:val="none"/>
              </w:rPr>
              <w:t>级（含）以上的运营中断事件；</w:t>
            </w:r>
          </w:p>
          <w:p w14:paraId="09F185A7">
            <w:pPr>
              <w:ind w:firstLine="0" w:firstLineChars="0"/>
              <w:rPr>
                <w:rFonts w:ascii="宋体" w:cs="Times New Roman"/>
                <w:szCs w:val="21"/>
                <w:highlight w:val="none"/>
              </w:rPr>
            </w:pPr>
            <w:r>
              <w:rPr>
                <w:rFonts w:hint="eastAsia" w:ascii="宋体" w:cs="Times New Roman"/>
                <w:szCs w:val="21"/>
                <w:highlight w:val="none"/>
              </w:rPr>
              <w:t>b.因乙方原因（含乙方合作的第三方）导致甲方发生网络安全事件；</w:t>
            </w:r>
          </w:p>
          <w:p w14:paraId="11A10C32">
            <w:pPr>
              <w:ind w:firstLine="0" w:firstLineChars="0"/>
              <w:rPr>
                <w:rFonts w:ascii="宋体" w:cs="Times New Roman"/>
                <w:szCs w:val="21"/>
                <w:highlight w:val="none"/>
              </w:rPr>
            </w:pPr>
            <w:r>
              <w:rPr>
                <w:rFonts w:hint="eastAsia" w:ascii="宋体" w:cs="Times New Roman"/>
                <w:szCs w:val="21"/>
                <w:highlight w:val="none"/>
              </w:rPr>
              <w:t>c.应用软件出现严重缺陷和致命缺陷。</w:t>
            </w:r>
          </w:p>
        </w:tc>
        <w:tc>
          <w:tcPr>
            <w:tcW w:w="3647" w:type="dxa"/>
            <w:tcBorders>
              <w:top w:val="single" w:color="auto" w:sz="4" w:space="0"/>
              <w:left w:val="single" w:color="auto" w:sz="4" w:space="0"/>
              <w:right w:val="single" w:color="auto" w:sz="4" w:space="0"/>
            </w:tcBorders>
            <w:vAlign w:val="center"/>
          </w:tcPr>
          <w:p w14:paraId="6A5D9A4D">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23F56865">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w:t>
            </w:r>
            <w:r>
              <w:rPr>
                <w:rFonts w:ascii="宋体" w:cs="Times New Roman"/>
                <w:szCs w:val="21"/>
                <w:highlight w:val="none"/>
              </w:rPr>
              <w:t>重大事件</w:t>
            </w:r>
            <w:r>
              <w:rPr>
                <w:rFonts w:hint="eastAsia" w:ascii="宋体" w:cs="Times New Roman"/>
                <w:szCs w:val="21"/>
                <w:highlight w:val="none"/>
              </w:rPr>
              <w:t>及质量缺陷，该项指标满分；</w:t>
            </w:r>
          </w:p>
          <w:p w14:paraId="18B2BE2A">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0分，指出现1次及以上任意一项</w:t>
            </w:r>
            <w:r>
              <w:rPr>
                <w:rFonts w:ascii="宋体" w:cs="Times New Roman"/>
                <w:szCs w:val="21"/>
                <w:highlight w:val="none"/>
              </w:rPr>
              <w:t>重大事件</w:t>
            </w:r>
            <w:r>
              <w:rPr>
                <w:rFonts w:hint="eastAsia" w:ascii="宋体" w:cs="Times New Roman"/>
                <w:szCs w:val="21"/>
                <w:highlight w:val="none"/>
              </w:rPr>
              <w:t>或质量缺陷。</w:t>
            </w:r>
          </w:p>
        </w:tc>
        <w:tc>
          <w:tcPr>
            <w:tcW w:w="2385" w:type="dxa"/>
            <w:tcBorders>
              <w:top w:val="single" w:color="auto" w:sz="4" w:space="0"/>
              <w:left w:val="single" w:color="auto" w:sz="4" w:space="0"/>
              <w:right w:val="single" w:color="auto" w:sz="4" w:space="0"/>
            </w:tcBorders>
            <w:vAlign w:val="center"/>
          </w:tcPr>
          <w:p w14:paraId="1C361213">
            <w:pPr>
              <w:ind w:firstLine="0" w:firstLineChars="0"/>
              <w:rPr>
                <w:rFonts w:ascii="宋体" w:cs="Times New Roman"/>
                <w:szCs w:val="21"/>
                <w:highlight w:val="none"/>
              </w:rPr>
            </w:pPr>
            <w:r>
              <w:rPr>
                <w:rFonts w:hint="eastAsia" w:ascii="宋体" w:cs="Times New Roman"/>
                <w:szCs w:val="21"/>
                <w:highlight w:val="none"/>
              </w:rPr>
              <w:t>每出现一次</w:t>
            </w:r>
            <w:r>
              <w:rPr>
                <w:rFonts w:ascii="宋体" w:cs="Times New Roman"/>
                <w:szCs w:val="21"/>
                <w:highlight w:val="none"/>
              </w:rPr>
              <w:t>重大事件</w:t>
            </w:r>
            <w:r>
              <w:rPr>
                <w:rFonts w:hint="eastAsia" w:ascii="宋体" w:cs="Times New Roman"/>
                <w:szCs w:val="21"/>
                <w:highlight w:val="none"/>
              </w:rPr>
              <w:t>或质量缺陷，扣除乙方合同总金额不低于5%（不低于2万元），并要求乙方赔偿实际损失。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61601AF2">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3EF6B106">
            <w:pPr>
              <w:ind w:firstLine="0" w:firstLineChars="0"/>
              <w:jc w:val="left"/>
              <w:rPr>
                <w:rFonts w:ascii="宋体" w:cs="Times New Roman"/>
                <w:szCs w:val="21"/>
                <w:highlight w:val="none"/>
              </w:rPr>
            </w:pPr>
          </w:p>
        </w:tc>
      </w:tr>
      <w:tr w14:paraId="23E7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5AB8FDE">
            <w:pPr>
              <w:ind w:firstLine="0" w:firstLineChars="0"/>
              <w:jc w:val="center"/>
              <w:rPr>
                <w:rFonts w:ascii="宋体" w:cs="Times New Roman"/>
                <w:szCs w:val="21"/>
                <w:highlight w:val="none"/>
              </w:rPr>
            </w:pPr>
            <w:r>
              <w:rPr>
                <w:rFonts w:hint="eastAsia" w:ascii="宋体" w:cs="Times New Roman"/>
                <w:szCs w:val="21"/>
                <w:highlight w:val="none"/>
              </w:rPr>
              <w:t>7</w:t>
            </w:r>
          </w:p>
        </w:tc>
        <w:tc>
          <w:tcPr>
            <w:tcW w:w="1122" w:type="dxa"/>
            <w:vMerge w:val="continue"/>
            <w:tcBorders>
              <w:top w:val="single" w:color="auto" w:sz="4" w:space="0"/>
              <w:left w:val="single" w:color="auto" w:sz="4" w:space="0"/>
              <w:right w:val="single" w:color="auto" w:sz="4" w:space="0"/>
            </w:tcBorders>
          </w:tcPr>
          <w:p w14:paraId="71BAEC65">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2B0BDA1A">
            <w:pPr>
              <w:ind w:firstLine="0" w:firstLineChars="0"/>
              <w:rPr>
                <w:rFonts w:ascii="宋体" w:cs="Times New Roman"/>
                <w:szCs w:val="21"/>
                <w:highlight w:val="none"/>
              </w:rPr>
            </w:pPr>
            <w:r>
              <w:rPr>
                <w:rFonts w:hint="eastAsia" w:ascii="宋体" w:cs="Times New Roman"/>
                <w:szCs w:val="21"/>
                <w:highlight w:val="none"/>
              </w:rPr>
              <w:t>信息安全管理</w:t>
            </w:r>
          </w:p>
        </w:tc>
        <w:tc>
          <w:tcPr>
            <w:tcW w:w="2244" w:type="dxa"/>
            <w:tcBorders>
              <w:top w:val="single" w:color="auto" w:sz="4" w:space="0"/>
              <w:left w:val="single" w:color="auto" w:sz="4" w:space="0"/>
              <w:right w:val="single" w:color="auto" w:sz="4" w:space="0"/>
            </w:tcBorders>
            <w:vAlign w:val="center"/>
          </w:tcPr>
          <w:p w14:paraId="00BAD138">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w:t>
            </w:r>
            <w:r>
              <w:rPr>
                <w:rFonts w:hint="eastAsia" w:ascii="宋体" w:cs="Times New Roman"/>
                <w:szCs w:val="21"/>
                <w:highlight w:val="none"/>
              </w:rPr>
              <w:t>网络和信息安全服务的管理能力，针对发现的安全漏洞及安全缺陷（包括源代码、第三方SDK或第三方小程序、第三方软件产品及开源组件等），须按甲方要求完成整改</w:t>
            </w:r>
          </w:p>
        </w:tc>
        <w:tc>
          <w:tcPr>
            <w:tcW w:w="3647" w:type="dxa"/>
            <w:tcBorders>
              <w:top w:val="single" w:color="auto" w:sz="4" w:space="0"/>
              <w:left w:val="single" w:color="auto" w:sz="4" w:space="0"/>
              <w:right w:val="single" w:color="auto" w:sz="4" w:space="0"/>
            </w:tcBorders>
            <w:vAlign w:val="center"/>
          </w:tcPr>
          <w:p w14:paraId="19F9068C">
            <w:pPr>
              <w:ind w:firstLine="0" w:firstLineChars="0"/>
              <w:rPr>
                <w:rFonts w:ascii="宋体" w:cs="Times New Roman"/>
                <w:szCs w:val="21"/>
                <w:highlight w:val="none"/>
              </w:rPr>
            </w:pPr>
            <w:r>
              <w:rPr>
                <w:rFonts w:hint="eastAsia" w:ascii="宋体" w:cs="Times New Roman"/>
                <w:szCs w:val="21"/>
                <w:highlight w:val="none"/>
              </w:rPr>
              <w:t>互联网或电子银行类系统：</w:t>
            </w:r>
          </w:p>
          <w:p w14:paraId="017CDAFE">
            <w:pPr>
              <w:ind w:firstLine="0" w:firstLineChars="0"/>
              <w:rPr>
                <w:rFonts w:ascii="宋体" w:cs="Times New Roman"/>
                <w:szCs w:val="21"/>
                <w:highlight w:val="none"/>
              </w:rPr>
            </w:pPr>
            <w:r>
              <w:rPr>
                <w:rFonts w:hint="eastAsia" w:ascii="宋体" w:cs="Times New Roman"/>
                <w:szCs w:val="21"/>
                <w:highlight w:val="none"/>
              </w:rPr>
              <w:t>1.安全漏洞及安全缺陷整改及时率=100%</w:t>
            </w:r>
          </w:p>
          <w:p w14:paraId="2DE9EEBF">
            <w:pPr>
              <w:ind w:firstLine="0" w:firstLineChars="0"/>
              <w:rPr>
                <w:rFonts w:ascii="宋体" w:cs="Times New Roman"/>
                <w:szCs w:val="21"/>
                <w:highlight w:val="none"/>
              </w:rPr>
            </w:pPr>
            <w:r>
              <w:rPr>
                <w:rFonts w:hint="eastAsia" w:ascii="宋体" w:cs="Times New Roman"/>
                <w:szCs w:val="21"/>
                <w:highlight w:val="none"/>
              </w:rPr>
              <w:t>2.安全漏洞及安全缺陷整改通过率=100%</w:t>
            </w:r>
          </w:p>
          <w:p w14:paraId="0278D485">
            <w:pPr>
              <w:ind w:firstLine="0" w:firstLineChars="0"/>
              <w:rPr>
                <w:rFonts w:ascii="宋体" w:cs="Times New Roman"/>
                <w:szCs w:val="21"/>
                <w:highlight w:val="none"/>
              </w:rPr>
            </w:pPr>
            <w:r>
              <w:rPr>
                <w:rFonts w:hint="eastAsia" w:ascii="宋体" w:cs="Times New Roman"/>
                <w:szCs w:val="21"/>
                <w:highlight w:val="none"/>
              </w:rPr>
              <w:t>非互联网或电子银行类系统：</w:t>
            </w:r>
          </w:p>
          <w:p w14:paraId="707D9F58">
            <w:pPr>
              <w:ind w:firstLine="0" w:firstLineChars="0"/>
              <w:rPr>
                <w:rFonts w:ascii="宋体" w:cs="Times New Roman"/>
                <w:szCs w:val="21"/>
                <w:highlight w:val="none"/>
              </w:rPr>
            </w:pPr>
            <w:r>
              <w:rPr>
                <w:rFonts w:hint="eastAsia" w:ascii="宋体" w:cs="Times New Roman"/>
                <w:szCs w:val="21"/>
                <w:highlight w:val="none"/>
              </w:rPr>
              <w:t>1.中高危安全漏洞及安全缺陷整改及时率=100%</w:t>
            </w:r>
          </w:p>
          <w:p w14:paraId="1E56F98B">
            <w:pPr>
              <w:ind w:firstLine="0" w:firstLineChars="0"/>
              <w:rPr>
                <w:rFonts w:ascii="宋体" w:cs="Times New Roman"/>
                <w:szCs w:val="21"/>
                <w:highlight w:val="none"/>
              </w:rPr>
            </w:pPr>
            <w:r>
              <w:rPr>
                <w:rFonts w:hint="eastAsia" w:ascii="宋体" w:cs="Times New Roman"/>
                <w:szCs w:val="21"/>
                <w:highlight w:val="none"/>
              </w:rPr>
              <w:t>2.中高危安全漏洞及安全缺陷整改通过率=100%</w:t>
            </w:r>
          </w:p>
          <w:p w14:paraId="09B01CBF">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5分，指未出现安全漏洞及安全缺陷，该项指标满分；</w:t>
            </w:r>
          </w:p>
          <w:p w14:paraId="444B774B">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3分，指出现安全漏洞或安全缺陷，但整改及时率、通过率均为100%；</w:t>
            </w:r>
          </w:p>
          <w:p w14:paraId="1E2C6305">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0分，指出现安全漏洞及安全缺陷，但整改及时率或通过率未达到100%。</w:t>
            </w:r>
          </w:p>
        </w:tc>
        <w:tc>
          <w:tcPr>
            <w:tcW w:w="2385" w:type="dxa"/>
            <w:tcBorders>
              <w:top w:val="single" w:color="auto" w:sz="4" w:space="0"/>
              <w:left w:val="single" w:color="auto" w:sz="4" w:space="0"/>
              <w:right w:val="single" w:color="auto" w:sz="4" w:space="0"/>
            </w:tcBorders>
            <w:vAlign w:val="center"/>
          </w:tcPr>
          <w:p w14:paraId="27DF8A70">
            <w:pPr>
              <w:ind w:firstLine="0" w:firstLineChars="0"/>
              <w:rPr>
                <w:rFonts w:ascii="宋体" w:cs="Times New Roman"/>
                <w:szCs w:val="21"/>
                <w:highlight w:val="none"/>
              </w:rPr>
            </w:pPr>
            <w:r>
              <w:rPr>
                <w:rFonts w:hint="eastAsia" w:ascii="宋体" w:cs="Times New Roman"/>
                <w:szCs w:val="21"/>
                <w:highlight w:val="none"/>
              </w:rPr>
              <w:t>若评价为较差/差时，扣除乙方金额人民币不低于2万元，并要求乙方赔偿实际损失。</w:t>
            </w:r>
          </w:p>
          <w:p w14:paraId="45CEB970">
            <w:pPr>
              <w:ind w:firstLine="0" w:firstLineChars="0"/>
              <w:rPr>
                <w:rFonts w:ascii="宋体" w:cs="Times New Roman"/>
                <w:szCs w:val="21"/>
                <w:highlight w:val="none"/>
              </w:rPr>
            </w:pPr>
            <w:r>
              <w:rPr>
                <w:rFonts w:hint="eastAsia" w:ascii="宋体" w:cs="Times New Roman"/>
                <w:szCs w:val="21"/>
                <w:highlight w:val="none"/>
              </w:rPr>
              <w:t>若出现的安全漏洞或安全缺陷被上级或监管单位通报的，扣除乙方合同总金额不低于5%（不低于2万元），并要求乙方赔偿实际损失。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26ACD3DB">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4F484E0D">
            <w:pPr>
              <w:ind w:firstLine="0" w:firstLineChars="0"/>
              <w:jc w:val="left"/>
              <w:rPr>
                <w:rFonts w:ascii="宋体" w:cs="Times New Roman"/>
                <w:szCs w:val="21"/>
                <w:highlight w:val="none"/>
              </w:rPr>
            </w:pPr>
          </w:p>
        </w:tc>
      </w:tr>
      <w:tr w14:paraId="3EE7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6988F4C">
            <w:pPr>
              <w:ind w:firstLine="0" w:firstLineChars="0"/>
              <w:jc w:val="center"/>
              <w:rPr>
                <w:rFonts w:ascii="宋体" w:cs="Times New Roman"/>
                <w:szCs w:val="21"/>
                <w:highlight w:val="none"/>
              </w:rPr>
            </w:pPr>
            <w:r>
              <w:rPr>
                <w:rFonts w:hint="eastAsia" w:ascii="宋体" w:cs="Times New Roman"/>
                <w:szCs w:val="21"/>
                <w:highlight w:val="none"/>
              </w:rPr>
              <w:t>8</w:t>
            </w:r>
          </w:p>
        </w:tc>
        <w:tc>
          <w:tcPr>
            <w:tcW w:w="1122" w:type="dxa"/>
            <w:vMerge w:val="continue"/>
            <w:tcBorders>
              <w:top w:val="single" w:color="auto" w:sz="4" w:space="0"/>
              <w:left w:val="single" w:color="auto" w:sz="4" w:space="0"/>
              <w:right w:val="single" w:color="auto" w:sz="4" w:space="0"/>
            </w:tcBorders>
          </w:tcPr>
          <w:p w14:paraId="55BE5BD5">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02D5D2B9">
            <w:pPr>
              <w:ind w:firstLine="0" w:firstLineChars="0"/>
              <w:rPr>
                <w:rFonts w:ascii="宋体" w:cs="Times New Roman"/>
                <w:szCs w:val="21"/>
                <w:highlight w:val="none"/>
              </w:rPr>
            </w:pPr>
            <w:r>
              <w:rPr>
                <w:rFonts w:hint="eastAsia" w:ascii="宋体" w:cs="Times New Roman"/>
                <w:szCs w:val="21"/>
                <w:highlight w:val="none"/>
              </w:rPr>
              <w:t>外包安全行为</w:t>
            </w:r>
          </w:p>
        </w:tc>
        <w:tc>
          <w:tcPr>
            <w:tcW w:w="2244" w:type="dxa"/>
            <w:tcBorders>
              <w:top w:val="single" w:color="auto" w:sz="4" w:space="0"/>
              <w:left w:val="single" w:color="auto" w:sz="4" w:space="0"/>
              <w:right w:val="single" w:color="auto" w:sz="4" w:space="0"/>
            </w:tcBorders>
            <w:vAlign w:val="center"/>
          </w:tcPr>
          <w:p w14:paraId="6001BC9A">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于记录在外包人员安全防护意识方面的管理有效</w:t>
            </w:r>
            <w:r>
              <w:rPr>
                <w:rFonts w:hint="eastAsia" w:ascii="宋体" w:cs="Times New Roman"/>
                <w:szCs w:val="21"/>
                <w:highlight w:val="none"/>
              </w:rPr>
              <w:t>性</w:t>
            </w:r>
          </w:p>
        </w:tc>
        <w:tc>
          <w:tcPr>
            <w:tcW w:w="3647" w:type="dxa"/>
            <w:tcBorders>
              <w:top w:val="single" w:color="auto" w:sz="4" w:space="0"/>
              <w:left w:val="single" w:color="auto" w:sz="4" w:space="0"/>
              <w:right w:val="single" w:color="auto" w:sz="4" w:space="0"/>
            </w:tcBorders>
            <w:vAlign w:val="center"/>
          </w:tcPr>
          <w:p w14:paraId="3DAD3F08">
            <w:pPr>
              <w:ind w:firstLine="0" w:firstLineChars="0"/>
              <w:rPr>
                <w:rFonts w:ascii="宋体" w:cs="Times New Roman"/>
                <w:szCs w:val="21"/>
                <w:highlight w:val="none"/>
              </w:rPr>
            </w:pPr>
            <w:r>
              <w:rPr>
                <w:rFonts w:ascii="宋体" w:cs="Times New Roman"/>
                <w:szCs w:val="21"/>
                <w:highlight w:val="none"/>
              </w:rPr>
              <w:t>统计周期内安全防护失效的次数。</w:t>
            </w:r>
          </w:p>
          <w:p w14:paraId="3A57F3A4">
            <w:pPr>
              <w:ind w:firstLine="0" w:firstLineChars="0"/>
              <w:rPr>
                <w:rFonts w:ascii="宋体" w:cs="Times New Roman"/>
                <w:szCs w:val="21"/>
                <w:highlight w:val="none"/>
              </w:rPr>
            </w:pPr>
            <w:r>
              <w:rPr>
                <w:rFonts w:hint="eastAsia" w:ascii="宋体" w:cs="Times New Roman"/>
                <w:szCs w:val="21"/>
                <w:highlight w:val="none"/>
              </w:rPr>
              <w:t>（</w:t>
            </w:r>
            <w:r>
              <w:rPr>
                <w:rFonts w:asci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s="Times New Roman"/>
                <w:szCs w:val="21"/>
                <w:highlight w:val="none"/>
              </w:rPr>
              <w:t>c）</w:t>
            </w:r>
            <w:r>
              <w:rPr>
                <w:rFonts w:ascii="宋体" w:cs="Times New Roman"/>
                <w:szCs w:val="21"/>
                <w:highlight w:val="none"/>
              </w:rPr>
              <w:t>随意搭建测试环境导致信息泄露或被作为攻击入口</w:t>
            </w:r>
            <w:r>
              <w:rPr>
                <w:rFonts w:hint="eastAsia" w:ascii="宋体" w:cs="Times New Roman"/>
                <w:szCs w:val="21"/>
                <w:highlight w:val="none"/>
              </w:rPr>
              <w:t>。d）在生产运营系统上违反规定进行操作或在实施过程中留下信息系统后门等</w:t>
            </w:r>
            <w:r>
              <w:rPr>
                <w:rFonts w:ascii="宋体" w:cs="Times New Roman"/>
                <w:szCs w:val="21"/>
                <w:highlight w:val="none"/>
              </w:rPr>
              <w:t>。</w:t>
            </w:r>
          </w:p>
          <w:p w14:paraId="5B2ABD55">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11AE4F28">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未出现安全防护失效行为，10分；</w:t>
            </w:r>
          </w:p>
          <w:p w14:paraId="671F6CDF">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：出现安全防护失效行为，每出现一次扣5分，最多扣10分。</w:t>
            </w:r>
          </w:p>
        </w:tc>
        <w:tc>
          <w:tcPr>
            <w:tcW w:w="2385" w:type="dxa"/>
            <w:tcBorders>
              <w:top w:val="single" w:color="auto" w:sz="4" w:space="0"/>
              <w:left w:val="single" w:color="auto" w:sz="4" w:space="0"/>
              <w:right w:val="single" w:color="auto" w:sz="4" w:space="0"/>
            </w:tcBorders>
            <w:vAlign w:val="center"/>
          </w:tcPr>
          <w:p w14:paraId="3BA0A1D2">
            <w:pPr>
              <w:ind w:firstLine="0" w:firstLineChars="0"/>
              <w:rPr>
                <w:rFonts w:ascii="宋体" w:cs="Times New Roman"/>
                <w:szCs w:val="21"/>
                <w:highlight w:val="none"/>
              </w:rPr>
            </w:pPr>
            <w:r>
              <w:rPr>
                <w:rFonts w:hint="eastAsia" w:ascii="宋体" w:cs="Times New Roman"/>
                <w:szCs w:val="21"/>
                <w:highlight w:val="none"/>
              </w:rPr>
              <w:t>若出现信息安全防护失效行为未导致严重后果的，扣除乙方金额人民币不低于1万元；</w:t>
            </w:r>
          </w:p>
          <w:p w14:paraId="1C6CC3F7">
            <w:pPr>
              <w:ind w:firstLine="0" w:firstLineChars="0"/>
              <w:rPr>
                <w:rFonts w:ascii="宋体" w:cs="Times New Roman"/>
                <w:szCs w:val="21"/>
                <w:highlight w:val="none"/>
              </w:rPr>
            </w:pPr>
            <w:r>
              <w:rPr>
                <w:rFonts w:hint="eastAsia" w:ascii="宋体" w:cs="Times New Roman"/>
                <w:szCs w:val="21"/>
                <w:highlight w:val="none"/>
              </w:rPr>
              <w:t>若出现信息安全防护失效行为导致严重后果，或被上级或监管单位通报的，扣除乙方合同总金额不低于5%（不低于2万元），并要求乙方赔偿实际损失。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13A6A9EF">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BD1E912">
            <w:pPr>
              <w:ind w:firstLine="0" w:firstLineChars="0"/>
              <w:jc w:val="left"/>
              <w:rPr>
                <w:rFonts w:ascii="宋体" w:cs="Times New Roman"/>
                <w:szCs w:val="21"/>
                <w:highlight w:val="none"/>
              </w:rPr>
            </w:pPr>
          </w:p>
        </w:tc>
      </w:tr>
      <w:tr w14:paraId="68F0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D8255BC">
            <w:pPr>
              <w:ind w:firstLine="0" w:firstLineChars="0"/>
              <w:jc w:val="center"/>
              <w:rPr>
                <w:rFonts w:ascii="宋体" w:cs="Times New Roman"/>
                <w:szCs w:val="21"/>
                <w:highlight w:val="none"/>
              </w:rPr>
            </w:pPr>
            <w:r>
              <w:rPr>
                <w:rFonts w:hint="eastAsia" w:ascii="宋体" w:cs="Times New Roman"/>
                <w:szCs w:val="21"/>
                <w:highlight w:val="none"/>
              </w:rPr>
              <w:t>9</w:t>
            </w:r>
          </w:p>
        </w:tc>
        <w:tc>
          <w:tcPr>
            <w:tcW w:w="1122" w:type="dxa"/>
            <w:vMerge w:val="continue"/>
            <w:tcBorders>
              <w:top w:val="single" w:color="auto" w:sz="4" w:space="0"/>
              <w:left w:val="single" w:color="auto" w:sz="4" w:space="0"/>
              <w:right w:val="single" w:color="auto" w:sz="4" w:space="0"/>
            </w:tcBorders>
          </w:tcPr>
          <w:p w14:paraId="1C1FE15E">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0E15A559">
            <w:pPr>
              <w:ind w:firstLine="0" w:firstLineChars="0"/>
              <w:rPr>
                <w:rFonts w:ascii="宋体" w:cs="Times New Roman"/>
                <w:szCs w:val="21"/>
                <w:highlight w:val="none"/>
              </w:rPr>
            </w:pPr>
            <w:r>
              <w:rPr>
                <w:rFonts w:hint="eastAsia" w:ascii="宋体" w:cs="Times New Roman"/>
                <w:szCs w:val="21"/>
                <w:highlight w:val="none"/>
              </w:rPr>
              <w:t>响应与解决及时性</w:t>
            </w:r>
          </w:p>
        </w:tc>
        <w:tc>
          <w:tcPr>
            <w:tcW w:w="2244" w:type="dxa"/>
            <w:tcBorders>
              <w:top w:val="single" w:color="auto" w:sz="4" w:space="0"/>
              <w:left w:val="single" w:color="auto" w:sz="4" w:space="0"/>
              <w:right w:val="single" w:color="auto" w:sz="4" w:space="0"/>
            </w:tcBorders>
            <w:vAlign w:val="center"/>
          </w:tcPr>
          <w:p w14:paraId="6F7504C5">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或服务项目对</w:t>
            </w:r>
            <w:r>
              <w:rPr>
                <w:rFonts w:hint="eastAsia" w:ascii="宋体" w:cs="Times New Roman"/>
                <w:szCs w:val="21"/>
                <w:highlight w:val="none"/>
              </w:rPr>
              <w:t>甲方</w:t>
            </w:r>
            <w:r>
              <w:rPr>
                <w:rFonts w:ascii="宋体" w:cs="Times New Roman"/>
                <w:szCs w:val="21"/>
                <w:highlight w:val="none"/>
              </w:rPr>
              <w:t>的响应与解决的及时性</w:t>
            </w:r>
          </w:p>
        </w:tc>
        <w:tc>
          <w:tcPr>
            <w:tcW w:w="3647" w:type="dxa"/>
            <w:tcBorders>
              <w:top w:val="single" w:color="auto" w:sz="4" w:space="0"/>
              <w:left w:val="single" w:color="auto" w:sz="4" w:space="0"/>
              <w:right w:val="single" w:color="auto" w:sz="4" w:space="0"/>
            </w:tcBorders>
            <w:vAlign w:val="center"/>
          </w:tcPr>
          <w:p w14:paraId="7744F7AB">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或服务项目能够迅速响应需求，主动快速与</w:t>
            </w:r>
            <w:r>
              <w:rPr>
                <w:rFonts w:hint="eastAsia" w:ascii="宋体" w:cs="Times New Roman"/>
                <w:szCs w:val="21"/>
                <w:highlight w:val="none"/>
              </w:rPr>
              <w:t>甲方</w:t>
            </w:r>
            <w:r>
              <w:rPr>
                <w:rFonts w:ascii="宋体" w:cs="Times New Roman"/>
                <w:szCs w:val="21"/>
                <w:highlight w:val="none"/>
              </w:rPr>
              <w:t>进行有效的沟通，第一时间从专业角度给出解决方案并解决问题</w:t>
            </w:r>
            <w:r>
              <w:rPr>
                <w:rFonts w:hint="eastAsia" w:ascii="宋体" w:cs="Times New Roman"/>
                <w:szCs w:val="21"/>
                <w:highlight w:val="none"/>
              </w:rPr>
              <w:t>；</w:t>
            </w:r>
          </w:p>
          <w:p w14:paraId="2BDE4FF0">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或服务项目能够按要求响应需求，及时与</w:t>
            </w:r>
            <w:r>
              <w:rPr>
                <w:rFonts w:hint="eastAsia" w:ascii="宋体" w:cs="Times New Roman"/>
                <w:szCs w:val="21"/>
                <w:highlight w:val="none"/>
              </w:rPr>
              <w:t>甲方</w:t>
            </w:r>
            <w:r>
              <w:rPr>
                <w:rFonts w:ascii="宋体" w:cs="Times New Roman"/>
                <w:szCs w:val="21"/>
                <w:highlight w:val="none"/>
              </w:rPr>
              <w:t>进行有效的沟通，快速给出处理方案并解决问题</w:t>
            </w:r>
            <w:r>
              <w:rPr>
                <w:rFonts w:hint="eastAsia" w:ascii="宋体" w:cs="Times New Roman"/>
                <w:szCs w:val="21"/>
                <w:highlight w:val="none"/>
              </w:rPr>
              <w:t>；</w:t>
            </w:r>
          </w:p>
          <w:p w14:paraId="0AAD648F">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或服务项目能够基本按要求响应需求</w:t>
            </w:r>
            <w:r>
              <w:rPr>
                <w:rFonts w:hint="eastAsia" w:ascii="宋体" w:cs="Times New Roman"/>
                <w:szCs w:val="21"/>
                <w:highlight w:val="none"/>
              </w:rPr>
              <w:t>，</w:t>
            </w:r>
            <w:r>
              <w:rPr>
                <w:rFonts w:ascii="宋体" w:cs="Times New Roman"/>
                <w:szCs w:val="21"/>
                <w:highlight w:val="none"/>
              </w:rPr>
              <w:t>保持与</w:t>
            </w:r>
            <w:r>
              <w:rPr>
                <w:rFonts w:hint="eastAsia" w:ascii="宋体" w:cs="Times New Roman"/>
                <w:szCs w:val="21"/>
                <w:highlight w:val="none"/>
              </w:rPr>
              <w:t>甲方</w:t>
            </w:r>
            <w:r>
              <w:rPr>
                <w:rFonts w:ascii="宋体" w:cs="Times New Roman"/>
                <w:szCs w:val="21"/>
                <w:highlight w:val="none"/>
              </w:rPr>
              <w:t>的沟通，按时解决问题</w:t>
            </w:r>
            <w:r>
              <w:rPr>
                <w:rFonts w:hint="eastAsia" w:ascii="宋体" w:cs="Times New Roman"/>
                <w:szCs w:val="21"/>
                <w:highlight w:val="none"/>
              </w:rPr>
              <w:t>；</w:t>
            </w:r>
          </w:p>
          <w:p w14:paraId="38F78888">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w:t>
            </w:r>
          </w:p>
        </w:tc>
        <w:tc>
          <w:tcPr>
            <w:tcW w:w="2385" w:type="dxa"/>
            <w:tcBorders>
              <w:top w:val="single" w:color="auto" w:sz="4" w:space="0"/>
              <w:left w:val="single" w:color="auto" w:sz="4" w:space="0"/>
              <w:right w:val="single" w:color="auto" w:sz="4" w:space="0"/>
            </w:tcBorders>
            <w:vAlign w:val="center"/>
          </w:tcPr>
          <w:p w14:paraId="0B3DA74C">
            <w:pPr>
              <w:ind w:firstLine="0" w:firstLineChars="0"/>
              <w:rPr>
                <w:rFonts w:ascii="宋体" w:cs="Times New Roman"/>
                <w:szCs w:val="21"/>
                <w:highlight w:val="none"/>
              </w:rPr>
            </w:pPr>
            <w:r>
              <w:rPr>
                <w:rFonts w:hint="eastAsia" w:ascii="宋体" w:cs="Times New Roman"/>
                <w:szCs w:val="21"/>
                <w:highlight w:val="none"/>
              </w:rPr>
              <w:t>评价为较差/差，即乙方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，扣除乙方金额人民币不低于1000元。</w:t>
            </w:r>
          </w:p>
        </w:tc>
        <w:tc>
          <w:tcPr>
            <w:tcW w:w="1122" w:type="dxa"/>
            <w:tcBorders>
              <w:top w:val="single" w:color="auto" w:sz="4" w:space="0"/>
              <w:left w:val="single" w:color="auto" w:sz="4" w:space="0"/>
              <w:right w:val="single" w:color="auto" w:sz="4" w:space="0"/>
            </w:tcBorders>
            <w:vAlign w:val="center"/>
          </w:tcPr>
          <w:p w14:paraId="5747B293">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49A926E">
            <w:pPr>
              <w:ind w:firstLine="0" w:firstLineChars="0"/>
              <w:jc w:val="left"/>
              <w:rPr>
                <w:rFonts w:ascii="宋体" w:cs="Times New Roman"/>
                <w:szCs w:val="21"/>
                <w:highlight w:val="none"/>
              </w:rPr>
            </w:pPr>
          </w:p>
        </w:tc>
      </w:tr>
      <w:tr w14:paraId="1CF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FA25C34">
            <w:pPr>
              <w:ind w:firstLine="0" w:firstLineChars="0"/>
              <w:jc w:val="center"/>
              <w:rPr>
                <w:rFonts w:ascii="宋体" w:cs="Times New Roman"/>
                <w:szCs w:val="21"/>
                <w:highlight w:val="none"/>
              </w:rPr>
            </w:pPr>
            <w:r>
              <w:rPr>
                <w:rFonts w:ascii="宋体" w:cs="Times New Roman"/>
                <w:szCs w:val="21"/>
                <w:highlight w:val="none"/>
              </w:rPr>
              <w:t>1</w:t>
            </w:r>
            <w:r>
              <w:rPr>
                <w:rFonts w:hint="eastAsia" w:ascii="宋体" w:cs="Times New Roman"/>
                <w:szCs w:val="21"/>
                <w:highlight w:val="none"/>
              </w:rPr>
              <w:t>0</w:t>
            </w:r>
          </w:p>
        </w:tc>
        <w:tc>
          <w:tcPr>
            <w:tcW w:w="1122" w:type="dxa"/>
            <w:vMerge w:val="continue"/>
            <w:tcBorders>
              <w:top w:val="single" w:color="auto" w:sz="4" w:space="0"/>
              <w:left w:val="single" w:color="auto" w:sz="4" w:space="0"/>
              <w:right w:val="single" w:color="auto" w:sz="4" w:space="0"/>
            </w:tcBorders>
          </w:tcPr>
          <w:p w14:paraId="42B83705">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302385AC">
            <w:pPr>
              <w:ind w:firstLine="0" w:firstLineChars="0"/>
              <w:rPr>
                <w:rFonts w:ascii="宋体" w:cs="Times New Roman"/>
                <w:szCs w:val="21"/>
                <w:highlight w:val="none"/>
              </w:rPr>
            </w:pPr>
            <w:r>
              <w:rPr>
                <w:rFonts w:hint="eastAsia" w:ascii="宋体" w:cs="Times New Roman"/>
                <w:szCs w:val="21"/>
                <w:highlight w:val="none"/>
              </w:rPr>
              <w:t>需求排期率</w:t>
            </w:r>
          </w:p>
        </w:tc>
        <w:tc>
          <w:tcPr>
            <w:tcW w:w="2244" w:type="dxa"/>
            <w:tcBorders>
              <w:top w:val="single" w:color="auto" w:sz="4" w:space="0"/>
              <w:left w:val="single" w:color="auto" w:sz="4" w:space="0"/>
              <w:right w:val="single" w:color="auto" w:sz="4" w:space="0"/>
            </w:tcBorders>
            <w:vAlign w:val="center"/>
          </w:tcPr>
          <w:p w14:paraId="5DCBDC91">
            <w:pPr>
              <w:ind w:firstLine="0" w:firstLineChars="0"/>
              <w:rPr>
                <w:rFonts w:ascii="宋体" w:cs="Times New Roman"/>
                <w:szCs w:val="21"/>
                <w:highlight w:val="none"/>
              </w:rPr>
            </w:pPr>
            <w:r>
              <w:rPr>
                <w:rFonts w:ascii="宋体" w:cs="Times New Roman"/>
                <w:szCs w:val="21"/>
                <w:highlight w:val="none"/>
              </w:rPr>
              <w:t>用于记录统计周期内对</w:t>
            </w:r>
            <w:r>
              <w:rPr>
                <w:rFonts w:hint="eastAsia" w:ascii="宋体" w:cs="Times New Roman"/>
                <w:szCs w:val="21"/>
                <w:highlight w:val="none"/>
              </w:rPr>
              <w:t>甲方</w:t>
            </w:r>
            <w:r>
              <w:rPr>
                <w:rFonts w:ascii="宋体" w:cs="Times New Roman"/>
                <w:szCs w:val="21"/>
                <w:highlight w:val="none"/>
              </w:rPr>
              <w:t>需求进行投产计划安排的比例</w:t>
            </w:r>
          </w:p>
        </w:tc>
        <w:tc>
          <w:tcPr>
            <w:tcW w:w="3647" w:type="dxa"/>
            <w:tcBorders>
              <w:top w:val="single" w:color="auto" w:sz="4" w:space="0"/>
              <w:left w:val="single" w:color="auto" w:sz="4" w:space="0"/>
              <w:right w:val="single" w:color="auto" w:sz="4" w:space="0"/>
            </w:tcBorders>
            <w:vAlign w:val="center"/>
          </w:tcPr>
          <w:p w14:paraId="70D992A5">
            <w:pPr>
              <w:ind w:firstLine="0" w:firstLineChars="0"/>
              <w:rPr>
                <w:rFonts w:ascii="宋体" w:cs="Times New Roman"/>
                <w:szCs w:val="21"/>
                <w:highlight w:val="none"/>
              </w:rPr>
            </w:pPr>
            <w:r>
              <w:rPr>
                <w:rFonts w:ascii="宋体" w:cs="Times New Roman"/>
                <w:szCs w:val="21"/>
                <w:highlight w:val="none"/>
              </w:rPr>
              <w:t>需求排期率=已排期需求数/总需求数</w:t>
            </w:r>
          </w:p>
          <w:p w14:paraId="65DBBA53">
            <w:pPr>
              <w:ind w:firstLine="0" w:firstLineChars="0"/>
              <w:rPr>
                <w:rFonts w:ascii="宋体" w:cs="Times New Roman"/>
                <w:szCs w:val="21"/>
                <w:highlight w:val="none"/>
              </w:rPr>
            </w:pPr>
            <w:r>
              <w:rPr>
                <w:rFonts w:ascii="宋体" w:cs="Times New Roman"/>
                <w:szCs w:val="21"/>
                <w:highlight w:val="none"/>
              </w:rPr>
              <w:t>注：已排期需求数指统计周期内已经纳入投产计划的需求个数。总需求数指统计周期内由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提出到达服务商项目组的需求数。</w:t>
            </w:r>
          </w:p>
          <w:p w14:paraId="3988020E">
            <w:pPr>
              <w:ind w:firstLine="0" w:firstLineChars="0"/>
              <w:rPr>
                <w:rFonts w:ascii="宋体" w:cs="Times New Roman"/>
                <w:b/>
                <w:szCs w:val="21"/>
                <w:highlight w:val="none"/>
              </w:rPr>
            </w:pPr>
            <w:r>
              <w:rPr>
                <w:rFonts w:hint="eastAsia" w:ascii="宋体" w:cs="Times New Roman"/>
                <w:b/>
                <w:szCs w:val="21"/>
                <w:highlight w:val="none"/>
              </w:rPr>
              <w:t>5分【98%-100%】</w:t>
            </w:r>
          </w:p>
          <w:p w14:paraId="31C3AF40">
            <w:pPr>
              <w:ind w:firstLine="0" w:firstLineChars="0"/>
              <w:rPr>
                <w:rFonts w:ascii="宋体" w:cs="Times New Roman"/>
                <w:b/>
                <w:szCs w:val="21"/>
                <w:highlight w:val="none"/>
              </w:rPr>
            </w:pPr>
            <w:r>
              <w:rPr>
                <w:rFonts w:hint="eastAsia" w:ascii="宋体" w:cs="Times New Roman"/>
                <w:b/>
                <w:szCs w:val="21"/>
                <w:highlight w:val="none"/>
              </w:rPr>
              <w:t>3分【95%-97%】</w:t>
            </w:r>
          </w:p>
          <w:p w14:paraId="3B26EDC3">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5F7C1E91">
            <w:pPr>
              <w:ind w:firstLine="0" w:firstLineChars="0"/>
              <w:rPr>
                <w:rFonts w:ascii="宋体" w:cs="Times New Roman"/>
                <w:szCs w:val="21"/>
                <w:highlight w:val="none"/>
              </w:rPr>
            </w:pPr>
          </w:p>
        </w:tc>
        <w:tc>
          <w:tcPr>
            <w:tcW w:w="1122" w:type="dxa"/>
            <w:tcBorders>
              <w:top w:val="single" w:color="auto" w:sz="4" w:space="0"/>
              <w:left w:val="single" w:color="auto" w:sz="4" w:space="0"/>
              <w:right w:val="single" w:color="auto" w:sz="4" w:space="0"/>
            </w:tcBorders>
            <w:vAlign w:val="center"/>
          </w:tcPr>
          <w:p w14:paraId="37AD7A84">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541EBA1">
            <w:pPr>
              <w:ind w:firstLine="0" w:firstLineChars="0"/>
              <w:jc w:val="left"/>
              <w:rPr>
                <w:rFonts w:ascii="宋体" w:cs="Times New Roman"/>
                <w:szCs w:val="21"/>
                <w:highlight w:val="none"/>
              </w:rPr>
            </w:pPr>
          </w:p>
        </w:tc>
      </w:tr>
      <w:tr w14:paraId="551C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F13C02E">
            <w:pPr>
              <w:ind w:firstLine="0" w:firstLineChars="0"/>
              <w:jc w:val="center"/>
              <w:rPr>
                <w:rFonts w:ascii="宋体" w:cs="Times New Roman"/>
                <w:szCs w:val="21"/>
                <w:highlight w:val="none"/>
              </w:rPr>
            </w:pPr>
            <w:r>
              <w:rPr>
                <w:rFonts w:hint="eastAsia" w:ascii="宋体" w:cs="Times New Roman"/>
                <w:szCs w:val="21"/>
                <w:highlight w:val="none"/>
              </w:rPr>
              <w:t>11</w:t>
            </w:r>
          </w:p>
        </w:tc>
        <w:tc>
          <w:tcPr>
            <w:tcW w:w="1122" w:type="dxa"/>
            <w:vMerge w:val="continue"/>
            <w:tcBorders>
              <w:top w:val="single" w:color="auto" w:sz="4" w:space="0"/>
              <w:left w:val="single" w:color="auto" w:sz="4" w:space="0"/>
              <w:right w:val="single" w:color="auto" w:sz="4" w:space="0"/>
            </w:tcBorders>
          </w:tcPr>
          <w:p w14:paraId="53C07076">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18A75136">
            <w:pPr>
              <w:ind w:firstLine="0" w:firstLineChars="0"/>
              <w:rPr>
                <w:rFonts w:ascii="宋体" w:cs="Times New Roman"/>
                <w:szCs w:val="21"/>
                <w:highlight w:val="none"/>
              </w:rPr>
            </w:pPr>
            <w:r>
              <w:rPr>
                <w:rFonts w:hint="eastAsia" w:ascii="宋体" w:cs="Times New Roman"/>
                <w:szCs w:val="21"/>
                <w:highlight w:val="none"/>
              </w:rPr>
              <w:t>需求完成率</w:t>
            </w:r>
          </w:p>
        </w:tc>
        <w:tc>
          <w:tcPr>
            <w:tcW w:w="2244" w:type="dxa"/>
            <w:tcBorders>
              <w:top w:val="single" w:color="auto" w:sz="4" w:space="0"/>
              <w:left w:val="single" w:color="auto" w:sz="4" w:space="0"/>
              <w:right w:val="single" w:color="auto" w:sz="4" w:space="0"/>
            </w:tcBorders>
            <w:vAlign w:val="center"/>
          </w:tcPr>
          <w:p w14:paraId="65E33F22">
            <w:pPr>
              <w:ind w:firstLine="0" w:firstLineChars="0"/>
              <w:rPr>
                <w:rFonts w:ascii="宋体" w:cs="Times New Roman"/>
                <w:szCs w:val="21"/>
                <w:highlight w:val="none"/>
              </w:rPr>
            </w:pPr>
            <w:r>
              <w:rPr>
                <w:rFonts w:ascii="宋体" w:cs="Times New Roman"/>
                <w:szCs w:val="21"/>
                <w:highlight w:val="none"/>
              </w:rPr>
              <w:t>用于记录统计周期内</w:t>
            </w:r>
            <w:r>
              <w:rPr>
                <w:rFonts w:hint="eastAsia" w:ascii="宋体" w:cs="Times New Roman"/>
                <w:szCs w:val="21"/>
                <w:highlight w:val="none"/>
              </w:rPr>
              <w:t>甲方</w:t>
            </w:r>
            <w:r>
              <w:rPr>
                <w:rFonts w:ascii="宋体" w:cs="Times New Roman"/>
                <w:szCs w:val="21"/>
                <w:highlight w:val="none"/>
              </w:rPr>
              <w:t>需求完成投产的比例</w:t>
            </w:r>
          </w:p>
        </w:tc>
        <w:tc>
          <w:tcPr>
            <w:tcW w:w="3647" w:type="dxa"/>
            <w:tcBorders>
              <w:top w:val="single" w:color="auto" w:sz="4" w:space="0"/>
              <w:left w:val="single" w:color="auto" w:sz="4" w:space="0"/>
              <w:right w:val="single" w:color="auto" w:sz="4" w:space="0"/>
            </w:tcBorders>
            <w:vAlign w:val="center"/>
          </w:tcPr>
          <w:p w14:paraId="59F9F63C">
            <w:pPr>
              <w:ind w:firstLine="0" w:firstLineChars="0"/>
              <w:rPr>
                <w:rFonts w:ascii="宋体" w:cs="Times New Roman"/>
                <w:szCs w:val="21"/>
                <w:highlight w:val="none"/>
              </w:rPr>
            </w:pPr>
            <w:r>
              <w:rPr>
                <w:rFonts w:hint="eastAsia" w:ascii="宋体" w:cs="Times New Roman"/>
                <w:szCs w:val="21"/>
                <w:highlight w:val="none"/>
              </w:rPr>
              <w:t>需</w:t>
            </w:r>
            <w:r>
              <w:rPr>
                <w:rFonts w:ascii="宋体" w:cs="Times New Roman"/>
                <w:szCs w:val="21"/>
                <w:highlight w:val="none"/>
              </w:rPr>
              <w:t>求完成率=流程完结需求数/总需求数</w:t>
            </w:r>
          </w:p>
          <w:p w14:paraId="65683170">
            <w:pPr>
              <w:ind w:firstLine="0" w:firstLineChars="0"/>
              <w:rPr>
                <w:rFonts w:ascii="宋体" w:cs="Times New Roman"/>
                <w:szCs w:val="21"/>
                <w:highlight w:val="none"/>
              </w:rPr>
            </w:pPr>
            <w:r>
              <w:rPr>
                <w:rFonts w:ascii="宋体" w:cs="Times New Roman"/>
                <w:szCs w:val="21"/>
                <w:highlight w:val="none"/>
              </w:rPr>
              <w:t>注：流程完结需求数指统计周期内已完成投产的需求个数</w:t>
            </w:r>
            <w:r>
              <w:rPr>
                <w:rFonts w:hint="eastAsia" w:ascii="宋体" w:cs="Times New Roman"/>
                <w:szCs w:val="21"/>
                <w:highlight w:val="none"/>
              </w:rPr>
              <w:t>；</w:t>
            </w:r>
            <w:r>
              <w:rPr>
                <w:rFonts w:ascii="宋体" w:cs="Times New Roman"/>
                <w:szCs w:val="21"/>
                <w:highlight w:val="none"/>
              </w:rPr>
              <w:t>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提出到达服务商项目组的需求个数。</w:t>
            </w:r>
          </w:p>
          <w:p w14:paraId="693D8720">
            <w:pPr>
              <w:ind w:firstLine="0" w:firstLineChars="0"/>
              <w:rPr>
                <w:rFonts w:ascii="宋体" w:cs="Times New Roman"/>
                <w:b/>
                <w:szCs w:val="21"/>
                <w:highlight w:val="none"/>
              </w:rPr>
            </w:pPr>
            <w:r>
              <w:rPr>
                <w:rFonts w:hint="eastAsia" w:ascii="宋体" w:cs="Times New Roman"/>
                <w:b/>
                <w:szCs w:val="21"/>
                <w:highlight w:val="none"/>
              </w:rPr>
              <w:t>5分【98%-100%】</w:t>
            </w:r>
          </w:p>
          <w:p w14:paraId="7875D6F9">
            <w:pPr>
              <w:ind w:firstLine="0" w:firstLineChars="0"/>
              <w:rPr>
                <w:rFonts w:ascii="宋体" w:cs="Times New Roman"/>
                <w:b/>
                <w:szCs w:val="21"/>
                <w:highlight w:val="none"/>
              </w:rPr>
            </w:pPr>
            <w:r>
              <w:rPr>
                <w:rFonts w:hint="eastAsia" w:ascii="宋体" w:cs="Times New Roman"/>
                <w:b/>
                <w:szCs w:val="21"/>
                <w:highlight w:val="none"/>
              </w:rPr>
              <w:t>3分【95%-97%】</w:t>
            </w:r>
          </w:p>
          <w:p w14:paraId="5BC5146D">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32AD911C">
            <w:pPr>
              <w:ind w:firstLine="0" w:firstLineChars="0"/>
              <w:rPr>
                <w:rFonts w:ascii="宋体" w:cs="Times New Roman"/>
                <w:szCs w:val="21"/>
                <w:highlight w:val="none"/>
              </w:rPr>
            </w:pPr>
          </w:p>
        </w:tc>
        <w:tc>
          <w:tcPr>
            <w:tcW w:w="1122" w:type="dxa"/>
            <w:tcBorders>
              <w:top w:val="single" w:color="auto" w:sz="4" w:space="0"/>
              <w:left w:val="single" w:color="auto" w:sz="4" w:space="0"/>
              <w:right w:val="single" w:color="auto" w:sz="4" w:space="0"/>
            </w:tcBorders>
            <w:vAlign w:val="center"/>
          </w:tcPr>
          <w:p w14:paraId="47A4AE25">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3B9AC84">
            <w:pPr>
              <w:ind w:firstLine="0" w:firstLineChars="0"/>
              <w:jc w:val="left"/>
              <w:rPr>
                <w:rFonts w:ascii="宋体" w:cs="Times New Roman"/>
                <w:szCs w:val="21"/>
                <w:highlight w:val="none"/>
              </w:rPr>
            </w:pPr>
          </w:p>
        </w:tc>
      </w:tr>
      <w:tr w14:paraId="5508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02EC342">
            <w:pPr>
              <w:ind w:firstLine="0" w:firstLineChars="0"/>
              <w:jc w:val="center"/>
              <w:rPr>
                <w:rFonts w:ascii="宋体" w:cs="Times New Roman"/>
                <w:szCs w:val="21"/>
                <w:highlight w:val="none"/>
              </w:rPr>
            </w:pPr>
            <w:r>
              <w:rPr>
                <w:rFonts w:hint="eastAsia" w:ascii="宋体" w:cs="Times New Roman"/>
                <w:szCs w:val="21"/>
                <w:highlight w:val="none"/>
              </w:rPr>
              <w:t>12</w:t>
            </w:r>
          </w:p>
        </w:tc>
        <w:tc>
          <w:tcPr>
            <w:tcW w:w="1122" w:type="dxa"/>
            <w:vMerge w:val="continue"/>
            <w:tcBorders>
              <w:top w:val="single" w:color="auto" w:sz="4" w:space="0"/>
              <w:left w:val="single" w:color="auto" w:sz="4" w:space="0"/>
              <w:right w:val="single" w:color="auto" w:sz="4" w:space="0"/>
            </w:tcBorders>
          </w:tcPr>
          <w:p w14:paraId="0D0592A5">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29D78B5A">
            <w:pPr>
              <w:ind w:firstLine="0" w:firstLineChars="0"/>
              <w:rPr>
                <w:rFonts w:ascii="宋体" w:cs="Times New Roman"/>
                <w:szCs w:val="21"/>
                <w:highlight w:val="none"/>
              </w:rPr>
            </w:pPr>
            <w:r>
              <w:rPr>
                <w:rFonts w:hint="eastAsia" w:ascii="宋体" w:cs="Times New Roman"/>
                <w:szCs w:val="21"/>
                <w:highlight w:val="none"/>
              </w:rPr>
              <w:t>人员行为规范性</w:t>
            </w:r>
          </w:p>
        </w:tc>
        <w:tc>
          <w:tcPr>
            <w:tcW w:w="2244" w:type="dxa"/>
            <w:tcBorders>
              <w:top w:val="single" w:color="auto" w:sz="4" w:space="0"/>
              <w:left w:val="single" w:color="auto" w:sz="4" w:space="0"/>
              <w:right w:val="single" w:color="auto" w:sz="4" w:space="0"/>
            </w:tcBorders>
            <w:vAlign w:val="center"/>
          </w:tcPr>
          <w:p w14:paraId="4D09B324">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于记录外包场地日常管理或</w:t>
            </w:r>
            <w:r>
              <w:rPr>
                <w:rFonts w:hint="eastAsia" w:ascii="宋体" w:cs="Times New Roman"/>
                <w:szCs w:val="21"/>
                <w:highlight w:val="none"/>
              </w:rPr>
              <w:t>检查</w:t>
            </w:r>
            <w:r>
              <w:rPr>
                <w:rFonts w:ascii="宋体" w:cs="Times New Roman"/>
                <w:szCs w:val="21"/>
                <w:highlight w:val="none"/>
              </w:rPr>
              <w:t>过程中发现外包人员</w:t>
            </w:r>
            <w:r>
              <w:rPr>
                <w:rFonts w:hint="eastAsia" w:ascii="宋体" w:cs="Times New Roman"/>
                <w:szCs w:val="21"/>
                <w:highlight w:val="none"/>
              </w:rPr>
              <w:t>行为</w:t>
            </w:r>
            <w:r>
              <w:rPr>
                <w:rFonts w:ascii="宋体" w:cs="Times New Roman"/>
                <w:szCs w:val="21"/>
                <w:highlight w:val="none"/>
              </w:rPr>
              <w:t>违</w:t>
            </w:r>
            <w:r>
              <w:rPr>
                <w:rFonts w:hint="eastAsia" w:ascii="宋体" w:cs="Times New Roman"/>
                <w:szCs w:val="21"/>
                <w:highlight w:val="none"/>
              </w:rPr>
              <w:t>规（包括但不限于办公纪律、造成办公环境物理安全隐患等）</w:t>
            </w:r>
            <w:r>
              <w:rPr>
                <w:rFonts w:ascii="宋体" w:cs="Times New Roman"/>
                <w:szCs w:val="21"/>
                <w:highlight w:val="none"/>
              </w:rPr>
              <w:t>的次数</w:t>
            </w:r>
          </w:p>
        </w:tc>
        <w:tc>
          <w:tcPr>
            <w:tcW w:w="3647" w:type="dxa"/>
            <w:tcBorders>
              <w:top w:val="single" w:color="auto" w:sz="4" w:space="0"/>
              <w:left w:val="single" w:color="auto" w:sz="4" w:space="0"/>
              <w:right w:val="single" w:color="auto" w:sz="4" w:space="0"/>
            </w:tcBorders>
            <w:vAlign w:val="center"/>
          </w:tcPr>
          <w:p w14:paraId="082A55CE">
            <w:pPr>
              <w:ind w:firstLine="0" w:firstLineChars="0"/>
              <w:rPr>
                <w:rFonts w:ascii="宋体" w:cs="Times New Roman"/>
                <w:b/>
                <w:bCs/>
                <w:szCs w:val="21"/>
                <w:highlight w:val="none"/>
              </w:rPr>
            </w:pPr>
            <w:r>
              <w:rPr>
                <w:rFonts w:hint="eastAsia" w:ascii="宋体" w:cs="Times New Roman"/>
                <w:b/>
                <w:bCs/>
                <w:szCs w:val="21"/>
                <w:highlight w:val="none"/>
              </w:rPr>
              <w:t>【得分上限1</w:t>
            </w:r>
            <w:r>
              <w:rPr>
                <w:rFonts w:ascii="宋体" w:cs="Times New Roman"/>
                <w:b/>
                <w:bCs/>
                <w:szCs w:val="21"/>
                <w:highlight w:val="none"/>
              </w:rPr>
              <w:t>0</w:t>
            </w:r>
            <w:r>
              <w:rPr>
                <w:rFonts w:hint="eastAsia" w:ascii="宋体" w:cs="Times New Roman"/>
                <w:b/>
                <w:bCs/>
                <w:szCs w:val="21"/>
                <w:highlight w:val="none"/>
              </w:rPr>
              <w:t>分】</w:t>
            </w:r>
          </w:p>
          <w:p w14:paraId="5B2A7EA0">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指未出现外包人员行为违规，该项指标满分；</w:t>
            </w:r>
          </w:p>
          <w:p w14:paraId="0848A236">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指检查发现外包人员行为违规1次及以上（每人次扣5分，最高扣除1</w:t>
            </w:r>
            <w:r>
              <w:rPr>
                <w:rFonts w:ascii="宋体" w:cs="Times New Roman"/>
                <w:szCs w:val="21"/>
                <w:highlight w:val="none"/>
              </w:rPr>
              <w:t>0</w:t>
            </w:r>
            <w:r>
              <w:rPr>
                <w:rFonts w:hint="eastAsia" w:ascii="宋体" w:cs="Times New Roman"/>
                <w:szCs w:val="21"/>
                <w:highlight w:val="none"/>
              </w:rPr>
              <w:t>分）</w:t>
            </w:r>
          </w:p>
        </w:tc>
        <w:tc>
          <w:tcPr>
            <w:tcW w:w="2385" w:type="dxa"/>
            <w:tcBorders>
              <w:top w:val="single" w:color="auto" w:sz="4" w:space="0"/>
              <w:left w:val="single" w:color="auto" w:sz="4" w:space="0"/>
              <w:right w:val="single" w:color="auto" w:sz="4" w:space="0"/>
            </w:tcBorders>
            <w:vAlign w:val="center"/>
          </w:tcPr>
          <w:p w14:paraId="65839C2D">
            <w:pPr>
              <w:ind w:firstLine="0" w:firstLineChars="0"/>
              <w:rPr>
                <w:rFonts w:ascii="宋体" w:cs="Times New Roman"/>
                <w:szCs w:val="21"/>
                <w:highlight w:val="none"/>
              </w:rPr>
            </w:pPr>
            <w:r>
              <w:rPr>
                <w:rFonts w:hint="eastAsia" w:ascii="宋体" w:cs="Times New Roman"/>
                <w:szCs w:val="21"/>
                <w:highlight w:val="none"/>
              </w:rPr>
              <w:t>每出现一次人员行为</w:t>
            </w:r>
            <w:r>
              <w:rPr>
                <w:rFonts w:ascii="宋体" w:cs="Times New Roman"/>
                <w:szCs w:val="21"/>
                <w:highlight w:val="none"/>
              </w:rPr>
              <w:t>违规</w:t>
            </w:r>
            <w:r>
              <w:rPr>
                <w:rFonts w:hint="eastAsia" w:ascii="宋体" w:cs="Times New Roman"/>
                <w:szCs w:val="21"/>
                <w:highlight w:val="none"/>
              </w:rPr>
              <w:t>，扣除乙方金额人民币不低于500元。</w:t>
            </w:r>
          </w:p>
        </w:tc>
        <w:tc>
          <w:tcPr>
            <w:tcW w:w="1122" w:type="dxa"/>
            <w:tcBorders>
              <w:top w:val="single" w:color="auto" w:sz="4" w:space="0"/>
              <w:left w:val="single" w:color="auto" w:sz="4" w:space="0"/>
              <w:right w:val="single" w:color="auto" w:sz="4" w:space="0"/>
            </w:tcBorders>
            <w:vAlign w:val="center"/>
          </w:tcPr>
          <w:p w14:paraId="050B4AC9">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D40ABBB">
            <w:pPr>
              <w:ind w:firstLine="0" w:firstLineChars="0"/>
              <w:jc w:val="left"/>
              <w:rPr>
                <w:rFonts w:ascii="宋体" w:cs="Times New Roman"/>
                <w:szCs w:val="21"/>
                <w:highlight w:val="none"/>
              </w:rPr>
            </w:pPr>
          </w:p>
        </w:tc>
      </w:tr>
      <w:tr w14:paraId="0309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276A261">
            <w:pPr>
              <w:ind w:firstLine="0" w:firstLineChars="0"/>
              <w:jc w:val="center"/>
              <w:rPr>
                <w:rFonts w:ascii="宋体" w:cs="Times New Roman"/>
                <w:szCs w:val="21"/>
                <w:highlight w:val="none"/>
              </w:rPr>
            </w:pPr>
            <w:r>
              <w:rPr>
                <w:rFonts w:hint="eastAsia" w:ascii="宋体" w:cs="Times New Roman"/>
                <w:szCs w:val="21"/>
                <w:highlight w:val="none"/>
              </w:rPr>
              <w:t>13</w:t>
            </w:r>
          </w:p>
        </w:tc>
        <w:tc>
          <w:tcPr>
            <w:tcW w:w="1122" w:type="dxa"/>
            <w:vMerge w:val="continue"/>
            <w:tcBorders>
              <w:top w:val="single" w:color="auto" w:sz="4" w:space="0"/>
              <w:left w:val="single" w:color="auto" w:sz="4" w:space="0"/>
              <w:right w:val="single" w:color="auto" w:sz="4" w:space="0"/>
            </w:tcBorders>
          </w:tcPr>
          <w:p w14:paraId="2C40525C">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3AA45536">
            <w:pPr>
              <w:ind w:firstLine="0" w:firstLineChars="0"/>
              <w:rPr>
                <w:rFonts w:ascii="宋体" w:cs="Times New Roman"/>
                <w:szCs w:val="21"/>
                <w:highlight w:val="none"/>
              </w:rPr>
            </w:pPr>
            <w:r>
              <w:rPr>
                <w:rFonts w:hint="eastAsia" w:ascii="宋体" w:cs="Times New Roman"/>
                <w:szCs w:val="21"/>
                <w:highlight w:val="none"/>
              </w:rPr>
              <w:t>人员变动率</w:t>
            </w:r>
          </w:p>
        </w:tc>
        <w:tc>
          <w:tcPr>
            <w:tcW w:w="2244" w:type="dxa"/>
            <w:tcBorders>
              <w:top w:val="single" w:color="auto" w:sz="4" w:space="0"/>
              <w:left w:val="single" w:color="auto" w:sz="4" w:space="0"/>
              <w:right w:val="single" w:color="auto" w:sz="4" w:space="0"/>
            </w:tcBorders>
            <w:vAlign w:val="center"/>
          </w:tcPr>
          <w:p w14:paraId="4D65BE86">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于记录统计周期内</w:t>
            </w:r>
            <w:r>
              <w:rPr>
                <w:rFonts w:hint="eastAsia" w:ascii="宋体" w:cs="Times New Roman"/>
                <w:szCs w:val="21"/>
                <w:highlight w:val="none"/>
              </w:rPr>
              <w:t>乙方未经甲方同意</w:t>
            </w:r>
            <w:r>
              <w:rPr>
                <w:rFonts w:ascii="宋体" w:cs="Times New Roman"/>
                <w:szCs w:val="21"/>
                <w:highlight w:val="none"/>
              </w:rPr>
              <w:t>更换外包人员数量占</w:t>
            </w:r>
            <w:r>
              <w:rPr>
                <w:rFonts w:hint="eastAsia" w:ascii="宋体" w:cs="Times New Roman"/>
                <w:szCs w:val="21"/>
                <w:highlight w:val="none"/>
              </w:rPr>
              <w:t>乙方</w:t>
            </w:r>
            <w:r>
              <w:rPr>
                <w:rFonts w:ascii="宋体" w:cs="Times New Roman"/>
                <w:szCs w:val="21"/>
                <w:highlight w:val="none"/>
              </w:rPr>
              <w:t>驻场外包人员总数量的比率</w:t>
            </w:r>
          </w:p>
        </w:tc>
        <w:tc>
          <w:tcPr>
            <w:tcW w:w="3647" w:type="dxa"/>
            <w:tcBorders>
              <w:top w:val="single" w:color="auto" w:sz="4" w:space="0"/>
              <w:left w:val="single" w:color="auto" w:sz="4" w:space="0"/>
              <w:right w:val="single" w:color="auto" w:sz="4" w:space="0"/>
            </w:tcBorders>
            <w:vAlign w:val="center"/>
          </w:tcPr>
          <w:p w14:paraId="534B0693">
            <w:pPr>
              <w:ind w:firstLine="0" w:firstLineChars="0"/>
              <w:rPr>
                <w:rFonts w:ascii="宋体" w:cs="Times New Roman"/>
                <w:szCs w:val="21"/>
                <w:highlight w:val="none"/>
              </w:rPr>
            </w:pPr>
            <w:r>
              <w:rPr>
                <w:rFonts w:hint="eastAsia" w:ascii="宋体" w:cs="Times New Roman"/>
                <w:szCs w:val="21"/>
                <w:highlight w:val="none"/>
              </w:rPr>
              <w:t>人</w:t>
            </w:r>
            <w:r>
              <w:rPr>
                <w:rFonts w:ascii="宋体" w:cs="Times New Roman"/>
                <w:szCs w:val="21"/>
                <w:highlight w:val="none"/>
              </w:rPr>
              <w:t>员变动率=</w:t>
            </w:r>
            <w:r>
              <w:rPr>
                <w:rFonts w:hint="eastAsia" w:ascii="宋体" w:cs="Times New Roman"/>
                <w:szCs w:val="21"/>
                <w:highlight w:val="none"/>
              </w:rPr>
              <w:t>乙方未经甲方同意</w:t>
            </w:r>
            <w:r>
              <w:rPr>
                <w:rFonts w:ascii="宋体" w:cs="Times New Roman"/>
                <w:szCs w:val="21"/>
                <w:highlight w:val="none"/>
              </w:rPr>
              <w:t>更换外包人员数量/</w:t>
            </w:r>
            <w:r>
              <w:rPr>
                <w:rFonts w:hint="eastAsia" w:ascii="宋体" w:cs="Times New Roman"/>
                <w:szCs w:val="21"/>
                <w:highlight w:val="none"/>
              </w:rPr>
              <w:t>乙方</w:t>
            </w:r>
            <w:r>
              <w:rPr>
                <w:rFonts w:ascii="宋体" w:cs="Times New Roman"/>
                <w:szCs w:val="21"/>
                <w:highlight w:val="none"/>
              </w:rPr>
              <w:t>驻场外包人员总数量</w:t>
            </w:r>
          </w:p>
          <w:p w14:paraId="004824D3">
            <w:pPr>
              <w:ind w:firstLine="0" w:firstLineChars="0"/>
              <w:rPr>
                <w:rFonts w:ascii="宋体" w:cs="Times New Roman"/>
                <w:b/>
                <w:szCs w:val="21"/>
                <w:highlight w:val="none"/>
              </w:rPr>
            </w:pPr>
            <w:r>
              <w:rPr>
                <w:rFonts w:hint="eastAsia" w:ascii="宋体" w:cs="Times New Roman"/>
                <w:b/>
                <w:szCs w:val="21"/>
                <w:highlight w:val="none"/>
              </w:rPr>
              <w:t>10分【0-20%】</w:t>
            </w:r>
          </w:p>
          <w:p w14:paraId="6AB969F2">
            <w:pPr>
              <w:ind w:firstLine="0" w:firstLineChars="0"/>
              <w:rPr>
                <w:rFonts w:ascii="宋体" w:cs="Times New Roman"/>
                <w:b/>
                <w:szCs w:val="21"/>
                <w:highlight w:val="none"/>
              </w:rPr>
            </w:pPr>
            <w:r>
              <w:rPr>
                <w:rFonts w:hint="eastAsia" w:ascii="宋体" w:cs="Times New Roman"/>
                <w:b/>
                <w:szCs w:val="21"/>
                <w:highlight w:val="none"/>
              </w:rPr>
              <w:t>5分【20%-40%】</w:t>
            </w:r>
          </w:p>
          <w:p w14:paraId="66226B10">
            <w:pPr>
              <w:ind w:firstLine="0" w:firstLineChars="0"/>
              <w:rPr>
                <w:rFonts w:ascii="宋体" w:cs="Times New Roman"/>
                <w:b/>
                <w:szCs w:val="21"/>
                <w:highlight w:val="none"/>
              </w:rPr>
            </w:pPr>
            <w:r>
              <w:rPr>
                <w:rFonts w:hint="eastAsia" w:ascii="宋体" w:cs="Times New Roman"/>
                <w:b/>
                <w:szCs w:val="21"/>
                <w:highlight w:val="none"/>
              </w:rPr>
              <w:t>0分【超过40%】</w:t>
            </w:r>
          </w:p>
        </w:tc>
        <w:tc>
          <w:tcPr>
            <w:tcW w:w="2385" w:type="dxa"/>
            <w:tcBorders>
              <w:top w:val="single" w:color="auto" w:sz="4" w:space="0"/>
              <w:left w:val="single" w:color="auto" w:sz="4" w:space="0"/>
              <w:right w:val="single" w:color="auto" w:sz="4" w:space="0"/>
            </w:tcBorders>
            <w:vAlign w:val="center"/>
          </w:tcPr>
          <w:p w14:paraId="51724098">
            <w:pPr>
              <w:ind w:firstLine="0" w:firstLineChars="0"/>
              <w:rPr>
                <w:rFonts w:ascii="宋体" w:cs="Times New Roman"/>
                <w:szCs w:val="21"/>
                <w:highlight w:val="none"/>
              </w:rPr>
            </w:pPr>
            <w:r>
              <w:rPr>
                <w:rFonts w:hint="eastAsia" w:ascii="宋体" w:cs="Times New Roman"/>
                <w:szCs w:val="21"/>
                <w:highlight w:val="none"/>
              </w:rPr>
              <w:t>技术骨干或项目经理未经甲方同意变动，扣除乙方金额人民币不低于3万元；其余人员变动率超过40</w:t>
            </w:r>
            <w:r>
              <w:rPr>
                <w:rFonts w:ascii="宋体" w:cs="Times New Roman"/>
                <w:szCs w:val="21"/>
                <w:highlight w:val="none"/>
              </w:rPr>
              <w:t>%</w:t>
            </w:r>
            <w:r>
              <w:rPr>
                <w:rFonts w:hint="eastAsia" w:ascii="宋体" w:cs="Times New Roman"/>
                <w:szCs w:val="21"/>
                <w:highlight w:val="none"/>
              </w:rPr>
              <w:t>，扣除不低于合同总金额的1%。</w:t>
            </w:r>
          </w:p>
        </w:tc>
        <w:tc>
          <w:tcPr>
            <w:tcW w:w="1122" w:type="dxa"/>
            <w:tcBorders>
              <w:top w:val="single" w:color="auto" w:sz="4" w:space="0"/>
              <w:left w:val="single" w:color="auto" w:sz="4" w:space="0"/>
              <w:right w:val="single" w:color="auto" w:sz="4" w:space="0"/>
            </w:tcBorders>
            <w:vAlign w:val="center"/>
          </w:tcPr>
          <w:p w14:paraId="2724E3C2">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4D424977">
            <w:pPr>
              <w:ind w:firstLine="0" w:firstLineChars="0"/>
              <w:jc w:val="left"/>
              <w:rPr>
                <w:rFonts w:ascii="宋体" w:cs="Times New Roman"/>
                <w:szCs w:val="21"/>
                <w:highlight w:val="none"/>
              </w:rPr>
            </w:pPr>
          </w:p>
        </w:tc>
      </w:tr>
      <w:tr w14:paraId="408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3D1A032">
            <w:pPr>
              <w:ind w:firstLine="0" w:firstLineChars="0"/>
              <w:jc w:val="center"/>
              <w:rPr>
                <w:rFonts w:ascii="宋体" w:cs="Times New Roman"/>
                <w:szCs w:val="21"/>
                <w:highlight w:val="none"/>
              </w:rPr>
            </w:pPr>
            <w:r>
              <w:rPr>
                <w:rFonts w:hint="eastAsia" w:ascii="宋体" w:cs="Times New Roman"/>
                <w:szCs w:val="21"/>
                <w:highlight w:val="none"/>
              </w:rPr>
              <w:t>14</w:t>
            </w:r>
          </w:p>
        </w:tc>
        <w:tc>
          <w:tcPr>
            <w:tcW w:w="1122" w:type="dxa"/>
            <w:vMerge w:val="continue"/>
            <w:tcBorders>
              <w:top w:val="single" w:color="auto" w:sz="4" w:space="0"/>
              <w:left w:val="single" w:color="auto" w:sz="4" w:space="0"/>
              <w:right w:val="single" w:color="auto" w:sz="4" w:space="0"/>
            </w:tcBorders>
          </w:tcPr>
          <w:p w14:paraId="6BFB5E3A">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255AD387">
            <w:pPr>
              <w:ind w:firstLine="0" w:firstLineChars="0"/>
              <w:rPr>
                <w:rFonts w:ascii="宋体" w:cs="Times New Roman"/>
                <w:szCs w:val="21"/>
                <w:highlight w:val="none"/>
              </w:rPr>
            </w:pPr>
            <w:r>
              <w:rPr>
                <w:rFonts w:hint="eastAsia" w:ascii="宋体" w:cs="Times New Roman"/>
                <w:szCs w:val="21"/>
                <w:highlight w:val="none"/>
              </w:rPr>
              <w:t>人员满意度评价</w:t>
            </w:r>
          </w:p>
        </w:tc>
        <w:tc>
          <w:tcPr>
            <w:tcW w:w="2244" w:type="dxa"/>
            <w:tcBorders>
              <w:top w:val="single" w:color="auto" w:sz="4" w:space="0"/>
              <w:left w:val="single" w:color="auto" w:sz="4" w:space="0"/>
              <w:right w:val="single" w:color="auto" w:sz="4" w:space="0"/>
            </w:tcBorders>
            <w:vAlign w:val="center"/>
          </w:tcPr>
          <w:p w14:paraId="2871B0A5">
            <w:pPr>
              <w:ind w:firstLine="0" w:firstLineChars="0"/>
              <w:rPr>
                <w:rFonts w:ascii="宋体" w:cs="Times New Roman"/>
                <w:szCs w:val="21"/>
                <w:highlight w:val="none"/>
              </w:rPr>
            </w:pPr>
            <w:r>
              <w:rPr>
                <w:rFonts w:hint="eastAsia" w:ascii="宋体" w:cs="Times New Roman"/>
                <w:szCs w:val="21"/>
                <w:highlight w:val="none"/>
              </w:rPr>
              <w:t>甲方</w:t>
            </w:r>
            <w:r>
              <w:rPr>
                <w:rFonts w:ascii="宋体" w:cs="Times New Roman"/>
                <w:szCs w:val="21"/>
                <w:highlight w:val="none"/>
              </w:rPr>
              <w:t>对</w:t>
            </w:r>
            <w:r>
              <w:rPr>
                <w:rFonts w:hint="eastAsia" w:ascii="宋体" w:cs="Times New Roman"/>
                <w:szCs w:val="21"/>
                <w:highlight w:val="none"/>
              </w:rPr>
              <w:t>乙方</w:t>
            </w:r>
            <w:r>
              <w:rPr>
                <w:rFonts w:ascii="宋体" w:cs="Times New Roman"/>
                <w:szCs w:val="21"/>
                <w:highlight w:val="none"/>
              </w:rPr>
              <w:t>外包人员表现的满意度评价</w:t>
            </w:r>
          </w:p>
        </w:tc>
        <w:tc>
          <w:tcPr>
            <w:tcW w:w="3647" w:type="dxa"/>
            <w:tcBorders>
              <w:top w:val="single" w:color="auto" w:sz="4" w:space="0"/>
              <w:left w:val="single" w:color="auto" w:sz="4" w:space="0"/>
              <w:right w:val="single" w:color="auto" w:sz="4" w:space="0"/>
            </w:tcBorders>
            <w:vAlign w:val="center"/>
          </w:tcPr>
          <w:p w14:paraId="2C92722C">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工作效率高，态度积极主动，</w:t>
            </w:r>
            <w:r>
              <w:rPr>
                <w:rFonts w:ascii="宋体" w:cs="Times New Roman"/>
                <w:szCs w:val="21"/>
                <w:highlight w:val="none"/>
              </w:rPr>
              <w:t>保质保量完成工作任务</w:t>
            </w:r>
            <w:r>
              <w:rPr>
                <w:rFonts w:hint="eastAsia" w:ascii="宋体" w:cs="Times New Roman"/>
                <w:szCs w:val="21"/>
                <w:highlight w:val="none"/>
              </w:rPr>
              <w:t>，</w:t>
            </w:r>
            <w:r>
              <w:rPr>
                <w:rFonts w:ascii="宋体" w:cs="Times New Roman"/>
                <w:szCs w:val="21"/>
                <w:highlight w:val="none"/>
              </w:rPr>
              <w:t>对团队有突出贡献，日常行为能起到模范带头作用</w:t>
            </w:r>
            <w:r>
              <w:rPr>
                <w:rFonts w:hint="eastAsia" w:ascii="宋体" w:cs="Times New Roman"/>
                <w:szCs w:val="21"/>
                <w:highlight w:val="none"/>
              </w:rPr>
              <w:t>的；</w:t>
            </w:r>
          </w:p>
          <w:p w14:paraId="0932DFB9">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工作效率较高，态度比较主动，较好</w:t>
            </w:r>
            <w:r>
              <w:rPr>
                <w:rFonts w:ascii="宋体" w:cs="Times New Roman"/>
                <w:szCs w:val="21"/>
                <w:highlight w:val="none"/>
              </w:rPr>
              <w:t>完成工作任务</w:t>
            </w:r>
            <w:r>
              <w:rPr>
                <w:rFonts w:hint="eastAsia" w:ascii="宋体" w:cs="Times New Roman"/>
                <w:szCs w:val="21"/>
                <w:highlight w:val="none"/>
              </w:rPr>
              <w:t>，</w:t>
            </w:r>
            <w:r>
              <w:rPr>
                <w:rFonts w:ascii="宋体" w:cs="Times New Roman"/>
                <w:szCs w:val="21"/>
                <w:highlight w:val="none"/>
              </w:rPr>
              <w:t>对团队有</w:t>
            </w:r>
            <w:r>
              <w:rPr>
                <w:rFonts w:hint="eastAsia" w:ascii="宋体" w:cs="Times New Roman"/>
                <w:szCs w:val="21"/>
                <w:highlight w:val="none"/>
              </w:rPr>
              <w:t>一定</w:t>
            </w:r>
            <w:r>
              <w:rPr>
                <w:rFonts w:ascii="宋体" w:cs="Times New Roman"/>
                <w:szCs w:val="21"/>
                <w:highlight w:val="none"/>
              </w:rPr>
              <w:t>贡献，日常行为</w:t>
            </w:r>
            <w:r>
              <w:rPr>
                <w:rFonts w:hint="eastAsia" w:ascii="宋体" w:cs="Times New Roman"/>
                <w:szCs w:val="21"/>
                <w:highlight w:val="none"/>
              </w:rPr>
              <w:t>表现较好的；</w:t>
            </w:r>
          </w:p>
          <w:p w14:paraId="7FBD7898">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工作效率一般，态度合格，能够按时</w:t>
            </w:r>
            <w:r>
              <w:rPr>
                <w:rFonts w:ascii="宋体" w:cs="Times New Roman"/>
                <w:szCs w:val="21"/>
                <w:highlight w:val="none"/>
              </w:rPr>
              <w:t>完成工作任务</w:t>
            </w:r>
            <w:r>
              <w:rPr>
                <w:rFonts w:hint="eastAsia" w:ascii="宋体" w:cs="Times New Roman"/>
                <w:szCs w:val="21"/>
                <w:highlight w:val="none"/>
              </w:rPr>
              <w:t>的；</w:t>
            </w:r>
          </w:p>
          <w:p w14:paraId="22C86EDC">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工作效率低下，态度懈怠散漫，不能按时</w:t>
            </w:r>
            <w:r>
              <w:rPr>
                <w:rFonts w:ascii="宋体" w:cs="Times New Roman"/>
                <w:szCs w:val="21"/>
                <w:highlight w:val="none"/>
              </w:rPr>
              <w:t>完成工作任务</w:t>
            </w:r>
            <w:r>
              <w:rPr>
                <w:rFonts w:hint="eastAsia" w:ascii="宋体" w:cs="Times New Roman"/>
                <w:szCs w:val="21"/>
                <w:highlight w:val="none"/>
              </w:rPr>
              <w:t>的。</w:t>
            </w:r>
          </w:p>
        </w:tc>
        <w:tc>
          <w:tcPr>
            <w:tcW w:w="2385" w:type="dxa"/>
            <w:tcBorders>
              <w:top w:val="single" w:color="auto" w:sz="4" w:space="0"/>
              <w:left w:val="single" w:color="auto" w:sz="4" w:space="0"/>
              <w:right w:val="single" w:color="auto" w:sz="4" w:space="0"/>
            </w:tcBorders>
            <w:vAlign w:val="center"/>
          </w:tcPr>
          <w:p w14:paraId="7E51A956">
            <w:pPr>
              <w:ind w:firstLine="0" w:firstLineChars="0"/>
              <w:rPr>
                <w:rFonts w:ascii="宋体" w:cs="Times New Roman"/>
                <w:szCs w:val="21"/>
                <w:highlight w:val="none"/>
              </w:rPr>
            </w:pPr>
            <w:r>
              <w:rPr>
                <w:rFonts w:hint="eastAsia" w:ascii="宋体" w:cs="Times New Roman"/>
                <w:szCs w:val="21"/>
                <w:highlight w:val="none"/>
              </w:rPr>
              <w:t>评价为较差/差时，甲方有权要求乙方更换人员并赔偿实际损失。</w:t>
            </w:r>
          </w:p>
        </w:tc>
        <w:tc>
          <w:tcPr>
            <w:tcW w:w="1122" w:type="dxa"/>
            <w:tcBorders>
              <w:top w:val="single" w:color="auto" w:sz="4" w:space="0"/>
              <w:left w:val="single" w:color="auto" w:sz="4" w:space="0"/>
              <w:right w:val="single" w:color="auto" w:sz="4" w:space="0"/>
            </w:tcBorders>
            <w:vAlign w:val="center"/>
          </w:tcPr>
          <w:p w14:paraId="1DDA4A05">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A566C5E">
            <w:pPr>
              <w:ind w:firstLine="0" w:firstLineChars="0"/>
              <w:jc w:val="left"/>
              <w:rPr>
                <w:rFonts w:ascii="宋体" w:cs="Times New Roman"/>
                <w:szCs w:val="21"/>
                <w:highlight w:val="none"/>
              </w:rPr>
            </w:pPr>
          </w:p>
        </w:tc>
      </w:tr>
      <w:tr w14:paraId="6D84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6" w:type="dxa"/>
            <w:gridSpan w:val="7"/>
            <w:vAlign w:val="center"/>
          </w:tcPr>
          <w:p w14:paraId="47424A16">
            <w:pPr>
              <w:ind w:firstLine="0" w:firstLineChars="0"/>
              <w:jc w:val="right"/>
              <w:rPr>
                <w:rFonts w:ascii="宋体" w:cs="Times New Roman"/>
                <w:szCs w:val="21"/>
                <w:highlight w:val="none"/>
              </w:rPr>
            </w:pPr>
            <w:r>
              <w:rPr>
                <w:rFonts w:hint="eastAsia" w:ascii="宋体" w:cs="Times New Roman"/>
                <w:szCs w:val="21"/>
                <w:highlight w:val="none"/>
              </w:rPr>
              <w:t>综合得分：</w:t>
            </w:r>
          </w:p>
        </w:tc>
        <w:tc>
          <w:tcPr>
            <w:tcW w:w="1075" w:type="dxa"/>
            <w:tcBorders>
              <w:left w:val="single" w:color="auto" w:sz="4" w:space="0"/>
            </w:tcBorders>
          </w:tcPr>
          <w:p w14:paraId="5520FC84">
            <w:pPr>
              <w:ind w:firstLine="0" w:firstLineChars="0"/>
              <w:jc w:val="left"/>
              <w:rPr>
                <w:rFonts w:ascii="宋体" w:cs="Times New Roman"/>
                <w:szCs w:val="21"/>
                <w:highlight w:val="none"/>
              </w:rPr>
            </w:pPr>
          </w:p>
        </w:tc>
      </w:tr>
      <w:tr w14:paraId="0C7A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Borders>
              <w:top w:val="single" w:color="auto" w:sz="4" w:space="0"/>
              <w:left w:val="single" w:color="auto" w:sz="4" w:space="0"/>
              <w:bottom w:val="single" w:color="auto" w:sz="4" w:space="0"/>
              <w:right w:val="single" w:color="auto" w:sz="4" w:space="0"/>
            </w:tcBorders>
          </w:tcPr>
          <w:p w14:paraId="04EE7EA0">
            <w:pPr>
              <w:ind w:firstLine="0" w:firstLineChars="0"/>
              <w:jc w:val="left"/>
              <w:rPr>
                <w:rFonts w:ascii="宋体" w:cs="Times New Roman"/>
                <w:szCs w:val="21"/>
                <w:highlight w:val="none"/>
              </w:rPr>
            </w:pPr>
            <w:r>
              <w:rPr>
                <w:rFonts w:hint="eastAsia" w:ascii="宋体" w:cs="Times New Roman"/>
                <w:szCs w:val="21"/>
                <w:highlight w:val="none"/>
              </w:rPr>
              <w:t>综合评价结果：</w:t>
            </w:r>
          </w:p>
          <w:p w14:paraId="4C7C7C4B">
            <w:pPr>
              <w:ind w:firstLine="0" w:firstLineChars="0"/>
              <w:jc w:val="left"/>
              <w:rPr>
                <w:rFonts w:ascii="宋体" w:cs="Times New Roman"/>
                <w:szCs w:val="21"/>
                <w:highlight w:val="none"/>
              </w:rPr>
            </w:pPr>
            <w:r>
              <w:rPr>
                <w:rFonts w:hint="eastAsia" w:ascii="宋体" w:cs="Times New Roman"/>
                <w:szCs w:val="21"/>
                <w:highlight w:val="none"/>
              </w:rPr>
              <w:t>（注：根据评价得分填写评价等级，填写完成后删除此内容）</w:t>
            </w:r>
          </w:p>
          <w:p w14:paraId="5EB91D9D">
            <w:pPr>
              <w:ind w:firstLine="0" w:firstLineChars="0"/>
              <w:jc w:val="left"/>
              <w:rPr>
                <w:rFonts w:ascii="宋体" w:cs="Times New Roman"/>
                <w:szCs w:val="21"/>
                <w:highlight w:val="none"/>
              </w:rPr>
            </w:pPr>
            <w:r>
              <w:rPr>
                <w:rFonts w:hint="eastAsia" w:ascii="宋体" w:cs="Times New Roman"/>
                <w:szCs w:val="21"/>
                <w:highlight w:val="none"/>
              </w:rPr>
              <w:t>综合评价描述：</w:t>
            </w:r>
          </w:p>
          <w:p w14:paraId="7EB1FE1A">
            <w:pPr>
              <w:ind w:firstLine="0" w:firstLineChars="0"/>
              <w:jc w:val="left"/>
              <w:rPr>
                <w:rFonts w:ascii="宋体" w:cs="Times New Roman"/>
                <w:szCs w:val="21"/>
                <w:highlight w:val="none"/>
              </w:rPr>
            </w:pPr>
            <w:r>
              <w:rPr>
                <w:rFonts w:hint="eastAsia" w:ascii="宋体" w:cs="Times New Roman"/>
                <w:szCs w:val="21"/>
                <w:highlight w:val="none"/>
              </w:rPr>
              <w:t>（注：不满足服务要求的情况，需详细阐述不满足的内容及扣除合同违约金，填写完成后删除此内容）</w:t>
            </w:r>
          </w:p>
          <w:p w14:paraId="0D6E2522">
            <w:pPr>
              <w:ind w:firstLine="0" w:firstLineChars="0"/>
              <w:jc w:val="left"/>
              <w:rPr>
                <w:rFonts w:ascii="宋体" w:cs="Times New Roman"/>
                <w:szCs w:val="21"/>
                <w:highlight w:val="none"/>
              </w:rPr>
            </w:pPr>
          </w:p>
          <w:p w14:paraId="55933C3A">
            <w:pPr>
              <w:wordWrap w:val="0"/>
              <w:ind w:firstLine="0" w:firstLineChars="0"/>
              <w:jc w:val="right"/>
              <w:rPr>
                <w:rFonts w:ascii="宋体" w:cs="Times New Roman"/>
                <w:szCs w:val="21"/>
                <w:highlight w:val="none"/>
              </w:rPr>
            </w:pPr>
            <w:r>
              <w:rPr>
                <w:rFonts w:hint="eastAsia" w:ascii="宋体" w:cs="Times New Roman"/>
                <w:szCs w:val="21"/>
                <w:highlight w:val="none"/>
              </w:rPr>
              <w:t xml:space="preserve">评价人：                                       </w:t>
            </w:r>
          </w:p>
        </w:tc>
      </w:tr>
    </w:tbl>
    <w:p w14:paraId="4E508433">
      <w:pPr>
        <w:ind w:firstLine="420"/>
        <w:rPr>
          <w:rFonts w:ascii="宋体"/>
          <w:highlight w:val="none"/>
        </w:rPr>
      </w:pPr>
      <w:r>
        <w:rPr>
          <w:rFonts w:hint="eastAsia" w:ascii="宋体"/>
          <w:highlight w:val="none"/>
        </w:rPr>
        <w:t>注：综合评价等级划分优秀、良好、合格、差</w:t>
      </w:r>
    </w:p>
    <w:p w14:paraId="01EC8A1F">
      <w:pPr>
        <w:ind w:firstLine="420"/>
        <w:rPr>
          <w:rFonts w:ascii="宋体"/>
          <w:highlight w:val="none"/>
        </w:rPr>
      </w:pPr>
      <w:r>
        <w:rPr>
          <w:rFonts w:hint="eastAsia" w:ascii="宋体"/>
          <w:highlight w:val="none"/>
        </w:rPr>
        <w:t>优秀：评价得分达90分以上；</w:t>
      </w:r>
    </w:p>
    <w:p w14:paraId="6A7B88D2">
      <w:pPr>
        <w:ind w:firstLine="420"/>
        <w:rPr>
          <w:rFonts w:ascii="宋体"/>
          <w:highlight w:val="none"/>
        </w:rPr>
      </w:pPr>
      <w:r>
        <w:rPr>
          <w:rFonts w:hint="eastAsia" w:ascii="宋体"/>
          <w:highlight w:val="none"/>
        </w:rPr>
        <w:t>良好：评价得分达75-90分；</w:t>
      </w:r>
    </w:p>
    <w:p w14:paraId="203CDE06">
      <w:pPr>
        <w:ind w:firstLine="420"/>
        <w:rPr>
          <w:rFonts w:ascii="宋体"/>
          <w:highlight w:val="none"/>
        </w:rPr>
      </w:pPr>
      <w:r>
        <w:rPr>
          <w:rFonts w:hint="eastAsia" w:ascii="宋体"/>
          <w:highlight w:val="none"/>
        </w:rPr>
        <w:t>合格：评价得分达60-75分；</w:t>
      </w:r>
    </w:p>
    <w:p w14:paraId="5A1E4EB7">
      <w:pPr>
        <w:ind w:firstLine="420"/>
        <w:rPr>
          <w:rFonts w:ascii="宋体"/>
          <w:highlight w:val="none"/>
        </w:rPr>
      </w:pPr>
      <w:r>
        <w:rPr>
          <w:rFonts w:hint="eastAsia" w:ascii="宋体"/>
          <w:highlight w:val="none"/>
        </w:rPr>
        <w:t>差：评价得分在60分以下。</w:t>
      </w:r>
    </w:p>
    <w:p w14:paraId="57BEA7B5">
      <w:pPr>
        <w:ind w:firstLine="420"/>
        <w:rPr>
          <w:rFonts w:ascii="宋体"/>
          <w:szCs w:val="24"/>
          <w:highlight w:val="none"/>
        </w:rPr>
      </w:pPr>
      <w:r>
        <w:rPr>
          <w:rFonts w:hint="eastAsia" w:ascii="宋体"/>
          <w:szCs w:val="24"/>
          <w:highlight w:val="none"/>
        </w:rPr>
        <w:t>评价结果将作为服务提供商后续准入的重要参考依据。</w:t>
      </w:r>
    </w:p>
    <w:p w14:paraId="4834B3CE">
      <w:pPr>
        <w:ind w:firstLine="420"/>
        <w:rPr>
          <w:rFonts w:ascii="宋体"/>
          <w:highlight w:val="none"/>
        </w:rPr>
      </w:pPr>
    </w:p>
    <w:p w14:paraId="28E2B2A4">
      <w:pPr>
        <w:ind w:firstLine="420"/>
        <w:rPr>
          <w:rFonts w:ascii="宋体"/>
          <w:szCs w:val="24"/>
          <w:highlight w:val="none"/>
        </w:rPr>
        <w:sectPr>
          <w:footerReference r:id="rId18" w:type="default"/>
          <w:pgSz w:w="16838" w:h="11906" w:orient="landscape"/>
          <w:pgMar w:top="1797" w:right="1383" w:bottom="1701" w:left="1440" w:header="851" w:footer="992" w:gutter="0"/>
          <w:pgNumType w:fmt="decimal"/>
          <w:cols w:space="425" w:num="1"/>
          <w:docGrid w:type="linesAndChars" w:linePitch="312" w:charSpace="0"/>
        </w:sectPr>
      </w:pPr>
    </w:p>
    <w:p w14:paraId="1BEBF806">
      <w:pPr>
        <w:ind w:firstLine="600"/>
        <w:jc w:val="center"/>
        <w:rPr>
          <w:rStyle w:val="44"/>
          <w:rFonts w:hint="eastAsia" w:ascii="宋体" w:hAnsi="宋体"/>
          <w:sz w:val="30"/>
          <w:highlight w:val="none"/>
        </w:rPr>
      </w:pPr>
      <w:r>
        <w:rPr>
          <w:rStyle w:val="44"/>
          <w:rFonts w:hint="eastAsia" w:ascii="宋体" w:hAnsi="宋体"/>
          <w:sz w:val="30"/>
          <w:highlight w:val="none"/>
        </w:rPr>
        <w:t>附件六：服务连续性预案</w:t>
      </w:r>
    </w:p>
    <w:p w14:paraId="4696CBBB">
      <w:pPr>
        <w:ind w:firstLine="420"/>
        <w:jc w:val="center"/>
        <w:rPr>
          <w:rFonts w:ascii="方正小标宋_GBK" w:eastAsia="方正小标宋_GBK"/>
          <w:highlight w:val="none"/>
        </w:rPr>
      </w:pPr>
      <w:r>
        <w:rPr>
          <w:rFonts w:hint="eastAsia" w:ascii="方正小标宋_GBK" w:eastAsia="方正小标宋_GBK"/>
          <w:highlight w:val="none"/>
        </w:rPr>
        <w:t>（应考虑供应链风险产生的影响）</w:t>
      </w:r>
    </w:p>
    <w:p w14:paraId="22129EB3">
      <w:pPr>
        <w:ind w:firstLine="422"/>
        <w:rPr>
          <w:rFonts w:ascii="宋体"/>
          <w:b/>
          <w:szCs w:val="24"/>
          <w:highlight w:val="none"/>
        </w:rPr>
      </w:pPr>
      <w:r>
        <w:rPr>
          <w:rFonts w:hint="eastAsia" w:ascii="宋体"/>
          <w:b/>
          <w:szCs w:val="24"/>
          <w:highlight w:val="none"/>
        </w:rPr>
        <w:t>一、目的</w:t>
      </w:r>
    </w:p>
    <w:p w14:paraId="3F5F03BB">
      <w:pPr>
        <w:ind w:firstLine="489" w:firstLineChars="233"/>
        <w:rPr>
          <w:szCs w:val="24"/>
          <w:highlight w:val="none"/>
        </w:rPr>
      </w:pPr>
      <w:r>
        <w:rPr>
          <w:rFonts w:hint="eastAsia" w:ascii="宋体"/>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B1EFA72">
      <w:pPr>
        <w:ind w:firstLine="422"/>
        <w:rPr>
          <w:rFonts w:ascii="宋体"/>
          <w:b/>
          <w:szCs w:val="24"/>
          <w:highlight w:val="none"/>
        </w:rPr>
      </w:pPr>
      <w:r>
        <w:rPr>
          <w:rFonts w:hint="eastAsia" w:ascii="宋体"/>
          <w:b/>
          <w:szCs w:val="24"/>
          <w:highlight w:val="none"/>
        </w:rPr>
        <w:t>二、应急组织架构及职责</w:t>
      </w:r>
    </w:p>
    <w:p w14:paraId="2E7AB544">
      <w:pPr>
        <w:ind w:firstLine="422"/>
        <w:rPr>
          <w:rFonts w:ascii="宋体"/>
          <w:b/>
          <w:szCs w:val="24"/>
          <w:highlight w:val="none"/>
        </w:rPr>
      </w:pPr>
      <w:r>
        <w:rPr>
          <w:rFonts w:hint="eastAsia" w:ascii="宋体"/>
          <w:b/>
          <w:szCs w:val="24"/>
          <w:highlight w:val="none"/>
        </w:rPr>
        <w:t>（一）决策层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630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488C0FA">
            <w:pPr>
              <w:ind w:firstLine="489" w:firstLineChars="233"/>
              <w:rPr>
                <w:rFonts w:ascii="宋体"/>
                <w:szCs w:val="24"/>
                <w:highlight w:val="none"/>
              </w:rPr>
            </w:pPr>
            <w:r>
              <w:rPr>
                <w:rFonts w:hint="eastAsia" w:ascii="宋体"/>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D601766">
            <w:pPr>
              <w:ind w:firstLine="420"/>
              <w:jc w:val="center"/>
              <w:rPr>
                <w:rFonts w:ascii="宋体"/>
                <w:szCs w:val="24"/>
                <w:highlight w:val="none"/>
              </w:rPr>
            </w:pPr>
            <w:r>
              <w:rPr>
                <w:rFonts w:hint="eastAsia" w:ascii="宋体"/>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A6EA96D">
            <w:pPr>
              <w:ind w:firstLine="420"/>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266A0BA">
            <w:pPr>
              <w:ind w:firstLine="420"/>
              <w:jc w:val="center"/>
              <w:rPr>
                <w:rFonts w:ascii="宋体"/>
                <w:szCs w:val="24"/>
                <w:highlight w:val="none"/>
              </w:rPr>
            </w:pPr>
            <w:r>
              <w:rPr>
                <w:rFonts w:hint="eastAsia" w:ascii="宋体"/>
                <w:szCs w:val="24"/>
                <w:highlight w:val="none"/>
              </w:rPr>
              <w:t>职责</w:t>
            </w:r>
          </w:p>
        </w:tc>
      </w:tr>
      <w:tr w14:paraId="27ED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8A19EE1">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2B59030B">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0D686A7">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0F87D5A">
            <w:pPr>
              <w:widowControl/>
              <w:ind w:firstLine="420"/>
              <w:jc w:val="center"/>
              <w:rPr>
                <w:rFonts w:ascii="宋体"/>
                <w:szCs w:val="24"/>
                <w:highlight w:val="none"/>
              </w:rPr>
            </w:pPr>
          </w:p>
        </w:tc>
      </w:tr>
      <w:tr w14:paraId="4FE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233B1FB">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43FD5B4">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FF64D54">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70181EF">
            <w:pPr>
              <w:widowControl/>
              <w:ind w:firstLine="420"/>
              <w:jc w:val="center"/>
              <w:rPr>
                <w:rFonts w:ascii="宋体"/>
                <w:szCs w:val="24"/>
                <w:highlight w:val="none"/>
              </w:rPr>
            </w:pPr>
          </w:p>
        </w:tc>
      </w:tr>
      <w:tr w14:paraId="236D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CD52076">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74B24E2">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8D2E005">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CE90B90">
            <w:pPr>
              <w:widowControl/>
              <w:ind w:firstLine="420"/>
              <w:jc w:val="center"/>
              <w:rPr>
                <w:rFonts w:ascii="宋体"/>
                <w:szCs w:val="24"/>
                <w:highlight w:val="none"/>
              </w:rPr>
            </w:pPr>
          </w:p>
        </w:tc>
      </w:tr>
    </w:tbl>
    <w:p w14:paraId="392C3564">
      <w:pPr>
        <w:ind w:firstLine="422"/>
        <w:rPr>
          <w:rFonts w:ascii="宋体"/>
          <w:b/>
          <w:szCs w:val="24"/>
          <w:highlight w:val="none"/>
        </w:rPr>
      </w:pPr>
      <w:r>
        <w:rPr>
          <w:rFonts w:hint="eastAsia" w:ascii="宋体"/>
          <w:b/>
          <w:szCs w:val="24"/>
          <w:highlight w:val="none"/>
        </w:rPr>
        <w:t>（二）危机处理层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3E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009101F">
            <w:pPr>
              <w:ind w:firstLine="48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6BC6A74">
            <w:pPr>
              <w:ind w:firstLine="420"/>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54C9AEA">
            <w:pPr>
              <w:ind w:firstLine="420"/>
              <w:jc w:val="center"/>
              <w:rPr>
                <w:rFonts w:ascii="宋体"/>
                <w:szCs w:val="24"/>
                <w:highlight w:val="none"/>
              </w:rPr>
            </w:pPr>
            <w:r>
              <w:rPr>
                <w:rFonts w:hint="eastAsia" w:ascii="宋体"/>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6DFD462">
            <w:pPr>
              <w:ind w:firstLine="420"/>
              <w:jc w:val="center"/>
              <w:rPr>
                <w:rFonts w:ascii="宋体"/>
                <w:szCs w:val="24"/>
                <w:highlight w:val="none"/>
              </w:rPr>
            </w:pPr>
            <w:r>
              <w:rPr>
                <w:rFonts w:hint="eastAsia" w:ascii="宋体"/>
                <w:szCs w:val="24"/>
                <w:highlight w:val="none"/>
              </w:rPr>
              <w:t>职责</w:t>
            </w:r>
          </w:p>
        </w:tc>
      </w:tr>
      <w:tr w14:paraId="0FB4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7776A9B">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B41ACEE">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193DA29">
            <w:pPr>
              <w:widowControl/>
              <w:ind w:firstLine="420"/>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60253D78">
            <w:pPr>
              <w:widowControl/>
              <w:ind w:firstLine="420"/>
              <w:jc w:val="center"/>
              <w:rPr>
                <w:rFonts w:ascii="宋体"/>
                <w:szCs w:val="24"/>
                <w:highlight w:val="none"/>
              </w:rPr>
            </w:pPr>
          </w:p>
        </w:tc>
      </w:tr>
      <w:tr w14:paraId="2484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B08EDE6">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09B51BD">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19BC0EA">
            <w:pPr>
              <w:widowControl/>
              <w:ind w:firstLine="420"/>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F449139">
            <w:pPr>
              <w:widowControl/>
              <w:ind w:firstLine="420"/>
              <w:jc w:val="center"/>
              <w:rPr>
                <w:rFonts w:ascii="宋体"/>
                <w:szCs w:val="24"/>
                <w:highlight w:val="none"/>
              </w:rPr>
            </w:pPr>
          </w:p>
        </w:tc>
      </w:tr>
    </w:tbl>
    <w:p w14:paraId="77B66FA5">
      <w:pPr>
        <w:ind w:firstLine="422"/>
        <w:rPr>
          <w:rFonts w:ascii="宋体"/>
          <w:b/>
          <w:szCs w:val="24"/>
          <w:highlight w:val="none"/>
        </w:rPr>
      </w:pPr>
      <w:r>
        <w:rPr>
          <w:rFonts w:hint="eastAsia" w:ascii="宋体"/>
          <w:b/>
          <w:szCs w:val="24"/>
          <w:highlight w:val="none"/>
        </w:rPr>
        <w:t>（三）具体业务层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872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CE5F47E">
            <w:pPr>
              <w:ind w:firstLine="48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CE160D1">
            <w:pPr>
              <w:ind w:firstLine="420"/>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D4BD9A3">
            <w:pPr>
              <w:ind w:firstLine="420"/>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1E92665">
            <w:pPr>
              <w:ind w:firstLine="420"/>
              <w:jc w:val="center"/>
              <w:rPr>
                <w:rFonts w:ascii="宋体"/>
                <w:szCs w:val="24"/>
                <w:highlight w:val="none"/>
              </w:rPr>
            </w:pPr>
            <w:r>
              <w:rPr>
                <w:rFonts w:hint="eastAsia" w:ascii="宋体"/>
                <w:szCs w:val="24"/>
                <w:highlight w:val="none"/>
              </w:rPr>
              <w:t>职责</w:t>
            </w:r>
          </w:p>
        </w:tc>
      </w:tr>
      <w:tr w14:paraId="76D7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5F8FEC7">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C52F3DB">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561F10E">
            <w:pPr>
              <w:widowControl/>
              <w:ind w:firstLine="420"/>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969470F">
            <w:pPr>
              <w:widowControl/>
              <w:ind w:firstLine="420"/>
              <w:jc w:val="center"/>
              <w:rPr>
                <w:rFonts w:ascii="宋体"/>
                <w:szCs w:val="24"/>
                <w:highlight w:val="none"/>
              </w:rPr>
            </w:pPr>
          </w:p>
        </w:tc>
      </w:tr>
      <w:tr w14:paraId="4D4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D2B03F1">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43197C">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573550DC">
            <w:pPr>
              <w:widowControl/>
              <w:ind w:firstLine="420"/>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36BE535">
            <w:pPr>
              <w:widowControl/>
              <w:ind w:firstLine="420"/>
              <w:jc w:val="center"/>
              <w:rPr>
                <w:rFonts w:ascii="宋体"/>
                <w:szCs w:val="24"/>
                <w:highlight w:val="none"/>
              </w:rPr>
            </w:pPr>
          </w:p>
        </w:tc>
      </w:tr>
    </w:tbl>
    <w:p w14:paraId="6B59CCF3">
      <w:pPr>
        <w:ind w:firstLine="422"/>
        <w:rPr>
          <w:rFonts w:ascii="宋体"/>
          <w:b/>
          <w:szCs w:val="24"/>
          <w:highlight w:val="none"/>
        </w:rPr>
      </w:pPr>
      <w:r>
        <w:rPr>
          <w:rFonts w:hint="eastAsia" w:ascii="宋体"/>
          <w:b/>
          <w:szCs w:val="24"/>
          <w:highlight w:val="none"/>
        </w:rPr>
        <w:t>（四）应急领导小组职责</w:t>
      </w:r>
    </w:p>
    <w:p w14:paraId="6F1865BC">
      <w:pPr>
        <w:ind w:firstLine="489" w:firstLineChars="233"/>
        <w:rPr>
          <w:rFonts w:ascii="宋体"/>
          <w:szCs w:val="24"/>
          <w:highlight w:val="none"/>
        </w:rPr>
      </w:pPr>
      <w:r>
        <w:rPr>
          <w:rFonts w:hint="eastAsia" w:ascii="宋体"/>
          <w:szCs w:val="24"/>
          <w:highlight w:val="none"/>
        </w:rPr>
        <w:t>1</w:t>
      </w:r>
      <w:r>
        <w:rPr>
          <w:rFonts w:ascii="宋体"/>
          <w:szCs w:val="24"/>
          <w:highlight w:val="none"/>
        </w:rPr>
        <w:t>.</w:t>
      </w:r>
      <w:r>
        <w:rPr>
          <w:rFonts w:hint="eastAsia" w:ascii="宋体"/>
          <w:szCs w:val="24"/>
          <w:highlight w:val="none"/>
        </w:rPr>
        <w:t>启动应急预案</w:t>
      </w:r>
    </w:p>
    <w:p w14:paraId="1603C706">
      <w:pPr>
        <w:ind w:firstLine="489" w:firstLineChars="233"/>
        <w:rPr>
          <w:rFonts w:ascii="宋体"/>
          <w:szCs w:val="24"/>
          <w:highlight w:val="none"/>
        </w:rPr>
      </w:pPr>
      <w:r>
        <w:rPr>
          <w:rFonts w:hint="eastAsia" w:ascii="宋体"/>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29F6F00C">
      <w:pPr>
        <w:ind w:firstLine="489" w:firstLineChars="233"/>
        <w:rPr>
          <w:rFonts w:ascii="宋体"/>
          <w:szCs w:val="24"/>
          <w:highlight w:val="none"/>
        </w:rPr>
      </w:pPr>
      <w:r>
        <w:rPr>
          <w:rFonts w:hint="eastAsia" w:ascii="宋体"/>
          <w:szCs w:val="24"/>
          <w:highlight w:val="none"/>
        </w:rPr>
        <w:t>2</w:t>
      </w:r>
      <w:r>
        <w:rPr>
          <w:rFonts w:ascii="宋体"/>
          <w:szCs w:val="24"/>
          <w:highlight w:val="none"/>
        </w:rPr>
        <w:t>.</w:t>
      </w:r>
      <w:r>
        <w:rPr>
          <w:rFonts w:hint="eastAsia" w:ascii="宋体"/>
          <w:szCs w:val="24"/>
          <w:highlight w:val="none"/>
        </w:rPr>
        <w:t>应急事件处理</w:t>
      </w:r>
    </w:p>
    <w:p w14:paraId="0163BF0D">
      <w:pPr>
        <w:ind w:firstLine="489" w:firstLineChars="233"/>
        <w:rPr>
          <w:rFonts w:ascii="宋体"/>
          <w:szCs w:val="24"/>
          <w:highlight w:val="none"/>
        </w:rPr>
      </w:pPr>
      <w:r>
        <w:rPr>
          <w:rFonts w:hint="eastAsia" w:ascii="宋体"/>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6AA4FC29">
      <w:pPr>
        <w:ind w:firstLine="489" w:firstLineChars="233"/>
        <w:rPr>
          <w:rFonts w:ascii="宋体"/>
          <w:szCs w:val="24"/>
          <w:highlight w:val="none"/>
        </w:rPr>
      </w:pPr>
      <w:r>
        <w:rPr>
          <w:rFonts w:hint="eastAsia" w:ascii="宋体"/>
          <w:szCs w:val="24"/>
          <w:highlight w:val="none"/>
        </w:rPr>
        <w:t>3</w:t>
      </w:r>
      <w:r>
        <w:rPr>
          <w:rFonts w:ascii="宋体"/>
          <w:szCs w:val="24"/>
          <w:highlight w:val="none"/>
        </w:rPr>
        <w:t>.</w:t>
      </w:r>
      <w:r>
        <w:rPr>
          <w:rFonts w:hint="eastAsia" w:ascii="宋体"/>
          <w:szCs w:val="24"/>
          <w:highlight w:val="none"/>
        </w:rPr>
        <w:t>业务持续性计划及应急预案优化</w:t>
      </w:r>
    </w:p>
    <w:p w14:paraId="566A91B4">
      <w:pPr>
        <w:ind w:firstLine="489" w:firstLineChars="233"/>
        <w:rPr>
          <w:rFonts w:ascii="宋体"/>
          <w:szCs w:val="24"/>
          <w:highlight w:val="none"/>
        </w:rPr>
      </w:pPr>
      <w:r>
        <w:rPr>
          <w:rFonts w:hint="eastAsia" w:ascii="宋体"/>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1647F68">
      <w:pPr>
        <w:ind w:firstLine="422"/>
        <w:rPr>
          <w:rFonts w:ascii="宋体"/>
          <w:b/>
          <w:szCs w:val="24"/>
          <w:highlight w:val="none"/>
        </w:rPr>
      </w:pPr>
      <w:r>
        <w:rPr>
          <w:rFonts w:hint="eastAsia" w:ascii="宋体"/>
          <w:b/>
          <w:szCs w:val="24"/>
          <w:highlight w:val="none"/>
        </w:rPr>
        <w:t>三、应急场景</w:t>
      </w:r>
    </w:p>
    <w:p w14:paraId="17788A88">
      <w:pPr>
        <w:ind w:firstLine="422"/>
        <w:rPr>
          <w:rFonts w:ascii="宋体"/>
          <w:b/>
          <w:szCs w:val="24"/>
          <w:highlight w:val="none"/>
        </w:rPr>
      </w:pPr>
      <w:r>
        <w:rPr>
          <w:rFonts w:hint="eastAsia" w:ascii="宋体"/>
          <w:b/>
          <w:szCs w:val="24"/>
          <w:highlight w:val="none"/>
        </w:rPr>
        <w:t>（一）单个核心成员或某个角色无法提供正常服务</w:t>
      </w:r>
    </w:p>
    <w:p w14:paraId="06673D68">
      <w:pPr>
        <w:ind w:firstLine="489" w:firstLineChars="233"/>
        <w:rPr>
          <w:rFonts w:ascii="宋体"/>
          <w:szCs w:val="24"/>
          <w:highlight w:val="none"/>
        </w:rPr>
      </w:pPr>
      <w:r>
        <w:rPr>
          <w:rFonts w:hint="eastAsia" w:ascii="宋体"/>
          <w:szCs w:val="24"/>
          <w:highlight w:val="none"/>
        </w:rPr>
        <w:t>1.影响程度：外包服务部分中断</w:t>
      </w:r>
    </w:p>
    <w:p w14:paraId="41AB6286">
      <w:pPr>
        <w:ind w:firstLine="489" w:firstLineChars="233"/>
        <w:rPr>
          <w:rFonts w:ascii="宋体"/>
          <w:szCs w:val="24"/>
          <w:highlight w:val="none"/>
        </w:rPr>
      </w:pPr>
      <w:r>
        <w:rPr>
          <w:rFonts w:hint="eastAsia" w:ascii="宋体"/>
          <w:szCs w:val="24"/>
          <w:highlight w:val="none"/>
        </w:rPr>
        <w:t>2.规避措施：</w:t>
      </w:r>
    </w:p>
    <w:p w14:paraId="66EF7ACE">
      <w:pPr>
        <w:ind w:firstLine="489" w:firstLineChars="233"/>
        <w:rPr>
          <w:rFonts w:ascii="宋体"/>
          <w:szCs w:val="24"/>
          <w:highlight w:val="none"/>
        </w:rPr>
      </w:pPr>
      <w:r>
        <w:rPr>
          <w:rFonts w:ascii="宋体"/>
          <w:szCs w:val="24"/>
          <w:highlight w:val="none"/>
        </w:rPr>
        <w:t>1</w:t>
      </w:r>
      <w:r>
        <w:rPr>
          <w:rFonts w:hint="eastAsia" w:ascii="宋体"/>
          <w:szCs w:val="24"/>
          <w:highlight w:val="none"/>
        </w:rPr>
        <w:t>）乙方在2小时内协调重庆本地高于该成员资历水平的的员工来甲方现场进行顶替，直到合适的补充人员入场能够接替该成员的工作为止，否则按照SLA第</w:t>
      </w:r>
      <w:r>
        <w:rPr>
          <w:rFonts w:ascii="宋体"/>
          <w:szCs w:val="24"/>
          <w:highlight w:val="none"/>
        </w:rPr>
        <w:t>13</w:t>
      </w:r>
      <w:r>
        <w:rPr>
          <w:rFonts w:hint="eastAsia" w:ascii="宋体"/>
          <w:szCs w:val="24"/>
          <w:highlight w:val="none"/>
        </w:rPr>
        <w:t>条更换人员的相关条款进行罚款。</w:t>
      </w:r>
    </w:p>
    <w:p w14:paraId="0C471FA9">
      <w:pPr>
        <w:ind w:firstLine="489" w:firstLineChars="233"/>
        <w:rPr>
          <w:rFonts w:ascii="宋体"/>
          <w:szCs w:val="24"/>
          <w:highlight w:val="none"/>
        </w:rPr>
      </w:pPr>
      <w:r>
        <w:rPr>
          <w:rFonts w:ascii="宋体"/>
          <w:szCs w:val="24"/>
          <w:highlight w:val="none"/>
        </w:rPr>
        <w:t>2</w:t>
      </w:r>
      <w:r>
        <w:rPr>
          <w:rFonts w:hint="eastAsia" w:ascii="宋体"/>
          <w:szCs w:val="24"/>
          <w:highlight w:val="none"/>
        </w:rPr>
        <w:t>）乙方服务团队在合同有效期内，建立人才储备机制和培训机制，同时由A角和B角对项目进行支持工作。</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w:t>
      </w:r>
      <w:r>
        <w:rPr>
          <w:rFonts w:hint="eastAsia" w:ascii="宋体"/>
          <w:szCs w:val="24"/>
          <w:highlight w:val="none"/>
        </w:rPr>
        <w:t>按照SLA进行</w:t>
      </w:r>
      <w:r>
        <w:rPr>
          <w:rFonts w:ascii="宋体"/>
          <w:szCs w:val="24"/>
          <w:highlight w:val="none"/>
        </w:rPr>
        <w:t>赔偿。</w:t>
      </w:r>
    </w:p>
    <w:p w14:paraId="1F963C50">
      <w:pPr>
        <w:ind w:firstLine="422"/>
        <w:rPr>
          <w:rFonts w:ascii="宋体"/>
          <w:b/>
          <w:szCs w:val="24"/>
          <w:highlight w:val="none"/>
        </w:rPr>
      </w:pPr>
      <w:r>
        <w:rPr>
          <w:rFonts w:hint="eastAsia" w:ascii="宋体"/>
          <w:b/>
          <w:szCs w:val="24"/>
          <w:highlight w:val="none"/>
        </w:rPr>
        <w:t>（二）乙方服务团队无法提供正常服务，但乙方仍具备履约能力</w:t>
      </w:r>
    </w:p>
    <w:p w14:paraId="61947917">
      <w:pPr>
        <w:ind w:firstLine="489" w:firstLineChars="233"/>
        <w:rPr>
          <w:rFonts w:ascii="宋体"/>
          <w:szCs w:val="24"/>
          <w:highlight w:val="none"/>
        </w:rPr>
      </w:pPr>
      <w:r>
        <w:rPr>
          <w:rFonts w:hint="eastAsia" w:ascii="宋体"/>
          <w:szCs w:val="24"/>
          <w:highlight w:val="none"/>
        </w:rPr>
        <w:t>1.影响程度：外包服务完全中断</w:t>
      </w:r>
    </w:p>
    <w:p w14:paraId="17F651C2">
      <w:pPr>
        <w:ind w:firstLine="489" w:firstLineChars="233"/>
        <w:rPr>
          <w:rFonts w:ascii="宋体"/>
          <w:szCs w:val="24"/>
          <w:highlight w:val="none"/>
        </w:rPr>
      </w:pPr>
      <w:r>
        <w:rPr>
          <w:rFonts w:hint="eastAsia" w:ascii="宋体"/>
          <w:szCs w:val="24"/>
          <w:highlight w:val="none"/>
        </w:rPr>
        <w:t>2.规避措施：</w:t>
      </w:r>
    </w:p>
    <w:p w14:paraId="5FAB3041">
      <w:pPr>
        <w:ind w:firstLine="489" w:firstLineChars="233"/>
        <w:rPr>
          <w:rFonts w:ascii="宋体"/>
          <w:szCs w:val="24"/>
          <w:highlight w:val="none"/>
        </w:rPr>
      </w:pPr>
      <w:r>
        <w:rPr>
          <w:rFonts w:hint="eastAsia" w:ascii="宋体"/>
          <w:szCs w:val="24"/>
          <w:highlight w:val="none"/>
        </w:rPr>
        <w:t>1）乙方服务团队需按时按照甲方流程及制度规范提交项目各类文档；</w:t>
      </w:r>
    </w:p>
    <w:p w14:paraId="456710F8">
      <w:pPr>
        <w:ind w:firstLine="489" w:firstLineChars="233"/>
        <w:rPr>
          <w:rFonts w:ascii="宋体"/>
          <w:szCs w:val="24"/>
          <w:highlight w:val="none"/>
        </w:rPr>
      </w:pPr>
      <w:r>
        <w:rPr>
          <w:rFonts w:hint="eastAsia" w:ascii="宋体"/>
          <w:szCs w:val="24"/>
          <w:highlight w:val="none"/>
        </w:rPr>
        <w:t>2）乙方服务团队需制定合理的培训计划和培训内容，加强知识转移；</w:t>
      </w:r>
    </w:p>
    <w:p w14:paraId="1E02CE64">
      <w:pPr>
        <w:ind w:firstLine="489" w:firstLineChars="233"/>
        <w:rPr>
          <w:rFonts w:ascii="宋体"/>
          <w:szCs w:val="24"/>
          <w:highlight w:val="none"/>
        </w:rPr>
      </w:pPr>
      <w:r>
        <w:rPr>
          <w:rFonts w:hint="eastAsia" w:ascii="宋体"/>
          <w:szCs w:val="24"/>
          <w:highlight w:val="none"/>
        </w:rPr>
        <w:t>3）如遇类似事件乙方提前10个工作日书面通知甲方项目经理；</w:t>
      </w:r>
    </w:p>
    <w:p w14:paraId="6CB49310">
      <w:pPr>
        <w:ind w:firstLine="489" w:firstLineChars="233"/>
        <w:rPr>
          <w:rFonts w:ascii="宋体"/>
          <w:szCs w:val="24"/>
          <w:highlight w:val="none"/>
        </w:rPr>
      </w:pPr>
      <w:r>
        <w:rPr>
          <w:rFonts w:ascii="宋体"/>
          <w:szCs w:val="24"/>
          <w:highlight w:val="none"/>
        </w:rPr>
        <w:t>4</w:t>
      </w:r>
      <w:r>
        <w:rPr>
          <w:rFonts w:hint="eastAsia" w:ascii="宋体"/>
          <w:szCs w:val="24"/>
          <w:highlight w:val="none"/>
        </w:rPr>
        <w:t>）乙方负责提前协调备用团队，并协调相应角色做好交接工作，协调方案经过甲方认可后，在10个工作日内将补充团队派驻入场，保障工作连续开展。</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667ACA9D">
      <w:pPr>
        <w:ind w:firstLine="422"/>
        <w:rPr>
          <w:rFonts w:ascii="宋体"/>
          <w:b/>
          <w:szCs w:val="24"/>
          <w:highlight w:val="none"/>
        </w:rPr>
      </w:pPr>
      <w:r>
        <w:rPr>
          <w:rFonts w:hint="eastAsia" w:ascii="宋体"/>
          <w:b/>
          <w:szCs w:val="24"/>
          <w:highlight w:val="none"/>
        </w:rPr>
        <w:t>（三）乙方服务团队无法提供正常服务且乙方不具备恢复服务能力或意愿</w:t>
      </w:r>
    </w:p>
    <w:p w14:paraId="0FBBE857">
      <w:pPr>
        <w:ind w:firstLine="489" w:firstLineChars="233"/>
        <w:rPr>
          <w:rFonts w:ascii="宋体"/>
          <w:szCs w:val="24"/>
          <w:highlight w:val="none"/>
        </w:rPr>
      </w:pPr>
      <w:r>
        <w:rPr>
          <w:rFonts w:hint="eastAsia" w:ascii="宋体"/>
          <w:szCs w:val="24"/>
          <w:highlight w:val="none"/>
        </w:rPr>
        <w:t>1.影响程度：外包服务完全中断</w:t>
      </w:r>
    </w:p>
    <w:p w14:paraId="36CD1C63">
      <w:pPr>
        <w:ind w:firstLine="489" w:firstLineChars="233"/>
        <w:rPr>
          <w:rFonts w:ascii="宋体"/>
          <w:szCs w:val="24"/>
          <w:highlight w:val="none"/>
        </w:rPr>
      </w:pPr>
      <w:r>
        <w:rPr>
          <w:rFonts w:hint="eastAsia" w:ascii="宋体"/>
          <w:szCs w:val="24"/>
          <w:highlight w:val="none"/>
        </w:rPr>
        <w:t>2.规避措施：</w:t>
      </w:r>
    </w:p>
    <w:p w14:paraId="75C6C014">
      <w:pPr>
        <w:ind w:firstLine="489" w:firstLineChars="233"/>
        <w:rPr>
          <w:rFonts w:ascii="宋体"/>
          <w:szCs w:val="24"/>
          <w:highlight w:val="none"/>
        </w:rPr>
      </w:pPr>
      <w:r>
        <w:rPr>
          <w:rFonts w:hint="eastAsia" w:ascii="宋体"/>
          <w:szCs w:val="24"/>
          <w:highlight w:val="none"/>
        </w:rPr>
        <w:t>1）如遇类似事件乙方提前15个工作日书面通知甲方项目经理；</w:t>
      </w:r>
    </w:p>
    <w:p w14:paraId="64C3AF5B">
      <w:pPr>
        <w:ind w:firstLine="489" w:firstLineChars="233"/>
        <w:rPr>
          <w:rFonts w:ascii="宋体"/>
          <w:szCs w:val="24"/>
          <w:highlight w:val="none"/>
        </w:rPr>
      </w:pPr>
      <w:r>
        <w:rPr>
          <w:rFonts w:ascii="宋体"/>
          <w:szCs w:val="24"/>
          <w:highlight w:val="none"/>
        </w:rPr>
        <w:t>2</w:t>
      </w:r>
      <w:r>
        <w:rPr>
          <w:rFonts w:hint="eastAsia" w:ascii="宋体"/>
          <w:szCs w:val="24"/>
          <w:highlight w:val="none"/>
        </w:rPr>
        <w:t>）乙方保证提前沟通协调人力资源，于10个工作日内提交所有阶段性项目文档，并完成甲方认可的所有工作交接和知识转移，包括不限于对替代供应商进行培训；</w:t>
      </w:r>
    </w:p>
    <w:p w14:paraId="422B2C12">
      <w:pPr>
        <w:ind w:firstLine="48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0D468B9A">
      <w:pPr>
        <w:ind w:firstLine="422"/>
        <w:rPr>
          <w:rFonts w:ascii="宋体"/>
          <w:b/>
          <w:szCs w:val="24"/>
          <w:highlight w:val="none"/>
        </w:rPr>
      </w:pPr>
      <w:r>
        <w:rPr>
          <w:rFonts w:hint="eastAsia" w:ascii="宋体"/>
          <w:b/>
          <w:szCs w:val="24"/>
          <w:highlight w:val="none"/>
        </w:rPr>
        <w:t>（四）乙方因资质变更、被收购、兼并或破产等原因致使其无法继续提供服务</w:t>
      </w:r>
    </w:p>
    <w:p w14:paraId="66665D59">
      <w:pPr>
        <w:ind w:firstLine="489" w:firstLineChars="233"/>
        <w:rPr>
          <w:rFonts w:ascii="宋体"/>
          <w:szCs w:val="24"/>
          <w:highlight w:val="none"/>
        </w:rPr>
      </w:pPr>
      <w:r>
        <w:rPr>
          <w:rFonts w:hint="eastAsia" w:ascii="宋体"/>
          <w:szCs w:val="24"/>
          <w:highlight w:val="none"/>
        </w:rPr>
        <w:t>1.影响程度：外包服务完全中断</w:t>
      </w:r>
    </w:p>
    <w:p w14:paraId="00180756">
      <w:pPr>
        <w:ind w:firstLine="489" w:firstLineChars="233"/>
        <w:rPr>
          <w:rFonts w:ascii="宋体"/>
          <w:szCs w:val="24"/>
          <w:highlight w:val="none"/>
        </w:rPr>
      </w:pPr>
      <w:r>
        <w:rPr>
          <w:rFonts w:hint="eastAsia" w:ascii="宋体"/>
          <w:szCs w:val="24"/>
          <w:highlight w:val="none"/>
        </w:rPr>
        <w:t>2.规避措施：</w:t>
      </w:r>
    </w:p>
    <w:p w14:paraId="34DE2637">
      <w:pPr>
        <w:ind w:firstLine="489" w:firstLineChars="233"/>
        <w:rPr>
          <w:rFonts w:ascii="宋体"/>
          <w:szCs w:val="24"/>
          <w:highlight w:val="none"/>
        </w:rPr>
      </w:pPr>
      <w:r>
        <w:rPr>
          <w:rFonts w:hint="eastAsia" w:ascii="宋体"/>
          <w:szCs w:val="24"/>
          <w:highlight w:val="none"/>
        </w:rPr>
        <w:t>1）如遇类似事件乙方提前20个工作日通知甲方项目经理；</w:t>
      </w:r>
    </w:p>
    <w:p w14:paraId="496CD9C2">
      <w:pPr>
        <w:ind w:firstLine="489" w:firstLineChars="233"/>
        <w:rPr>
          <w:rFonts w:ascii="宋体"/>
          <w:szCs w:val="24"/>
          <w:highlight w:val="none"/>
        </w:rPr>
      </w:pPr>
      <w:r>
        <w:rPr>
          <w:rFonts w:ascii="宋体"/>
          <w:szCs w:val="24"/>
          <w:highlight w:val="none"/>
        </w:rPr>
        <w:t>2</w:t>
      </w:r>
      <w:r>
        <w:rPr>
          <w:rFonts w:hint="eastAsia" w:ascii="宋体"/>
          <w:szCs w:val="24"/>
          <w:highlight w:val="none"/>
        </w:rPr>
        <w:t>）根据开发合同约定提前与甲方进行沟通协商，做好代码、文档、服务等交接工作，减少对甲方的影响；</w:t>
      </w:r>
    </w:p>
    <w:p w14:paraId="6FEABD6B">
      <w:pPr>
        <w:ind w:firstLine="489" w:firstLineChars="233"/>
        <w:rPr>
          <w:rFonts w:ascii="宋体"/>
          <w:szCs w:val="24"/>
          <w:highlight w:val="none"/>
        </w:rPr>
      </w:pPr>
      <w:r>
        <w:rPr>
          <w:rFonts w:ascii="宋体"/>
          <w:szCs w:val="24"/>
          <w:highlight w:val="none"/>
        </w:rPr>
        <w:t>3</w:t>
      </w:r>
      <w:r>
        <w:rPr>
          <w:rFonts w:hint="eastAsia" w:ascii="宋体"/>
          <w:szCs w:val="24"/>
          <w:highlight w:val="none"/>
        </w:rPr>
        <w:t>）乙方保证提前沟通协调人力资源，于15个工作日内提交所有阶段性项目文档，并完成甲方认可的所有工作交接和知识转移，包括不限于对替代供应商进行培训。</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1B7198D3">
      <w:pPr>
        <w:ind w:firstLine="489" w:firstLineChars="233"/>
        <w:rPr>
          <w:rFonts w:ascii="宋体"/>
          <w:szCs w:val="24"/>
          <w:highlight w:val="none"/>
        </w:rPr>
      </w:pPr>
      <w:r>
        <w:rPr>
          <w:rFonts w:ascii="宋体"/>
          <w:szCs w:val="24"/>
          <w:highlight w:val="none"/>
        </w:rPr>
        <w:t>4</w:t>
      </w:r>
      <w:r>
        <w:rPr>
          <w:rFonts w:hint="eastAsia" w:ascii="宋体"/>
          <w:szCs w:val="24"/>
          <w:highlight w:val="none"/>
        </w:rPr>
        <w:t>）允许推荐项目成员到与甲方合作良好的其他供应商任职或由甲方直接聘用。</w:t>
      </w:r>
    </w:p>
    <w:p w14:paraId="7000A04E">
      <w:pPr>
        <w:ind w:firstLine="422"/>
        <w:rPr>
          <w:rFonts w:ascii="宋体"/>
          <w:b/>
          <w:szCs w:val="24"/>
          <w:highlight w:val="none"/>
        </w:rPr>
      </w:pPr>
      <w:r>
        <w:rPr>
          <w:rFonts w:hint="eastAsia" w:ascii="宋体"/>
          <w:b/>
          <w:szCs w:val="24"/>
          <w:highlight w:val="none"/>
        </w:rPr>
        <w:t>（五）乙方因不可抗力导致其主动退出（国家相关法律法规调整、遭受大规模自然灾害等）</w:t>
      </w:r>
    </w:p>
    <w:p w14:paraId="6312BF61">
      <w:pPr>
        <w:ind w:firstLine="489" w:firstLineChars="233"/>
        <w:rPr>
          <w:rFonts w:ascii="宋体"/>
          <w:szCs w:val="24"/>
          <w:highlight w:val="none"/>
        </w:rPr>
      </w:pPr>
      <w:r>
        <w:rPr>
          <w:rFonts w:hint="eastAsia" w:ascii="宋体"/>
          <w:szCs w:val="24"/>
          <w:highlight w:val="none"/>
        </w:rPr>
        <w:t>1.影响程度：外包服务完全中断</w:t>
      </w:r>
    </w:p>
    <w:p w14:paraId="6144CD92">
      <w:pPr>
        <w:ind w:firstLine="489" w:firstLineChars="233"/>
        <w:rPr>
          <w:rFonts w:ascii="宋体"/>
          <w:szCs w:val="24"/>
          <w:highlight w:val="none"/>
        </w:rPr>
      </w:pPr>
      <w:r>
        <w:rPr>
          <w:rFonts w:hint="eastAsia" w:ascii="宋体"/>
          <w:szCs w:val="24"/>
          <w:highlight w:val="none"/>
        </w:rPr>
        <w:t>2.规避措施：</w:t>
      </w:r>
    </w:p>
    <w:p w14:paraId="278F3202">
      <w:pPr>
        <w:ind w:firstLine="489" w:firstLineChars="233"/>
        <w:rPr>
          <w:rFonts w:ascii="宋体"/>
          <w:szCs w:val="24"/>
          <w:highlight w:val="none"/>
        </w:rPr>
      </w:pPr>
      <w:r>
        <w:rPr>
          <w:rFonts w:hint="eastAsia" w:ascii="宋体"/>
          <w:szCs w:val="24"/>
          <w:highlight w:val="none"/>
        </w:rPr>
        <w:t>1）如遇类似事件乙方应立即通知甲方项目经理。</w:t>
      </w:r>
    </w:p>
    <w:p w14:paraId="3B7E33A5">
      <w:pPr>
        <w:ind w:firstLine="489" w:firstLineChars="233"/>
        <w:rPr>
          <w:rFonts w:ascii="宋体"/>
          <w:szCs w:val="24"/>
          <w:highlight w:val="none"/>
        </w:rPr>
      </w:pPr>
      <w:r>
        <w:rPr>
          <w:rFonts w:ascii="宋体"/>
          <w:szCs w:val="24"/>
          <w:highlight w:val="none"/>
        </w:rPr>
        <w:t>2</w:t>
      </w:r>
      <w:r>
        <w:rPr>
          <w:rFonts w:hint="eastAsia" w:ascii="宋体"/>
          <w:szCs w:val="24"/>
          <w:highlight w:val="none"/>
        </w:rPr>
        <w:t>）乙方与甲方及时进行协商，得出一致性解决方案，于15个工作日内提交所有阶段性项目文档，并完成甲方认可的所有工作交接和知识转移，降低突发事件的影响；</w:t>
      </w:r>
    </w:p>
    <w:p w14:paraId="73900E44">
      <w:pPr>
        <w:ind w:firstLine="48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788031EC">
      <w:pPr>
        <w:ind w:firstLine="422"/>
        <w:rPr>
          <w:rFonts w:ascii="宋体"/>
          <w:szCs w:val="24"/>
          <w:highlight w:val="none"/>
        </w:rPr>
      </w:pPr>
      <w:r>
        <w:rPr>
          <w:rFonts w:hint="eastAsia" w:ascii="宋体"/>
          <w:b/>
          <w:szCs w:val="24"/>
          <w:highlight w:val="none"/>
        </w:rPr>
        <w:t>四、应急处理阶段</w:t>
      </w:r>
    </w:p>
    <w:p w14:paraId="6908283D">
      <w:pPr>
        <w:ind w:firstLine="422"/>
        <w:rPr>
          <w:rFonts w:ascii="宋体"/>
          <w:b/>
          <w:szCs w:val="24"/>
          <w:highlight w:val="none"/>
        </w:rPr>
      </w:pPr>
      <w:r>
        <w:rPr>
          <w:rFonts w:hint="eastAsia" w:ascii="宋体"/>
          <w:b/>
          <w:szCs w:val="24"/>
          <w:highlight w:val="none"/>
        </w:rPr>
        <w:t>（一）项目实施过程中应急服务</w:t>
      </w:r>
    </w:p>
    <w:p w14:paraId="78FC8F96">
      <w:pPr>
        <w:ind w:firstLine="489" w:firstLineChars="233"/>
        <w:rPr>
          <w:rFonts w:ascii="宋体"/>
          <w:szCs w:val="24"/>
          <w:highlight w:val="none"/>
        </w:rPr>
      </w:pPr>
      <w:r>
        <w:rPr>
          <w:rFonts w:hint="eastAsia" w:ascii="宋体"/>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0C1D6F1F">
      <w:pPr>
        <w:ind w:firstLine="489" w:firstLineChars="233"/>
        <w:rPr>
          <w:rFonts w:ascii="宋体"/>
          <w:szCs w:val="24"/>
          <w:highlight w:val="none"/>
        </w:rPr>
      </w:pPr>
      <w:r>
        <w:rPr>
          <w:rFonts w:hint="eastAsia" w:ascii="宋体"/>
          <w:szCs w:val="24"/>
          <w:highlight w:val="none"/>
        </w:rPr>
        <w:t>在应急事件处理完毕后，由乙方应急小组</w:t>
      </w:r>
      <w:r>
        <w:rPr>
          <w:rFonts w:ascii="宋体"/>
          <w:szCs w:val="24"/>
          <w:highlight w:val="none"/>
        </w:rPr>
        <w:t>对事件发生原因、性质、影响、后果、责任及应急处置能力、恢复重建等问题进行全面调查评估，总结经验教训，完善应急处理预案，整改</w:t>
      </w:r>
      <w:r>
        <w:rPr>
          <w:rFonts w:hint="eastAsia" w:ascii="宋体"/>
          <w:szCs w:val="24"/>
          <w:highlight w:val="none"/>
        </w:rPr>
        <w:t>项目服务过程中</w:t>
      </w:r>
      <w:r>
        <w:rPr>
          <w:rFonts w:ascii="宋体"/>
          <w:szCs w:val="24"/>
          <w:highlight w:val="none"/>
        </w:rPr>
        <w:t>存在的隐患</w:t>
      </w:r>
      <w:r>
        <w:rPr>
          <w:rFonts w:hint="eastAsia" w:ascii="宋体"/>
          <w:szCs w:val="24"/>
          <w:highlight w:val="none"/>
        </w:rPr>
        <w:t>问题</w:t>
      </w:r>
      <w:r>
        <w:rPr>
          <w:rFonts w:ascii="宋体"/>
          <w:szCs w:val="24"/>
          <w:highlight w:val="none"/>
        </w:rPr>
        <w:t>。</w:t>
      </w:r>
    </w:p>
    <w:p w14:paraId="603CB507">
      <w:pPr>
        <w:ind w:firstLine="422"/>
        <w:rPr>
          <w:rFonts w:ascii="宋体"/>
          <w:b/>
          <w:szCs w:val="24"/>
          <w:highlight w:val="none"/>
        </w:rPr>
      </w:pPr>
      <w:r>
        <w:rPr>
          <w:rFonts w:hint="eastAsia" w:ascii="宋体"/>
          <w:b/>
          <w:szCs w:val="24"/>
          <w:highlight w:val="none"/>
        </w:rPr>
        <w:t>（二）系统上线后应急服务</w:t>
      </w:r>
    </w:p>
    <w:p w14:paraId="13F9B34C">
      <w:pPr>
        <w:ind w:firstLine="489" w:firstLineChars="233"/>
        <w:rPr>
          <w:rFonts w:ascii="宋体"/>
          <w:szCs w:val="24"/>
          <w:highlight w:val="none"/>
        </w:rPr>
      </w:pPr>
      <w:r>
        <w:rPr>
          <w:rFonts w:hint="eastAsia" w:ascii="宋体"/>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D6037B5">
      <w:pPr>
        <w:ind w:firstLine="489" w:firstLineChars="233"/>
        <w:rPr>
          <w:rFonts w:ascii="宋体"/>
          <w:szCs w:val="24"/>
          <w:highlight w:val="none"/>
        </w:rPr>
      </w:pPr>
      <w:r>
        <w:rPr>
          <w:rFonts w:hint="eastAsia" w:ascii="宋体"/>
          <w:szCs w:val="24"/>
          <w:highlight w:val="none"/>
        </w:rPr>
        <w:t>姓名:        手机号码：        邮箱：</w:t>
      </w:r>
    </w:p>
    <w:p w14:paraId="1F461770">
      <w:pPr>
        <w:ind w:firstLine="489" w:firstLineChars="233"/>
        <w:rPr>
          <w:rFonts w:ascii="宋体"/>
          <w:szCs w:val="24"/>
          <w:highlight w:val="none"/>
        </w:rPr>
      </w:pPr>
      <w:r>
        <w:rPr>
          <w:rFonts w:hint="eastAsia" w:ascii="宋体"/>
          <w:szCs w:val="24"/>
          <w:highlight w:val="none"/>
        </w:rPr>
        <w:t>姓名:        手机号码：        邮箱：</w:t>
      </w:r>
    </w:p>
    <w:p w14:paraId="5EFDE0C1">
      <w:pPr>
        <w:ind w:firstLine="420"/>
        <w:rPr>
          <w:rStyle w:val="44"/>
          <w:rFonts w:hint="eastAsia" w:ascii="宋体" w:hAnsi="宋体"/>
          <w:kern w:val="0"/>
          <w:highlight w:val="none"/>
        </w:rPr>
      </w:pPr>
    </w:p>
    <w:p w14:paraId="4CA42760">
      <w:pPr>
        <w:ind w:firstLine="420"/>
        <w:rPr>
          <w:highlight w:val="none"/>
        </w:rPr>
      </w:pPr>
    </w:p>
    <w:p w14:paraId="508770DB">
      <w:pPr>
        <w:ind w:firstLine="420"/>
        <w:rPr>
          <w:highlight w:val="none"/>
        </w:rPr>
      </w:pPr>
      <w:r>
        <w:rPr>
          <w:highlight w:val="none"/>
        </w:rPr>
        <w:br w:type="page"/>
      </w:r>
    </w:p>
    <w:p w14:paraId="7701595F">
      <w:pPr>
        <w:pStyle w:val="2"/>
        <w:rPr>
          <w:highlight w:val="none"/>
        </w:rPr>
      </w:pPr>
      <w:bookmarkStart w:id="333" w:name="_Toc27378"/>
      <w:bookmarkStart w:id="334" w:name="_Toc3607"/>
      <w:bookmarkStart w:id="335" w:name="_Toc10960"/>
      <w:bookmarkStart w:id="336" w:name="_Toc3965"/>
      <w:r>
        <w:rPr>
          <w:rFonts w:hint="eastAsia"/>
          <w:highlight w:val="none"/>
        </w:rPr>
        <w:t xml:space="preserve">第六章 </w:t>
      </w:r>
      <w:bookmarkEnd w:id="283"/>
      <w:bookmarkEnd w:id="284"/>
      <w:bookmarkStart w:id="337" w:name="_Toc303066035"/>
      <w:r>
        <w:rPr>
          <w:rFonts w:hint="eastAsia"/>
          <w:highlight w:val="none"/>
        </w:rPr>
        <w:t>响应文件格式</w:t>
      </w:r>
      <w:bookmarkEnd w:id="333"/>
      <w:bookmarkEnd w:id="334"/>
      <w:bookmarkEnd w:id="335"/>
      <w:bookmarkEnd w:id="336"/>
    </w:p>
    <w:bookmarkEnd w:id="337"/>
    <w:p w14:paraId="09CE8D39">
      <w:pPr>
        <w:tabs>
          <w:tab w:val="left" w:pos="6516"/>
        </w:tabs>
        <w:adjustRightInd w:val="0"/>
        <w:snapToGrid w:val="0"/>
        <w:ind w:firstLine="0" w:firstLineChars="0"/>
        <w:jc w:val="center"/>
        <w:rPr>
          <w:rFonts w:ascii="宋体"/>
          <w:b/>
          <w:kern w:val="0"/>
          <w:highlight w:val="none"/>
          <w:u w:val="single"/>
        </w:rPr>
      </w:pPr>
    </w:p>
    <w:p w14:paraId="540C72FC">
      <w:pPr>
        <w:tabs>
          <w:tab w:val="left" w:pos="6516"/>
        </w:tabs>
        <w:adjustRightInd w:val="0"/>
        <w:snapToGrid w:val="0"/>
        <w:ind w:firstLine="0" w:firstLineChars="0"/>
        <w:jc w:val="center"/>
        <w:rPr>
          <w:rFonts w:ascii="宋体"/>
          <w:b/>
          <w:kern w:val="0"/>
          <w:highlight w:val="none"/>
          <w:u w:val="single"/>
        </w:rPr>
      </w:pPr>
    </w:p>
    <w:p w14:paraId="7CA41EFC">
      <w:pPr>
        <w:tabs>
          <w:tab w:val="left" w:pos="6516"/>
        </w:tabs>
        <w:adjustRightInd w:val="0"/>
        <w:snapToGrid w:val="0"/>
        <w:ind w:firstLine="0" w:firstLineChars="0"/>
        <w:jc w:val="center"/>
        <w:rPr>
          <w:rFonts w:ascii="宋体"/>
          <w:b/>
          <w:kern w:val="0"/>
          <w:highlight w:val="none"/>
          <w:u w:val="single"/>
        </w:rPr>
      </w:pPr>
    </w:p>
    <w:p w14:paraId="3F45A9E6">
      <w:pPr>
        <w:ind w:firstLine="420"/>
        <w:rPr>
          <w:highlight w:val="none"/>
        </w:rPr>
      </w:pPr>
      <w:r>
        <w:rPr>
          <w:highlight w:val="none"/>
        </w:rPr>
        <w:br w:type="page"/>
      </w:r>
    </w:p>
    <w:p w14:paraId="6E93BC3C">
      <w:pPr>
        <w:pStyle w:val="14"/>
        <w:rPr>
          <w:highlight w:val="none"/>
        </w:rPr>
      </w:pPr>
      <w:r>
        <w:rPr>
          <w:highlight w:val="none"/>
        </w:rPr>
        <w:t>重庆三峡银行</w:t>
      </w:r>
    </w:p>
    <w:p w14:paraId="34A94847">
      <w:pPr>
        <w:pStyle w:val="14"/>
        <w:rPr>
          <w:rFonts w:hint="eastAsia" w:eastAsia="宋体"/>
          <w:highlight w:val="none"/>
          <w:lang w:eastAsia="zh-CN"/>
        </w:rPr>
      </w:pPr>
      <w:r>
        <w:rPr>
          <w:highlight w:val="none"/>
        </w:rPr>
        <w:t>智能交易风控系统项目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p>
    <w:p w14:paraId="5D4696A5">
      <w:pPr>
        <w:ind w:firstLine="420"/>
        <w:rPr>
          <w:highlight w:val="none"/>
        </w:rPr>
      </w:pPr>
    </w:p>
    <w:p w14:paraId="780E2363">
      <w:pPr>
        <w:ind w:firstLine="420"/>
        <w:rPr>
          <w:highlight w:val="none"/>
        </w:rPr>
      </w:pPr>
    </w:p>
    <w:p w14:paraId="517078F0">
      <w:pPr>
        <w:ind w:firstLine="420"/>
        <w:rPr>
          <w:highlight w:val="none"/>
        </w:rPr>
      </w:pPr>
    </w:p>
    <w:p w14:paraId="62DC5F49">
      <w:pPr>
        <w:ind w:firstLine="420"/>
        <w:rPr>
          <w:highlight w:val="none"/>
        </w:rPr>
      </w:pPr>
    </w:p>
    <w:p w14:paraId="3B405407">
      <w:pPr>
        <w:ind w:firstLine="420"/>
        <w:rPr>
          <w:highlight w:val="none"/>
        </w:rPr>
      </w:pPr>
    </w:p>
    <w:p w14:paraId="2DE46896">
      <w:pPr>
        <w:ind w:firstLine="420"/>
        <w:rPr>
          <w:highlight w:val="none"/>
        </w:rPr>
      </w:pPr>
    </w:p>
    <w:p w14:paraId="2E8D0661">
      <w:pPr>
        <w:pStyle w:val="41"/>
        <w:rPr>
          <w:highlight w:val="none"/>
        </w:rPr>
      </w:pPr>
      <w:r>
        <w:rPr>
          <w:highlight w:val="none"/>
        </w:rPr>
        <w:t>响  应  文  件</w:t>
      </w:r>
    </w:p>
    <w:p w14:paraId="733A8071">
      <w:pPr>
        <w:ind w:firstLine="420"/>
        <w:rPr>
          <w:highlight w:val="none"/>
        </w:rPr>
      </w:pPr>
    </w:p>
    <w:p w14:paraId="265E5AA6">
      <w:pPr>
        <w:ind w:firstLine="420"/>
        <w:rPr>
          <w:highlight w:val="none"/>
        </w:rPr>
      </w:pPr>
    </w:p>
    <w:p w14:paraId="0CC865DA">
      <w:pPr>
        <w:ind w:firstLine="420"/>
        <w:rPr>
          <w:highlight w:val="none"/>
        </w:rPr>
      </w:pPr>
    </w:p>
    <w:p w14:paraId="7EF823F9">
      <w:pPr>
        <w:ind w:firstLine="420"/>
        <w:rPr>
          <w:highlight w:val="none"/>
        </w:rPr>
      </w:pPr>
    </w:p>
    <w:p w14:paraId="1089081D">
      <w:pPr>
        <w:ind w:firstLine="420"/>
        <w:rPr>
          <w:highlight w:val="none"/>
        </w:rPr>
      </w:pPr>
    </w:p>
    <w:p w14:paraId="7408EF5D">
      <w:pPr>
        <w:ind w:firstLine="420"/>
        <w:rPr>
          <w:highlight w:val="none"/>
        </w:rPr>
      </w:pPr>
    </w:p>
    <w:p w14:paraId="15D3B0C8">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7531B501">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0EF9EB17">
      <w:pPr>
        <w:ind w:firstLine="420"/>
        <w:rPr>
          <w:highlight w:val="none"/>
        </w:rPr>
      </w:pPr>
    </w:p>
    <w:p w14:paraId="24BC916C">
      <w:pPr>
        <w:ind w:firstLine="420"/>
        <w:rPr>
          <w:highlight w:val="none"/>
        </w:rPr>
      </w:pPr>
    </w:p>
    <w:p w14:paraId="71239B52">
      <w:pPr>
        <w:ind w:firstLine="420"/>
        <w:rPr>
          <w:highlight w:val="none"/>
        </w:rPr>
      </w:pPr>
    </w:p>
    <w:p w14:paraId="7E0A96BD">
      <w:pPr>
        <w:ind w:firstLine="420"/>
        <w:rPr>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p>
    <w:p w14:paraId="7745DDE6">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4E5EA987">
      <w:pPr>
        <w:widowControl/>
        <w:autoSpaceDE/>
        <w:autoSpaceDN/>
        <w:spacing w:line="240" w:lineRule="auto"/>
        <w:ind w:firstLine="0" w:firstLineChars="0"/>
        <w:jc w:val="left"/>
        <w:rPr>
          <w:highlight w:val="none"/>
        </w:rPr>
      </w:pPr>
      <w:r>
        <w:rPr>
          <w:rFonts w:hint="eastAsia"/>
          <w:highlight w:val="none"/>
        </w:rPr>
        <w:t>一、响应函</w:t>
      </w:r>
    </w:p>
    <w:p w14:paraId="209A8C51">
      <w:pPr>
        <w:widowControl/>
        <w:autoSpaceDE/>
        <w:autoSpaceDN/>
        <w:spacing w:line="240" w:lineRule="auto"/>
        <w:ind w:firstLine="0" w:firstLineChars="0"/>
        <w:jc w:val="left"/>
        <w:rPr>
          <w:highlight w:val="none"/>
        </w:rPr>
      </w:pPr>
      <w:r>
        <w:rPr>
          <w:rFonts w:hint="eastAsia"/>
          <w:highlight w:val="none"/>
        </w:rPr>
        <w:t>二、报价一览表</w:t>
      </w:r>
    </w:p>
    <w:p w14:paraId="6405C4F5">
      <w:pPr>
        <w:widowControl/>
        <w:autoSpaceDE/>
        <w:autoSpaceDN/>
        <w:spacing w:line="240" w:lineRule="auto"/>
        <w:ind w:firstLine="0" w:firstLineChars="0"/>
        <w:jc w:val="left"/>
        <w:rPr>
          <w:highlight w:val="none"/>
        </w:rPr>
      </w:pPr>
      <w:r>
        <w:rPr>
          <w:highlight w:val="none"/>
        </w:rPr>
        <w:t>三</w:t>
      </w:r>
      <w:r>
        <w:rPr>
          <w:rFonts w:hint="eastAsia"/>
          <w:highlight w:val="none"/>
        </w:rPr>
        <w:t>、资格性文件</w:t>
      </w:r>
    </w:p>
    <w:p w14:paraId="4C61DA6C">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61053EE5">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214AB2FB">
      <w:pPr>
        <w:widowControl/>
        <w:autoSpaceDE/>
        <w:autoSpaceDN/>
        <w:spacing w:line="240" w:lineRule="auto"/>
        <w:ind w:firstLine="420" w:firstLineChars="0"/>
        <w:jc w:val="left"/>
        <w:rPr>
          <w:highlight w:val="none"/>
        </w:rPr>
      </w:pPr>
      <w:r>
        <w:rPr>
          <w:rFonts w:hint="eastAsia"/>
          <w:highlight w:val="none"/>
        </w:rPr>
        <w:t>（三）书面声明</w:t>
      </w:r>
    </w:p>
    <w:p w14:paraId="49C10E37">
      <w:pPr>
        <w:widowControl/>
        <w:autoSpaceDE/>
        <w:autoSpaceDN/>
        <w:spacing w:line="240" w:lineRule="auto"/>
        <w:ind w:firstLine="420" w:firstLineChars="0"/>
        <w:jc w:val="left"/>
        <w:rPr>
          <w:highlight w:val="none"/>
        </w:rPr>
      </w:pPr>
      <w:r>
        <w:rPr>
          <w:rFonts w:hint="eastAsia"/>
          <w:highlight w:val="none"/>
        </w:rPr>
        <w:t>（四）中国执行信息公开网截图</w:t>
      </w:r>
    </w:p>
    <w:p w14:paraId="0E4B3551">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76491606">
      <w:pPr>
        <w:widowControl/>
        <w:autoSpaceDE/>
        <w:autoSpaceDN/>
        <w:spacing w:line="240" w:lineRule="auto"/>
        <w:ind w:firstLine="420" w:firstLineChars="0"/>
        <w:jc w:val="left"/>
        <w:rPr>
          <w:highlight w:val="none"/>
        </w:rPr>
      </w:pPr>
      <w:r>
        <w:rPr>
          <w:rFonts w:hint="eastAsia"/>
          <w:highlight w:val="none"/>
        </w:rPr>
        <w:t>（六）认证证书</w:t>
      </w:r>
    </w:p>
    <w:p w14:paraId="6CDEEDD2">
      <w:pPr>
        <w:widowControl/>
        <w:autoSpaceDE/>
        <w:autoSpaceDN/>
        <w:spacing w:line="240" w:lineRule="auto"/>
        <w:ind w:firstLine="420" w:firstLineChars="0"/>
        <w:jc w:val="left"/>
        <w:rPr>
          <w:highlight w:val="none"/>
        </w:rPr>
      </w:pPr>
      <w:r>
        <w:rPr>
          <w:rFonts w:hint="eastAsia"/>
          <w:highlight w:val="none"/>
        </w:rPr>
        <w:t>（七）其他（如有）</w:t>
      </w:r>
    </w:p>
    <w:p w14:paraId="753B35FC">
      <w:pPr>
        <w:widowControl/>
        <w:autoSpaceDE/>
        <w:autoSpaceDN/>
        <w:spacing w:line="240" w:lineRule="auto"/>
        <w:ind w:firstLine="0" w:firstLineChars="0"/>
        <w:jc w:val="left"/>
        <w:rPr>
          <w:highlight w:val="none"/>
        </w:rPr>
      </w:pPr>
      <w:r>
        <w:rPr>
          <w:highlight w:val="none"/>
        </w:rPr>
        <w:t>四</w:t>
      </w:r>
      <w:r>
        <w:rPr>
          <w:rFonts w:hint="eastAsia"/>
          <w:highlight w:val="none"/>
        </w:rPr>
        <w:t>、响应性文件</w:t>
      </w:r>
    </w:p>
    <w:p w14:paraId="7B9304D2">
      <w:pPr>
        <w:widowControl/>
        <w:autoSpaceDE/>
        <w:autoSpaceDN/>
        <w:spacing w:line="240" w:lineRule="auto"/>
        <w:ind w:firstLine="420" w:firstLineChars="0"/>
        <w:jc w:val="left"/>
        <w:rPr>
          <w:highlight w:val="none"/>
        </w:rPr>
      </w:pPr>
      <w:r>
        <w:rPr>
          <w:rFonts w:hint="eastAsia"/>
          <w:highlight w:val="none"/>
        </w:rPr>
        <w:t>（一）响应承诺函</w:t>
      </w:r>
    </w:p>
    <w:p w14:paraId="522CEB4B">
      <w:pPr>
        <w:widowControl/>
        <w:autoSpaceDE/>
        <w:autoSpaceDN/>
        <w:spacing w:line="240" w:lineRule="auto"/>
        <w:ind w:firstLine="420" w:firstLineChars="0"/>
        <w:jc w:val="left"/>
        <w:rPr>
          <w:highlight w:val="none"/>
        </w:rPr>
      </w:pPr>
      <w:r>
        <w:rPr>
          <w:rFonts w:hint="eastAsia"/>
          <w:highlight w:val="none"/>
        </w:rPr>
        <w:t>（</w:t>
      </w:r>
      <w:r>
        <w:rPr>
          <w:highlight w:val="none"/>
        </w:rPr>
        <w:t>二</w:t>
      </w:r>
      <w:r>
        <w:rPr>
          <w:rFonts w:hint="eastAsia"/>
          <w:highlight w:val="none"/>
        </w:rPr>
        <w:t>）服务水平协议（SLA）（如有）</w:t>
      </w:r>
    </w:p>
    <w:p w14:paraId="204B7197">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）人员要求</w:t>
      </w:r>
    </w:p>
    <w:p w14:paraId="0951836D">
      <w:pPr>
        <w:widowControl/>
        <w:autoSpaceDE/>
        <w:autoSpaceDN/>
        <w:spacing w:line="240" w:lineRule="auto"/>
        <w:ind w:firstLine="420" w:firstLineChars="0"/>
        <w:jc w:val="left"/>
        <w:rPr>
          <w:highlight w:val="none"/>
        </w:rPr>
      </w:pPr>
      <w:r>
        <w:rPr>
          <w:rFonts w:hint="eastAsia"/>
          <w:highlight w:val="none"/>
        </w:rPr>
        <w:t>（四）售后服务和培训方案</w:t>
      </w:r>
    </w:p>
    <w:p w14:paraId="172BB0B6">
      <w:pPr>
        <w:widowControl/>
        <w:autoSpaceDE/>
        <w:autoSpaceDN/>
        <w:spacing w:line="240" w:lineRule="auto"/>
        <w:ind w:firstLine="420" w:firstLineChars="0"/>
        <w:jc w:val="left"/>
        <w:rPr>
          <w:highlight w:val="none"/>
        </w:rPr>
      </w:pPr>
      <w:r>
        <w:rPr>
          <w:rFonts w:hint="eastAsia"/>
          <w:highlight w:val="none"/>
        </w:rPr>
        <w:t>（五）服务连续性预案</w:t>
      </w:r>
    </w:p>
    <w:p w14:paraId="0226EDDE">
      <w:pPr>
        <w:widowControl/>
        <w:autoSpaceDE/>
        <w:autoSpaceDN/>
        <w:spacing w:line="240" w:lineRule="auto"/>
        <w:ind w:firstLine="420" w:firstLineChars="0"/>
        <w:jc w:val="left"/>
        <w:rPr>
          <w:highlight w:val="none"/>
        </w:rPr>
      </w:pPr>
      <w:r>
        <w:rPr>
          <w:rFonts w:hint="eastAsia"/>
          <w:highlight w:val="none"/>
        </w:rPr>
        <w:t>（六）项目实施方案</w:t>
      </w:r>
    </w:p>
    <w:p w14:paraId="2A801685">
      <w:pPr>
        <w:widowControl/>
        <w:autoSpaceDE/>
        <w:autoSpaceDN/>
        <w:spacing w:line="240" w:lineRule="auto"/>
        <w:ind w:firstLine="420" w:firstLineChars="0"/>
        <w:jc w:val="left"/>
        <w:rPr>
          <w:highlight w:val="none"/>
        </w:rPr>
      </w:pPr>
      <w:r>
        <w:rPr>
          <w:rFonts w:hint="eastAsia"/>
          <w:highlight w:val="none"/>
        </w:rPr>
        <w:t>（七）其他（如有）</w:t>
      </w:r>
    </w:p>
    <w:p w14:paraId="53321E00">
      <w:pPr>
        <w:widowControl/>
        <w:autoSpaceDE/>
        <w:autoSpaceDN/>
        <w:spacing w:line="240" w:lineRule="auto"/>
        <w:ind w:firstLine="0" w:firstLineChars="0"/>
        <w:jc w:val="left"/>
        <w:rPr>
          <w:rFonts w:hint="eastAsia"/>
          <w:highlight w:val="none"/>
        </w:rPr>
      </w:pPr>
      <w:r>
        <w:rPr>
          <w:highlight w:val="none"/>
        </w:rPr>
        <w:t>五</w:t>
      </w:r>
      <w:r>
        <w:rPr>
          <w:rFonts w:hint="eastAsia"/>
          <w:highlight w:val="none"/>
        </w:rPr>
        <w:t>、商务技术文件</w:t>
      </w:r>
    </w:p>
    <w:p w14:paraId="2BB47E22">
      <w:pPr>
        <w:widowControl/>
        <w:autoSpaceDE/>
        <w:autoSpaceDN/>
        <w:spacing w:line="240" w:lineRule="auto"/>
        <w:ind w:firstLine="0" w:firstLineChars="0"/>
        <w:jc w:val="left"/>
        <w:rPr>
          <w:highlight w:val="none"/>
        </w:rPr>
      </w:pPr>
      <w:r>
        <w:rPr>
          <w:highlight w:val="none"/>
        </w:rPr>
        <w:t>六</w:t>
      </w:r>
      <w:r>
        <w:rPr>
          <w:rFonts w:hint="eastAsia"/>
          <w:highlight w:val="none"/>
        </w:rPr>
        <w:t>、其他（如有）</w:t>
      </w:r>
    </w:p>
    <w:p w14:paraId="4657981F">
      <w:pPr>
        <w:widowControl/>
        <w:autoSpaceDE/>
        <w:autoSpaceDN/>
        <w:spacing w:line="240" w:lineRule="auto"/>
        <w:ind w:firstLine="0" w:firstLineChars="0"/>
        <w:jc w:val="left"/>
        <w:rPr>
          <w:highlight w:val="none"/>
        </w:rPr>
      </w:pPr>
      <w:r>
        <w:rPr>
          <w:rFonts w:hint="eastAsia"/>
          <w:highlight w:val="none"/>
        </w:rPr>
        <w:br w:type="page"/>
      </w:r>
    </w:p>
    <w:p w14:paraId="2973B8D3">
      <w:pPr>
        <w:pStyle w:val="34"/>
        <w:rPr>
          <w:highlight w:val="none"/>
        </w:rPr>
      </w:pPr>
      <w:r>
        <w:rPr>
          <w:highlight w:val="none"/>
        </w:rPr>
        <w:t>一、响应函</w:t>
      </w:r>
    </w:p>
    <w:p w14:paraId="57864F24">
      <w:pPr>
        <w:ind w:firstLine="420"/>
        <w:rPr>
          <w:highlight w:val="none"/>
        </w:rPr>
      </w:pPr>
    </w:p>
    <w:p w14:paraId="569705C6">
      <w:pPr>
        <w:ind w:firstLine="0" w:firstLineChars="0"/>
        <w:rPr>
          <w:highlight w:val="none"/>
        </w:rPr>
      </w:pPr>
      <w:r>
        <w:rPr>
          <w:rFonts w:hint="eastAsia"/>
          <w:highlight w:val="none"/>
        </w:rPr>
        <w:t>重庆三峡银行股份有限公司：</w:t>
      </w:r>
    </w:p>
    <w:p w14:paraId="7AC553C5">
      <w:pPr>
        <w:ind w:firstLine="420"/>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7F2B9A68">
      <w:pPr>
        <w:ind w:firstLine="420"/>
        <w:rPr>
          <w:highlight w:val="none"/>
        </w:rPr>
      </w:pPr>
      <w:r>
        <w:rPr>
          <w:rFonts w:hint="eastAsia"/>
          <w:highlight w:val="none"/>
        </w:rPr>
        <w:t>1、愿意按照询比文件中的一切要求，以响应文件中的内容和报价承担和完成本项目。</w:t>
      </w:r>
    </w:p>
    <w:p w14:paraId="46CF9313">
      <w:pPr>
        <w:ind w:firstLine="420"/>
        <w:rPr>
          <w:highlight w:val="none"/>
        </w:rPr>
      </w:pPr>
      <w:r>
        <w:rPr>
          <w:rFonts w:hint="eastAsia"/>
          <w:highlight w:val="none"/>
        </w:rPr>
        <w:t>2、我方现提交的响应文件为：响应文件正本一份，副本一份，电子文件一份。</w:t>
      </w:r>
    </w:p>
    <w:p w14:paraId="244A0D28">
      <w:pPr>
        <w:ind w:firstLine="420"/>
        <w:rPr>
          <w:highlight w:val="none"/>
        </w:rPr>
      </w:pPr>
      <w:r>
        <w:rPr>
          <w:rFonts w:hint="eastAsia"/>
          <w:highlight w:val="none"/>
        </w:rPr>
        <w:t>3、如果我方响应文件被接受，我方将履行询比文件中规定的各项要求，按相关法律法规和合同约定条款承担我方的责任。</w:t>
      </w:r>
    </w:p>
    <w:p w14:paraId="47E7756C">
      <w:pPr>
        <w:ind w:firstLine="420"/>
        <w:rPr>
          <w:highlight w:val="none"/>
        </w:rPr>
      </w:pPr>
      <w:r>
        <w:rPr>
          <w:rFonts w:hint="eastAsia"/>
          <w:highlight w:val="none"/>
        </w:rPr>
        <w:t>4、我方愿意提供询比文件中要求的所有资料，并对其真实性负责。</w:t>
      </w:r>
    </w:p>
    <w:p w14:paraId="15908B6D">
      <w:pPr>
        <w:ind w:firstLine="420"/>
        <w:rPr>
          <w:highlight w:val="none"/>
        </w:rPr>
      </w:pPr>
      <w:r>
        <w:rPr>
          <w:rFonts w:hint="eastAsia"/>
          <w:highlight w:val="none"/>
        </w:rPr>
        <w:t>5、我方理解最低价格不是成交的唯一条件。</w:t>
      </w:r>
    </w:p>
    <w:p w14:paraId="65418A3F">
      <w:pPr>
        <w:ind w:firstLine="420"/>
        <w:rPr>
          <w:highlight w:val="none"/>
        </w:rPr>
      </w:pPr>
      <w:r>
        <w:rPr>
          <w:rFonts w:hint="eastAsia"/>
          <w:highlight w:val="none"/>
        </w:rPr>
        <w:t>6、响应有效期为响应截止日期后90天内。</w:t>
      </w:r>
    </w:p>
    <w:p w14:paraId="1E616ED3">
      <w:pPr>
        <w:ind w:firstLine="420"/>
        <w:rPr>
          <w:highlight w:val="none"/>
        </w:rPr>
      </w:pPr>
      <w:r>
        <w:rPr>
          <w:rFonts w:hint="eastAsia"/>
          <w:highlight w:val="none"/>
        </w:rPr>
        <w:t>7、若我方成交，我方开具税率为           %的增值税专用发票；</w:t>
      </w:r>
    </w:p>
    <w:p w14:paraId="1AE569A0">
      <w:pPr>
        <w:ind w:firstLine="420"/>
        <w:rPr>
          <w:highlight w:val="none"/>
        </w:rPr>
      </w:pPr>
    </w:p>
    <w:p w14:paraId="6E11D1D9">
      <w:pPr>
        <w:ind w:firstLine="420"/>
        <w:rPr>
          <w:highlight w:val="none"/>
        </w:rPr>
      </w:pPr>
      <w:r>
        <w:rPr>
          <w:rFonts w:hint="eastAsia"/>
          <w:highlight w:val="none"/>
        </w:rPr>
        <w:t>响应人（公章）：</w:t>
      </w:r>
    </w:p>
    <w:p w14:paraId="3CAC70E9">
      <w:pPr>
        <w:ind w:firstLine="420"/>
        <w:rPr>
          <w:highlight w:val="none"/>
        </w:rPr>
      </w:pPr>
      <w:r>
        <w:rPr>
          <w:rFonts w:hint="eastAsia"/>
          <w:highlight w:val="none"/>
        </w:rPr>
        <w:t xml:space="preserve">响应人联系人：  </w:t>
      </w:r>
    </w:p>
    <w:p w14:paraId="3E7476E2">
      <w:pPr>
        <w:ind w:firstLine="420"/>
        <w:rPr>
          <w:highlight w:val="none"/>
        </w:rPr>
      </w:pPr>
      <w:r>
        <w:rPr>
          <w:rFonts w:hint="eastAsia"/>
          <w:highlight w:val="none"/>
        </w:rPr>
        <w:t xml:space="preserve">响应人联系人联系电话：     </w:t>
      </w:r>
    </w:p>
    <w:p w14:paraId="15018695">
      <w:pPr>
        <w:ind w:firstLine="420"/>
        <w:jc w:val="right"/>
        <w:rPr>
          <w:highlight w:val="none"/>
        </w:rPr>
      </w:pPr>
      <w:r>
        <w:rPr>
          <w:rFonts w:hint="eastAsia"/>
          <w:highlight w:val="none"/>
        </w:rPr>
        <w:t>年     月     日</w:t>
      </w:r>
    </w:p>
    <w:p w14:paraId="7694CABB">
      <w:pPr>
        <w:ind w:firstLine="420"/>
        <w:rPr>
          <w:highlight w:val="none"/>
        </w:rPr>
      </w:pPr>
    </w:p>
    <w:p w14:paraId="45326883">
      <w:pPr>
        <w:widowControl/>
        <w:ind w:firstLine="480"/>
        <w:jc w:val="left"/>
        <w:rPr>
          <w:rFonts w:ascii="宋体"/>
          <w:snapToGrid w:val="0"/>
          <w:kern w:val="0"/>
          <w:sz w:val="24"/>
          <w:szCs w:val="24"/>
          <w:highlight w:val="none"/>
        </w:rPr>
      </w:pPr>
    </w:p>
    <w:p w14:paraId="39E037BE">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425" w:num="1"/>
          <w:docGrid w:type="lines" w:linePitch="312" w:charSpace="0"/>
        </w:sectPr>
      </w:pPr>
    </w:p>
    <w:p w14:paraId="69C738CE">
      <w:pPr>
        <w:pStyle w:val="34"/>
        <w:rPr>
          <w:highlight w:val="none"/>
        </w:rPr>
      </w:pPr>
      <w:r>
        <w:rPr>
          <w:highlight w:val="none"/>
        </w:rPr>
        <w:t>二、报价一览表</w:t>
      </w:r>
    </w:p>
    <w:tbl>
      <w:tblPr>
        <w:tblStyle w:val="23"/>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073"/>
        <w:gridCol w:w="2073"/>
        <w:gridCol w:w="2075"/>
      </w:tblGrid>
      <w:tr w14:paraId="0649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1ADB2D4D">
            <w:pPr>
              <w:autoSpaceDE/>
              <w:autoSpaceDN/>
              <w:ind w:firstLine="0" w:firstLineChars="0"/>
              <w:jc w:val="center"/>
              <w:rPr>
                <w:rFonts w:ascii="宋体"/>
                <w:snapToGrid w:val="0"/>
                <w:kern w:val="0"/>
                <w:szCs w:val="24"/>
                <w:highlight w:val="none"/>
              </w:rPr>
            </w:pPr>
            <w:r>
              <w:rPr>
                <w:rFonts w:hint="eastAsia" w:ascii="宋体" w:cs="Cambria"/>
                <w:snapToGrid w:val="0"/>
                <w:kern w:val="0"/>
                <w:szCs w:val="24"/>
                <w:highlight w:val="none"/>
              </w:rPr>
              <w:t>响应人</w:t>
            </w:r>
            <w:r>
              <w:rPr>
                <w:rFonts w:hint="eastAsia" w:ascii="宋体"/>
                <w:snapToGrid w:val="0"/>
                <w:kern w:val="0"/>
                <w:szCs w:val="24"/>
                <w:highlight w:val="none"/>
              </w:rPr>
              <w:t>全称</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65659D1D">
            <w:pPr>
              <w:autoSpaceDE/>
              <w:autoSpaceDN/>
              <w:ind w:firstLine="0" w:firstLineChars="0"/>
              <w:jc w:val="center"/>
              <w:rPr>
                <w:rFonts w:ascii="宋体"/>
                <w:szCs w:val="24"/>
                <w:highlight w:val="none"/>
              </w:rPr>
            </w:pPr>
          </w:p>
        </w:tc>
      </w:tr>
      <w:tr w14:paraId="6597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47F26470">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项目名称/标段名称</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3903E5E5">
            <w:pPr>
              <w:autoSpaceDE/>
              <w:autoSpaceDN/>
              <w:ind w:firstLine="0" w:firstLineChars="0"/>
              <w:jc w:val="center"/>
              <w:rPr>
                <w:rFonts w:ascii="宋体" w:cs="Cambria"/>
                <w:szCs w:val="21"/>
                <w:highlight w:val="none"/>
              </w:rPr>
            </w:pPr>
          </w:p>
        </w:tc>
      </w:tr>
      <w:tr w14:paraId="1D2C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779BF424">
            <w:pPr>
              <w:autoSpaceDE/>
              <w:autoSpaceDN/>
              <w:ind w:firstLine="0" w:firstLineChars="0"/>
              <w:jc w:val="center"/>
              <w:rPr>
                <w:rFonts w:ascii="宋体"/>
                <w:snapToGrid w:val="0"/>
                <w:kern w:val="0"/>
                <w:szCs w:val="24"/>
                <w:highlight w:val="none"/>
              </w:rPr>
            </w:pPr>
            <w:r>
              <w:rPr>
                <w:rFonts w:hint="eastAsia" w:ascii="宋体"/>
                <w:snapToGrid w:val="0"/>
                <w:szCs w:val="24"/>
                <w:highlight w:val="none"/>
              </w:rPr>
              <w:t>响应总报价</w:t>
            </w:r>
            <w:r>
              <w:rPr>
                <w:rFonts w:hint="eastAsia" w:ascii="宋体"/>
                <w:szCs w:val="24"/>
                <w:highlight w:val="none"/>
              </w:rPr>
              <w:t>（含税）</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34F1F739">
            <w:pPr>
              <w:pStyle w:val="36"/>
              <w:rPr>
                <w:highlight w:val="none"/>
              </w:rPr>
            </w:pPr>
            <w:r>
              <w:rPr>
                <w:highlight w:val="none"/>
              </w:rPr>
              <w:t>小写</w:t>
            </w:r>
            <w:r>
              <w:rPr>
                <w:rFonts w:hint="eastAsia"/>
                <w:highlight w:val="none"/>
              </w:rPr>
              <w:t xml:space="preserve">：            </w:t>
            </w:r>
            <w:r>
              <w:rPr>
                <w:highlight w:val="none"/>
              </w:rPr>
              <w:t>人民币</w:t>
            </w:r>
          </w:p>
          <w:p w14:paraId="41A62025">
            <w:pPr>
              <w:pStyle w:val="36"/>
              <w:rPr>
                <w:highlight w:val="none"/>
              </w:rPr>
            </w:pPr>
            <w:r>
              <w:rPr>
                <w:rFonts w:hint="eastAsia"/>
                <w:highlight w:val="none"/>
              </w:rPr>
              <w:t>大写：            人民币</w:t>
            </w:r>
          </w:p>
        </w:tc>
      </w:tr>
      <w:tr w14:paraId="63AC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3E34FCEC">
            <w:pPr>
              <w:autoSpaceDE/>
              <w:autoSpaceDN/>
              <w:ind w:firstLine="0" w:firstLineChars="0"/>
              <w:jc w:val="center"/>
              <w:rPr>
                <w:rFonts w:ascii="宋体"/>
                <w:snapToGrid w:val="0"/>
                <w:kern w:val="0"/>
                <w:szCs w:val="24"/>
                <w:highlight w:val="none"/>
              </w:rPr>
            </w:pPr>
            <w:r>
              <w:rPr>
                <w:rFonts w:hint="eastAsia" w:ascii="宋体"/>
                <w:snapToGrid w:val="0"/>
                <w:szCs w:val="24"/>
                <w:highlight w:val="none"/>
              </w:rPr>
              <w:t>响应总报价</w:t>
            </w:r>
            <w:r>
              <w:rPr>
                <w:rFonts w:hint="eastAsia" w:ascii="宋体"/>
                <w:szCs w:val="24"/>
                <w:highlight w:val="none"/>
              </w:rPr>
              <w:t>（不含税）</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11D7BAF6">
            <w:pPr>
              <w:pStyle w:val="36"/>
              <w:rPr>
                <w:highlight w:val="none"/>
              </w:rPr>
            </w:pPr>
            <w:r>
              <w:rPr>
                <w:highlight w:val="none"/>
              </w:rPr>
              <w:t>小写</w:t>
            </w:r>
            <w:r>
              <w:rPr>
                <w:rFonts w:hint="eastAsia"/>
                <w:highlight w:val="none"/>
              </w:rPr>
              <w:t xml:space="preserve">：            </w:t>
            </w:r>
            <w:r>
              <w:rPr>
                <w:highlight w:val="none"/>
              </w:rPr>
              <w:t>人民币</w:t>
            </w:r>
          </w:p>
          <w:p w14:paraId="1C2C1EF3">
            <w:pPr>
              <w:pStyle w:val="36"/>
              <w:rPr>
                <w:highlight w:val="none"/>
              </w:rPr>
            </w:pPr>
            <w:r>
              <w:rPr>
                <w:rFonts w:hint="eastAsia"/>
                <w:highlight w:val="none"/>
              </w:rPr>
              <w:t>大写：            人民币</w:t>
            </w:r>
          </w:p>
        </w:tc>
      </w:tr>
      <w:tr w14:paraId="0272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5B0FDE27">
            <w:pPr>
              <w:autoSpaceDE/>
              <w:autoSpaceDN/>
              <w:ind w:firstLine="0" w:firstLineChars="0"/>
              <w:jc w:val="center"/>
              <w:rPr>
                <w:rFonts w:ascii="宋体"/>
                <w:snapToGrid w:val="0"/>
                <w:kern w:val="0"/>
                <w:szCs w:val="24"/>
                <w:highlight w:val="none"/>
              </w:rPr>
            </w:pPr>
            <w:r>
              <w:rPr>
                <w:rFonts w:hint="eastAsia"/>
                <w:snapToGrid w:val="0"/>
                <w:kern w:val="0"/>
                <w:szCs w:val="24"/>
                <w:highlight w:val="none"/>
              </w:rPr>
              <w:t>免费维保期</w:t>
            </w:r>
          </w:p>
        </w:tc>
        <w:tc>
          <w:tcPr>
            <w:tcW w:w="2073" w:type="dxa"/>
            <w:tcBorders>
              <w:top w:val="single" w:color="auto" w:sz="4" w:space="0"/>
              <w:left w:val="single" w:color="auto" w:sz="4" w:space="0"/>
              <w:bottom w:val="single" w:color="auto" w:sz="4" w:space="0"/>
              <w:right w:val="single" w:color="auto" w:sz="4" w:space="0"/>
            </w:tcBorders>
            <w:vAlign w:val="center"/>
          </w:tcPr>
          <w:p w14:paraId="0ACA5F47">
            <w:pPr>
              <w:autoSpaceDE/>
              <w:autoSpaceDN/>
              <w:ind w:firstLine="0" w:firstLineChars="0"/>
              <w:jc w:val="center"/>
              <w:rPr>
                <w:rFonts w:ascii="宋体"/>
                <w:szCs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14:paraId="10B5E9DB">
            <w:pPr>
              <w:autoSpaceDE/>
              <w:autoSpaceDN/>
              <w:ind w:firstLine="0" w:firstLineChars="0"/>
              <w:jc w:val="center"/>
              <w:rPr>
                <w:rFonts w:ascii="宋体"/>
                <w:szCs w:val="24"/>
                <w:highlight w:val="none"/>
              </w:rPr>
            </w:pPr>
            <w:r>
              <w:rPr>
                <w:rFonts w:hint="eastAsia"/>
                <w:snapToGrid w:val="0"/>
                <w:kern w:val="0"/>
                <w:szCs w:val="24"/>
                <w:highlight w:val="none"/>
              </w:rPr>
              <w:t>免费维保期后的维保费率</w:t>
            </w:r>
          </w:p>
        </w:tc>
        <w:tc>
          <w:tcPr>
            <w:tcW w:w="2075" w:type="dxa"/>
            <w:tcBorders>
              <w:top w:val="single" w:color="auto" w:sz="4" w:space="0"/>
              <w:left w:val="single" w:color="auto" w:sz="4" w:space="0"/>
              <w:bottom w:val="single" w:color="auto" w:sz="4" w:space="0"/>
              <w:right w:val="single" w:color="auto" w:sz="4" w:space="0"/>
            </w:tcBorders>
            <w:vAlign w:val="center"/>
          </w:tcPr>
          <w:p w14:paraId="2DD93FD7">
            <w:pPr>
              <w:autoSpaceDE/>
              <w:autoSpaceDN/>
              <w:ind w:firstLine="0" w:firstLineChars="0"/>
              <w:jc w:val="center"/>
              <w:rPr>
                <w:rFonts w:ascii="宋体"/>
                <w:szCs w:val="24"/>
                <w:highlight w:val="none"/>
              </w:rPr>
            </w:pPr>
          </w:p>
        </w:tc>
      </w:tr>
      <w:tr w14:paraId="14F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0D209120">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开具发票类型</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356C40C9">
            <w:pPr>
              <w:autoSpaceDE/>
              <w:autoSpaceDN/>
              <w:ind w:firstLine="0" w:firstLineChars="0"/>
              <w:jc w:val="center"/>
              <w:rPr>
                <w:rFonts w:ascii="宋体"/>
                <w:szCs w:val="24"/>
                <w:highlight w:val="none"/>
              </w:rPr>
            </w:pPr>
            <w:r>
              <w:rPr>
                <w:rFonts w:hint="eastAsia" w:ascii="宋体"/>
                <w:szCs w:val="24"/>
                <w:highlight w:val="none"/>
              </w:rPr>
              <w:t>税率为</w:t>
            </w:r>
            <w:r>
              <w:rPr>
                <w:rFonts w:hint="eastAsia" w:ascii="宋体"/>
                <w:szCs w:val="24"/>
                <w:highlight w:val="none"/>
                <w:u w:val="single"/>
              </w:rPr>
              <w:t xml:space="preserve">    </w:t>
            </w:r>
            <w:r>
              <w:rPr>
                <w:rFonts w:hint="eastAsia" w:ascii="宋体"/>
                <w:szCs w:val="24"/>
                <w:highlight w:val="none"/>
              </w:rPr>
              <w:t>%的增值税专用发票</w:t>
            </w:r>
          </w:p>
        </w:tc>
      </w:tr>
      <w:tr w14:paraId="3419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292" w:type="dxa"/>
            <w:gridSpan w:val="4"/>
            <w:tcBorders>
              <w:top w:val="single" w:color="auto" w:sz="4" w:space="0"/>
              <w:left w:val="single" w:color="auto" w:sz="4" w:space="0"/>
              <w:bottom w:val="single" w:color="auto" w:sz="4" w:space="0"/>
              <w:right w:val="single" w:color="auto" w:sz="4" w:space="0"/>
            </w:tcBorders>
          </w:tcPr>
          <w:p w14:paraId="7514A565">
            <w:pPr>
              <w:autoSpaceDE/>
              <w:autoSpaceDN/>
              <w:ind w:firstLine="0" w:firstLineChars="0"/>
              <w:rPr>
                <w:rFonts w:ascii="宋体" w:cs="Times New Roman"/>
                <w:snapToGrid w:val="0"/>
                <w:kern w:val="0"/>
                <w:szCs w:val="24"/>
                <w:highlight w:val="none"/>
              </w:rPr>
            </w:pPr>
            <w:r>
              <w:rPr>
                <w:rFonts w:hint="eastAsia" w:ascii="宋体" w:cs="Times New Roman"/>
                <w:snapToGrid w:val="0"/>
                <w:kern w:val="0"/>
                <w:szCs w:val="24"/>
                <w:highlight w:val="none"/>
              </w:rPr>
              <w:t>备注：</w:t>
            </w:r>
          </w:p>
        </w:tc>
      </w:tr>
    </w:tbl>
    <w:p w14:paraId="63CB345B">
      <w:pPr>
        <w:ind w:firstLine="42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05A47069">
      <w:pPr>
        <w:ind w:firstLine="420"/>
        <w:rPr>
          <w:highlight w:val="none"/>
        </w:rPr>
      </w:pPr>
    </w:p>
    <w:p w14:paraId="10792E76">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13F80ED4">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2E5DAA11">
      <w:pPr>
        <w:ind w:right="-29" w:rightChars="-14" w:firstLine="420"/>
        <w:jc w:val="right"/>
        <w:rPr>
          <w:snapToGrid w:val="0"/>
          <w:kern w:val="0"/>
          <w:szCs w:val="24"/>
          <w:highlight w:val="none"/>
        </w:rPr>
      </w:pPr>
      <w:r>
        <w:rPr>
          <w:rFonts w:hint="eastAsia"/>
          <w:snapToGrid w:val="0"/>
          <w:kern w:val="0"/>
          <w:szCs w:val="24"/>
          <w:highlight w:val="none"/>
        </w:rPr>
        <w:t xml:space="preserve">       年     月     日</w:t>
      </w:r>
    </w:p>
    <w:p w14:paraId="5A5219DA">
      <w:pPr>
        <w:ind w:firstLine="420"/>
        <w:rPr>
          <w:highlight w:val="none"/>
        </w:rPr>
      </w:pPr>
      <w:r>
        <w:rPr>
          <w:rFonts w:hint="eastAsia"/>
          <w:highlight w:val="none"/>
        </w:rPr>
        <w:t>有关说明：</w:t>
      </w:r>
    </w:p>
    <w:p w14:paraId="1AB6AB92">
      <w:pPr>
        <w:ind w:firstLine="420"/>
        <w:rPr>
          <w:highlight w:val="none"/>
        </w:rPr>
      </w:pPr>
      <w:r>
        <w:rPr>
          <w:rFonts w:hint="eastAsia"/>
          <w:highlight w:val="none"/>
        </w:rPr>
        <w:t>报价一览表在开标大会上当众宣读，务必填写清楚，准确无误。表格可扩展。</w:t>
      </w:r>
    </w:p>
    <w:p w14:paraId="6CE0BEAD">
      <w:pPr>
        <w:ind w:firstLine="420"/>
        <w:rPr>
          <w:highlight w:val="none"/>
        </w:rPr>
      </w:pPr>
      <w:r>
        <w:rPr>
          <w:rFonts w:hint="eastAsia"/>
          <w:highlight w:val="none"/>
        </w:rPr>
        <w:t>本次报价包含上述维护期的，采购人不再另行支付该维护期内维护费用。</w:t>
      </w:r>
    </w:p>
    <w:p w14:paraId="04FFED5C">
      <w:pPr>
        <w:pStyle w:val="34"/>
        <w:rPr>
          <w:highlight w:val="none"/>
        </w:rPr>
      </w:pPr>
      <w:r>
        <w:rPr>
          <w:highlight w:val="none"/>
        </w:rPr>
        <w:t>三、资格性文件</w:t>
      </w:r>
    </w:p>
    <w:p w14:paraId="6941954C">
      <w:pPr>
        <w:pStyle w:val="16"/>
        <w:rPr>
          <w:highlight w:val="none"/>
        </w:rPr>
      </w:pPr>
      <w:r>
        <w:rPr>
          <w:highlight w:val="none"/>
        </w:rPr>
        <w:t>（一）</w:t>
      </w:r>
      <w:r>
        <w:rPr>
          <w:rFonts w:hint="eastAsia"/>
          <w:highlight w:val="none"/>
        </w:rPr>
        <w:t>响应人</w:t>
      </w:r>
      <w:r>
        <w:rPr>
          <w:highlight w:val="none"/>
        </w:rP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BC0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4096B44">
            <w:pPr>
              <w:pStyle w:val="36"/>
              <w:jc w:val="center"/>
              <w:rPr>
                <w:highlight w:val="none"/>
              </w:rPr>
            </w:pPr>
            <w:r>
              <w:rPr>
                <w:rFonts w:hint="eastAsia"/>
                <w:highlight w:val="none"/>
              </w:rPr>
              <w:t>响应人名称</w:t>
            </w:r>
          </w:p>
        </w:tc>
        <w:tc>
          <w:tcPr>
            <w:tcW w:w="7114" w:type="dxa"/>
            <w:gridSpan w:val="8"/>
          </w:tcPr>
          <w:p w14:paraId="4864BD56">
            <w:pPr>
              <w:pStyle w:val="36"/>
              <w:jc w:val="center"/>
              <w:rPr>
                <w:highlight w:val="none"/>
              </w:rPr>
            </w:pPr>
          </w:p>
        </w:tc>
      </w:tr>
      <w:tr w14:paraId="076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CE87E84">
            <w:pPr>
              <w:pStyle w:val="36"/>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7E4A8BAE">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0CDD8AA0">
            <w:pPr>
              <w:pStyle w:val="36"/>
              <w:jc w:val="center"/>
              <w:rPr>
                <w:highlight w:val="none"/>
              </w:rPr>
            </w:pPr>
            <w:r>
              <w:rPr>
                <w:rFonts w:hint="eastAsia"/>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tcPr>
          <w:p w14:paraId="2A1BCBB5">
            <w:pPr>
              <w:pStyle w:val="36"/>
              <w:jc w:val="center"/>
              <w:rPr>
                <w:highlight w:val="none"/>
              </w:rPr>
            </w:pPr>
          </w:p>
        </w:tc>
      </w:tr>
      <w:tr w14:paraId="1B19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6D87BC79">
            <w:pPr>
              <w:pStyle w:val="36"/>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0B564F11">
            <w:pPr>
              <w:pStyle w:val="36"/>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0924023E">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4576A771">
            <w:pPr>
              <w:pStyle w:val="36"/>
              <w:jc w:val="center"/>
              <w:rPr>
                <w:highlight w:val="none"/>
              </w:rPr>
            </w:pPr>
            <w:r>
              <w:rPr>
                <w:rFonts w:hint="eastAsia"/>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tcPr>
          <w:p w14:paraId="74026640">
            <w:pPr>
              <w:pStyle w:val="36"/>
              <w:jc w:val="center"/>
              <w:rPr>
                <w:highlight w:val="none"/>
              </w:rPr>
            </w:pPr>
          </w:p>
        </w:tc>
      </w:tr>
      <w:tr w14:paraId="38C2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05D96CA">
            <w:pPr>
              <w:ind w:firstLine="420"/>
              <w:rPr>
                <w:highlight w:val="none"/>
              </w:rPr>
            </w:pPr>
          </w:p>
        </w:tc>
        <w:tc>
          <w:tcPr>
            <w:tcW w:w="1077" w:type="dxa"/>
            <w:tcBorders>
              <w:top w:val="single" w:color="auto" w:sz="4" w:space="0"/>
              <w:left w:val="single" w:color="auto" w:sz="4" w:space="0"/>
              <w:right w:val="single" w:color="auto" w:sz="4" w:space="0"/>
            </w:tcBorders>
            <w:vAlign w:val="center"/>
          </w:tcPr>
          <w:p w14:paraId="616E9A26">
            <w:pPr>
              <w:pStyle w:val="36"/>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6B1C8AAE">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41011E1C">
            <w:pPr>
              <w:pStyle w:val="36"/>
              <w:jc w:val="center"/>
              <w:rPr>
                <w:highlight w:val="none"/>
              </w:rPr>
            </w:pPr>
            <w:r>
              <w:rPr>
                <w:rFonts w:hint="eastAsia"/>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tcPr>
          <w:p w14:paraId="62ECFD66">
            <w:pPr>
              <w:pStyle w:val="36"/>
              <w:jc w:val="center"/>
              <w:rPr>
                <w:highlight w:val="none"/>
              </w:rPr>
            </w:pPr>
          </w:p>
        </w:tc>
      </w:tr>
      <w:tr w14:paraId="3284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996A79D">
            <w:pPr>
              <w:pStyle w:val="36"/>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73A8EC7A">
            <w:pPr>
              <w:pStyle w:val="36"/>
              <w:jc w:val="center"/>
              <w:rPr>
                <w:highlight w:val="none"/>
              </w:rPr>
            </w:pPr>
          </w:p>
        </w:tc>
      </w:tr>
      <w:tr w14:paraId="6BA6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233EFA3">
            <w:pPr>
              <w:pStyle w:val="36"/>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0D7D11E4">
            <w:pPr>
              <w:pStyle w:val="36"/>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12240ADB">
            <w:pPr>
              <w:pStyle w:val="36"/>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0BC141CA">
            <w:pPr>
              <w:pStyle w:val="36"/>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00587C6">
            <w:pPr>
              <w:pStyle w:val="36"/>
              <w:jc w:val="center"/>
              <w:rPr>
                <w:highlight w:val="none"/>
              </w:rPr>
            </w:pPr>
          </w:p>
        </w:tc>
        <w:tc>
          <w:tcPr>
            <w:tcW w:w="723" w:type="dxa"/>
            <w:tcBorders>
              <w:top w:val="single" w:color="auto" w:sz="4" w:space="0"/>
              <w:left w:val="single" w:color="auto" w:sz="4" w:space="0"/>
              <w:right w:val="single" w:color="auto" w:sz="4" w:space="0"/>
            </w:tcBorders>
            <w:vAlign w:val="center"/>
          </w:tcPr>
          <w:p w14:paraId="3F3682E8">
            <w:pPr>
              <w:pStyle w:val="36"/>
              <w:jc w:val="center"/>
              <w:rPr>
                <w:highlight w:val="none"/>
              </w:rPr>
            </w:pPr>
            <w:r>
              <w:rPr>
                <w:rFonts w:hint="eastAsia"/>
                <w:highlight w:val="none"/>
              </w:rPr>
              <w:t>电话</w:t>
            </w:r>
          </w:p>
        </w:tc>
        <w:tc>
          <w:tcPr>
            <w:tcW w:w="758" w:type="dxa"/>
            <w:tcBorders>
              <w:top w:val="single" w:color="auto" w:sz="4" w:space="0"/>
              <w:left w:val="single" w:color="auto" w:sz="4" w:space="0"/>
              <w:bottom w:val="single" w:color="auto" w:sz="4" w:space="0"/>
              <w:right w:val="single" w:color="auto" w:sz="4" w:space="0"/>
            </w:tcBorders>
          </w:tcPr>
          <w:p w14:paraId="2948DF2A">
            <w:pPr>
              <w:pStyle w:val="36"/>
              <w:jc w:val="center"/>
              <w:rPr>
                <w:highlight w:val="none"/>
              </w:rPr>
            </w:pPr>
          </w:p>
        </w:tc>
      </w:tr>
      <w:tr w14:paraId="0461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F9101EF">
            <w:pPr>
              <w:pStyle w:val="36"/>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59041F57">
            <w:pPr>
              <w:pStyle w:val="36"/>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0E332D91">
            <w:pPr>
              <w:pStyle w:val="36"/>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C67C8CC">
            <w:pPr>
              <w:pStyle w:val="36"/>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48F31FF">
            <w:pPr>
              <w:pStyle w:val="36"/>
              <w:jc w:val="center"/>
              <w:rPr>
                <w:highlight w:val="none"/>
              </w:rPr>
            </w:pPr>
          </w:p>
        </w:tc>
        <w:tc>
          <w:tcPr>
            <w:tcW w:w="723" w:type="dxa"/>
            <w:tcBorders>
              <w:top w:val="single" w:color="auto" w:sz="4" w:space="0"/>
              <w:left w:val="single" w:color="auto" w:sz="4" w:space="0"/>
              <w:right w:val="single" w:color="auto" w:sz="4" w:space="0"/>
            </w:tcBorders>
            <w:vAlign w:val="center"/>
          </w:tcPr>
          <w:p w14:paraId="547DCF17">
            <w:pPr>
              <w:pStyle w:val="36"/>
              <w:jc w:val="center"/>
              <w:rPr>
                <w:highlight w:val="none"/>
              </w:rPr>
            </w:pPr>
            <w:r>
              <w:rPr>
                <w:rFonts w:hint="eastAsia"/>
                <w:highlight w:val="none"/>
              </w:rPr>
              <w:t>电话</w:t>
            </w:r>
          </w:p>
        </w:tc>
        <w:tc>
          <w:tcPr>
            <w:tcW w:w="758" w:type="dxa"/>
            <w:tcBorders>
              <w:top w:val="single" w:color="auto" w:sz="4" w:space="0"/>
              <w:left w:val="single" w:color="auto" w:sz="4" w:space="0"/>
              <w:bottom w:val="single" w:color="auto" w:sz="4" w:space="0"/>
              <w:right w:val="single" w:color="auto" w:sz="4" w:space="0"/>
            </w:tcBorders>
          </w:tcPr>
          <w:p w14:paraId="797E7BD2">
            <w:pPr>
              <w:pStyle w:val="36"/>
              <w:jc w:val="center"/>
              <w:rPr>
                <w:highlight w:val="none"/>
              </w:rPr>
            </w:pPr>
          </w:p>
        </w:tc>
      </w:tr>
      <w:tr w14:paraId="2C2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BFBB821">
            <w:pPr>
              <w:pStyle w:val="36"/>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22D38E53">
            <w:pPr>
              <w:pStyle w:val="36"/>
              <w:jc w:val="center"/>
              <w:rPr>
                <w:highlight w:val="none"/>
              </w:rPr>
            </w:pPr>
          </w:p>
        </w:tc>
        <w:tc>
          <w:tcPr>
            <w:tcW w:w="4234" w:type="dxa"/>
            <w:gridSpan w:val="6"/>
            <w:tcBorders>
              <w:top w:val="single" w:color="auto" w:sz="4" w:space="0"/>
              <w:left w:val="single" w:color="auto" w:sz="4" w:space="0"/>
              <w:bottom w:val="single" w:color="auto" w:sz="4" w:space="0"/>
              <w:right w:val="single" w:color="auto" w:sz="4" w:space="0"/>
            </w:tcBorders>
          </w:tcPr>
          <w:p w14:paraId="2907D2CE">
            <w:pPr>
              <w:pStyle w:val="36"/>
              <w:jc w:val="center"/>
              <w:rPr>
                <w:highlight w:val="none"/>
              </w:rPr>
            </w:pPr>
            <w:r>
              <w:rPr>
                <w:rFonts w:hint="eastAsia"/>
                <w:highlight w:val="none"/>
              </w:rPr>
              <w:t>员工总人数：</w:t>
            </w:r>
          </w:p>
        </w:tc>
      </w:tr>
      <w:tr w14:paraId="37EE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17B248D">
            <w:pPr>
              <w:pStyle w:val="36"/>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0C35E7E1">
            <w:pPr>
              <w:pStyle w:val="36"/>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0B0D4E20">
            <w:pPr>
              <w:pStyle w:val="36"/>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187ADB9F">
            <w:pPr>
              <w:pStyle w:val="36"/>
              <w:jc w:val="center"/>
              <w:rPr>
                <w:highlight w:val="none"/>
              </w:rPr>
            </w:pPr>
            <w:r>
              <w:rPr>
                <w:rFonts w:hint="eastAsia"/>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tcPr>
          <w:p w14:paraId="3C482CDE">
            <w:pPr>
              <w:pStyle w:val="36"/>
              <w:jc w:val="center"/>
              <w:rPr>
                <w:highlight w:val="none"/>
              </w:rPr>
            </w:pPr>
          </w:p>
        </w:tc>
      </w:tr>
      <w:tr w14:paraId="7AB4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26CF6C0">
            <w:pPr>
              <w:pStyle w:val="36"/>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6942F006">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47FF12EF">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1F86453A">
            <w:pPr>
              <w:pStyle w:val="36"/>
              <w:jc w:val="center"/>
              <w:rPr>
                <w:highlight w:val="none"/>
              </w:rPr>
            </w:pPr>
            <w:r>
              <w:rPr>
                <w:rFonts w:hint="eastAsia"/>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7D1A72D8">
            <w:pPr>
              <w:pStyle w:val="36"/>
              <w:jc w:val="center"/>
              <w:rPr>
                <w:highlight w:val="none"/>
              </w:rPr>
            </w:pPr>
          </w:p>
        </w:tc>
      </w:tr>
      <w:tr w14:paraId="5F2A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5F04FE3">
            <w:pPr>
              <w:pStyle w:val="36"/>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6F355FD9">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6DAB045C">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54D3396D">
            <w:pPr>
              <w:pStyle w:val="36"/>
              <w:jc w:val="center"/>
              <w:rPr>
                <w:highlight w:val="none"/>
              </w:rPr>
            </w:pPr>
            <w:r>
              <w:rPr>
                <w:rFonts w:hint="eastAsia"/>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464EFC1D">
            <w:pPr>
              <w:pStyle w:val="36"/>
              <w:jc w:val="center"/>
              <w:rPr>
                <w:highlight w:val="none"/>
              </w:rPr>
            </w:pPr>
          </w:p>
        </w:tc>
      </w:tr>
      <w:tr w14:paraId="3487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6E74E44">
            <w:pPr>
              <w:pStyle w:val="36"/>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72B231DC">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392FB6BD">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76824733">
            <w:pPr>
              <w:pStyle w:val="36"/>
              <w:jc w:val="center"/>
              <w:rPr>
                <w:highlight w:val="none"/>
              </w:rPr>
            </w:pPr>
            <w:r>
              <w:rPr>
                <w:rFonts w:hint="eastAsia"/>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7EF267DC">
            <w:pPr>
              <w:pStyle w:val="36"/>
              <w:jc w:val="center"/>
              <w:rPr>
                <w:highlight w:val="none"/>
              </w:rPr>
            </w:pPr>
          </w:p>
        </w:tc>
      </w:tr>
      <w:tr w14:paraId="59EF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754A6FF">
            <w:pPr>
              <w:pStyle w:val="36"/>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1597509E">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68FC77EA">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389146E4">
            <w:pPr>
              <w:pStyle w:val="36"/>
              <w:jc w:val="center"/>
              <w:rPr>
                <w:highlight w:val="none"/>
              </w:rPr>
            </w:pPr>
            <w:r>
              <w:rPr>
                <w:rFonts w:hint="eastAsia"/>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tcPr>
          <w:p w14:paraId="38596E79">
            <w:pPr>
              <w:pStyle w:val="36"/>
              <w:jc w:val="center"/>
              <w:rPr>
                <w:highlight w:val="none"/>
              </w:rPr>
            </w:pPr>
          </w:p>
        </w:tc>
      </w:tr>
      <w:tr w14:paraId="5E2E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2E5AA42">
            <w:pPr>
              <w:pStyle w:val="36"/>
              <w:jc w:val="center"/>
              <w:rPr>
                <w:highlight w:val="none"/>
              </w:rPr>
            </w:pPr>
            <w:r>
              <w:rPr>
                <w:rFonts w:hint="eastAsia"/>
                <w:highlight w:val="none"/>
              </w:rPr>
              <w:t>经营范围</w:t>
            </w:r>
          </w:p>
        </w:tc>
        <w:tc>
          <w:tcPr>
            <w:tcW w:w="7114" w:type="dxa"/>
            <w:gridSpan w:val="8"/>
            <w:tcBorders>
              <w:left w:val="single" w:color="auto" w:sz="4" w:space="0"/>
            </w:tcBorders>
          </w:tcPr>
          <w:p w14:paraId="1FC18596">
            <w:pPr>
              <w:pStyle w:val="36"/>
              <w:jc w:val="center"/>
              <w:rPr>
                <w:highlight w:val="none"/>
              </w:rPr>
            </w:pPr>
          </w:p>
        </w:tc>
      </w:tr>
      <w:tr w14:paraId="60BB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D3C0E8E">
            <w:pPr>
              <w:pStyle w:val="36"/>
              <w:jc w:val="center"/>
              <w:rPr>
                <w:highlight w:val="none"/>
              </w:rPr>
            </w:pPr>
            <w:r>
              <w:rPr>
                <w:rFonts w:hint="eastAsia"/>
                <w:highlight w:val="none"/>
              </w:rPr>
              <w:t>备注</w:t>
            </w:r>
          </w:p>
        </w:tc>
        <w:tc>
          <w:tcPr>
            <w:tcW w:w="7114" w:type="dxa"/>
            <w:gridSpan w:val="8"/>
            <w:tcBorders>
              <w:left w:val="single" w:color="auto" w:sz="4" w:space="0"/>
            </w:tcBorders>
          </w:tcPr>
          <w:p w14:paraId="4407224C">
            <w:pPr>
              <w:pStyle w:val="36"/>
              <w:jc w:val="center"/>
              <w:rPr>
                <w:highlight w:val="none"/>
              </w:rPr>
            </w:pPr>
          </w:p>
        </w:tc>
      </w:tr>
    </w:tbl>
    <w:p w14:paraId="152CE54B">
      <w:pPr>
        <w:ind w:firstLine="420"/>
        <w:rPr>
          <w:highlight w:val="none"/>
        </w:rPr>
        <w:sectPr>
          <w:pgSz w:w="11906" w:h="16838"/>
          <w:pgMar w:top="1440" w:right="1800" w:bottom="1440" w:left="1800" w:header="851" w:footer="992" w:gutter="0"/>
          <w:pgNumType w:fmt="decimal"/>
          <w:cols w:space="425" w:num="1"/>
          <w:docGrid w:type="lines" w:linePitch="312" w:charSpace="0"/>
        </w:sectPr>
      </w:pPr>
      <w:r>
        <w:rPr>
          <w:rFonts w:hint="eastAsia"/>
          <w:highlight w:val="none"/>
        </w:rPr>
        <w:t>注：附营业执照（副本）</w:t>
      </w:r>
      <w:r>
        <w:rPr>
          <w:highlight w:val="none"/>
        </w:rPr>
        <w:t>、</w:t>
      </w:r>
      <w:r>
        <w:rPr>
          <w:rFonts w:hint="eastAsia"/>
          <w:highlight w:val="none"/>
        </w:rPr>
        <w:t>资质证明复印件等。</w:t>
      </w:r>
    </w:p>
    <w:p w14:paraId="76651F8C">
      <w:pPr>
        <w:pStyle w:val="16"/>
        <w:rPr>
          <w:highlight w:val="none"/>
        </w:rPr>
      </w:pPr>
      <w:bookmarkStart w:id="338" w:name="_Toc8213"/>
      <w:bookmarkStart w:id="339" w:name="_Toc14270"/>
      <w:bookmarkStart w:id="340" w:name="_Toc378234770"/>
      <w:bookmarkStart w:id="341" w:name="_Toc478053903"/>
      <w:bookmarkStart w:id="342" w:name="_Toc378234584"/>
      <w:bookmarkStart w:id="343" w:name="_Toc478054435"/>
      <w:bookmarkStart w:id="344" w:name="_Toc472780356"/>
      <w:r>
        <w:rPr>
          <w:highlight w:val="none"/>
        </w:rPr>
        <w:t>（二）法定代表人身份证明及授权委托书</w:t>
      </w:r>
      <w:bookmarkEnd w:id="338"/>
      <w:bookmarkEnd w:id="339"/>
      <w:r>
        <w:rPr>
          <w:rFonts w:hint="eastAsia"/>
          <w:highlight w:val="none"/>
        </w:rPr>
        <w:t>（无分支机构）</w:t>
      </w:r>
    </w:p>
    <w:p w14:paraId="20782BA2">
      <w:pPr>
        <w:pStyle w:val="12"/>
        <w:rPr>
          <w:rFonts w:ascii="Times New Roman"/>
          <w:highlight w:val="none"/>
        </w:rPr>
      </w:pPr>
      <w:r>
        <w:rPr>
          <w:rFonts w:ascii="Times New Roman"/>
          <w:highlight w:val="none"/>
        </w:rPr>
        <w:t>法定代表人身份证明书</w:t>
      </w:r>
    </w:p>
    <w:p w14:paraId="3D2E9D60">
      <w:pPr>
        <w:tabs>
          <w:tab w:val="left" w:pos="6300"/>
        </w:tabs>
        <w:snapToGrid w:val="0"/>
        <w:ind w:firstLine="420"/>
        <w:rPr>
          <w:snapToGrid w:val="0"/>
          <w:kern w:val="0"/>
          <w:highlight w:val="none"/>
        </w:rPr>
      </w:pPr>
    </w:p>
    <w:p w14:paraId="40583634">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132449ED">
      <w:pPr>
        <w:tabs>
          <w:tab w:val="left" w:pos="6300"/>
        </w:tabs>
        <w:snapToGrid w:val="0"/>
        <w:ind w:firstLine="420"/>
        <w:rPr>
          <w:snapToGrid w:val="0"/>
          <w:kern w:val="0"/>
          <w:highlight w:val="none"/>
        </w:rPr>
      </w:pPr>
    </w:p>
    <w:p w14:paraId="7234C530">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6D7DB633">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0AC3B4CC">
      <w:pPr>
        <w:tabs>
          <w:tab w:val="left" w:pos="6300"/>
        </w:tabs>
        <w:snapToGrid w:val="0"/>
        <w:ind w:firstLine="420"/>
        <w:rPr>
          <w:snapToGrid w:val="0"/>
          <w:kern w:val="0"/>
          <w:highlight w:val="none"/>
        </w:rPr>
      </w:pPr>
    </w:p>
    <w:p w14:paraId="10FBA9BD">
      <w:pPr>
        <w:tabs>
          <w:tab w:val="left" w:pos="6300"/>
        </w:tabs>
        <w:snapToGrid w:val="0"/>
        <w:ind w:firstLine="420"/>
        <w:rPr>
          <w:snapToGrid w:val="0"/>
          <w:kern w:val="0"/>
          <w:highlight w:val="none"/>
        </w:rPr>
      </w:pPr>
      <w:r>
        <w:rPr>
          <w:rFonts w:hint="eastAsia"/>
          <w:snapToGrid w:val="0"/>
          <w:kern w:val="0"/>
          <w:highlight w:val="none"/>
        </w:rPr>
        <w:t>特此证明。</w:t>
      </w:r>
    </w:p>
    <w:p w14:paraId="21AB70E8">
      <w:pPr>
        <w:tabs>
          <w:tab w:val="left" w:pos="6300"/>
        </w:tabs>
        <w:snapToGrid w:val="0"/>
        <w:ind w:firstLine="420"/>
        <w:rPr>
          <w:snapToGrid w:val="0"/>
          <w:kern w:val="0"/>
          <w:highlight w:val="none"/>
        </w:rPr>
      </w:pPr>
    </w:p>
    <w:p w14:paraId="4917456E">
      <w:pPr>
        <w:tabs>
          <w:tab w:val="left" w:pos="6300"/>
        </w:tabs>
        <w:snapToGrid w:val="0"/>
        <w:ind w:firstLine="420"/>
        <w:rPr>
          <w:snapToGrid w:val="0"/>
          <w:kern w:val="0"/>
          <w:highlight w:val="none"/>
        </w:rPr>
      </w:pPr>
    </w:p>
    <w:p w14:paraId="1CCF5BF0">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A06CAE5">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1A2A2AF">
      <w:pPr>
        <w:tabs>
          <w:tab w:val="left" w:pos="6300"/>
        </w:tabs>
        <w:snapToGrid w:val="0"/>
        <w:ind w:firstLine="420"/>
        <w:rPr>
          <w:snapToGrid w:val="0"/>
          <w:kern w:val="0"/>
          <w:highlight w:val="none"/>
        </w:rPr>
      </w:pPr>
    </w:p>
    <w:p w14:paraId="6747F833">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4F09BA8E">
      <w:pPr>
        <w:tabs>
          <w:tab w:val="left" w:pos="6300"/>
        </w:tabs>
        <w:snapToGrid w:val="0"/>
        <w:ind w:firstLine="420"/>
        <w:rPr>
          <w:snapToGrid w:val="0"/>
          <w:kern w:val="0"/>
          <w:highlight w:val="none"/>
        </w:rPr>
      </w:pPr>
    </w:p>
    <w:p w14:paraId="4346C75B">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0D5ACBDF">
      <w:pPr>
        <w:tabs>
          <w:tab w:val="left" w:pos="6300"/>
        </w:tabs>
        <w:snapToGrid w:val="0"/>
        <w:ind w:firstLine="420"/>
        <w:rPr>
          <w:snapToGrid w:val="0"/>
          <w:kern w:val="0"/>
          <w:highlight w:val="none"/>
        </w:rPr>
      </w:pPr>
    </w:p>
    <w:p w14:paraId="6F4BED5F">
      <w:pPr>
        <w:tabs>
          <w:tab w:val="left" w:pos="6300"/>
        </w:tabs>
        <w:snapToGrid w:val="0"/>
        <w:ind w:firstLine="420"/>
        <w:rPr>
          <w:snapToGrid w:val="0"/>
          <w:kern w:val="0"/>
          <w:highlight w:val="none"/>
        </w:rPr>
      </w:pPr>
    </w:p>
    <w:p w14:paraId="4EDE3AAA">
      <w:pPr>
        <w:tabs>
          <w:tab w:val="left" w:pos="6300"/>
        </w:tabs>
        <w:snapToGrid w:val="0"/>
        <w:ind w:firstLine="420"/>
        <w:rPr>
          <w:snapToGrid w:val="0"/>
          <w:kern w:val="0"/>
          <w:highlight w:val="none"/>
        </w:rPr>
      </w:pPr>
    </w:p>
    <w:p w14:paraId="3E7D6DFD">
      <w:pPr>
        <w:ind w:firstLine="420"/>
        <w:jc w:val="center"/>
        <w:rPr>
          <w:rStyle w:val="29"/>
          <w:rFonts w:ascii="Times New Roman"/>
          <w:highlight w:val="none"/>
        </w:rPr>
      </w:pPr>
      <w:r>
        <w:rPr>
          <w:rFonts w:hint="eastAsia"/>
          <w:snapToGrid w:val="0"/>
          <w:kern w:val="0"/>
          <w:highlight w:val="none"/>
        </w:rPr>
        <w:br w:type="column"/>
      </w:r>
      <w:r>
        <w:rPr>
          <w:rStyle w:val="29"/>
          <w:rFonts w:ascii="Times New Roman"/>
          <w:highlight w:val="none"/>
        </w:rPr>
        <w:t>授权委托书</w:t>
      </w:r>
      <w:r>
        <w:rPr>
          <w:rStyle w:val="29"/>
          <w:highlight w:val="none"/>
        </w:rPr>
        <w:t>（如有）</w:t>
      </w:r>
    </w:p>
    <w:p w14:paraId="6CF161C4">
      <w:pPr>
        <w:pStyle w:val="42"/>
        <w:rPr>
          <w:highlight w:val="none"/>
        </w:rPr>
      </w:pPr>
      <w:r>
        <w:rPr>
          <w:highlight w:val="none"/>
        </w:rPr>
        <w:t>（适用于有委托代理人的情况时采用）</w:t>
      </w:r>
    </w:p>
    <w:p w14:paraId="03409AC3">
      <w:pPr>
        <w:tabs>
          <w:tab w:val="left" w:pos="6300"/>
        </w:tabs>
        <w:snapToGrid w:val="0"/>
        <w:ind w:firstLine="42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607DD65F">
      <w:pPr>
        <w:tabs>
          <w:tab w:val="left" w:pos="6300"/>
        </w:tabs>
        <w:snapToGrid w:val="0"/>
        <w:ind w:firstLine="420"/>
        <w:rPr>
          <w:snapToGrid w:val="0"/>
          <w:kern w:val="0"/>
          <w:highlight w:val="none"/>
        </w:rPr>
      </w:pPr>
    </w:p>
    <w:p w14:paraId="5695E8CF">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0112610">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3CEE1DFD">
      <w:pPr>
        <w:tabs>
          <w:tab w:val="left" w:pos="6300"/>
        </w:tabs>
        <w:snapToGrid w:val="0"/>
        <w:ind w:firstLine="42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16013526">
      <w:pPr>
        <w:tabs>
          <w:tab w:val="left" w:pos="6300"/>
        </w:tabs>
        <w:snapToGrid w:val="0"/>
        <w:ind w:firstLine="42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760BC29">
      <w:pPr>
        <w:tabs>
          <w:tab w:val="left" w:pos="6300"/>
        </w:tabs>
        <w:snapToGrid w:val="0"/>
        <w:ind w:firstLine="420"/>
        <w:rPr>
          <w:snapToGrid w:val="0"/>
          <w:kern w:val="0"/>
          <w:highlight w:val="none"/>
        </w:rPr>
      </w:pPr>
    </w:p>
    <w:tbl>
      <w:tblPr>
        <w:tblStyle w:val="23"/>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4151"/>
      </w:tblGrid>
      <w:tr w14:paraId="6D5C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Borders>
              <w:top w:val="nil"/>
              <w:left w:val="nil"/>
              <w:bottom w:val="nil"/>
              <w:right w:val="nil"/>
            </w:tcBorders>
          </w:tcPr>
          <w:p w14:paraId="651F4410">
            <w:pPr>
              <w:tabs>
                <w:tab w:val="left" w:pos="6300"/>
              </w:tabs>
              <w:snapToGrid w:val="0"/>
              <w:ind w:firstLine="0" w:firstLineChars="0"/>
              <w:rPr>
                <w:snapToGrid w:val="0"/>
                <w:kern w:val="0"/>
                <w:highlight w:val="none"/>
              </w:rPr>
            </w:pPr>
            <w:r>
              <w:rPr>
                <w:snapToGrid w:val="0"/>
                <w:kern w:val="0"/>
                <w:highlight w:val="none"/>
              </w:rPr>
              <w:t>委托代理人</w:t>
            </w:r>
          </w:p>
        </w:tc>
        <w:tc>
          <w:tcPr>
            <w:tcW w:w="4151" w:type="dxa"/>
            <w:tcBorders>
              <w:top w:val="nil"/>
              <w:left w:val="nil"/>
              <w:bottom w:val="nil"/>
              <w:right w:val="nil"/>
            </w:tcBorders>
          </w:tcPr>
          <w:p w14:paraId="7B830B7A">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5273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Borders>
              <w:top w:val="nil"/>
              <w:left w:val="nil"/>
              <w:bottom w:val="nil"/>
              <w:right w:val="nil"/>
            </w:tcBorders>
          </w:tcPr>
          <w:p w14:paraId="0598AF3B">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151" w:type="dxa"/>
            <w:tcBorders>
              <w:top w:val="nil"/>
              <w:left w:val="nil"/>
              <w:bottom w:val="nil"/>
              <w:right w:val="nil"/>
            </w:tcBorders>
          </w:tcPr>
          <w:p w14:paraId="4D87166A">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4055B0C0">
      <w:pPr>
        <w:tabs>
          <w:tab w:val="left" w:pos="6300"/>
        </w:tabs>
        <w:snapToGrid w:val="0"/>
        <w:ind w:firstLine="420"/>
        <w:rPr>
          <w:snapToGrid w:val="0"/>
          <w:kern w:val="0"/>
          <w:highlight w:val="none"/>
        </w:rPr>
      </w:pPr>
    </w:p>
    <w:p w14:paraId="326A84E0">
      <w:pPr>
        <w:tabs>
          <w:tab w:val="left" w:pos="6300"/>
        </w:tabs>
        <w:snapToGrid w:val="0"/>
        <w:ind w:firstLine="420"/>
        <w:rPr>
          <w:snapToGrid w:val="0"/>
          <w:kern w:val="0"/>
          <w:szCs w:val="28"/>
          <w:highlight w:val="none"/>
        </w:rPr>
      </w:pPr>
    </w:p>
    <w:p w14:paraId="3B785806">
      <w:pPr>
        <w:tabs>
          <w:tab w:val="left" w:pos="6300"/>
        </w:tabs>
        <w:snapToGrid w:val="0"/>
        <w:ind w:firstLine="420"/>
        <w:rPr>
          <w:snapToGrid w:val="0"/>
          <w:kern w:val="0"/>
          <w:highlight w:val="none"/>
        </w:rPr>
      </w:pPr>
    </w:p>
    <w:p w14:paraId="12D59F12">
      <w:pPr>
        <w:tabs>
          <w:tab w:val="left" w:pos="6300"/>
        </w:tabs>
        <w:snapToGrid w:val="0"/>
        <w:ind w:firstLine="42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2844348E">
      <w:pPr>
        <w:tabs>
          <w:tab w:val="left" w:pos="6300"/>
        </w:tabs>
        <w:snapToGrid w:val="0"/>
        <w:ind w:firstLine="420"/>
        <w:rPr>
          <w:snapToGrid w:val="0"/>
          <w:kern w:val="0"/>
          <w:highlight w:val="none"/>
        </w:rPr>
      </w:pPr>
    </w:p>
    <w:p w14:paraId="5BA0FC35">
      <w:pPr>
        <w:tabs>
          <w:tab w:val="left" w:pos="6300"/>
        </w:tabs>
        <w:snapToGrid w:val="0"/>
        <w:ind w:firstLine="420"/>
        <w:rPr>
          <w:snapToGrid w:val="0"/>
          <w:kern w:val="0"/>
          <w:highlight w:val="none"/>
        </w:rPr>
      </w:pPr>
    </w:p>
    <w:p w14:paraId="49F8682D">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9C167E7">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6BBBF5C9">
      <w:pPr>
        <w:tabs>
          <w:tab w:val="left" w:pos="6300"/>
        </w:tabs>
        <w:snapToGrid w:val="0"/>
        <w:ind w:right="480" w:firstLine="420"/>
        <w:jc w:val="right"/>
        <w:rPr>
          <w:snapToGrid w:val="0"/>
          <w:kern w:val="0"/>
          <w:highlight w:val="none"/>
        </w:rPr>
      </w:pPr>
      <w:r>
        <w:rPr>
          <w:rFonts w:hint="eastAsia"/>
          <w:snapToGrid w:val="0"/>
          <w:kern w:val="0"/>
          <w:highlight w:val="none"/>
        </w:rPr>
        <w:t>年   月   日</w:t>
      </w:r>
    </w:p>
    <w:p w14:paraId="24D11D4D">
      <w:pPr>
        <w:tabs>
          <w:tab w:val="left" w:pos="6300"/>
        </w:tabs>
        <w:snapToGrid w:val="0"/>
        <w:ind w:firstLine="420"/>
        <w:rPr>
          <w:snapToGrid w:val="0"/>
          <w:kern w:val="0"/>
          <w:highlight w:val="none"/>
        </w:rPr>
      </w:pPr>
    </w:p>
    <w:p w14:paraId="055DE16D">
      <w:pPr>
        <w:tabs>
          <w:tab w:val="left" w:pos="6300"/>
        </w:tabs>
        <w:snapToGrid w:val="0"/>
        <w:ind w:firstLine="420"/>
        <w:rPr>
          <w:snapToGrid w:val="0"/>
          <w:kern w:val="0"/>
          <w:highlight w:val="none"/>
        </w:rPr>
      </w:pPr>
      <w:r>
        <w:rPr>
          <w:rFonts w:hint="eastAsia"/>
          <w:snapToGrid w:val="0"/>
          <w:kern w:val="0"/>
          <w:highlight w:val="none"/>
        </w:rPr>
        <w:t>注：若为法定代表人办理并签署响应文件的，不提供此文件。</w:t>
      </w:r>
    </w:p>
    <w:p w14:paraId="7D9DCCE3">
      <w:pPr>
        <w:ind w:firstLine="420"/>
        <w:rPr>
          <w:highlight w:val="none"/>
        </w:rPr>
      </w:pPr>
    </w:p>
    <w:p w14:paraId="29CA2CCF">
      <w:pPr>
        <w:ind w:firstLine="420"/>
        <w:rPr>
          <w:highlight w:val="none"/>
        </w:rPr>
        <w:sectPr>
          <w:pgSz w:w="11906" w:h="16838"/>
          <w:pgMar w:top="1440" w:right="1800" w:bottom="1440" w:left="1800" w:header="851" w:footer="992" w:gutter="0"/>
          <w:pgNumType w:fmt="decimal"/>
          <w:cols w:space="425" w:num="1"/>
          <w:docGrid w:type="lines" w:linePitch="312" w:charSpace="0"/>
        </w:sectPr>
      </w:pPr>
    </w:p>
    <w:bookmarkEnd w:id="340"/>
    <w:bookmarkEnd w:id="341"/>
    <w:bookmarkEnd w:id="342"/>
    <w:bookmarkEnd w:id="343"/>
    <w:bookmarkEnd w:id="344"/>
    <w:p w14:paraId="4C25BCEB">
      <w:pPr>
        <w:pStyle w:val="16"/>
        <w:rPr>
          <w:highlight w:val="none"/>
        </w:rPr>
      </w:pPr>
      <w:r>
        <w:rPr>
          <w:rFonts w:hint="eastAsia"/>
          <w:highlight w:val="none"/>
        </w:rPr>
        <w:t>（三）书面声明</w:t>
      </w:r>
    </w:p>
    <w:p w14:paraId="5ECD544B">
      <w:pPr>
        <w:tabs>
          <w:tab w:val="left" w:pos="6300"/>
        </w:tabs>
        <w:snapToGrid w:val="0"/>
        <w:ind w:firstLine="480"/>
        <w:rPr>
          <w:rFonts w:ascii="宋体"/>
          <w:sz w:val="24"/>
          <w:highlight w:val="none"/>
        </w:rPr>
      </w:pPr>
    </w:p>
    <w:p w14:paraId="0627A1AF">
      <w:pPr>
        <w:tabs>
          <w:tab w:val="left" w:pos="6300"/>
        </w:tabs>
        <w:snapToGrid w:val="0"/>
        <w:ind w:firstLine="48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39726149">
      <w:pPr>
        <w:tabs>
          <w:tab w:val="left" w:pos="6300"/>
        </w:tabs>
        <w:snapToGrid w:val="0"/>
        <w:ind w:firstLine="480"/>
        <w:rPr>
          <w:rFonts w:ascii="宋体"/>
          <w:sz w:val="24"/>
          <w:highlight w:val="none"/>
        </w:rPr>
      </w:pPr>
    </w:p>
    <w:p w14:paraId="740AF586">
      <w:pPr>
        <w:tabs>
          <w:tab w:val="left" w:pos="6300"/>
        </w:tabs>
        <w:snapToGrid w:val="0"/>
        <w:ind w:firstLine="48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637A04DF">
      <w:pPr>
        <w:tabs>
          <w:tab w:val="left" w:pos="6300"/>
        </w:tabs>
        <w:snapToGrid w:val="0"/>
        <w:ind w:firstLine="48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cs="Cambria"/>
          <w:sz w:val="24"/>
          <w:szCs w:val="24"/>
          <w:highlight w:val="none"/>
        </w:rPr>
        <w:t>我公司本次如若成交，成交后不会对项目进行转包；我公司承诺为产品原厂商，具备对产品二次开发及维护能力；我公司承诺近3年财务状况稳定</w:t>
      </w:r>
      <w:r>
        <w:rPr>
          <w:rFonts w:hint="eastAsia" w:ascii="宋体" w:cs="Cambria"/>
          <w:sz w:val="24"/>
          <w:szCs w:val="24"/>
          <w:highlight w:val="none"/>
          <w:lang w:eastAsia="zh-CN"/>
        </w:rPr>
        <w:t>。</w:t>
      </w:r>
      <w:r>
        <w:rPr>
          <w:rFonts w:hint="eastAsia" w:ascii="宋体"/>
          <w:sz w:val="24"/>
          <w:highlight w:val="none"/>
        </w:rPr>
        <w:t>我方对以上声明负全部法律责任。</w:t>
      </w:r>
    </w:p>
    <w:p w14:paraId="5B19CE21">
      <w:pPr>
        <w:tabs>
          <w:tab w:val="left" w:pos="6300"/>
        </w:tabs>
        <w:snapToGrid w:val="0"/>
        <w:ind w:firstLine="480"/>
        <w:rPr>
          <w:rFonts w:ascii="宋体"/>
          <w:sz w:val="24"/>
          <w:highlight w:val="none"/>
        </w:rPr>
      </w:pPr>
      <w:r>
        <w:rPr>
          <w:rFonts w:hint="eastAsia" w:ascii="宋体"/>
          <w:sz w:val="24"/>
          <w:highlight w:val="none"/>
        </w:rPr>
        <w:t>特此声明。</w:t>
      </w:r>
    </w:p>
    <w:p w14:paraId="0805B024">
      <w:pPr>
        <w:tabs>
          <w:tab w:val="left" w:pos="6300"/>
        </w:tabs>
        <w:snapToGrid w:val="0"/>
        <w:ind w:firstLine="480"/>
        <w:rPr>
          <w:rFonts w:ascii="宋体"/>
          <w:sz w:val="24"/>
          <w:highlight w:val="none"/>
        </w:rPr>
      </w:pPr>
    </w:p>
    <w:p w14:paraId="5D431AFC">
      <w:pPr>
        <w:tabs>
          <w:tab w:val="left" w:pos="6300"/>
        </w:tabs>
        <w:snapToGrid w:val="0"/>
        <w:ind w:firstLine="480"/>
        <w:rPr>
          <w:rFonts w:ascii="宋体"/>
          <w:sz w:val="24"/>
          <w:highlight w:val="none"/>
        </w:rPr>
      </w:pPr>
    </w:p>
    <w:p w14:paraId="726F2171">
      <w:pPr>
        <w:tabs>
          <w:tab w:val="left" w:pos="6300"/>
        </w:tabs>
        <w:snapToGrid w:val="0"/>
        <w:ind w:firstLine="480"/>
        <w:rPr>
          <w:rFonts w:ascii="宋体"/>
          <w:sz w:val="24"/>
          <w:highlight w:val="none"/>
        </w:rPr>
      </w:pPr>
    </w:p>
    <w:p w14:paraId="2C62DB78">
      <w:pPr>
        <w:tabs>
          <w:tab w:val="left" w:pos="6300"/>
        </w:tabs>
        <w:snapToGrid w:val="0"/>
        <w:ind w:right="424" w:firstLine="480"/>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678A6854">
      <w:pPr>
        <w:tabs>
          <w:tab w:val="left" w:pos="6300"/>
        </w:tabs>
        <w:snapToGrid w:val="0"/>
        <w:ind w:right="480" w:firstLine="480"/>
        <w:jc w:val="right"/>
        <w:rPr>
          <w:rFonts w:ascii="宋体"/>
          <w:sz w:val="24"/>
          <w:highlight w:val="none"/>
        </w:rPr>
      </w:pPr>
      <w:r>
        <w:rPr>
          <w:rFonts w:hint="eastAsia" w:ascii="宋体"/>
          <w:sz w:val="24"/>
          <w:highlight w:val="none"/>
        </w:rPr>
        <w:t>年   月   日</w:t>
      </w:r>
    </w:p>
    <w:p w14:paraId="43D14145">
      <w:pPr>
        <w:ind w:firstLine="480"/>
        <w:jc w:val="left"/>
        <w:rPr>
          <w:rFonts w:ascii="宋体" w:cs="等线 Light"/>
          <w:snapToGrid w:val="0"/>
          <w:kern w:val="0"/>
          <w:sz w:val="24"/>
          <w:szCs w:val="24"/>
          <w:highlight w:val="none"/>
        </w:rPr>
      </w:pPr>
    </w:p>
    <w:p w14:paraId="4DC1DD57">
      <w:pPr>
        <w:ind w:firstLine="480"/>
        <w:jc w:val="left"/>
        <w:rPr>
          <w:rFonts w:ascii="宋体" w:cs="等线 Light"/>
          <w:snapToGrid w:val="0"/>
          <w:kern w:val="0"/>
          <w:sz w:val="24"/>
          <w:szCs w:val="24"/>
          <w:highlight w:val="none"/>
        </w:rPr>
      </w:pPr>
    </w:p>
    <w:p w14:paraId="21553450">
      <w:pPr>
        <w:ind w:firstLine="480"/>
        <w:jc w:val="left"/>
        <w:rPr>
          <w:rFonts w:ascii="宋体" w:cs="等线 Light"/>
          <w:snapToGrid w:val="0"/>
          <w:kern w:val="0"/>
          <w:sz w:val="24"/>
          <w:szCs w:val="24"/>
          <w:highlight w:val="none"/>
        </w:rPr>
      </w:pPr>
    </w:p>
    <w:p w14:paraId="5CC4B581">
      <w:pPr>
        <w:ind w:firstLine="420"/>
        <w:rPr>
          <w:b/>
          <w:bCs/>
          <w:highlight w:val="none"/>
        </w:rPr>
      </w:pPr>
      <w:r>
        <w:rPr>
          <w:rFonts w:hint="eastAsia"/>
          <w:kern w:val="0"/>
          <w:highlight w:val="none"/>
        </w:rPr>
        <w:br w:type="page"/>
      </w:r>
    </w:p>
    <w:p w14:paraId="01740AE8">
      <w:pPr>
        <w:pStyle w:val="16"/>
        <w:rPr>
          <w:highlight w:val="none"/>
        </w:rPr>
      </w:pPr>
      <w:r>
        <w:rPr>
          <w:highlight w:val="none"/>
        </w:rPr>
        <w:t>（</w:t>
      </w:r>
      <w:r>
        <w:rPr>
          <w:rFonts w:hint="eastAsia"/>
          <w:highlight w:val="none"/>
        </w:rPr>
        <w:t>四</w:t>
      </w:r>
      <w:r>
        <w:rPr>
          <w:highlight w:val="none"/>
        </w:rPr>
        <w:t>）中国执行信息公开网截图</w:t>
      </w:r>
    </w:p>
    <w:p w14:paraId="5BD30F1E">
      <w:pPr>
        <w:ind w:firstLine="420"/>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AF7CB83">
      <w:pPr>
        <w:ind w:firstLine="420"/>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w:t>
      </w:r>
      <w:bookmarkStart w:id="345" w:name="OLE_LINK1"/>
      <w:r>
        <w:rPr>
          <w:rFonts w:hint="eastAsia"/>
          <w:highlight w:val="none"/>
        </w:rPr>
        <w:t>加盖单位鲜章</w:t>
      </w:r>
      <w:bookmarkEnd w:id="345"/>
    </w:p>
    <w:p w14:paraId="1F474F30">
      <w:pPr>
        <w:ind w:firstLine="420"/>
        <w:rPr>
          <w:highlight w:val="none"/>
        </w:rPr>
      </w:pPr>
    </w:p>
    <w:p w14:paraId="0DB59BD0">
      <w:pPr>
        <w:ind w:firstLine="420"/>
        <w:rPr>
          <w:highlight w:val="none"/>
        </w:rPr>
      </w:pPr>
    </w:p>
    <w:p w14:paraId="0B2736F5">
      <w:pPr>
        <w:ind w:firstLine="420"/>
        <w:rPr>
          <w:highlight w:val="none"/>
        </w:rPr>
      </w:pPr>
    </w:p>
    <w:p w14:paraId="7A7417E9">
      <w:pPr>
        <w:ind w:firstLine="420"/>
        <w:rPr>
          <w:highlight w:val="none"/>
        </w:rPr>
      </w:pPr>
      <w:r>
        <w:rPr>
          <w:rFonts w:hint="eastAsia"/>
          <w:highlight w:val="none"/>
        </w:rPr>
        <w:br w:type="page"/>
      </w:r>
    </w:p>
    <w:p w14:paraId="52C64DB7">
      <w:pPr>
        <w:pStyle w:val="16"/>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1CA039ED">
      <w:pPr>
        <w:ind w:firstLine="420"/>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49DB07C6">
      <w:pPr>
        <w:ind w:firstLine="420"/>
        <w:rPr>
          <w:highlight w:val="none"/>
        </w:rPr>
      </w:pPr>
      <w:r>
        <w:rPr>
          <w:rFonts w:hint="eastAsia"/>
          <w:highlight w:val="none"/>
        </w:rPr>
        <w:t>2、项目简介（格式自拟）</w:t>
      </w:r>
    </w:p>
    <w:p w14:paraId="72C60620">
      <w:pPr>
        <w:ind w:firstLine="420"/>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31E5F99B">
      <w:pPr>
        <w:ind w:firstLine="420"/>
        <w:rPr>
          <w:highlight w:val="none"/>
        </w:rPr>
      </w:pPr>
      <w:r>
        <w:rPr>
          <w:rFonts w:hint="eastAsia"/>
          <w:highlight w:val="none"/>
        </w:rPr>
        <w:t>4、国产化案例须在合同项目名称或建设内容中明确体现适配国产操作系统、中间件、数据库</w:t>
      </w:r>
      <w:r>
        <w:rPr>
          <w:rFonts w:hint="eastAsia"/>
          <w:highlight w:val="none"/>
          <w:lang w:val="en-US" w:eastAsia="zh-CN"/>
        </w:rPr>
        <w:t>等内容</w:t>
      </w:r>
      <w:r>
        <w:rPr>
          <w:rFonts w:hint="eastAsia"/>
          <w:highlight w:val="none"/>
        </w:rPr>
        <w:t>，或提供相关厂家针对响应产品出具的软件授权适配证明（需包含操作系统、中间件、数据库授权）。</w:t>
      </w:r>
    </w:p>
    <w:p w14:paraId="5EA56C13">
      <w:pPr>
        <w:ind w:firstLine="420"/>
        <w:rPr>
          <w:highlight w:val="none"/>
        </w:rPr>
      </w:pPr>
    </w:p>
    <w:p w14:paraId="0B2FFAA9">
      <w:pPr>
        <w:ind w:firstLine="420"/>
        <w:rPr>
          <w:highlight w:val="none"/>
          <w:lang w:val="zh-CN"/>
        </w:rPr>
      </w:pPr>
    </w:p>
    <w:p w14:paraId="4AAFCC22">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1815115D">
      <w:pPr>
        <w:pStyle w:val="16"/>
        <w:rPr>
          <w:highlight w:val="none"/>
        </w:rPr>
      </w:pPr>
      <w:r>
        <w:rPr>
          <w:rFonts w:hint="eastAsia"/>
          <w:highlight w:val="none"/>
          <w:lang w:val="zh-CN"/>
        </w:rPr>
        <w:t>（</w:t>
      </w:r>
      <w:r>
        <w:rPr>
          <w:rFonts w:hint="eastAsia"/>
          <w:highlight w:val="none"/>
          <w:lang w:val="en-US" w:eastAsia="zh-CN"/>
        </w:rPr>
        <w:t>六</w:t>
      </w:r>
      <w:r>
        <w:rPr>
          <w:rFonts w:hint="eastAsia"/>
          <w:highlight w:val="none"/>
          <w:lang w:val="zh-CN"/>
        </w:rPr>
        <w:t>）</w:t>
      </w:r>
      <w:r>
        <w:rPr>
          <w:rFonts w:hint="eastAsia"/>
          <w:highlight w:val="none"/>
        </w:rPr>
        <w:t>认证证书</w:t>
      </w:r>
    </w:p>
    <w:p w14:paraId="7B47CBC3">
      <w:pPr>
        <w:ind w:firstLine="420"/>
        <w:rPr>
          <w:highlight w:val="none"/>
        </w:rPr>
      </w:pPr>
      <w:r>
        <w:rPr>
          <w:rFonts w:hint="eastAsia"/>
          <w:highlight w:val="none"/>
        </w:rPr>
        <w:t>软件研发体系CMMI3级及以上认证证书并加盖单位鲜章</w:t>
      </w:r>
    </w:p>
    <w:p w14:paraId="0C60F3C6">
      <w:pPr>
        <w:ind w:firstLine="420"/>
        <w:rPr>
          <w:highlight w:val="none"/>
          <w:lang w:val="zh-CN"/>
        </w:rPr>
      </w:pPr>
      <w:r>
        <w:rPr>
          <w:rFonts w:hint="eastAsia"/>
          <w:highlight w:val="none"/>
          <w:lang w:val="zh-CN"/>
        </w:rPr>
        <w:br w:type="page"/>
      </w:r>
    </w:p>
    <w:p w14:paraId="7E74B730">
      <w:pPr>
        <w:pStyle w:val="16"/>
        <w:rPr>
          <w:highlight w:val="none"/>
          <w:lang w:val="zh-CN"/>
        </w:rPr>
      </w:pPr>
      <w:r>
        <w:rPr>
          <w:rFonts w:hint="eastAsia"/>
          <w:highlight w:val="none"/>
          <w:lang w:val="zh-CN"/>
        </w:rPr>
        <w:t>（</w:t>
      </w:r>
      <w:r>
        <w:rPr>
          <w:rFonts w:hint="eastAsia"/>
          <w:highlight w:val="none"/>
          <w:lang w:val="en-US" w:eastAsia="zh-CN"/>
        </w:rPr>
        <w:t>七</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5EA4987C">
      <w:pPr>
        <w:ind w:firstLine="420"/>
        <w:rPr>
          <w:highlight w:val="none"/>
          <w:lang w:val="zh-CN"/>
        </w:rPr>
      </w:pPr>
    </w:p>
    <w:p w14:paraId="6B7AA430">
      <w:pPr>
        <w:ind w:firstLine="420"/>
        <w:rPr>
          <w:highlight w:val="none"/>
          <w:lang w:val="zh-CN"/>
        </w:rPr>
      </w:pPr>
    </w:p>
    <w:p w14:paraId="5AF9A8CB">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36CD4831">
      <w:pPr>
        <w:pStyle w:val="34"/>
        <w:rPr>
          <w:highlight w:val="none"/>
        </w:rPr>
      </w:pPr>
      <w:r>
        <w:rPr>
          <w:highlight w:val="none"/>
        </w:rPr>
        <w:t>四、响应性文件</w:t>
      </w:r>
    </w:p>
    <w:p w14:paraId="7C574E79">
      <w:pPr>
        <w:pStyle w:val="16"/>
        <w:rPr>
          <w:highlight w:val="none"/>
        </w:rPr>
      </w:pPr>
      <w:r>
        <w:rPr>
          <w:rFonts w:hint="eastAsia"/>
          <w:highlight w:val="none"/>
        </w:rPr>
        <w:t>（一）响应承诺函</w:t>
      </w:r>
    </w:p>
    <w:p w14:paraId="41DE8980">
      <w:pPr>
        <w:ind w:firstLine="420"/>
        <w:rPr>
          <w:highlight w:val="none"/>
        </w:rPr>
      </w:pPr>
      <w:r>
        <w:rPr>
          <w:rFonts w:hint="eastAsia"/>
          <w:highlight w:val="none"/>
        </w:rPr>
        <w:t>项目名称：</w:t>
      </w:r>
    </w:p>
    <w:p w14:paraId="114DC0FB">
      <w:pPr>
        <w:ind w:firstLine="420"/>
        <w:rPr>
          <w:highlight w:val="none"/>
        </w:rPr>
      </w:pPr>
    </w:p>
    <w:p w14:paraId="6EF1099D">
      <w:pPr>
        <w:ind w:firstLine="420"/>
        <w:rPr>
          <w:highlight w:val="none"/>
        </w:rPr>
      </w:pPr>
      <w:r>
        <w:rPr>
          <w:rFonts w:hint="eastAsia"/>
          <w:highlight w:val="none"/>
        </w:rPr>
        <w:t>致：重庆三峡银行股份有限公司：</w:t>
      </w:r>
    </w:p>
    <w:p w14:paraId="300AC139">
      <w:pPr>
        <w:ind w:firstLine="420"/>
        <w:rPr>
          <w:highlight w:val="none"/>
        </w:rPr>
      </w:pPr>
      <w:r>
        <w:rPr>
          <w:highlight w:val="none"/>
        </w:rPr>
        <w:t>我公司郑重承诺，完全清楚并响应第三章“项目要求”所有内容。</w:t>
      </w:r>
    </w:p>
    <w:p w14:paraId="27A384D8">
      <w:pPr>
        <w:ind w:firstLine="420"/>
        <w:rPr>
          <w:highlight w:val="none"/>
        </w:rPr>
      </w:pPr>
      <w:r>
        <w:rPr>
          <w:highlight w:val="none"/>
        </w:rPr>
        <w:t>我公司成交后，未征得采购人书面同意的情况下不得更换项目成员。</w:t>
      </w:r>
    </w:p>
    <w:p w14:paraId="472C23D7">
      <w:pPr>
        <w:ind w:firstLine="420"/>
        <w:rPr>
          <w:highlight w:val="none"/>
        </w:rPr>
      </w:pPr>
      <w:r>
        <w:rPr>
          <w:highlight w:val="none"/>
        </w:rPr>
        <w:t>我公司成交后，将按照采购人《软件研发项目实施细则》要求提交各项文档。</w:t>
      </w:r>
    </w:p>
    <w:p w14:paraId="4115EC42">
      <w:pPr>
        <w:ind w:firstLine="420"/>
        <w:rPr>
          <w:highlight w:val="none"/>
        </w:rPr>
      </w:pPr>
      <w:r>
        <w:rPr>
          <w:rFonts w:hint="eastAsia"/>
          <w:highlight w:val="none"/>
        </w:rPr>
        <w:t>我公司成交后，在交易反欺诈、反电诈及账户分级分类应用场景下需对风控系统进行扩容或搭建新的环境的，提供产品license不得对节点数、cpu或用户数等进行限制或收费。</w:t>
      </w:r>
    </w:p>
    <w:p w14:paraId="2D993380">
      <w:pPr>
        <w:spacing w:line="480" w:lineRule="exact"/>
        <w:ind w:firstLine="0" w:firstLineChars="0"/>
        <w:rPr>
          <w:highlight w:val="none"/>
        </w:rPr>
      </w:pPr>
      <w:r>
        <w:rPr>
          <w:rFonts w:hint="eastAsia"/>
          <w:highlight w:val="none"/>
        </w:rPr>
        <w:t>特此承诺。</w:t>
      </w:r>
    </w:p>
    <w:p w14:paraId="695975B6">
      <w:pPr>
        <w:ind w:firstLine="0" w:firstLineChars="0"/>
        <w:rPr>
          <w:highlight w:val="none"/>
        </w:rPr>
      </w:pPr>
    </w:p>
    <w:p w14:paraId="2805C603">
      <w:pPr>
        <w:tabs>
          <w:tab w:val="left" w:pos="6300"/>
        </w:tabs>
        <w:snapToGrid w:val="0"/>
        <w:spacing w:line="480" w:lineRule="exact"/>
        <w:ind w:right="424" w:firstLine="420"/>
        <w:jc w:val="right"/>
        <w:rPr>
          <w:rFonts w:ascii="宋体"/>
          <w:highlight w:val="none"/>
        </w:rPr>
      </w:pPr>
      <w:r>
        <w:rPr>
          <w:rFonts w:hint="eastAsia" w:ascii="宋体"/>
          <w:highlight w:val="none"/>
        </w:rPr>
        <w:t xml:space="preserve">   （</w:t>
      </w:r>
      <w:r>
        <w:rPr>
          <w:rFonts w:hint="eastAsia" w:ascii="宋体" w:cs="等线 Light"/>
          <w:snapToGrid w:val="0"/>
          <w:kern w:val="0"/>
          <w:szCs w:val="24"/>
          <w:highlight w:val="none"/>
        </w:rPr>
        <w:t>响应</w:t>
      </w:r>
      <w:r>
        <w:rPr>
          <w:rFonts w:hint="eastAsia" w:ascii="宋体"/>
          <w:highlight w:val="none"/>
        </w:rPr>
        <w:t>人公章）</w:t>
      </w:r>
    </w:p>
    <w:p w14:paraId="008A18B1">
      <w:pPr>
        <w:ind w:firstLine="420"/>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ighlight w:val="none"/>
        </w:rPr>
        <w:t>年   月   日</w:t>
      </w:r>
    </w:p>
    <w:p w14:paraId="4CE1E93C">
      <w:pPr>
        <w:pStyle w:val="16"/>
        <w:rPr>
          <w:rFonts w:ascii="宋体"/>
          <w:szCs w:val="24"/>
          <w:highlight w:val="none"/>
        </w:rPr>
        <w:sectPr>
          <w:footerReference r:id="rId20" w:type="default"/>
          <w:pgSz w:w="11906" w:h="16838"/>
          <w:pgMar w:top="1384" w:right="1700" w:bottom="1440" w:left="1800" w:header="851" w:footer="992" w:gutter="0"/>
          <w:pgNumType w:fmt="decimal"/>
          <w:cols w:space="425" w:num="1"/>
          <w:docGrid w:type="lines" w:linePitch="312" w:charSpace="14336"/>
        </w:sectPr>
      </w:pPr>
      <w:r>
        <w:rPr>
          <w:rFonts w:hint="eastAsia"/>
          <w:highlight w:val="none"/>
          <w:lang w:val="zh-CN"/>
        </w:rPr>
        <w:t>（</w:t>
      </w:r>
      <w:r>
        <w:rPr>
          <w:highlight w:val="none"/>
          <w:lang w:val="zh-CN"/>
        </w:rPr>
        <w:t>二</w:t>
      </w:r>
      <w:r>
        <w:rPr>
          <w:rFonts w:hint="eastAsia"/>
          <w:highlight w:val="none"/>
          <w:lang w:val="zh-CN"/>
        </w:rPr>
        <w:t>）</w:t>
      </w:r>
      <w:r>
        <w:rPr>
          <w:highlight w:val="none"/>
        </w:rPr>
        <w:t>服务水平协议（SLA）</w:t>
      </w:r>
      <w:r>
        <w:rPr>
          <w:rFonts w:hint="eastAsia"/>
          <w:highlight w:val="none"/>
          <w:lang w:val="zh-CN"/>
        </w:rPr>
        <w:t>（</w:t>
      </w:r>
      <w:r>
        <w:rPr>
          <w:rFonts w:hint="eastAsia"/>
          <w:highlight w:val="none"/>
        </w:rPr>
        <w:t>如有</w:t>
      </w:r>
      <w:r>
        <w:rPr>
          <w:rFonts w:hint="eastAsia"/>
          <w:highlight w:val="none"/>
          <w:lang w:val="zh-CN"/>
        </w:rPr>
        <w:t>）</w:t>
      </w:r>
    </w:p>
    <w:tbl>
      <w:tblPr>
        <w:tblStyle w:val="23"/>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03"/>
        <w:gridCol w:w="1103"/>
        <w:gridCol w:w="1232"/>
        <w:gridCol w:w="2667"/>
        <w:gridCol w:w="1006"/>
      </w:tblGrid>
      <w:tr w14:paraId="7EDF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1BD7FB6">
            <w:pPr>
              <w:ind w:firstLine="0" w:firstLineChars="0"/>
              <w:rPr>
                <w:rFonts w:ascii="宋体" w:cs="Times New Roman"/>
                <w:b/>
                <w:szCs w:val="21"/>
                <w:highlight w:val="none"/>
              </w:rPr>
            </w:pPr>
            <w:r>
              <w:rPr>
                <w:rFonts w:ascii="宋体" w:cs="Times New Roman"/>
                <w:b/>
                <w:szCs w:val="21"/>
                <w:highlight w:val="none"/>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2DD9310D">
            <w:pPr>
              <w:ind w:firstLine="0" w:firstLineChars="0"/>
              <w:rPr>
                <w:rFonts w:ascii="宋体" w:cs="Times New Roman"/>
                <w:b/>
                <w:szCs w:val="21"/>
                <w:highlight w:val="none"/>
              </w:rPr>
            </w:pPr>
            <w:r>
              <w:rPr>
                <w:rFonts w:ascii="宋体" w:cs="Times New Roman"/>
                <w:b/>
                <w:szCs w:val="21"/>
                <w:highlight w:val="none"/>
              </w:rPr>
              <w:t>评价维度</w:t>
            </w:r>
          </w:p>
        </w:tc>
        <w:tc>
          <w:tcPr>
            <w:tcW w:w="1103" w:type="dxa"/>
            <w:tcBorders>
              <w:top w:val="single" w:color="auto" w:sz="4" w:space="0"/>
              <w:left w:val="single" w:color="auto" w:sz="4" w:space="0"/>
              <w:bottom w:val="single" w:color="auto" w:sz="4" w:space="0"/>
              <w:right w:val="single" w:color="auto" w:sz="4" w:space="0"/>
            </w:tcBorders>
            <w:vAlign w:val="center"/>
          </w:tcPr>
          <w:p w14:paraId="003B8197">
            <w:pPr>
              <w:ind w:firstLine="0" w:firstLineChars="0"/>
              <w:rPr>
                <w:rFonts w:ascii="宋体" w:cs="Times New Roman"/>
                <w:b/>
                <w:szCs w:val="21"/>
                <w:highlight w:val="none"/>
              </w:rPr>
            </w:pPr>
            <w:r>
              <w:rPr>
                <w:rFonts w:ascii="宋体" w:cs="Times New Roman"/>
                <w:b/>
                <w:szCs w:val="21"/>
                <w:highlight w:val="none"/>
              </w:rPr>
              <w:t>评价指标</w:t>
            </w:r>
          </w:p>
        </w:tc>
        <w:tc>
          <w:tcPr>
            <w:tcW w:w="1232" w:type="dxa"/>
            <w:tcBorders>
              <w:top w:val="single" w:color="auto" w:sz="4" w:space="0"/>
              <w:left w:val="single" w:color="auto" w:sz="4" w:space="0"/>
              <w:bottom w:val="single" w:color="auto" w:sz="4" w:space="0"/>
              <w:right w:val="single" w:color="auto" w:sz="4" w:space="0"/>
            </w:tcBorders>
            <w:vAlign w:val="center"/>
          </w:tcPr>
          <w:p w14:paraId="05E7245F">
            <w:pPr>
              <w:ind w:firstLine="0" w:firstLineChars="0"/>
              <w:rPr>
                <w:rFonts w:ascii="宋体" w:cs="Times New Roman"/>
                <w:b/>
                <w:szCs w:val="21"/>
                <w:highlight w:val="none"/>
              </w:rPr>
            </w:pPr>
            <w:r>
              <w:rPr>
                <w:rFonts w:ascii="宋体" w:cs="Times New Roman"/>
                <w:b/>
                <w:szCs w:val="21"/>
                <w:highlight w:val="none"/>
              </w:rPr>
              <w:t>指标定义</w:t>
            </w:r>
          </w:p>
        </w:tc>
        <w:tc>
          <w:tcPr>
            <w:tcW w:w="2667" w:type="dxa"/>
            <w:tcBorders>
              <w:top w:val="single" w:color="auto" w:sz="4" w:space="0"/>
              <w:left w:val="single" w:color="auto" w:sz="4" w:space="0"/>
              <w:bottom w:val="single" w:color="auto" w:sz="4" w:space="0"/>
              <w:right w:val="single" w:color="auto" w:sz="4" w:space="0"/>
            </w:tcBorders>
            <w:vAlign w:val="center"/>
          </w:tcPr>
          <w:p w14:paraId="0F6B11EE">
            <w:pPr>
              <w:ind w:firstLine="0" w:firstLineChars="0"/>
              <w:rPr>
                <w:rFonts w:ascii="宋体" w:cs="Times New Roman"/>
                <w:b/>
                <w:szCs w:val="21"/>
                <w:highlight w:val="none"/>
              </w:rPr>
            </w:pPr>
            <w:r>
              <w:rPr>
                <w:rFonts w:ascii="宋体" w:cs="Times New Roman"/>
                <w:b/>
                <w:szCs w:val="21"/>
                <w:highlight w:val="none"/>
              </w:rPr>
              <w:t>评分</w:t>
            </w:r>
            <w:r>
              <w:rPr>
                <w:rFonts w:hint="eastAsia" w:ascii="宋体" w:cs="Times New Roman"/>
                <w:b/>
                <w:szCs w:val="21"/>
                <w:highlight w:val="none"/>
              </w:rPr>
              <w:t>/价</w:t>
            </w:r>
            <w:r>
              <w:rPr>
                <w:rFonts w:ascii="宋体" w:cs="Times New Roman"/>
                <w:b/>
                <w:szCs w:val="21"/>
                <w:highlight w:val="none"/>
              </w:rPr>
              <w:t>标准</w:t>
            </w:r>
          </w:p>
        </w:tc>
        <w:tc>
          <w:tcPr>
            <w:tcW w:w="1006" w:type="dxa"/>
            <w:tcBorders>
              <w:top w:val="single" w:color="auto" w:sz="4" w:space="0"/>
              <w:left w:val="single" w:color="auto" w:sz="4" w:space="0"/>
              <w:bottom w:val="single" w:color="auto" w:sz="4" w:space="0"/>
              <w:right w:val="single" w:color="auto" w:sz="4" w:space="0"/>
            </w:tcBorders>
            <w:vAlign w:val="center"/>
          </w:tcPr>
          <w:p w14:paraId="199B88E7">
            <w:pPr>
              <w:ind w:firstLine="0" w:firstLineChars="0"/>
              <w:rPr>
                <w:rFonts w:ascii="宋体" w:cs="Times New Roman"/>
                <w:b/>
                <w:szCs w:val="21"/>
                <w:highlight w:val="none"/>
              </w:rPr>
            </w:pPr>
            <w:r>
              <w:rPr>
                <w:rFonts w:hint="eastAsia" w:ascii="宋体" w:cs="Times New Roman"/>
                <w:b/>
                <w:szCs w:val="21"/>
                <w:highlight w:val="none"/>
              </w:rPr>
              <w:t>违约金标准</w:t>
            </w:r>
          </w:p>
        </w:tc>
      </w:tr>
      <w:tr w14:paraId="1A4F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697D466A">
            <w:pPr>
              <w:ind w:firstLine="0" w:firstLineChars="0"/>
              <w:jc w:val="center"/>
              <w:rPr>
                <w:rFonts w:ascii="宋体" w:cs="Times New Roman"/>
                <w:szCs w:val="21"/>
                <w:highlight w:val="none"/>
              </w:rPr>
            </w:pPr>
            <w:r>
              <w:rPr>
                <w:rFonts w:hint="eastAsia" w:ascii="宋体" w:cs="Times New Roman"/>
                <w:szCs w:val="21"/>
                <w:highlight w:val="none"/>
              </w:rPr>
              <w:t>1</w:t>
            </w:r>
          </w:p>
        </w:tc>
        <w:tc>
          <w:tcPr>
            <w:tcW w:w="1103" w:type="dxa"/>
            <w:vMerge w:val="restart"/>
            <w:tcBorders>
              <w:top w:val="single" w:color="auto" w:sz="4" w:space="0"/>
              <w:left w:val="single" w:color="auto" w:sz="4" w:space="0"/>
              <w:right w:val="single" w:color="auto" w:sz="4" w:space="0"/>
            </w:tcBorders>
            <w:vAlign w:val="center"/>
          </w:tcPr>
          <w:p w14:paraId="06034746">
            <w:pPr>
              <w:ind w:firstLine="0" w:firstLineChars="0"/>
              <w:jc w:val="left"/>
              <w:rPr>
                <w:rFonts w:ascii="宋体" w:cs="Times New Roman"/>
                <w:szCs w:val="21"/>
                <w:highlight w:val="none"/>
              </w:rPr>
            </w:pPr>
            <w:r>
              <w:rPr>
                <w:rFonts w:hint="eastAsia" w:ascii="宋体" w:cs="Times New Roman"/>
                <w:szCs w:val="21"/>
                <w:highlight w:val="none"/>
              </w:rPr>
              <w:t>服务质量</w:t>
            </w:r>
          </w:p>
        </w:tc>
        <w:tc>
          <w:tcPr>
            <w:tcW w:w="1103" w:type="dxa"/>
            <w:tcBorders>
              <w:top w:val="single" w:color="auto" w:sz="4" w:space="0"/>
              <w:left w:val="single" w:color="auto" w:sz="4" w:space="0"/>
              <w:right w:val="single" w:color="auto" w:sz="4" w:space="0"/>
            </w:tcBorders>
            <w:vAlign w:val="center"/>
          </w:tcPr>
          <w:p w14:paraId="46D1F816">
            <w:pPr>
              <w:ind w:firstLine="0" w:firstLineChars="0"/>
              <w:rPr>
                <w:rFonts w:ascii="宋体" w:cs="Times New Roman"/>
                <w:szCs w:val="21"/>
                <w:highlight w:val="none"/>
              </w:rPr>
            </w:pPr>
            <w:r>
              <w:rPr>
                <w:rFonts w:ascii="宋体" w:cs="Times New Roman"/>
                <w:szCs w:val="21"/>
                <w:highlight w:val="none"/>
              </w:rPr>
              <w:t>交付成果质量</w:t>
            </w:r>
          </w:p>
        </w:tc>
        <w:tc>
          <w:tcPr>
            <w:tcW w:w="1232" w:type="dxa"/>
            <w:tcBorders>
              <w:top w:val="single" w:color="auto" w:sz="4" w:space="0"/>
              <w:left w:val="single" w:color="auto" w:sz="4" w:space="0"/>
              <w:right w:val="single" w:color="auto" w:sz="4" w:space="0"/>
            </w:tcBorders>
            <w:vAlign w:val="center"/>
          </w:tcPr>
          <w:p w14:paraId="00272B8E">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所提交的项目交付成果与</w:t>
            </w:r>
            <w:r>
              <w:rPr>
                <w:rFonts w:hint="eastAsia" w:ascii="宋体" w:cs="Times New Roman"/>
                <w:szCs w:val="21"/>
                <w:highlight w:val="none"/>
              </w:rPr>
              <w:t>甲方</w:t>
            </w:r>
            <w:r>
              <w:rPr>
                <w:rFonts w:ascii="宋体" w:cs="Times New Roman"/>
                <w:szCs w:val="21"/>
                <w:highlight w:val="none"/>
              </w:rPr>
              <w:t>要求的项目交付成果的契合度或交付成果质量与合同所约定要求的项目交付成果质量的满足程度</w:t>
            </w:r>
          </w:p>
        </w:tc>
        <w:tc>
          <w:tcPr>
            <w:tcW w:w="2667" w:type="dxa"/>
            <w:tcBorders>
              <w:top w:val="single" w:color="auto" w:sz="4" w:space="0"/>
              <w:left w:val="single" w:color="auto" w:sz="4" w:space="0"/>
              <w:right w:val="single" w:color="auto" w:sz="4" w:space="0"/>
            </w:tcBorders>
            <w:vAlign w:val="center"/>
          </w:tcPr>
          <w:p w14:paraId="79BE859A">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能够主动快速与</w:t>
            </w:r>
            <w:r>
              <w:rPr>
                <w:rFonts w:hint="eastAsia" w:ascii="宋体" w:cs="Times New Roman"/>
                <w:szCs w:val="21"/>
                <w:highlight w:val="none"/>
              </w:rPr>
              <w:t>甲方</w:t>
            </w:r>
            <w:r>
              <w:rPr>
                <w:rFonts w:ascii="宋体" w:cs="Times New Roman"/>
                <w:szCs w:val="21"/>
                <w:highlight w:val="none"/>
              </w:rPr>
              <w:t>进行有效的沟通，交付成果高度契合需求，完全满足并超出合同约定的预期目标，给</w:t>
            </w:r>
            <w:r>
              <w:rPr>
                <w:rFonts w:hint="eastAsia" w:ascii="宋体" w:cs="Times New Roman"/>
                <w:szCs w:val="21"/>
                <w:highlight w:val="none"/>
              </w:rPr>
              <w:t>甲方</w:t>
            </w:r>
            <w:r>
              <w:rPr>
                <w:rFonts w:ascii="宋体" w:cs="Times New Roman"/>
                <w:szCs w:val="21"/>
                <w:highlight w:val="none"/>
              </w:rPr>
              <w:t>带来显著的附加价值</w:t>
            </w:r>
            <w:r>
              <w:rPr>
                <w:rFonts w:hint="eastAsia" w:ascii="宋体" w:cs="Times New Roman"/>
                <w:szCs w:val="21"/>
                <w:highlight w:val="none"/>
              </w:rPr>
              <w:t>；</w:t>
            </w:r>
          </w:p>
          <w:p w14:paraId="1D186CCB">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能够快速响应需求，交付成果达到合同约定的预期目标，基本契合需求，满足合同约定的预期目标</w:t>
            </w:r>
            <w:r>
              <w:rPr>
                <w:rFonts w:hint="eastAsia" w:ascii="宋体" w:cs="Times New Roman"/>
                <w:szCs w:val="21"/>
                <w:highlight w:val="none"/>
              </w:rPr>
              <w:t>；</w:t>
            </w:r>
          </w:p>
          <w:p w14:paraId="4D1275BF">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能够按要求响应需求，交付成果</w:t>
            </w:r>
            <w:r>
              <w:rPr>
                <w:rFonts w:hint="eastAsia" w:ascii="宋体" w:cs="Times New Roman"/>
                <w:szCs w:val="21"/>
                <w:highlight w:val="none"/>
              </w:rPr>
              <w:t>基本满足</w:t>
            </w:r>
            <w:r>
              <w:rPr>
                <w:rFonts w:ascii="宋体" w:cs="Times New Roman"/>
                <w:szCs w:val="21"/>
                <w:highlight w:val="none"/>
              </w:rPr>
              <w:t>需求，但是总体可满足合同约定的预期目标</w:t>
            </w:r>
            <w:r>
              <w:rPr>
                <w:rFonts w:hint="eastAsia" w:ascii="宋体" w:cs="Times New Roman"/>
                <w:szCs w:val="21"/>
                <w:highlight w:val="none"/>
              </w:rPr>
              <w:t>；</w:t>
            </w:r>
          </w:p>
          <w:p w14:paraId="583BFD99">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乙方未</w:t>
            </w:r>
            <w:r>
              <w:rPr>
                <w:rFonts w:ascii="宋体" w:cs="Times New Roman"/>
                <w:szCs w:val="21"/>
                <w:highlight w:val="none"/>
              </w:rPr>
              <w:t>能够按要求响应需求，</w:t>
            </w:r>
            <w:r>
              <w:rPr>
                <w:rFonts w:hint="eastAsia" w:ascii="宋体" w:cs="Times New Roman"/>
                <w:szCs w:val="21"/>
                <w:highlight w:val="none"/>
              </w:rPr>
              <w:t>或</w:t>
            </w:r>
            <w:r>
              <w:rPr>
                <w:rFonts w:ascii="宋体" w:cs="Times New Roman"/>
                <w:szCs w:val="21"/>
                <w:highlight w:val="none"/>
              </w:rPr>
              <w:t>交付成果与需求</w:t>
            </w:r>
            <w:r>
              <w:rPr>
                <w:rFonts w:hint="eastAsia" w:ascii="宋体" w:cs="Times New Roman"/>
                <w:szCs w:val="21"/>
                <w:highlight w:val="none"/>
              </w:rPr>
              <w:t>契合度</w:t>
            </w:r>
            <w:r>
              <w:rPr>
                <w:rFonts w:ascii="宋体" w:cs="Times New Roman"/>
                <w:szCs w:val="21"/>
                <w:highlight w:val="none"/>
              </w:rPr>
              <w:t>差距较大，无法达到合同约定的预期目标</w:t>
            </w:r>
            <w:r>
              <w:rPr>
                <w:rFonts w:hint="eastAsia" w:ascii="宋体" w:cs="Times New Roman"/>
                <w:szCs w:val="21"/>
                <w:highlight w:val="none"/>
              </w:rPr>
              <w:t>。</w:t>
            </w:r>
          </w:p>
        </w:tc>
        <w:tc>
          <w:tcPr>
            <w:tcW w:w="1006" w:type="dxa"/>
            <w:tcBorders>
              <w:top w:val="single" w:color="auto" w:sz="4" w:space="0"/>
              <w:left w:val="single" w:color="auto" w:sz="4" w:space="0"/>
              <w:right w:val="single" w:color="auto" w:sz="4" w:space="0"/>
            </w:tcBorders>
            <w:vAlign w:val="center"/>
          </w:tcPr>
          <w:p w14:paraId="107CAEED">
            <w:pPr>
              <w:ind w:firstLine="0" w:firstLineChars="0"/>
              <w:rPr>
                <w:rFonts w:ascii="宋体" w:cs="Times New Roman"/>
                <w:szCs w:val="21"/>
                <w:highlight w:val="none"/>
              </w:rPr>
            </w:pPr>
            <w:r>
              <w:rPr>
                <w:rFonts w:hint="eastAsia" w:ascii="宋体" w:cs="Times New Roman"/>
                <w:szCs w:val="21"/>
                <w:highlight w:val="none"/>
              </w:rPr>
              <w:t>交付成果每缺少一项扣除乙方金额人民币2</w:t>
            </w:r>
            <w:r>
              <w:rPr>
                <w:rFonts w:ascii="宋体" w:cs="Times New Roman"/>
                <w:szCs w:val="21"/>
                <w:highlight w:val="none"/>
              </w:rPr>
              <w:t>000</w:t>
            </w:r>
            <w:r>
              <w:rPr>
                <w:rFonts w:hint="eastAsia" w:ascii="宋体" w:cs="Times New Roman"/>
                <w:szCs w:val="21"/>
                <w:highlight w:val="none"/>
              </w:rPr>
              <w:t>元；每有一项交付成果质量不合格扣除乙方金额人民币2</w:t>
            </w:r>
            <w:r>
              <w:rPr>
                <w:rFonts w:ascii="宋体" w:cs="Times New Roman"/>
                <w:szCs w:val="21"/>
                <w:highlight w:val="none"/>
              </w:rPr>
              <w:t>000</w:t>
            </w:r>
            <w:r>
              <w:rPr>
                <w:rFonts w:hint="eastAsia" w:ascii="宋体" w:cs="Times New Roman"/>
                <w:szCs w:val="21"/>
                <w:highlight w:val="none"/>
              </w:rPr>
              <w:t>元。</w:t>
            </w:r>
          </w:p>
        </w:tc>
      </w:tr>
      <w:tr w14:paraId="59DB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750E87DB">
            <w:pPr>
              <w:ind w:firstLine="0" w:firstLineChars="0"/>
              <w:jc w:val="center"/>
              <w:rPr>
                <w:rFonts w:ascii="宋体" w:cs="Times New Roman"/>
                <w:szCs w:val="21"/>
                <w:highlight w:val="none"/>
              </w:rPr>
            </w:pPr>
            <w:r>
              <w:rPr>
                <w:rFonts w:hint="eastAsia" w:ascii="宋体" w:cs="Times New Roman"/>
                <w:szCs w:val="21"/>
                <w:highlight w:val="none"/>
              </w:rPr>
              <w:t>2</w:t>
            </w:r>
          </w:p>
        </w:tc>
        <w:tc>
          <w:tcPr>
            <w:tcW w:w="1103" w:type="dxa"/>
            <w:vMerge w:val="continue"/>
            <w:tcBorders>
              <w:top w:val="single" w:color="auto" w:sz="4" w:space="0"/>
              <w:left w:val="single" w:color="auto" w:sz="4" w:space="0"/>
              <w:right w:val="single" w:color="auto" w:sz="4" w:space="0"/>
            </w:tcBorders>
          </w:tcPr>
          <w:p w14:paraId="497EC9A7">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200AF77E">
            <w:pPr>
              <w:ind w:firstLine="0" w:firstLineChars="0"/>
              <w:rPr>
                <w:rFonts w:ascii="宋体" w:cs="Times New Roman"/>
                <w:szCs w:val="21"/>
                <w:highlight w:val="none"/>
              </w:rPr>
            </w:pPr>
            <w:r>
              <w:rPr>
                <w:rFonts w:ascii="宋体" w:cs="Times New Roman"/>
                <w:szCs w:val="21"/>
                <w:highlight w:val="none"/>
              </w:rPr>
              <w:t>成果交付延期情况</w:t>
            </w:r>
          </w:p>
        </w:tc>
        <w:tc>
          <w:tcPr>
            <w:tcW w:w="1232" w:type="dxa"/>
            <w:tcBorders>
              <w:top w:val="single" w:color="auto" w:sz="4" w:space="0"/>
              <w:left w:val="single" w:color="auto" w:sz="4" w:space="0"/>
              <w:right w:val="single" w:color="auto" w:sz="4" w:space="0"/>
            </w:tcBorders>
            <w:vAlign w:val="center"/>
          </w:tcPr>
          <w:p w14:paraId="5FC55EDC">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因乙方原因导致</w:t>
            </w:r>
            <w:r>
              <w:rPr>
                <w:rFonts w:ascii="宋体" w:cs="Times New Roman"/>
                <w:szCs w:val="21"/>
                <w:highlight w:val="none"/>
              </w:rPr>
              <w:t>项目交付成果时间与合同规定时间之间的差距</w:t>
            </w:r>
          </w:p>
        </w:tc>
        <w:tc>
          <w:tcPr>
            <w:tcW w:w="2667" w:type="dxa"/>
            <w:tcBorders>
              <w:top w:val="single" w:color="auto" w:sz="4" w:space="0"/>
              <w:left w:val="single" w:color="auto" w:sz="4" w:space="0"/>
              <w:right w:val="single" w:color="auto" w:sz="4" w:space="0"/>
            </w:tcBorders>
            <w:vAlign w:val="center"/>
          </w:tcPr>
          <w:p w14:paraId="31D4FFB4">
            <w:pPr>
              <w:ind w:firstLine="0" w:firstLineChars="0"/>
              <w:rPr>
                <w:rFonts w:ascii="宋体" w:cs="Times New Roman"/>
                <w:szCs w:val="21"/>
                <w:highlight w:val="none"/>
              </w:rPr>
            </w:pPr>
            <w:r>
              <w:rPr>
                <w:rFonts w:hint="eastAsia" w:ascii="宋体" w:cs="Times New Roman"/>
                <w:szCs w:val="21"/>
                <w:highlight w:val="none"/>
              </w:rPr>
              <w:t>实</w:t>
            </w:r>
            <w:r>
              <w:rPr>
                <w:rFonts w:ascii="宋体" w:cs="Times New Roman"/>
                <w:szCs w:val="21"/>
                <w:highlight w:val="none"/>
              </w:rPr>
              <w:t>际交付成果日期与合同约定交付日期之差</w:t>
            </w:r>
          </w:p>
          <w:p w14:paraId="536277CD">
            <w:pPr>
              <w:ind w:firstLine="0" w:firstLineChars="0"/>
              <w:rPr>
                <w:rFonts w:ascii="宋体" w:cs="Times New Roman"/>
                <w:szCs w:val="21"/>
                <w:highlight w:val="none"/>
              </w:rPr>
            </w:pPr>
            <w:r>
              <w:rPr>
                <w:rFonts w:hint="eastAsia" w:ascii="宋体" w:cs="Times New Roman"/>
                <w:b/>
                <w:bCs/>
                <w:szCs w:val="21"/>
                <w:highlight w:val="none"/>
              </w:rPr>
              <w:t>【得分上限5分】</w:t>
            </w:r>
          </w:p>
          <w:p w14:paraId="039AE465">
            <w:pPr>
              <w:ind w:firstLine="0" w:firstLineChars="0"/>
              <w:rPr>
                <w:rFonts w:ascii="宋体" w:cs="Times New Roman"/>
                <w:szCs w:val="21"/>
                <w:highlight w:val="none"/>
              </w:rPr>
            </w:pPr>
            <w:r>
              <w:rPr>
                <w:rFonts w:hint="eastAsia" w:ascii="宋体" w:cs="Times New Roman"/>
                <w:b/>
                <w:bCs/>
                <w:szCs w:val="21"/>
                <w:highlight w:val="none"/>
              </w:rPr>
              <w:t>无延期：</w:t>
            </w:r>
            <w:r>
              <w:rPr>
                <w:rFonts w:hint="eastAsia" w:ascii="宋体" w:cs="Times New Roman"/>
                <w:szCs w:val="21"/>
                <w:highlight w:val="none"/>
              </w:rPr>
              <w:t>指未出现延期，该项指标满分；</w:t>
            </w:r>
          </w:p>
          <w:p w14:paraId="68389FE6">
            <w:pPr>
              <w:ind w:firstLine="0" w:firstLineChars="0"/>
              <w:rPr>
                <w:rFonts w:ascii="宋体" w:cs="Times New Roman"/>
                <w:szCs w:val="21"/>
                <w:highlight w:val="none"/>
              </w:rPr>
            </w:pPr>
            <w:r>
              <w:rPr>
                <w:rFonts w:hint="eastAsia" w:ascii="宋体" w:cs="Times New Roman"/>
                <w:b/>
                <w:bCs/>
                <w:szCs w:val="21"/>
                <w:highlight w:val="none"/>
              </w:rPr>
              <w:t>0＜延期≤3个月：</w:t>
            </w:r>
            <w:r>
              <w:rPr>
                <w:rFonts w:hint="eastAsia" w:ascii="宋体" w:cs="Times New Roman"/>
                <w:szCs w:val="21"/>
                <w:highlight w:val="none"/>
              </w:rPr>
              <w:t>扣2分，指出现延期3个月</w:t>
            </w:r>
            <w:r>
              <w:rPr>
                <w:rFonts w:ascii="宋体" w:cs="Times New Roman"/>
                <w:szCs w:val="21"/>
                <w:highlight w:val="none"/>
              </w:rPr>
              <w:t>（含）</w:t>
            </w:r>
            <w:r>
              <w:rPr>
                <w:rFonts w:hint="eastAsia" w:ascii="宋体" w:cs="Times New Roman"/>
                <w:szCs w:val="21"/>
                <w:highlight w:val="none"/>
              </w:rPr>
              <w:t>以内；</w:t>
            </w:r>
          </w:p>
          <w:p w14:paraId="5F5B3702">
            <w:pPr>
              <w:ind w:firstLine="0" w:firstLineChars="0"/>
              <w:rPr>
                <w:rFonts w:ascii="宋体" w:cs="Times New Roman"/>
                <w:szCs w:val="21"/>
                <w:highlight w:val="none"/>
              </w:rPr>
            </w:pPr>
            <w:r>
              <w:rPr>
                <w:rFonts w:hint="eastAsia" w:ascii="宋体" w:cs="Times New Roman"/>
                <w:b/>
                <w:bCs/>
                <w:szCs w:val="21"/>
                <w:highlight w:val="none"/>
              </w:rPr>
              <w:t>3＜延期≤6个月：</w:t>
            </w:r>
            <w:r>
              <w:rPr>
                <w:rFonts w:hint="eastAsia" w:ascii="宋体" w:cs="Times New Roman"/>
                <w:szCs w:val="21"/>
                <w:highlight w:val="none"/>
              </w:rPr>
              <w:t>扣3分，指出现延期大于3个月且小于等于6个月；</w:t>
            </w:r>
          </w:p>
          <w:p w14:paraId="495A3C9D">
            <w:pPr>
              <w:ind w:firstLine="0" w:firstLineChars="0"/>
              <w:rPr>
                <w:rFonts w:ascii="宋体" w:cs="Times New Roman"/>
                <w:b/>
                <w:bCs/>
                <w:szCs w:val="21"/>
                <w:highlight w:val="none"/>
              </w:rPr>
            </w:pPr>
            <w:r>
              <w:rPr>
                <w:rFonts w:hint="eastAsia" w:ascii="宋体" w:cs="Times New Roman"/>
                <w:b/>
                <w:bCs/>
                <w:szCs w:val="21"/>
                <w:highlight w:val="none"/>
              </w:rPr>
              <w:t>延期6个月以上：</w:t>
            </w:r>
            <w:r>
              <w:rPr>
                <w:rFonts w:hint="eastAsia" w:ascii="宋体" w:cs="Times New Roman"/>
                <w:szCs w:val="21"/>
                <w:highlight w:val="none"/>
              </w:rPr>
              <w:t>扣5分，指出现延期6个月以上。</w:t>
            </w:r>
          </w:p>
        </w:tc>
        <w:tc>
          <w:tcPr>
            <w:tcW w:w="1006" w:type="dxa"/>
            <w:tcBorders>
              <w:top w:val="single" w:color="auto" w:sz="4" w:space="0"/>
              <w:left w:val="single" w:color="auto" w:sz="4" w:space="0"/>
              <w:right w:val="single" w:color="auto" w:sz="4" w:space="0"/>
            </w:tcBorders>
            <w:vAlign w:val="center"/>
          </w:tcPr>
          <w:p w14:paraId="25D43AAA">
            <w:pPr>
              <w:ind w:firstLine="0" w:firstLineChars="0"/>
              <w:rPr>
                <w:rFonts w:ascii="宋体" w:cs="Times New Roman"/>
                <w:b/>
                <w:bCs/>
                <w:szCs w:val="21"/>
                <w:highlight w:val="none"/>
              </w:rPr>
            </w:pPr>
            <w:r>
              <w:rPr>
                <w:rFonts w:hint="eastAsia" w:ascii="宋体" w:cs="Times New Roman"/>
                <w:szCs w:val="21"/>
                <w:highlight w:val="none"/>
              </w:rPr>
              <w:t>若延期超过1个月，每延期增加一天扣除合同总金额的0.1%（注：最多扣除不超过合同总金额的10%）。</w:t>
            </w:r>
          </w:p>
        </w:tc>
      </w:tr>
      <w:tr w14:paraId="26B2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C4944A1">
            <w:pPr>
              <w:ind w:firstLine="0" w:firstLineChars="0"/>
              <w:jc w:val="center"/>
              <w:rPr>
                <w:rFonts w:ascii="宋体" w:cs="Times New Roman"/>
                <w:szCs w:val="21"/>
                <w:highlight w:val="none"/>
              </w:rPr>
            </w:pPr>
            <w:r>
              <w:rPr>
                <w:rFonts w:hint="eastAsia" w:ascii="宋体" w:cs="Times New Roman"/>
                <w:szCs w:val="21"/>
                <w:highlight w:val="none"/>
              </w:rPr>
              <w:t>3</w:t>
            </w:r>
          </w:p>
        </w:tc>
        <w:tc>
          <w:tcPr>
            <w:tcW w:w="1103" w:type="dxa"/>
            <w:vMerge w:val="continue"/>
            <w:tcBorders>
              <w:top w:val="single" w:color="auto" w:sz="4" w:space="0"/>
              <w:left w:val="single" w:color="auto" w:sz="4" w:space="0"/>
              <w:right w:val="single" w:color="auto" w:sz="4" w:space="0"/>
            </w:tcBorders>
          </w:tcPr>
          <w:p w14:paraId="31DAC149">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3035DD78">
            <w:pPr>
              <w:ind w:firstLine="0" w:firstLineChars="0"/>
              <w:rPr>
                <w:rFonts w:ascii="宋体" w:cs="Times New Roman"/>
                <w:szCs w:val="21"/>
                <w:highlight w:val="none"/>
              </w:rPr>
            </w:pPr>
            <w:r>
              <w:rPr>
                <w:rFonts w:ascii="宋体" w:cs="Times New Roman"/>
                <w:szCs w:val="21"/>
                <w:highlight w:val="none"/>
              </w:rPr>
              <w:t>产品缺陷密度</w:t>
            </w:r>
          </w:p>
        </w:tc>
        <w:tc>
          <w:tcPr>
            <w:tcW w:w="1232" w:type="dxa"/>
            <w:tcBorders>
              <w:top w:val="single" w:color="auto" w:sz="4" w:space="0"/>
              <w:left w:val="single" w:color="auto" w:sz="4" w:space="0"/>
              <w:right w:val="single" w:color="auto" w:sz="4" w:space="0"/>
            </w:tcBorders>
            <w:vAlign w:val="center"/>
          </w:tcPr>
          <w:p w14:paraId="1D7E172B">
            <w:pPr>
              <w:ind w:firstLine="0" w:firstLineChars="0"/>
              <w:rPr>
                <w:rFonts w:ascii="宋体" w:cs="Times New Roman"/>
                <w:szCs w:val="21"/>
                <w:highlight w:val="none"/>
              </w:rPr>
            </w:pPr>
            <w:r>
              <w:rPr>
                <w:rFonts w:ascii="宋体" w:cs="Times New Roman"/>
                <w:szCs w:val="21"/>
                <w:highlight w:val="none"/>
              </w:rPr>
              <w:t>用于记录统计周期内单位功能</w:t>
            </w:r>
            <w:r>
              <w:rPr>
                <w:rFonts w:hint="eastAsia" w:ascii="宋体" w:cs="Times New Roman"/>
                <w:szCs w:val="21"/>
                <w:highlight w:val="none"/>
              </w:rPr>
              <w:t>（案例）</w:t>
            </w:r>
            <w:r>
              <w:rPr>
                <w:rFonts w:ascii="宋体" w:cs="Times New Roman"/>
                <w:szCs w:val="21"/>
                <w:highlight w:val="none"/>
              </w:rPr>
              <w:t>点发现的缺陷数量</w:t>
            </w:r>
          </w:p>
        </w:tc>
        <w:tc>
          <w:tcPr>
            <w:tcW w:w="2667" w:type="dxa"/>
            <w:tcBorders>
              <w:top w:val="single" w:color="auto" w:sz="4" w:space="0"/>
              <w:left w:val="single" w:color="auto" w:sz="4" w:space="0"/>
              <w:right w:val="single" w:color="auto" w:sz="4" w:space="0"/>
            </w:tcBorders>
            <w:vAlign w:val="center"/>
          </w:tcPr>
          <w:p w14:paraId="094B868B">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品缺陷密度=统计周期内发现的该系统有效缺陷数/统计周期内该系统功能点总数</w:t>
            </w:r>
            <w:r>
              <w:rPr>
                <w:rFonts w:hint="eastAsia" w:ascii="宋体" w:cs="Times New Roman"/>
                <w:szCs w:val="21"/>
                <w:highlight w:val="none"/>
              </w:rPr>
              <w:t>（案例数）</w:t>
            </w:r>
          </w:p>
          <w:p w14:paraId="317545A2">
            <w:pPr>
              <w:ind w:firstLine="0" w:firstLineChars="0"/>
              <w:rPr>
                <w:rFonts w:ascii="宋体" w:cs="Times New Roman"/>
                <w:b/>
                <w:szCs w:val="21"/>
                <w:highlight w:val="none"/>
              </w:rPr>
            </w:pPr>
            <w:r>
              <w:rPr>
                <w:rFonts w:hint="eastAsia" w:ascii="宋体" w:cs="Times New Roman"/>
                <w:b/>
                <w:szCs w:val="21"/>
                <w:highlight w:val="none"/>
              </w:rPr>
              <w:t>10分【0-5%】</w:t>
            </w:r>
          </w:p>
          <w:p w14:paraId="7AFD2819">
            <w:pPr>
              <w:ind w:firstLine="0" w:firstLineChars="0"/>
              <w:rPr>
                <w:rFonts w:ascii="宋体" w:cs="Times New Roman"/>
                <w:b/>
                <w:szCs w:val="21"/>
                <w:highlight w:val="none"/>
              </w:rPr>
            </w:pPr>
            <w:r>
              <w:rPr>
                <w:rFonts w:hint="eastAsia" w:ascii="宋体" w:cs="Times New Roman"/>
                <w:b/>
                <w:szCs w:val="21"/>
                <w:highlight w:val="none"/>
              </w:rPr>
              <w:t>5分【5%-20%】</w:t>
            </w:r>
          </w:p>
          <w:p w14:paraId="5CF83586">
            <w:pPr>
              <w:ind w:firstLine="0" w:firstLineChars="0"/>
              <w:rPr>
                <w:rFonts w:ascii="宋体" w:cs="Times New Roman"/>
                <w:b/>
                <w:szCs w:val="21"/>
                <w:highlight w:val="none"/>
              </w:rPr>
            </w:pPr>
            <w:r>
              <w:rPr>
                <w:rFonts w:hint="eastAsia" w:ascii="宋体" w:cs="Times New Roman"/>
                <w:b/>
                <w:szCs w:val="21"/>
                <w:highlight w:val="none"/>
              </w:rPr>
              <w:t>0分【超过20%】</w:t>
            </w:r>
          </w:p>
        </w:tc>
        <w:tc>
          <w:tcPr>
            <w:tcW w:w="1006" w:type="dxa"/>
            <w:tcBorders>
              <w:top w:val="single" w:color="auto" w:sz="4" w:space="0"/>
              <w:left w:val="single" w:color="auto" w:sz="4" w:space="0"/>
              <w:right w:val="single" w:color="auto" w:sz="4" w:space="0"/>
            </w:tcBorders>
            <w:vAlign w:val="center"/>
          </w:tcPr>
          <w:p w14:paraId="392A4BFE">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w:t>
            </w:r>
            <w:r>
              <w:rPr>
                <w:rFonts w:hint="eastAsia" w:ascii="宋体" w:cs="Times New Roman"/>
                <w:szCs w:val="21"/>
                <w:highlight w:val="none"/>
              </w:rPr>
              <w:t>陷</w:t>
            </w:r>
            <w:r>
              <w:rPr>
                <w:rFonts w:ascii="宋体" w:cs="Times New Roman"/>
                <w:szCs w:val="21"/>
                <w:highlight w:val="none"/>
              </w:rPr>
              <w:t>密度</w:t>
            </w:r>
            <w:r>
              <w:rPr>
                <w:rFonts w:hint="eastAsia" w:ascii="宋体" w:cs="Times New Roman"/>
                <w:szCs w:val="21"/>
                <w:highlight w:val="none"/>
              </w:rPr>
              <w:t>超过20%，缺陷密度每增加1%扣除合同总金额的0.1%。</w:t>
            </w:r>
          </w:p>
        </w:tc>
      </w:tr>
      <w:tr w14:paraId="227F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AC93BC1">
            <w:pPr>
              <w:ind w:firstLine="0" w:firstLineChars="0"/>
              <w:jc w:val="center"/>
              <w:rPr>
                <w:rFonts w:ascii="宋体" w:cs="Times New Roman"/>
                <w:szCs w:val="21"/>
                <w:highlight w:val="none"/>
              </w:rPr>
            </w:pPr>
            <w:r>
              <w:rPr>
                <w:rFonts w:hint="eastAsia" w:ascii="宋体" w:cs="Times New Roman"/>
                <w:szCs w:val="21"/>
                <w:highlight w:val="none"/>
              </w:rPr>
              <w:t>4</w:t>
            </w:r>
          </w:p>
        </w:tc>
        <w:tc>
          <w:tcPr>
            <w:tcW w:w="1103" w:type="dxa"/>
            <w:vMerge w:val="continue"/>
            <w:tcBorders>
              <w:top w:val="single" w:color="auto" w:sz="4" w:space="0"/>
              <w:left w:val="single" w:color="auto" w:sz="4" w:space="0"/>
              <w:right w:val="single" w:color="auto" w:sz="4" w:space="0"/>
            </w:tcBorders>
          </w:tcPr>
          <w:p w14:paraId="35061E40">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6C34D80">
            <w:pPr>
              <w:ind w:firstLine="0" w:firstLineChars="0"/>
              <w:rPr>
                <w:rFonts w:ascii="宋体" w:cs="Times New Roman"/>
                <w:szCs w:val="21"/>
                <w:highlight w:val="none"/>
              </w:rPr>
            </w:pPr>
            <w:r>
              <w:rPr>
                <w:rFonts w:ascii="宋体" w:cs="Times New Roman"/>
                <w:szCs w:val="21"/>
                <w:highlight w:val="none"/>
              </w:rPr>
              <w:t>缺陷</w:t>
            </w:r>
            <w:r>
              <w:rPr>
                <w:rFonts w:hint="eastAsia" w:ascii="宋体" w:cs="Times New Roman"/>
                <w:szCs w:val="21"/>
                <w:highlight w:val="none"/>
              </w:rPr>
              <w:t>解决率</w:t>
            </w:r>
          </w:p>
        </w:tc>
        <w:tc>
          <w:tcPr>
            <w:tcW w:w="1232" w:type="dxa"/>
            <w:tcBorders>
              <w:top w:val="single" w:color="auto" w:sz="4" w:space="0"/>
              <w:left w:val="single" w:color="auto" w:sz="4" w:space="0"/>
              <w:right w:val="single" w:color="auto" w:sz="4" w:space="0"/>
            </w:tcBorders>
            <w:vAlign w:val="center"/>
          </w:tcPr>
          <w:p w14:paraId="4D80EF95">
            <w:pPr>
              <w:ind w:firstLine="0" w:firstLineChars="0"/>
              <w:rPr>
                <w:rFonts w:ascii="宋体" w:cs="Times New Roman"/>
                <w:szCs w:val="21"/>
                <w:highlight w:val="none"/>
              </w:rPr>
            </w:pPr>
            <w:r>
              <w:rPr>
                <w:rFonts w:ascii="宋体" w:cs="Times New Roman"/>
                <w:szCs w:val="21"/>
                <w:highlight w:val="none"/>
              </w:rPr>
              <w:t>用于记录统计周期内测试发现的缺陷中已解决缺陷的比例</w:t>
            </w:r>
          </w:p>
        </w:tc>
        <w:tc>
          <w:tcPr>
            <w:tcW w:w="2667" w:type="dxa"/>
            <w:tcBorders>
              <w:top w:val="single" w:color="auto" w:sz="4" w:space="0"/>
              <w:left w:val="single" w:color="auto" w:sz="4" w:space="0"/>
              <w:right w:val="single" w:color="auto" w:sz="4" w:space="0"/>
            </w:tcBorders>
            <w:vAlign w:val="center"/>
          </w:tcPr>
          <w:p w14:paraId="6673F6ED">
            <w:pPr>
              <w:ind w:firstLine="0" w:firstLineChars="0"/>
              <w:rPr>
                <w:rFonts w:ascii="宋体" w:cs="Times New Roman"/>
                <w:szCs w:val="21"/>
                <w:highlight w:val="none"/>
              </w:rPr>
            </w:pPr>
            <w:r>
              <w:rPr>
                <w:rFonts w:ascii="宋体" w:cs="Times New Roman"/>
                <w:szCs w:val="21"/>
                <w:highlight w:val="none"/>
              </w:rPr>
              <w:t>缺陷解决率=统计周期内测试发现的有效缺陷中已解决的数量/统计周期内测试发现的有效缺陷总数量</w:t>
            </w:r>
          </w:p>
          <w:p w14:paraId="09D4CD19">
            <w:pPr>
              <w:ind w:firstLine="0" w:firstLineChars="0"/>
              <w:rPr>
                <w:rFonts w:ascii="宋体" w:cs="Times New Roman"/>
                <w:b/>
                <w:szCs w:val="21"/>
                <w:highlight w:val="none"/>
              </w:rPr>
            </w:pPr>
            <w:r>
              <w:rPr>
                <w:rFonts w:hint="eastAsia" w:ascii="宋体" w:cs="Times New Roman"/>
                <w:b/>
                <w:szCs w:val="21"/>
                <w:highlight w:val="none"/>
              </w:rPr>
              <w:t>10分【98%-100%】</w:t>
            </w:r>
          </w:p>
          <w:p w14:paraId="43CCFA3E">
            <w:pPr>
              <w:ind w:firstLine="0" w:firstLineChars="0"/>
              <w:rPr>
                <w:rFonts w:ascii="宋体" w:cs="Times New Roman"/>
                <w:b/>
                <w:szCs w:val="21"/>
                <w:highlight w:val="none"/>
              </w:rPr>
            </w:pPr>
            <w:r>
              <w:rPr>
                <w:rFonts w:hint="eastAsia" w:ascii="宋体" w:cs="Times New Roman"/>
                <w:b/>
                <w:szCs w:val="21"/>
                <w:highlight w:val="none"/>
              </w:rPr>
              <w:t>5分【95%-97%】</w:t>
            </w:r>
          </w:p>
          <w:p w14:paraId="29A90546">
            <w:pPr>
              <w:ind w:firstLine="0" w:firstLineChars="0"/>
              <w:rPr>
                <w:rFonts w:ascii="宋体" w:cs="Times New Roman"/>
                <w:b/>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543C25B8">
            <w:pPr>
              <w:ind w:firstLine="0" w:firstLineChars="0"/>
              <w:rPr>
                <w:rFonts w:ascii="宋体" w:cs="Times New Roman"/>
                <w:szCs w:val="21"/>
                <w:highlight w:val="none"/>
              </w:rPr>
            </w:pPr>
            <w:r>
              <w:rPr>
                <w:rFonts w:hint="eastAsia" w:ascii="宋体" w:cs="Times New Roman"/>
                <w:szCs w:val="21"/>
                <w:highlight w:val="none"/>
              </w:rPr>
              <w:t>若</w:t>
            </w:r>
            <w:r>
              <w:rPr>
                <w:rFonts w:ascii="宋体" w:cs="Times New Roman"/>
                <w:szCs w:val="21"/>
                <w:highlight w:val="none"/>
              </w:rPr>
              <w:t>缺陷解决率</w:t>
            </w:r>
            <w:r>
              <w:rPr>
                <w:rFonts w:hint="eastAsia" w:ascii="宋体" w:cs="Times New Roman"/>
                <w:bCs/>
                <w:szCs w:val="21"/>
                <w:highlight w:val="none"/>
              </w:rPr>
              <w:t>低于95</w:t>
            </w:r>
            <w:r>
              <w:rPr>
                <w:rFonts w:hint="eastAsia" w:ascii="宋体" w:cs="Times New Roman"/>
                <w:szCs w:val="21"/>
                <w:highlight w:val="none"/>
              </w:rPr>
              <w:t>%，</w:t>
            </w:r>
            <w:r>
              <w:rPr>
                <w:rFonts w:ascii="宋体" w:cs="Times New Roman"/>
                <w:szCs w:val="21"/>
                <w:highlight w:val="none"/>
              </w:rPr>
              <w:t>缺陷</w:t>
            </w:r>
            <w:r>
              <w:rPr>
                <w:rFonts w:hint="eastAsia" w:ascii="宋体" w:cs="Times New Roman"/>
                <w:szCs w:val="21"/>
                <w:highlight w:val="none"/>
              </w:rPr>
              <w:t>解决率每低1%扣除合同总金额的0.1%。</w:t>
            </w:r>
          </w:p>
        </w:tc>
      </w:tr>
      <w:tr w14:paraId="60D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1EC0BC5">
            <w:pPr>
              <w:ind w:firstLine="0" w:firstLineChars="0"/>
              <w:jc w:val="center"/>
              <w:rPr>
                <w:rFonts w:ascii="宋体" w:cs="Times New Roman"/>
                <w:szCs w:val="21"/>
                <w:highlight w:val="none"/>
              </w:rPr>
            </w:pPr>
            <w:r>
              <w:rPr>
                <w:rFonts w:hint="eastAsia" w:ascii="宋体" w:cs="Times New Roman"/>
                <w:szCs w:val="21"/>
                <w:highlight w:val="none"/>
              </w:rPr>
              <w:t>5</w:t>
            </w:r>
          </w:p>
        </w:tc>
        <w:tc>
          <w:tcPr>
            <w:tcW w:w="1103" w:type="dxa"/>
            <w:vMerge w:val="restart"/>
            <w:tcBorders>
              <w:top w:val="single" w:color="auto" w:sz="4" w:space="0"/>
              <w:left w:val="single" w:color="auto" w:sz="4" w:space="0"/>
              <w:right w:val="single" w:color="auto" w:sz="4" w:space="0"/>
            </w:tcBorders>
            <w:vAlign w:val="center"/>
          </w:tcPr>
          <w:p w14:paraId="778C460D">
            <w:pPr>
              <w:ind w:firstLine="0" w:firstLineChars="0"/>
              <w:jc w:val="left"/>
              <w:rPr>
                <w:rFonts w:ascii="宋体" w:cs="Times New Roman"/>
                <w:szCs w:val="21"/>
                <w:highlight w:val="none"/>
              </w:rPr>
            </w:pPr>
            <w:r>
              <w:rPr>
                <w:rFonts w:hint="eastAsia" w:ascii="宋体" w:cs="Times New Roman"/>
                <w:szCs w:val="21"/>
                <w:highlight w:val="none"/>
              </w:rPr>
              <w:t>协议履行</w:t>
            </w:r>
          </w:p>
        </w:tc>
        <w:tc>
          <w:tcPr>
            <w:tcW w:w="1103" w:type="dxa"/>
            <w:tcBorders>
              <w:top w:val="single" w:color="auto" w:sz="4" w:space="0"/>
              <w:left w:val="single" w:color="auto" w:sz="4" w:space="0"/>
              <w:right w:val="single" w:color="auto" w:sz="4" w:space="0"/>
            </w:tcBorders>
            <w:vAlign w:val="center"/>
          </w:tcPr>
          <w:p w14:paraId="5B68577C">
            <w:pPr>
              <w:ind w:firstLine="0" w:firstLineChars="0"/>
              <w:rPr>
                <w:rFonts w:ascii="宋体" w:cs="Times New Roman"/>
                <w:szCs w:val="21"/>
                <w:highlight w:val="none"/>
              </w:rPr>
            </w:pPr>
            <w:r>
              <w:rPr>
                <w:rFonts w:ascii="宋体" w:cs="Times New Roman"/>
                <w:szCs w:val="21"/>
                <w:highlight w:val="none"/>
              </w:rPr>
              <w:t>重大事项报告</w:t>
            </w:r>
          </w:p>
        </w:tc>
        <w:tc>
          <w:tcPr>
            <w:tcW w:w="1232" w:type="dxa"/>
            <w:tcBorders>
              <w:top w:val="single" w:color="auto" w:sz="4" w:space="0"/>
              <w:left w:val="single" w:color="auto" w:sz="4" w:space="0"/>
              <w:right w:val="single" w:color="auto" w:sz="4" w:space="0"/>
            </w:tcBorders>
            <w:vAlign w:val="center"/>
          </w:tcPr>
          <w:p w14:paraId="4CF10624">
            <w:pPr>
              <w:ind w:firstLine="0" w:firstLineChars="0"/>
              <w:rPr>
                <w:rFonts w:ascii="宋体" w:cs="Times New Roman"/>
                <w:szCs w:val="21"/>
                <w:highlight w:val="none"/>
              </w:rPr>
            </w:pPr>
            <w:r>
              <w:rPr>
                <w:rFonts w:hint="eastAsia" w:asci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667" w:type="dxa"/>
            <w:tcBorders>
              <w:top w:val="single" w:color="auto" w:sz="4" w:space="0"/>
              <w:left w:val="single" w:color="auto" w:sz="4" w:space="0"/>
              <w:right w:val="single" w:color="auto" w:sz="4" w:space="0"/>
            </w:tcBorders>
            <w:vAlign w:val="center"/>
          </w:tcPr>
          <w:p w14:paraId="5585619A">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指无重大事项或当发生重大事项时，能够于24小时内</w:t>
            </w:r>
            <w:r>
              <w:rPr>
                <w:rFonts w:hint="eastAsia" w:ascii="宋体" w:cs="Times New Roman"/>
                <w:szCs w:val="21"/>
                <w:highlight w:val="none"/>
              </w:rPr>
              <w:t>告知甲方；</w:t>
            </w:r>
          </w:p>
          <w:p w14:paraId="78FE3891">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指当发生重大事项时，能够于一周内告知</w:t>
            </w:r>
            <w:r>
              <w:rPr>
                <w:rFonts w:hint="eastAsia" w:ascii="宋体" w:cs="Times New Roman"/>
                <w:szCs w:val="21"/>
                <w:highlight w:val="none"/>
              </w:rPr>
              <w:t>甲方；</w:t>
            </w:r>
          </w:p>
          <w:p w14:paraId="4BCD1AE5">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指当发生重大事项时，能够于一</w:t>
            </w:r>
            <w:r>
              <w:rPr>
                <w:rFonts w:hint="eastAsia" w:ascii="宋体" w:cs="Times New Roman"/>
                <w:szCs w:val="21"/>
                <w:highlight w:val="none"/>
              </w:rPr>
              <w:t>月</w:t>
            </w:r>
            <w:r>
              <w:rPr>
                <w:rFonts w:ascii="宋体" w:cs="Times New Roman"/>
                <w:szCs w:val="21"/>
                <w:highlight w:val="none"/>
              </w:rPr>
              <w:t>内告知</w:t>
            </w:r>
            <w:r>
              <w:rPr>
                <w:rFonts w:hint="eastAsia" w:ascii="宋体" w:cs="Times New Roman"/>
                <w:szCs w:val="21"/>
                <w:highlight w:val="none"/>
              </w:rPr>
              <w:t>甲方；</w:t>
            </w:r>
          </w:p>
          <w:p w14:paraId="168DA5BA">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指当发生重大事项时，</w:t>
            </w:r>
            <w:r>
              <w:rPr>
                <w:rFonts w:hint="eastAsia" w:ascii="宋体" w:cs="Times New Roman"/>
                <w:szCs w:val="21"/>
                <w:highlight w:val="none"/>
              </w:rPr>
              <w:t>未</w:t>
            </w:r>
            <w:r>
              <w:rPr>
                <w:rFonts w:ascii="宋体" w:cs="Times New Roman"/>
                <w:szCs w:val="21"/>
                <w:highlight w:val="none"/>
              </w:rPr>
              <w:t>告知</w:t>
            </w:r>
            <w:r>
              <w:rPr>
                <w:rFonts w:hint="eastAsia" w:ascii="宋体" w:cs="Times New Roman"/>
                <w:szCs w:val="21"/>
                <w:highlight w:val="none"/>
              </w:rPr>
              <w:t>甲方。</w:t>
            </w:r>
          </w:p>
        </w:tc>
        <w:tc>
          <w:tcPr>
            <w:tcW w:w="1006" w:type="dxa"/>
            <w:tcBorders>
              <w:top w:val="single" w:color="auto" w:sz="4" w:space="0"/>
              <w:left w:val="single" w:color="auto" w:sz="4" w:space="0"/>
              <w:right w:val="single" w:color="auto" w:sz="4" w:space="0"/>
            </w:tcBorders>
            <w:vAlign w:val="center"/>
          </w:tcPr>
          <w:p w14:paraId="531B7E93">
            <w:pPr>
              <w:ind w:firstLine="0" w:firstLineChars="0"/>
              <w:rPr>
                <w:rFonts w:ascii="宋体" w:cs="Times New Roman"/>
                <w:szCs w:val="21"/>
                <w:highlight w:val="none"/>
              </w:rPr>
            </w:pPr>
            <w:r>
              <w:rPr>
                <w:rFonts w:hint="eastAsia" w:ascii="宋体" w:cs="Times New Roman"/>
                <w:szCs w:val="21"/>
                <w:highlight w:val="none"/>
              </w:rPr>
              <w:t>评价为较差/差时，甲方根据实际情况有权终止合同，并要求乙方赔偿实际损失。</w:t>
            </w:r>
          </w:p>
        </w:tc>
      </w:tr>
      <w:tr w14:paraId="243F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35CBE447">
            <w:pPr>
              <w:ind w:firstLine="0" w:firstLineChars="0"/>
              <w:jc w:val="center"/>
              <w:rPr>
                <w:rFonts w:ascii="宋体" w:cs="Times New Roman"/>
                <w:szCs w:val="21"/>
                <w:highlight w:val="none"/>
              </w:rPr>
            </w:pPr>
            <w:r>
              <w:rPr>
                <w:rFonts w:hint="eastAsia" w:ascii="宋体" w:cs="Times New Roman"/>
                <w:szCs w:val="21"/>
                <w:highlight w:val="none"/>
              </w:rPr>
              <w:t>6</w:t>
            </w:r>
          </w:p>
        </w:tc>
        <w:tc>
          <w:tcPr>
            <w:tcW w:w="1103" w:type="dxa"/>
            <w:vMerge w:val="continue"/>
            <w:tcBorders>
              <w:top w:val="single" w:color="auto" w:sz="4" w:space="0"/>
              <w:left w:val="single" w:color="auto" w:sz="4" w:space="0"/>
              <w:right w:val="single" w:color="auto" w:sz="4" w:space="0"/>
            </w:tcBorders>
          </w:tcPr>
          <w:p w14:paraId="6A015108">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F8E868F">
            <w:pPr>
              <w:ind w:firstLine="0" w:firstLineChars="0"/>
              <w:rPr>
                <w:rFonts w:ascii="宋体" w:cs="Times New Roman"/>
                <w:szCs w:val="21"/>
                <w:highlight w:val="none"/>
              </w:rPr>
            </w:pPr>
            <w:r>
              <w:rPr>
                <w:rFonts w:ascii="宋体" w:cs="Times New Roman"/>
                <w:szCs w:val="21"/>
                <w:highlight w:val="none"/>
              </w:rPr>
              <w:t>重大</w:t>
            </w:r>
            <w:r>
              <w:rPr>
                <w:rFonts w:hint="eastAsia" w:ascii="宋体" w:cs="Times New Roman"/>
                <w:szCs w:val="21"/>
                <w:highlight w:val="none"/>
              </w:rPr>
              <w:t>事件及质量缺陷</w:t>
            </w:r>
          </w:p>
        </w:tc>
        <w:tc>
          <w:tcPr>
            <w:tcW w:w="1232" w:type="dxa"/>
            <w:tcBorders>
              <w:top w:val="single" w:color="auto" w:sz="4" w:space="0"/>
              <w:left w:val="single" w:color="auto" w:sz="4" w:space="0"/>
              <w:right w:val="single" w:color="auto" w:sz="4" w:space="0"/>
            </w:tcBorders>
            <w:vAlign w:val="center"/>
          </w:tcPr>
          <w:p w14:paraId="29CCEFF2">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期内出现</w:t>
            </w:r>
            <w:r>
              <w:rPr>
                <w:rFonts w:hint="eastAsia" w:ascii="宋体" w:cs="Times New Roman"/>
                <w:szCs w:val="21"/>
                <w:highlight w:val="none"/>
              </w:rPr>
              <w:t>以下重大事件及质量缺陷次数：</w:t>
            </w:r>
          </w:p>
          <w:p w14:paraId="361DE225">
            <w:pPr>
              <w:ind w:firstLine="0" w:firstLineChars="0"/>
              <w:rPr>
                <w:rFonts w:ascii="宋体" w:cs="Times New Roman"/>
                <w:szCs w:val="21"/>
                <w:highlight w:val="none"/>
              </w:rPr>
            </w:pPr>
            <w:r>
              <w:rPr>
                <w:rFonts w:hint="eastAsia" w:ascii="宋体" w:cs="Times New Roman"/>
                <w:szCs w:val="21"/>
                <w:highlight w:val="none"/>
              </w:rPr>
              <w:t>a.应用软件出现I</w:t>
            </w:r>
            <w:r>
              <w:rPr>
                <w:rFonts w:ascii="宋体" w:cs="Times New Roman"/>
                <w:szCs w:val="21"/>
                <w:highlight w:val="none"/>
              </w:rPr>
              <w:t>II</w:t>
            </w:r>
            <w:r>
              <w:rPr>
                <w:rFonts w:hint="eastAsia" w:ascii="宋体" w:cs="Times New Roman"/>
                <w:szCs w:val="21"/>
                <w:highlight w:val="none"/>
              </w:rPr>
              <w:t>级（含）以上的运营中断事件；</w:t>
            </w:r>
          </w:p>
          <w:p w14:paraId="33796701">
            <w:pPr>
              <w:ind w:firstLine="0" w:firstLineChars="0"/>
              <w:rPr>
                <w:rFonts w:ascii="宋体" w:cs="Times New Roman"/>
                <w:szCs w:val="21"/>
                <w:highlight w:val="none"/>
              </w:rPr>
            </w:pPr>
            <w:r>
              <w:rPr>
                <w:rFonts w:hint="eastAsia" w:ascii="宋体" w:cs="Times New Roman"/>
                <w:szCs w:val="21"/>
                <w:highlight w:val="none"/>
              </w:rPr>
              <w:t>b.因乙方原因（含乙方合作的第三方）导致甲方发生网络安全事件；</w:t>
            </w:r>
          </w:p>
          <w:p w14:paraId="537168BB">
            <w:pPr>
              <w:ind w:firstLine="0" w:firstLineChars="0"/>
              <w:rPr>
                <w:rFonts w:ascii="宋体" w:cs="Times New Roman"/>
                <w:szCs w:val="21"/>
                <w:highlight w:val="none"/>
              </w:rPr>
            </w:pPr>
            <w:r>
              <w:rPr>
                <w:rFonts w:hint="eastAsia" w:ascii="宋体" w:cs="Times New Roman"/>
                <w:szCs w:val="21"/>
                <w:highlight w:val="none"/>
              </w:rPr>
              <w:t>c.应用软件出现严重缺陷和致命缺陷。</w:t>
            </w:r>
          </w:p>
        </w:tc>
        <w:tc>
          <w:tcPr>
            <w:tcW w:w="2667" w:type="dxa"/>
            <w:tcBorders>
              <w:top w:val="single" w:color="auto" w:sz="4" w:space="0"/>
              <w:left w:val="single" w:color="auto" w:sz="4" w:space="0"/>
              <w:right w:val="single" w:color="auto" w:sz="4" w:space="0"/>
            </w:tcBorders>
            <w:vAlign w:val="center"/>
          </w:tcPr>
          <w:p w14:paraId="40CB9FD5">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5EBF764F">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w:t>
            </w:r>
            <w:r>
              <w:rPr>
                <w:rFonts w:ascii="宋体" w:cs="Times New Roman"/>
                <w:szCs w:val="21"/>
                <w:highlight w:val="none"/>
              </w:rPr>
              <w:t>重大事件</w:t>
            </w:r>
            <w:r>
              <w:rPr>
                <w:rFonts w:hint="eastAsia" w:ascii="宋体" w:cs="Times New Roman"/>
                <w:szCs w:val="21"/>
                <w:highlight w:val="none"/>
              </w:rPr>
              <w:t>及质量缺陷，该项指标满分；</w:t>
            </w:r>
          </w:p>
          <w:p w14:paraId="722A9CEC">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0分，指出现1次及以上任意一项</w:t>
            </w:r>
            <w:r>
              <w:rPr>
                <w:rFonts w:ascii="宋体" w:cs="Times New Roman"/>
                <w:szCs w:val="21"/>
                <w:highlight w:val="none"/>
              </w:rPr>
              <w:t>重大事件</w:t>
            </w:r>
            <w:r>
              <w:rPr>
                <w:rFonts w:hint="eastAsia" w:ascii="宋体" w:cs="Times New Roman"/>
                <w:szCs w:val="21"/>
                <w:highlight w:val="none"/>
              </w:rPr>
              <w:t>或质量缺陷。</w:t>
            </w:r>
          </w:p>
        </w:tc>
        <w:tc>
          <w:tcPr>
            <w:tcW w:w="1006" w:type="dxa"/>
            <w:tcBorders>
              <w:top w:val="single" w:color="auto" w:sz="4" w:space="0"/>
              <w:left w:val="single" w:color="auto" w:sz="4" w:space="0"/>
              <w:right w:val="single" w:color="auto" w:sz="4" w:space="0"/>
            </w:tcBorders>
            <w:vAlign w:val="center"/>
          </w:tcPr>
          <w:p w14:paraId="67D2FCF9">
            <w:pPr>
              <w:ind w:firstLine="0" w:firstLineChars="0"/>
              <w:rPr>
                <w:rFonts w:ascii="宋体" w:cs="Times New Roman"/>
                <w:szCs w:val="21"/>
                <w:highlight w:val="none"/>
              </w:rPr>
            </w:pPr>
            <w:r>
              <w:rPr>
                <w:rFonts w:hint="eastAsia" w:ascii="宋体" w:cs="Times New Roman"/>
                <w:szCs w:val="21"/>
                <w:highlight w:val="none"/>
              </w:rPr>
              <w:t>每出现一次</w:t>
            </w:r>
            <w:r>
              <w:rPr>
                <w:rFonts w:ascii="宋体" w:cs="Times New Roman"/>
                <w:szCs w:val="21"/>
                <w:highlight w:val="none"/>
              </w:rPr>
              <w:t>重大事件</w:t>
            </w:r>
            <w:r>
              <w:rPr>
                <w:rFonts w:hint="eastAsia" w:ascii="宋体" w:cs="Times New Roman"/>
                <w:szCs w:val="21"/>
                <w:highlight w:val="none"/>
              </w:rPr>
              <w:t>或质量缺陷，扣除乙方合同总金额不低于5%（不低于2万元），并要求乙方赔偿实际损失。</w:t>
            </w:r>
          </w:p>
        </w:tc>
      </w:tr>
      <w:tr w14:paraId="376A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3D5DBAF8">
            <w:pPr>
              <w:ind w:firstLine="0" w:firstLineChars="0"/>
              <w:jc w:val="center"/>
              <w:rPr>
                <w:rFonts w:ascii="宋体" w:cs="Times New Roman"/>
                <w:szCs w:val="21"/>
                <w:highlight w:val="none"/>
              </w:rPr>
            </w:pPr>
            <w:r>
              <w:rPr>
                <w:rFonts w:hint="eastAsia" w:ascii="宋体" w:cs="Times New Roman"/>
                <w:szCs w:val="21"/>
                <w:highlight w:val="none"/>
              </w:rPr>
              <w:t>7</w:t>
            </w:r>
          </w:p>
        </w:tc>
        <w:tc>
          <w:tcPr>
            <w:tcW w:w="1103" w:type="dxa"/>
            <w:vMerge w:val="continue"/>
            <w:tcBorders>
              <w:top w:val="single" w:color="auto" w:sz="4" w:space="0"/>
              <w:left w:val="single" w:color="auto" w:sz="4" w:space="0"/>
              <w:right w:val="single" w:color="auto" w:sz="4" w:space="0"/>
            </w:tcBorders>
          </w:tcPr>
          <w:p w14:paraId="4FDA8DFD">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0E861135">
            <w:pPr>
              <w:ind w:firstLine="0" w:firstLineChars="0"/>
              <w:rPr>
                <w:rFonts w:ascii="宋体" w:cs="Times New Roman"/>
                <w:szCs w:val="21"/>
                <w:highlight w:val="none"/>
              </w:rPr>
            </w:pPr>
            <w:r>
              <w:rPr>
                <w:rFonts w:hint="eastAsia" w:ascii="宋体" w:cs="Times New Roman"/>
                <w:szCs w:val="21"/>
                <w:highlight w:val="none"/>
              </w:rPr>
              <w:t>信息安全管理</w:t>
            </w:r>
          </w:p>
        </w:tc>
        <w:tc>
          <w:tcPr>
            <w:tcW w:w="1232" w:type="dxa"/>
            <w:tcBorders>
              <w:top w:val="single" w:color="auto" w:sz="4" w:space="0"/>
              <w:left w:val="single" w:color="auto" w:sz="4" w:space="0"/>
              <w:right w:val="single" w:color="auto" w:sz="4" w:space="0"/>
            </w:tcBorders>
            <w:vAlign w:val="center"/>
          </w:tcPr>
          <w:p w14:paraId="484EE01E">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w:t>
            </w:r>
            <w:r>
              <w:rPr>
                <w:rFonts w:hint="eastAsia" w:ascii="宋体" w:cs="Times New Roman"/>
                <w:szCs w:val="21"/>
                <w:highlight w:val="none"/>
              </w:rPr>
              <w:t>网络和信息安全服务的管理能力，针对发现的安全漏洞及安全缺陷（包括源代码、第三方SDK或第三方小程序、第三方软件产品及开源组件等），须按甲方要求完成整改</w:t>
            </w:r>
          </w:p>
        </w:tc>
        <w:tc>
          <w:tcPr>
            <w:tcW w:w="2667" w:type="dxa"/>
            <w:tcBorders>
              <w:top w:val="single" w:color="auto" w:sz="4" w:space="0"/>
              <w:left w:val="single" w:color="auto" w:sz="4" w:space="0"/>
              <w:right w:val="single" w:color="auto" w:sz="4" w:space="0"/>
            </w:tcBorders>
            <w:vAlign w:val="center"/>
          </w:tcPr>
          <w:p w14:paraId="14F8ABC7">
            <w:pPr>
              <w:ind w:firstLine="0" w:firstLineChars="0"/>
              <w:rPr>
                <w:rFonts w:ascii="宋体" w:cs="Times New Roman"/>
                <w:szCs w:val="21"/>
                <w:highlight w:val="none"/>
              </w:rPr>
            </w:pPr>
            <w:r>
              <w:rPr>
                <w:rFonts w:hint="eastAsia" w:ascii="宋体" w:cs="Times New Roman"/>
                <w:szCs w:val="21"/>
                <w:highlight w:val="none"/>
              </w:rPr>
              <w:t>互联网或电子银行类系统：</w:t>
            </w:r>
          </w:p>
          <w:p w14:paraId="22E2B2B5">
            <w:pPr>
              <w:ind w:firstLine="0" w:firstLineChars="0"/>
              <w:rPr>
                <w:rFonts w:ascii="宋体" w:cs="Times New Roman"/>
                <w:szCs w:val="21"/>
                <w:highlight w:val="none"/>
              </w:rPr>
            </w:pPr>
            <w:r>
              <w:rPr>
                <w:rFonts w:hint="eastAsia" w:ascii="宋体" w:cs="Times New Roman"/>
                <w:szCs w:val="21"/>
                <w:highlight w:val="none"/>
              </w:rPr>
              <w:t>1.安全漏洞及安全缺陷整改及时率=100%</w:t>
            </w:r>
          </w:p>
          <w:p w14:paraId="6DEE932E">
            <w:pPr>
              <w:ind w:firstLine="0" w:firstLineChars="0"/>
              <w:rPr>
                <w:rFonts w:ascii="宋体" w:cs="Times New Roman"/>
                <w:szCs w:val="21"/>
                <w:highlight w:val="none"/>
              </w:rPr>
            </w:pPr>
            <w:r>
              <w:rPr>
                <w:rFonts w:hint="eastAsia" w:ascii="宋体" w:cs="Times New Roman"/>
                <w:szCs w:val="21"/>
                <w:highlight w:val="none"/>
              </w:rPr>
              <w:t>2.安全漏洞及安全缺陷整改通过率=100%</w:t>
            </w:r>
          </w:p>
          <w:p w14:paraId="74914C36">
            <w:pPr>
              <w:ind w:firstLine="0" w:firstLineChars="0"/>
              <w:rPr>
                <w:rFonts w:ascii="宋体" w:cs="Times New Roman"/>
                <w:szCs w:val="21"/>
                <w:highlight w:val="none"/>
              </w:rPr>
            </w:pPr>
            <w:r>
              <w:rPr>
                <w:rFonts w:hint="eastAsia" w:ascii="宋体" w:cs="Times New Roman"/>
                <w:szCs w:val="21"/>
                <w:highlight w:val="none"/>
              </w:rPr>
              <w:t>非互联网或电子银行类系统：</w:t>
            </w:r>
          </w:p>
          <w:p w14:paraId="0525A13E">
            <w:pPr>
              <w:ind w:firstLine="0" w:firstLineChars="0"/>
              <w:rPr>
                <w:rFonts w:ascii="宋体" w:cs="Times New Roman"/>
                <w:szCs w:val="21"/>
                <w:highlight w:val="none"/>
              </w:rPr>
            </w:pPr>
            <w:r>
              <w:rPr>
                <w:rFonts w:hint="eastAsia" w:ascii="宋体" w:cs="Times New Roman"/>
                <w:szCs w:val="21"/>
                <w:highlight w:val="none"/>
              </w:rPr>
              <w:t>1.中高危安全漏洞及安全缺陷整改及时率=100%</w:t>
            </w:r>
          </w:p>
          <w:p w14:paraId="0FA7711D">
            <w:pPr>
              <w:ind w:firstLine="0" w:firstLineChars="0"/>
              <w:rPr>
                <w:rFonts w:ascii="宋体" w:cs="Times New Roman"/>
                <w:szCs w:val="21"/>
                <w:highlight w:val="none"/>
              </w:rPr>
            </w:pPr>
            <w:r>
              <w:rPr>
                <w:rFonts w:hint="eastAsia" w:ascii="宋体" w:cs="Times New Roman"/>
                <w:szCs w:val="21"/>
                <w:highlight w:val="none"/>
              </w:rPr>
              <w:t>2.中高危安全漏洞及安全缺陷整改通过率=100%</w:t>
            </w:r>
          </w:p>
          <w:p w14:paraId="25AB11BF">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5分，指未出现安全漏洞及安全缺陷，该项指标满分；</w:t>
            </w:r>
          </w:p>
          <w:p w14:paraId="2ED4864F">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3分，指出现安全漏洞或安全缺陷，但整改及时率、通过率均为100%；</w:t>
            </w:r>
          </w:p>
          <w:p w14:paraId="2A3147D6">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0分，指出现安全漏洞及安全缺陷，但整改及时率或通过率未达到100%。</w:t>
            </w:r>
          </w:p>
        </w:tc>
        <w:tc>
          <w:tcPr>
            <w:tcW w:w="1006" w:type="dxa"/>
            <w:tcBorders>
              <w:top w:val="single" w:color="auto" w:sz="4" w:space="0"/>
              <w:left w:val="single" w:color="auto" w:sz="4" w:space="0"/>
              <w:right w:val="single" w:color="auto" w:sz="4" w:space="0"/>
            </w:tcBorders>
            <w:vAlign w:val="center"/>
          </w:tcPr>
          <w:p w14:paraId="3F9DACFE">
            <w:pPr>
              <w:ind w:firstLine="0" w:firstLineChars="0"/>
              <w:rPr>
                <w:rFonts w:ascii="宋体" w:cs="Times New Roman"/>
                <w:szCs w:val="21"/>
                <w:highlight w:val="none"/>
              </w:rPr>
            </w:pPr>
            <w:r>
              <w:rPr>
                <w:rFonts w:hint="eastAsia" w:ascii="宋体" w:cs="Times New Roman"/>
                <w:szCs w:val="21"/>
                <w:highlight w:val="none"/>
              </w:rPr>
              <w:t>若评价为较差/差时，扣除乙方金额人民币不低于2万元，并要求乙方赔偿实际损失。</w:t>
            </w:r>
          </w:p>
          <w:p w14:paraId="1F02545B">
            <w:pPr>
              <w:ind w:firstLine="0" w:firstLineChars="0"/>
              <w:rPr>
                <w:rFonts w:ascii="宋体" w:cs="Times New Roman"/>
                <w:szCs w:val="21"/>
                <w:highlight w:val="none"/>
              </w:rPr>
            </w:pPr>
            <w:r>
              <w:rPr>
                <w:rFonts w:hint="eastAsia" w:ascii="宋体" w:cs="Times New Roman"/>
                <w:szCs w:val="21"/>
                <w:highlight w:val="none"/>
              </w:rPr>
              <w:t>若出现的安全漏洞或安全缺陷被上级或监管单位通报的，扣除乙方合同总金额不低于5%（不低于2万元），并要求乙方赔偿实际损失。</w:t>
            </w:r>
          </w:p>
        </w:tc>
      </w:tr>
      <w:tr w14:paraId="2B1B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D8D1A8F">
            <w:pPr>
              <w:ind w:firstLine="0" w:firstLineChars="0"/>
              <w:jc w:val="center"/>
              <w:rPr>
                <w:rFonts w:ascii="宋体" w:cs="Times New Roman"/>
                <w:szCs w:val="21"/>
                <w:highlight w:val="none"/>
              </w:rPr>
            </w:pPr>
            <w:r>
              <w:rPr>
                <w:rFonts w:hint="eastAsia" w:ascii="宋体" w:cs="Times New Roman"/>
                <w:szCs w:val="21"/>
                <w:highlight w:val="none"/>
              </w:rPr>
              <w:t>8</w:t>
            </w:r>
          </w:p>
        </w:tc>
        <w:tc>
          <w:tcPr>
            <w:tcW w:w="1103" w:type="dxa"/>
            <w:vMerge w:val="continue"/>
            <w:tcBorders>
              <w:top w:val="single" w:color="auto" w:sz="4" w:space="0"/>
              <w:left w:val="single" w:color="auto" w:sz="4" w:space="0"/>
              <w:right w:val="single" w:color="auto" w:sz="4" w:space="0"/>
            </w:tcBorders>
          </w:tcPr>
          <w:p w14:paraId="4940A21C">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F97F4EC">
            <w:pPr>
              <w:ind w:firstLine="0" w:firstLineChars="0"/>
              <w:rPr>
                <w:rFonts w:ascii="宋体" w:cs="Times New Roman"/>
                <w:szCs w:val="21"/>
                <w:highlight w:val="none"/>
              </w:rPr>
            </w:pPr>
            <w:r>
              <w:rPr>
                <w:rFonts w:hint="eastAsia" w:ascii="宋体" w:cs="Times New Roman"/>
                <w:szCs w:val="21"/>
                <w:highlight w:val="none"/>
              </w:rPr>
              <w:t>外包安全行为</w:t>
            </w:r>
          </w:p>
        </w:tc>
        <w:tc>
          <w:tcPr>
            <w:tcW w:w="1232" w:type="dxa"/>
            <w:tcBorders>
              <w:top w:val="single" w:color="auto" w:sz="4" w:space="0"/>
              <w:left w:val="single" w:color="auto" w:sz="4" w:space="0"/>
              <w:right w:val="single" w:color="auto" w:sz="4" w:space="0"/>
            </w:tcBorders>
            <w:vAlign w:val="center"/>
          </w:tcPr>
          <w:p w14:paraId="139BD907">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于记录在外包人员安全防护意识方面的管理有效</w:t>
            </w:r>
            <w:r>
              <w:rPr>
                <w:rFonts w:hint="eastAsia" w:ascii="宋体" w:cs="Times New Roman"/>
                <w:szCs w:val="21"/>
                <w:highlight w:val="none"/>
              </w:rPr>
              <w:t>性</w:t>
            </w:r>
          </w:p>
        </w:tc>
        <w:tc>
          <w:tcPr>
            <w:tcW w:w="2667" w:type="dxa"/>
            <w:tcBorders>
              <w:top w:val="single" w:color="auto" w:sz="4" w:space="0"/>
              <w:left w:val="single" w:color="auto" w:sz="4" w:space="0"/>
              <w:right w:val="single" w:color="auto" w:sz="4" w:space="0"/>
            </w:tcBorders>
            <w:vAlign w:val="center"/>
          </w:tcPr>
          <w:p w14:paraId="5CE1AC78">
            <w:pPr>
              <w:ind w:firstLine="0" w:firstLineChars="0"/>
              <w:rPr>
                <w:rFonts w:ascii="宋体" w:cs="Times New Roman"/>
                <w:szCs w:val="21"/>
                <w:highlight w:val="none"/>
              </w:rPr>
            </w:pPr>
            <w:r>
              <w:rPr>
                <w:rFonts w:ascii="宋体" w:cs="Times New Roman"/>
                <w:szCs w:val="21"/>
                <w:highlight w:val="none"/>
              </w:rPr>
              <w:t>统计周期内安全防护失效的次数。</w:t>
            </w:r>
          </w:p>
          <w:p w14:paraId="58A26A02">
            <w:pPr>
              <w:ind w:firstLine="0" w:firstLineChars="0"/>
              <w:rPr>
                <w:rFonts w:ascii="宋体" w:cs="Times New Roman"/>
                <w:szCs w:val="21"/>
                <w:highlight w:val="none"/>
              </w:rPr>
            </w:pPr>
            <w:r>
              <w:rPr>
                <w:rFonts w:hint="eastAsia" w:ascii="宋体" w:cs="Times New Roman"/>
                <w:szCs w:val="21"/>
                <w:highlight w:val="none"/>
              </w:rPr>
              <w:t>（</w:t>
            </w:r>
            <w:r>
              <w:rPr>
                <w:rFonts w:asci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s="Times New Roman"/>
                <w:szCs w:val="21"/>
                <w:highlight w:val="none"/>
              </w:rPr>
              <w:t>c）</w:t>
            </w:r>
            <w:r>
              <w:rPr>
                <w:rFonts w:ascii="宋体" w:cs="Times New Roman"/>
                <w:szCs w:val="21"/>
                <w:highlight w:val="none"/>
              </w:rPr>
              <w:t>随意搭建测试环境导致信息泄露或被作为攻击入口</w:t>
            </w:r>
            <w:r>
              <w:rPr>
                <w:rFonts w:hint="eastAsia" w:ascii="宋体" w:cs="Times New Roman"/>
                <w:szCs w:val="21"/>
                <w:highlight w:val="none"/>
              </w:rPr>
              <w:t>。d）在生产运营系统上违反规定进行操作或在实施过程中留下信息系统后门等</w:t>
            </w:r>
            <w:r>
              <w:rPr>
                <w:rFonts w:ascii="宋体" w:cs="Times New Roman"/>
                <w:szCs w:val="21"/>
                <w:highlight w:val="none"/>
              </w:rPr>
              <w:t>。</w:t>
            </w:r>
          </w:p>
          <w:p w14:paraId="69C9B693">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7A6E1C29">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未出现安全防护失效行为，10分；</w:t>
            </w:r>
          </w:p>
          <w:p w14:paraId="6D3B4D46">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：出现安全防护失效行为，每出现一次扣5分，最多扣10分。</w:t>
            </w:r>
          </w:p>
        </w:tc>
        <w:tc>
          <w:tcPr>
            <w:tcW w:w="1006" w:type="dxa"/>
            <w:tcBorders>
              <w:top w:val="single" w:color="auto" w:sz="4" w:space="0"/>
              <w:left w:val="single" w:color="auto" w:sz="4" w:space="0"/>
              <w:right w:val="single" w:color="auto" w:sz="4" w:space="0"/>
            </w:tcBorders>
            <w:vAlign w:val="center"/>
          </w:tcPr>
          <w:p w14:paraId="1710645A">
            <w:pPr>
              <w:ind w:firstLine="0" w:firstLineChars="0"/>
              <w:rPr>
                <w:rFonts w:ascii="宋体" w:cs="Times New Roman"/>
                <w:szCs w:val="21"/>
                <w:highlight w:val="none"/>
              </w:rPr>
            </w:pPr>
            <w:r>
              <w:rPr>
                <w:rFonts w:hint="eastAsia" w:ascii="宋体" w:cs="Times New Roman"/>
                <w:szCs w:val="21"/>
                <w:highlight w:val="none"/>
              </w:rPr>
              <w:t>若出现信息安全防护失效行为未导致严重后果的，扣除乙方金额人民币不低于1万元；</w:t>
            </w:r>
          </w:p>
          <w:p w14:paraId="6AE69627">
            <w:pPr>
              <w:ind w:firstLine="0" w:firstLineChars="0"/>
              <w:rPr>
                <w:rFonts w:ascii="宋体" w:cs="Times New Roman"/>
                <w:szCs w:val="21"/>
                <w:highlight w:val="none"/>
              </w:rPr>
            </w:pPr>
            <w:r>
              <w:rPr>
                <w:rFonts w:hint="eastAsia" w:ascii="宋体" w:cs="Times New Roman"/>
                <w:szCs w:val="21"/>
                <w:highlight w:val="none"/>
              </w:rPr>
              <w:t>若出现信息安全防护失效行为导致严重后果，或被上级或监管单位通报的，扣除乙方合同总金额不低于5%（不低于2万元），并要求乙方赔偿实际损失。</w:t>
            </w:r>
          </w:p>
        </w:tc>
      </w:tr>
      <w:tr w14:paraId="6C60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F3E1554">
            <w:pPr>
              <w:ind w:firstLine="0" w:firstLineChars="0"/>
              <w:jc w:val="center"/>
              <w:rPr>
                <w:rFonts w:ascii="宋体" w:cs="Times New Roman"/>
                <w:szCs w:val="21"/>
                <w:highlight w:val="none"/>
              </w:rPr>
            </w:pPr>
            <w:r>
              <w:rPr>
                <w:rFonts w:hint="eastAsia" w:ascii="宋体" w:cs="Times New Roman"/>
                <w:szCs w:val="21"/>
                <w:highlight w:val="none"/>
              </w:rPr>
              <w:t>9</w:t>
            </w:r>
          </w:p>
        </w:tc>
        <w:tc>
          <w:tcPr>
            <w:tcW w:w="1103" w:type="dxa"/>
            <w:vMerge w:val="continue"/>
            <w:tcBorders>
              <w:top w:val="single" w:color="auto" w:sz="4" w:space="0"/>
              <w:left w:val="single" w:color="auto" w:sz="4" w:space="0"/>
              <w:right w:val="single" w:color="auto" w:sz="4" w:space="0"/>
            </w:tcBorders>
          </w:tcPr>
          <w:p w14:paraId="1BC520DE">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748AA6F5">
            <w:pPr>
              <w:ind w:firstLine="0" w:firstLineChars="0"/>
              <w:rPr>
                <w:rFonts w:ascii="宋体" w:cs="Times New Roman"/>
                <w:szCs w:val="21"/>
                <w:highlight w:val="none"/>
              </w:rPr>
            </w:pPr>
            <w:r>
              <w:rPr>
                <w:rFonts w:hint="eastAsia" w:ascii="宋体" w:cs="Times New Roman"/>
                <w:szCs w:val="21"/>
                <w:highlight w:val="none"/>
              </w:rPr>
              <w:t>响应与解决及时性</w:t>
            </w:r>
          </w:p>
        </w:tc>
        <w:tc>
          <w:tcPr>
            <w:tcW w:w="1232" w:type="dxa"/>
            <w:tcBorders>
              <w:top w:val="single" w:color="auto" w:sz="4" w:space="0"/>
              <w:left w:val="single" w:color="auto" w:sz="4" w:space="0"/>
              <w:right w:val="single" w:color="auto" w:sz="4" w:space="0"/>
            </w:tcBorders>
            <w:vAlign w:val="center"/>
          </w:tcPr>
          <w:p w14:paraId="0633FBB2">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或服务项目对</w:t>
            </w:r>
            <w:r>
              <w:rPr>
                <w:rFonts w:hint="eastAsia" w:ascii="宋体" w:cs="Times New Roman"/>
                <w:szCs w:val="21"/>
                <w:highlight w:val="none"/>
              </w:rPr>
              <w:t>甲方</w:t>
            </w:r>
            <w:r>
              <w:rPr>
                <w:rFonts w:ascii="宋体" w:cs="Times New Roman"/>
                <w:szCs w:val="21"/>
                <w:highlight w:val="none"/>
              </w:rPr>
              <w:t>的响应与解决的及时性</w:t>
            </w:r>
          </w:p>
        </w:tc>
        <w:tc>
          <w:tcPr>
            <w:tcW w:w="2667" w:type="dxa"/>
            <w:tcBorders>
              <w:top w:val="single" w:color="auto" w:sz="4" w:space="0"/>
              <w:left w:val="single" w:color="auto" w:sz="4" w:space="0"/>
              <w:right w:val="single" w:color="auto" w:sz="4" w:space="0"/>
            </w:tcBorders>
            <w:vAlign w:val="center"/>
          </w:tcPr>
          <w:p w14:paraId="134B845A">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或服务项目能够迅速响应需求，主动快速与</w:t>
            </w:r>
            <w:r>
              <w:rPr>
                <w:rFonts w:hint="eastAsia" w:ascii="宋体" w:cs="Times New Roman"/>
                <w:szCs w:val="21"/>
                <w:highlight w:val="none"/>
              </w:rPr>
              <w:t>甲方</w:t>
            </w:r>
            <w:r>
              <w:rPr>
                <w:rFonts w:ascii="宋体" w:cs="Times New Roman"/>
                <w:szCs w:val="21"/>
                <w:highlight w:val="none"/>
              </w:rPr>
              <w:t>进行有效的沟通，第一时间从专业角度给出解决方案并解决问题</w:t>
            </w:r>
            <w:r>
              <w:rPr>
                <w:rFonts w:hint="eastAsia" w:ascii="宋体" w:cs="Times New Roman"/>
                <w:szCs w:val="21"/>
                <w:highlight w:val="none"/>
              </w:rPr>
              <w:t>；</w:t>
            </w:r>
          </w:p>
          <w:p w14:paraId="53213C5F">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或服务项目能够按要求响应需求，及时与</w:t>
            </w:r>
            <w:r>
              <w:rPr>
                <w:rFonts w:hint="eastAsia" w:ascii="宋体" w:cs="Times New Roman"/>
                <w:szCs w:val="21"/>
                <w:highlight w:val="none"/>
              </w:rPr>
              <w:t>甲方</w:t>
            </w:r>
            <w:r>
              <w:rPr>
                <w:rFonts w:ascii="宋体" w:cs="Times New Roman"/>
                <w:szCs w:val="21"/>
                <w:highlight w:val="none"/>
              </w:rPr>
              <w:t>进行有效的沟通，快速给出处理方案并解决问题</w:t>
            </w:r>
            <w:r>
              <w:rPr>
                <w:rFonts w:hint="eastAsia" w:ascii="宋体" w:cs="Times New Roman"/>
                <w:szCs w:val="21"/>
                <w:highlight w:val="none"/>
              </w:rPr>
              <w:t>；</w:t>
            </w:r>
          </w:p>
          <w:p w14:paraId="3D15F3E2">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或服务项目能够基本按要求响应需求</w:t>
            </w:r>
            <w:r>
              <w:rPr>
                <w:rFonts w:hint="eastAsia" w:ascii="宋体" w:cs="Times New Roman"/>
                <w:szCs w:val="21"/>
                <w:highlight w:val="none"/>
              </w:rPr>
              <w:t>，</w:t>
            </w:r>
            <w:r>
              <w:rPr>
                <w:rFonts w:ascii="宋体" w:cs="Times New Roman"/>
                <w:szCs w:val="21"/>
                <w:highlight w:val="none"/>
              </w:rPr>
              <w:t>保持与</w:t>
            </w:r>
            <w:r>
              <w:rPr>
                <w:rFonts w:hint="eastAsia" w:ascii="宋体" w:cs="Times New Roman"/>
                <w:szCs w:val="21"/>
                <w:highlight w:val="none"/>
              </w:rPr>
              <w:t>甲方</w:t>
            </w:r>
            <w:r>
              <w:rPr>
                <w:rFonts w:ascii="宋体" w:cs="Times New Roman"/>
                <w:szCs w:val="21"/>
                <w:highlight w:val="none"/>
              </w:rPr>
              <w:t>的沟通，按时解决问题</w:t>
            </w:r>
            <w:r>
              <w:rPr>
                <w:rFonts w:hint="eastAsia" w:ascii="宋体" w:cs="Times New Roman"/>
                <w:szCs w:val="21"/>
                <w:highlight w:val="none"/>
              </w:rPr>
              <w:t>；</w:t>
            </w:r>
          </w:p>
          <w:p w14:paraId="0E3A0A1C">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w:t>
            </w:r>
          </w:p>
        </w:tc>
        <w:tc>
          <w:tcPr>
            <w:tcW w:w="1006" w:type="dxa"/>
            <w:tcBorders>
              <w:top w:val="single" w:color="auto" w:sz="4" w:space="0"/>
              <w:left w:val="single" w:color="auto" w:sz="4" w:space="0"/>
              <w:right w:val="single" w:color="auto" w:sz="4" w:space="0"/>
            </w:tcBorders>
            <w:vAlign w:val="center"/>
          </w:tcPr>
          <w:p w14:paraId="63A281F4">
            <w:pPr>
              <w:ind w:firstLine="0" w:firstLineChars="0"/>
              <w:rPr>
                <w:rFonts w:ascii="宋体" w:cs="Times New Roman"/>
                <w:szCs w:val="21"/>
                <w:highlight w:val="none"/>
              </w:rPr>
            </w:pPr>
            <w:r>
              <w:rPr>
                <w:rFonts w:hint="eastAsia" w:ascii="宋体" w:cs="Times New Roman"/>
                <w:szCs w:val="21"/>
                <w:highlight w:val="none"/>
              </w:rPr>
              <w:t>评价为较差/差，即乙方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，扣除乙方金额人民币不低于1000元。</w:t>
            </w:r>
          </w:p>
        </w:tc>
      </w:tr>
      <w:tr w14:paraId="5FD3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4892C85">
            <w:pPr>
              <w:ind w:firstLine="0" w:firstLineChars="0"/>
              <w:jc w:val="center"/>
              <w:rPr>
                <w:rFonts w:ascii="宋体" w:cs="Times New Roman"/>
                <w:szCs w:val="21"/>
                <w:highlight w:val="none"/>
              </w:rPr>
            </w:pPr>
            <w:r>
              <w:rPr>
                <w:rFonts w:ascii="宋体" w:cs="Times New Roman"/>
                <w:szCs w:val="21"/>
                <w:highlight w:val="none"/>
              </w:rPr>
              <w:t>1</w:t>
            </w:r>
            <w:r>
              <w:rPr>
                <w:rFonts w:hint="eastAsia" w:ascii="宋体" w:cs="Times New Roman"/>
                <w:szCs w:val="21"/>
                <w:highlight w:val="none"/>
              </w:rPr>
              <w:t>0</w:t>
            </w:r>
          </w:p>
        </w:tc>
        <w:tc>
          <w:tcPr>
            <w:tcW w:w="1103" w:type="dxa"/>
            <w:vMerge w:val="continue"/>
            <w:tcBorders>
              <w:top w:val="single" w:color="auto" w:sz="4" w:space="0"/>
              <w:left w:val="single" w:color="auto" w:sz="4" w:space="0"/>
              <w:right w:val="single" w:color="auto" w:sz="4" w:space="0"/>
            </w:tcBorders>
          </w:tcPr>
          <w:p w14:paraId="5D7DC281">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3C9BC70C">
            <w:pPr>
              <w:ind w:firstLine="0" w:firstLineChars="0"/>
              <w:rPr>
                <w:rFonts w:ascii="宋体" w:cs="Times New Roman"/>
                <w:szCs w:val="21"/>
                <w:highlight w:val="none"/>
              </w:rPr>
            </w:pPr>
            <w:r>
              <w:rPr>
                <w:rFonts w:hint="eastAsia" w:ascii="宋体" w:cs="Times New Roman"/>
                <w:szCs w:val="21"/>
                <w:highlight w:val="none"/>
              </w:rPr>
              <w:t>需求排期率</w:t>
            </w:r>
          </w:p>
        </w:tc>
        <w:tc>
          <w:tcPr>
            <w:tcW w:w="1232" w:type="dxa"/>
            <w:tcBorders>
              <w:top w:val="single" w:color="auto" w:sz="4" w:space="0"/>
              <w:left w:val="single" w:color="auto" w:sz="4" w:space="0"/>
              <w:right w:val="single" w:color="auto" w:sz="4" w:space="0"/>
            </w:tcBorders>
            <w:vAlign w:val="center"/>
          </w:tcPr>
          <w:p w14:paraId="3F2FFEB0">
            <w:pPr>
              <w:ind w:firstLine="0" w:firstLineChars="0"/>
              <w:rPr>
                <w:rFonts w:ascii="宋体" w:cs="Times New Roman"/>
                <w:szCs w:val="21"/>
                <w:highlight w:val="none"/>
              </w:rPr>
            </w:pPr>
            <w:r>
              <w:rPr>
                <w:rFonts w:ascii="宋体" w:cs="Times New Roman"/>
                <w:szCs w:val="21"/>
                <w:highlight w:val="none"/>
              </w:rPr>
              <w:t>用于记录统计周期内对</w:t>
            </w:r>
            <w:r>
              <w:rPr>
                <w:rFonts w:hint="eastAsia" w:ascii="宋体" w:cs="Times New Roman"/>
                <w:szCs w:val="21"/>
                <w:highlight w:val="none"/>
              </w:rPr>
              <w:t>甲方</w:t>
            </w:r>
            <w:r>
              <w:rPr>
                <w:rFonts w:ascii="宋体" w:cs="Times New Roman"/>
                <w:szCs w:val="21"/>
                <w:highlight w:val="none"/>
              </w:rPr>
              <w:t>需求进行投产计划安排的比例</w:t>
            </w:r>
          </w:p>
        </w:tc>
        <w:tc>
          <w:tcPr>
            <w:tcW w:w="2667" w:type="dxa"/>
            <w:tcBorders>
              <w:top w:val="single" w:color="auto" w:sz="4" w:space="0"/>
              <w:left w:val="single" w:color="auto" w:sz="4" w:space="0"/>
              <w:right w:val="single" w:color="auto" w:sz="4" w:space="0"/>
            </w:tcBorders>
            <w:vAlign w:val="center"/>
          </w:tcPr>
          <w:p w14:paraId="2F4A6BEC">
            <w:pPr>
              <w:ind w:firstLine="0" w:firstLineChars="0"/>
              <w:rPr>
                <w:rFonts w:ascii="宋体" w:cs="Times New Roman"/>
                <w:szCs w:val="21"/>
                <w:highlight w:val="none"/>
              </w:rPr>
            </w:pPr>
            <w:r>
              <w:rPr>
                <w:rFonts w:ascii="宋体" w:cs="Times New Roman"/>
                <w:szCs w:val="21"/>
                <w:highlight w:val="none"/>
              </w:rPr>
              <w:t>需求排期率=已排期需求数/总需求数</w:t>
            </w:r>
          </w:p>
          <w:p w14:paraId="551B093C">
            <w:pPr>
              <w:ind w:firstLine="0" w:firstLineChars="0"/>
              <w:rPr>
                <w:rFonts w:ascii="宋体" w:cs="Times New Roman"/>
                <w:szCs w:val="21"/>
                <w:highlight w:val="none"/>
              </w:rPr>
            </w:pPr>
            <w:r>
              <w:rPr>
                <w:rFonts w:ascii="宋体" w:cs="Times New Roman"/>
                <w:szCs w:val="21"/>
                <w:highlight w:val="none"/>
              </w:rPr>
              <w:t>注：已排期需求数指统计周期内已经纳入投产计划的需求个数。总需求数指统计周期内由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提出到达服务商项目组的需求数。</w:t>
            </w:r>
          </w:p>
          <w:p w14:paraId="093E2E19">
            <w:pPr>
              <w:ind w:firstLine="0" w:firstLineChars="0"/>
              <w:rPr>
                <w:rFonts w:ascii="宋体" w:cs="Times New Roman"/>
                <w:b/>
                <w:szCs w:val="21"/>
                <w:highlight w:val="none"/>
              </w:rPr>
            </w:pPr>
            <w:r>
              <w:rPr>
                <w:rFonts w:hint="eastAsia" w:ascii="宋体" w:cs="Times New Roman"/>
                <w:b/>
                <w:szCs w:val="21"/>
                <w:highlight w:val="none"/>
              </w:rPr>
              <w:t>5分【98%-100%】</w:t>
            </w:r>
          </w:p>
          <w:p w14:paraId="317B2CC1">
            <w:pPr>
              <w:ind w:firstLine="0" w:firstLineChars="0"/>
              <w:rPr>
                <w:rFonts w:ascii="宋体" w:cs="Times New Roman"/>
                <w:b/>
                <w:szCs w:val="21"/>
                <w:highlight w:val="none"/>
              </w:rPr>
            </w:pPr>
            <w:r>
              <w:rPr>
                <w:rFonts w:hint="eastAsia" w:ascii="宋体" w:cs="Times New Roman"/>
                <w:b/>
                <w:szCs w:val="21"/>
                <w:highlight w:val="none"/>
              </w:rPr>
              <w:t>3分【95%-97%】</w:t>
            </w:r>
          </w:p>
          <w:p w14:paraId="5D70C061">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49912207">
            <w:pPr>
              <w:ind w:firstLine="0" w:firstLineChars="0"/>
              <w:rPr>
                <w:rFonts w:ascii="宋体" w:cs="Times New Roman"/>
                <w:szCs w:val="21"/>
                <w:highlight w:val="none"/>
              </w:rPr>
            </w:pPr>
          </w:p>
        </w:tc>
      </w:tr>
      <w:tr w14:paraId="7B18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7C1111C">
            <w:pPr>
              <w:ind w:firstLine="0" w:firstLineChars="0"/>
              <w:jc w:val="center"/>
              <w:rPr>
                <w:rFonts w:ascii="宋体" w:cs="Times New Roman"/>
                <w:szCs w:val="21"/>
                <w:highlight w:val="none"/>
              </w:rPr>
            </w:pPr>
            <w:r>
              <w:rPr>
                <w:rFonts w:hint="eastAsia" w:ascii="宋体" w:cs="Times New Roman"/>
                <w:szCs w:val="21"/>
                <w:highlight w:val="none"/>
              </w:rPr>
              <w:t>11</w:t>
            </w:r>
          </w:p>
        </w:tc>
        <w:tc>
          <w:tcPr>
            <w:tcW w:w="1103" w:type="dxa"/>
            <w:vMerge w:val="continue"/>
            <w:tcBorders>
              <w:top w:val="single" w:color="auto" w:sz="4" w:space="0"/>
              <w:left w:val="single" w:color="auto" w:sz="4" w:space="0"/>
              <w:right w:val="single" w:color="auto" w:sz="4" w:space="0"/>
            </w:tcBorders>
          </w:tcPr>
          <w:p w14:paraId="54BA2827">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04A336DD">
            <w:pPr>
              <w:ind w:firstLine="0" w:firstLineChars="0"/>
              <w:rPr>
                <w:rFonts w:ascii="宋体" w:cs="Times New Roman"/>
                <w:szCs w:val="21"/>
                <w:highlight w:val="none"/>
              </w:rPr>
            </w:pPr>
            <w:r>
              <w:rPr>
                <w:rFonts w:hint="eastAsia" w:ascii="宋体" w:cs="Times New Roman"/>
                <w:szCs w:val="21"/>
                <w:highlight w:val="none"/>
              </w:rPr>
              <w:t>需求完成率</w:t>
            </w:r>
          </w:p>
        </w:tc>
        <w:tc>
          <w:tcPr>
            <w:tcW w:w="1232" w:type="dxa"/>
            <w:tcBorders>
              <w:top w:val="single" w:color="auto" w:sz="4" w:space="0"/>
              <w:left w:val="single" w:color="auto" w:sz="4" w:space="0"/>
              <w:right w:val="single" w:color="auto" w:sz="4" w:space="0"/>
            </w:tcBorders>
            <w:vAlign w:val="center"/>
          </w:tcPr>
          <w:p w14:paraId="047C75D6">
            <w:pPr>
              <w:ind w:firstLine="0" w:firstLineChars="0"/>
              <w:rPr>
                <w:rFonts w:ascii="宋体" w:cs="Times New Roman"/>
                <w:szCs w:val="21"/>
                <w:highlight w:val="none"/>
              </w:rPr>
            </w:pPr>
            <w:r>
              <w:rPr>
                <w:rFonts w:ascii="宋体" w:cs="Times New Roman"/>
                <w:szCs w:val="21"/>
                <w:highlight w:val="none"/>
              </w:rPr>
              <w:t>用于记录统计周期内</w:t>
            </w:r>
            <w:r>
              <w:rPr>
                <w:rFonts w:hint="eastAsia" w:ascii="宋体" w:cs="Times New Roman"/>
                <w:szCs w:val="21"/>
                <w:highlight w:val="none"/>
              </w:rPr>
              <w:t>甲方</w:t>
            </w:r>
            <w:r>
              <w:rPr>
                <w:rFonts w:ascii="宋体" w:cs="Times New Roman"/>
                <w:szCs w:val="21"/>
                <w:highlight w:val="none"/>
              </w:rPr>
              <w:t>需求完成投产的比例</w:t>
            </w:r>
          </w:p>
        </w:tc>
        <w:tc>
          <w:tcPr>
            <w:tcW w:w="2667" w:type="dxa"/>
            <w:tcBorders>
              <w:top w:val="single" w:color="auto" w:sz="4" w:space="0"/>
              <w:left w:val="single" w:color="auto" w:sz="4" w:space="0"/>
              <w:right w:val="single" w:color="auto" w:sz="4" w:space="0"/>
            </w:tcBorders>
            <w:vAlign w:val="center"/>
          </w:tcPr>
          <w:p w14:paraId="35C1330A">
            <w:pPr>
              <w:ind w:firstLine="0" w:firstLineChars="0"/>
              <w:rPr>
                <w:rFonts w:ascii="宋体" w:cs="Times New Roman"/>
                <w:szCs w:val="21"/>
                <w:highlight w:val="none"/>
              </w:rPr>
            </w:pPr>
            <w:r>
              <w:rPr>
                <w:rFonts w:hint="eastAsia" w:ascii="宋体" w:cs="Times New Roman"/>
                <w:szCs w:val="21"/>
                <w:highlight w:val="none"/>
              </w:rPr>
              <w:t>需</w:t>
            </w:r>
            <w:r>
              <w:rPr>
                <w:rFonts w:ascii="宋体" w:cs="Times New Roman"/>
                <w:szCs w:val="21"/>
                <w:highlight w:val="none"/>
              </w:rPr>
              <w:t>求完成率=流程完结需求数/总需求数</w:t>
            </w:r>
          </w:p>
          <w:p w14:paraId="4FCFC51F">
            <w:pPr>
              <w:ind w:firstLine="0" w:firstLineChars="0"/>
              <w:rPr>
                <w:rFonts w:ascii="宋体" w:cs="Times New Roman"/>
                <w:szCs w:val="21"/>
                <w:highlight w:val="none"/>
              </w:rPr>
            </w:pPr>
            <w:r>
              <w:rPr>
                <w:rFonts w:ascii="宋体" w:cs="Times New Roman"/>
                <w:szCs w:val="21"/>
                <w:highlight w:val="none"/>
              </w:rPr>
              <w:t>注：流程完结需求数指统计周期内已完成投产的需求个数</w:t>
            </w:r>
            <w:r>
              <w:rPr>
                <w:rFonts w:hint="eastAsia" w:ascii="宋体" w:cs="Times New Roman"/>
                <w:szCs w:val="21"/>
                <w:highlight w:val="none"/>
              </w:rPr>
              <w:t>；</w:t>
            </w:r>
            <w:r>
              <w:rPr>
                <w:rFonts w:ascii="宋体" w:cs="Times New Roman"/>
                <w:szCs w:val="21"/>
                <w:highlight w:val="none"/>
              </w:rPr>
              <w:t>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提出到达服务商项目组的需求个数。</w:t>
            </w:r>
          </w:p>
          <w:p w14:paraId="70CA22D5">
            <w:pPr>
              <w:ind w:firstLine="0" w:firstLineChars="0"/>
              <w:rPr>
                <w:rFonts w:ascii="宋体" w:cs="Times New Roman"/>
                <w:b/>
                <w:szCs w:val="21"/>
                <w:highlight w:val="none"/>
              </w:rPr>
            </w:pPr>
            <w:r>
              <w:rPr>
                <w:rFonts w:hint="eastAsia" w:ascii="宋体" w:cs="Times New Roman"/>
                <w:b/>
                <w:szCs w:val="21"/>
                <w:highlight w:val="none"/>
              </w:rPr>
              <w:t>5分【98%-100%】</w:t>
            </w:r>
          </w:p>
          <w:p w14:paraId="15A726CA">
            <w:pPr>
              <w:ind w:firstLine="0" w:firstLineChars="0"/>
              <w:rPr>
                <w:rFonts w:ascii="宋体" w:cs="Times New Roman"/>
                <w:b/>
                <w:szCs w:val="21"/>
                <w:highlight w:val="none"/>
              </w:rPr>
            </w:pPr>
            <w:r>
              <w:rPr>
                <w:rFonts w:hint="eastAsia" w:ascii="宋体" w:cs="Times New Roman"/>
                <w:b/>
                <w:szCs w:val="21"/>
                <w:highlight w:val="none"/>
              </w:rPr>
              <w:t>3分【95%-97%】</w:t>
            </w:r>
          </w:p>
          <w:p w14:paraId="4887CBF4">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1CA82ECD">
            <w:pPr>
              <w:ind w:firstLine="0" w:firstLineChars="0"/>
              <w:rPr>
                <w:rFonts w:ascii="宋体" w:cs="Times New Roman"/>
                <w:szCs w:val="21"/>
                <w:highlight w:val="none"/>
              </w:rPr>
            </w:pPr>
          </w:p>
        </w:tc>
      </w:tr>
      <w:tr w14:paraId="3298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6BC94BAF">
            <w:pPr>
              <w:ind w:firstLine="0" w:firstLineChars="0"/>
              <w:jc w:val="center"/>
              <w:rPr>
                <w:rFonts w:ascii="宋体" w:cs="Times New Roman"/>
                <w:szCs w:val="21"/>
                <w:highlight w:val="none"/>
              </w:rPr>
            </w:pPr>
            <w:r>
              <w:rPr>
                <w:rFonts w:hint="eastAsia" w:ascii="宋体" w:cs="Times New Roman"/>
                <w:szCs w:val="21"/>
                <w:highlight w:val="none"/>
              </w:rPr>
              <w:t>12</w:t>
            </w:r>
          </w:p>
        </w:tc>
        <w:tc>
          <w:tcPr>
            <w:tcW w:w="1103" w:type="dxa"/>
            <w:vMerge w:val="continue"/>
            <w:tcBorders>
              <w:top w:val="single" w:color="auto" w:sz="4" w:space="0"/>
              <w:left w:val="single" w:color="auto" w:sz="4" w:space="0"/>
              <w:right w:val="single" w:color="auto" w:sz="4" w:space="0"/>
            </w:tcBorders>
          </w:tcPr>
          <w:p w14:paraId="24696167">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79CA6463">
            <w:pPr>
              <w:ind w:firstLine="0" w:firstLineChars="0"/>
              <w:rPr>
                <w:rFonts w:ascii="宋体" w:cs="Times New Roman"/>
                <w:szCs w:val="21"/>
                <w:highlight w:val="none"/>
              </w:rPr>
            </w:pPr>
            <w:r>
              <w:rPr>
                <w:rFonts w:hint="eastAsia" w:ascii="宋体" w:cs="Times New Roman"/>
                <w:szCs w:val="21"/>
                <w:highlight w:val="none"/>
              </w:rPr>
              <w:t>人员行为规范性</w:t>
            </w:r>
          </w:p>
        </w:tc>
        <w:tc>
          <w:tcPr>
            <w:tcW w:w="1232" w:type="dxa"/>
            <w:tcBorders>
              <w:top w:val="single" w:color="auto" w:sz="4" w:space="0"/>
              <w:left w:val="single" w:color="auto" w:sz="4" w:space="0"/>
              <w:right w:val="single" w:color="auto" w:sz="4" w:space="0"/>
            </w:tcBorders>
            <w:vAlign w:val="center"/>
          </w:tcPr>
          <w:p w14:paraId="647A1E1A">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于记录外包场地日常管理或</w:t>
            </w:r>
            <w:r>
              <w:rPr>
                <w:rFonts w:hint="eastAsia" w:ascii="宋体" w:cs="Times New Roman"/>
                <w:szCs w:val="21"/>
                <w:highlight w:val="none"/>
              </w:rPr>
              <w:t>检查</w:t>
            </w:r>
            <w:r>
              <w:rPr>
                <w:rFonts w:ascii="宋体" w:cs="Times New Roman"/>
                <w:szCs w:val="21"/>
                <w:highlight w:val="none"/>
              </w:rPr>
              <w:t>过程中发现外包人员</w:t>
            </w:r>
            <w:r>
              <w:rPr>
                <w:rFonts w:hint="eastAsia" w:ascii="宋体" w:cs="Times New Roman"/>
                <w:szCs w:val="21"/>
                <w:highlight w:val="none"/>
              </w:rPr>
              <w:t>行为</w:t>
            </w:r>
            <w:r>
              <w:rPr>
                <w:rFonts w:ascii="宋体" w:cs="Times New Roman"/>
                <w:szCs w:val="21"/>
                <w:highlight w:val="none"/>
              </w:rPr>
              <w:t>违</w:t>
            </w:r>
            <w:r>
              <w:rPr>
                <w:rFonts w:hint="eastAsia" w:ascii="宋体" w:cs="Times New Roman"/>
                <w:szCs w:val="21"/>
                <w:highlight w:val="none"/>
              </w:rPr>
              <w:t>规（包括但不限于办公纪律、造成办公环境物理安全隐患等）</w:t>
            </w:r>
            <w:r>
              <w:rPr>
                <w:rFonts w:ascii="宋体" w:cs="Times New Roman"/>
                <w:szCs w:val="21"/>
                <w:highlight w:val="none"/>
              </w:rPr>
              <w:t>的次数</w:t>
            </w:r>
          </w:p>
        </w:tc>
        <w:tc>
          <w:tcPr>
            <w:tcW w:w="2667" w:type="dxa"/>
            <w:tcBorders>
              <w:top w:val="single" w:color="auto" w:sz="4" w:space="0"/>
              <w:left w:val="single" w:color="auto" w:sz="4" w:space="0"/>
              <w:right w:val="single" w:color="auto" w:sz="4" w:space="0"/>
            </w:tcBorders>
            <w:vAlign w:val="center"/>
          </w:tcPr>
          <w:p w14:paraId="3BE1BA44">
            <w:pPr>
              <w:ind w:firstLine="0" w:firstLineChars="0"/>
              <w:rPr>
                <w:rFonts w:ascii="宋体" w:cs="Times New Roman"/>
                <w:b/>
                <w:bCs/>
                <w:szCs w:val="21"/>
                <w:highlight w:val="none"/>
              </w:rPr>
            </w:pPr>
            <w:r>
              <w:rPr>
                <w:rFonts w:hint="eastAsia" w:ascii="宋体" w:cs="Times New Roman"/>
                <w:b/>
                <w:bCs/>
                <w:szCs w:val="21"/>
                <w:highlight w:val="none"/>
              </w:rPr>
              <w:t>【得分上限1</w:t>
            </w:r>
            <w:r>
              <w:rPr>
                <w:rFonts w:ascii="宋体" w:cs="Times New Roman"/>
                <w:b/>
                <w:bCs/>
                <w:szCs w:val="21"/>
                <w:highlight w:val="none"/>
              </w:rPr>
              <w:t>0</w:t>
            </w:r>
            <w:r>
              <w:rPr>
                <w:rFonts w:hint="eastAsia" w:ascii="宋体" w:cs="Times New Roman"/>
                <w:b/>
                <w:bCs/>
                <w:szCs w:val="21"/>
                <w:highlight w:val="none"/>
              </w:rPr>
              <w:t>分】</w:t>
            </w:r>
          </w:p>
          <w:p w14:paraId="5DB38EFB">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指未出现外包人员行为违规，该项指标满分；</w:t>
            </w:r>
          </w:p>
          <w:p w14:paraId="4C810993">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指检查发现外包人员行为违规1次及以上（每人次扣5分，最高扣除1</w:t>
            </w:r>
            <w:r>
              <w:rPr>
                <w:rFonts w:ascii="宋体" w:cs="Times New Roman"/>
                <w:szCs w:val="21"/>
                <w:highlight w:val="none"/>
              </w:rPr>
              <w:t>0</w:t>
            </w:r>
            <w:r>
              <w:rPr>
                <w:rFonts w:hint="eastAsia" w:ascii="宋体" w:cs="Times New Roman"/>
                <w:szCs w:val="21"/>
                <w:highlight w:val="none"/>
              </w:rPr>
              <w:t>分）</w:t>
            </w:r>
          </w:p>
        </w:tc>
        <w:tc>
          <w:tcPr>
            <w:tcW w:w="1006" w:type="dxa"/>
            <w:tcBorders>
              <w:top w:val="single" w:color="auto" w:sz="4" w:space="0"/>
              <w:left w:val="single" w:color="auto" w:sz="4" w:space="0"/>
              <w:right w:val="single" w:color="auto" w:sz="4" w:space="0"/>
            </w:tcBorders>
            <w:vAlign w:val="center"/>
          </w:tcPr>
          <w:p w14:paraId="0D5936CE">
            <w:pPr>
              <w:ind w:firstLine="0" w:firstLineChars="0"/>
              <w:rPr>
                <w:rFonts w:ascii="宋体" w:cs="Times New Roman"/>
                <w:szCs w:val="21"/>
                <w:highlight w:val="none"/>
              </w:rPr>
            </w:pPr>
            <w:r>
              <w:rPr>
                <w:rFonts w:hint="eastAsia" w:ascii="宋体" w:cs="Times New Roman"/>
                <w:szCs w:val="21"/>
                <w:highlight w:val="none"/>
              </w:rPr>
              <w:t>每出现一次人员行为</w:t>
            </w:r>
            <w:r>
              <w:rPr>
                <w:rFonts w:ascii="宋体" w:cs="Times New Roman"/>
                <w:szCs w:val="21"/>
                <w:highlight w:val="none"/>
              </w:rPr>
              <w:t>违规</w:t>
            </w:r>
            <w:r>
              <w:rPr>
                <w:rFonts w:hint="eastAsia" w:ascii="宋体" w:cs="Times New Roman"/>
                <w:szCs w:val="21"/>
                <w:highlight w:val="none"/>
              </w:rPr>
              <w:t>，扣除乙方金额人民币不低于500元。</w:t>
            </w:r>
          </w:p>
        </w:tc>
      </w:tr>
      <w:tr w14:paraId="7FC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31AC365">
            <w:pPr>
              <w:ind w:firstLine="0" w:firstLineChars="0"/>
              <w:jc w:val="center"/>
              <w:rPr>
                <w:rFonts w:ascii="宋体" w:cs="Times New Roman"/>
                <w:szCs w:val="21"/>
                <w:highlight w:val="none"/>
              </w:rPr>
            </w:pPr>
            <w:r>
              <w:rPr>
                <w:rFonts w:hint="eastAsia" w:ascii="宋体" w:cs="Times New Roman"/>
                <w:szCs w:val="21"/>
                <w:highlight w:val="none"/>
              </w:rPr>
              <w:t>13</w:t>
            </w:r>
          </w:p>
        </w:tc>
        <w:tc>
          <w:tcPr>
            <w:tcW w:w="1103" w:type="dxa"/>
            <w:vMerge w:val="continue"/>
            <w:tcBorders>
              <w:top w:val="single" w:color="auto" w:sz="4" w:space="0"/>
              <w:left w:val="single" w:color="auto" w:sz="4" w:space="0"/>
              <w:right w:val="single" w:color="auto" w:sz="4" w:space="0"/>
            </w:tcBorders>
          </w:tcPr>
          <w:p w14:paraId="04C6A7A0">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541965DD">
            <w:pPr>
              <w:ind w:firstLine="0" w:firstLineChars="0"/>
              <w:rPr>
                <w:rFonts w:ascii="宋体" w:cs="Times New Roman"/>
                <w:szCs w:val="21"/>
                <w:highlight w:val="none"/>
              </w:rPr>
            </w:pPr>
            <w:r>
              <w:rPr>
                <w:rFonts w:hint="eastAsia" w:ascii="宋体" w:cs="Times New Roman"/>
                <w:szCs w:val="21"/>
                <w:highlight w:val="none"/>
              </w:rPr>
              <w:t>人员变动率</w:t>
            </w:r>
          </w:p>
        </w:tc>
        <w:tc>
          <w:tcPr>
            <w:tcW w:w="1232" w:type="dxa"/>
            <w:tcBorders>
              <w:top w:val="single" w:color="auto" w:sz="4" w:space="0"/>
              <w:left w:val="single" w:color="auto" w:sz="4" w:space="0"/>
              <w:right w:val="single" w:color="auto" w:sz="4" w:space="0"/>
            </w:tcBorders>
            <w:vAlign w:val="center"/>
          </w:tcPr>
          <w:p w14:paraId="6D65A6B9">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于记录统计周期内</w:t>
            </w:r>
            <w:r>
              <w:rPr>
                <w:rFonts w:hint="eastAsia" w:ascii="宋体" w:cs="Times New Roman"/>
                <w:szCs w:val="21"/>
                <w:highlight w:val="none"/>
              </w:rPr>
              <w:t>乙方未经甲方同意</w:t>
            </w:r>
            <w:r>
              <w:rPr>
                <w:rFonts w:ascii="宋体" w:cs="Times New Roman"/>
                <w:szCs w:val="21"/>
                <w:highlight w:val="none"/>
              </w:rPr>
              <w:t>更换外包人员数量占</w:t>
            </w:r>
            <w:r>
              <w:rPr>
                <w:rFonts w:hint="eastAsia" w:ascii="宋体" w:cs="Times New Roman"/>
                <w:szCs w:val="21"/>
                <w:highlight w:val="none"/>
              </w:rPr>
              <w:t>乙方</w:t>
            </w:r>
            <w:r>
              <w:rPr>
                <w:rFonts w:ascii="宋体" w:cs="Times New Roman"/>
                <w:szCs w:val="21"/>
                <w:highlight w:val="none"/>
              </w:rPr>
              <w:t>驻场外包人员总数量的比率</w:t>
            </w:r>
          </w:p>
        </w:tc>
        <w:tc>
          <w:tcPr>
            <w:tcW w:w="2667" w:type="dxa"/>
            <w:tcBorders>
              <w:top w:val="single" w:color="auto" w:sz="4" w:space="0"/>
              <w:left w:val="single" w:color="auto" w:sz="4" w:space="0"/>
              <w:right w:val="single" w:color="auto" w:sz="4" w:space="0"/>
            </w:tcBorders>
            <w:vAlign w:val="center"/>
          </w:tcPr>
          <w:p w14:paraId="6FBA066F">
            <w:pPr>
              <w:ind w:firstLine="0" w:firstLineChars="0"/>
              <w:rPr>
                <w:rFonts w:ascii="宋体" w:cs="Times New Roman"/>
                <w:szCs w:val="21"/>
                <w:highlight w:val="none"/>
              </w:rPr>
            </w:pPr>
            <w:r>
              <w:rPr>
                <w:rFonts w:hint="eastAsia" w:ascii="宋体" w:cs="Times New Roman"/>
                <w:szCs w:val="21"/>
                <w:highlight w:val="none"/>
              </w:rPr>
              <w:t>人</w:t>
            </w:r>
            <w:r>
              <w:rPr>
                <w:rFonts w:ascii="宋体" w:cs="Times New Roman"/>
                <w:szCs w:val="21"/>
                <w:highlight w:val="none"/>
              </w:rPr>
              <w:t>员变动率=</w:t>
            </w:r>
            <w:r>
              <w:rPr>
                <w:rFonts w:hint="eastAsia" w:ascii="宋体" w:cs="Times New Roman"/>
                <w:szCs w:val="21"/>
                <w:highlight w:val="none"/>
              </w:rPr>
              <w:t>乙方未经甲方同意</w:t>
            </w:r>
            <w:r>
              <w:rPr>
                <w:rFonts w:ascii="宋体" w:cs="Times New Roman"/>
                <w:szCs w:val="21"/>
                <w:highlight w:val="none"/>
              </w:rPr>
              <w:t>更换外包人员数量/</w:t>
            </w:r>
            <w:r>
              <w:rPr>
                <w:rFonts w:hint="eastAsia" w:ascii="宋体" w:cs="Times New Roman"/>
                <w:szCs w:val="21"/>
                <w:highlight w:val="none"/>
              </w:rPr>
              <w:t>乙方</w:t>
            </w:r>
            <w:r>
              <w:rPr>
                <w:rFonts w:ascii="宋体" w:cs="Times New Roman"/>
                <w:szCs w:val="21"/>
                <w:highlight w:val="none"/>
              </w:rPr>
              <w:t>驻场外包人员总数量</w:t>
            </w:r>
          </w:p>
          <w:p w14:paraId="4E95BAA6">
            <w:pPr>
              <w:ind w:firstLine="0" w:firstLineChars="0"/>
              <w:rPr>
                <w:rFonts w:ascii="宋体" w:cs="Times New Roman"/>
                <w:b/>
                <w:szCs w:val="21"/>
                <w:highlight w:val="none"/>
              </w:rPr>
            </w:pPr>
            <w:r>
              <w:rPr>
                <w:rFonts w:hint="eastAsia" w:ascii="宋体" w:cs="Times New Roman"/>
                <w:b/>
                <w:szCs w:val="21"/>
                <w:highlight w:val="none"/>
              </w:rPr>
              <w:t>10分【0-20%】</w:t>
            </w:r>
          </w:p>
          <w:p w14:paraId="6126428D">
            <w:pPr>
              <w:ind w:firstLine="0" w:firstLineChars="0"/>
              <w:rPr>
                <w:rFonts w:ascii="宋体" w:cs="Times New Roman"/>
                <w:b/>
                <w:szCs w:val="21"/>
                <w:highlight w:val="none"/>
              </w:rPr>
            </w:pPr>
            <w:r>
              <w:rPr>
                <w:rFonts w:hint="eastAsia" w:ascii="宋体" w:cs="Times New Roman"/>
                <w:b/>
                <w:szCs w:val="21"/>
                <w:highlight w:val="none"/>
              </w:rPr>
              <w:t>5分【20%-40%】</w:t>
            </w:r>
          </w:p>
          <w:p w14:paraId="13D409AC">
            <w:pPr>
              <w:ind w:firstLine="0" w:firstLineChars="0"/>
              <w:rPr>
                <w:rFonts w:ascii="宋体" w:cs="Times New Roman"/>
                <w:b/>
                <w:szCs w:val="21"/>
                <w:highlight w:val="none"/>
              </w:rPr>
            </w:pPr>
            <w:r>
              <w:rPr>
                <w:rFonts w:hint="eastAsia" w:ascii="宋体" w:cs="Times New Roman"/>
                <w:b/>
                <w:szCs w:val="21"/>
                <w:highlight w:val="none"/>
              </w:rPr>
              <w:t>0分【超过40%】</w:t>
            </w:r>
          </w:p>
        </w:tc>
        <w:tc>
          <w:tcPr>
            <w:tcW w:w="1006" w:type="dxa"/>
            <w:tcBorders>
              <w:top w:val="single" w:color="auto" w:sz="4" w:space="0"/>
              <w:left w:val="single" w:color="auto" w:sz="4" w:space="0"/>
              <w:right w:val="single" w:color="auto" w:sz="4" w:space="0"/>
            </w:tcBorders>
            <w:vAlign w:val="center"/>
          </w:tcPr>
          <w:p w14:paraId="4883B4EB">
            <w:pPr>
              <w:ind w:firstLine="0" w:firstLineChars="0"/>
              <w:rPr>
                <w:rFonts w:ascii="宋体" w:cs="Times New Roman"/>
                <w:szCs w:val="21"/>
                <w:highlight w:val="none"/>
              </w:rPr>
            </w:pPr>
            <w:r>
              <w:rPr>
                <w:rFonts w:hint="eastAsia" w:ascii="宋体" w:cs="Times New Roman"/>
                <w:szCs w:val="21"/>
                <w:highlight w:val="none"/>
              </w:rPr>
              <w:t>技术骨干或项目经理未经甲方同意变动，扣除乙方金额人民币不低于3万元；其余人员变动率超过40</w:t>
            </w:r>
            <w:r>
              <w:rPr>
                <w:rFonts w:ascii="宋体" w:cs="Times New Roman"/>
                <w:szCs w:val="21"/>
                <w:highlight w:val="none"/>
              </w:rPr>
              <w:t>%</w:t>
            </w:r>
            <w:r>
              <w:rPr>
                <w:rFonts w:hint="eastAsia" w:ascii="宋体" w:cs="Times New Roman"/>
                <w:szCs w:val="21"/>
                <w:highlight w:val="none"/>
              </w:rPr>
              <w:t>，扣除不低于合同总金额的1%。</w:t>
            </w:r>
          </w:p>
        </w:tc>
      </w:tr>
      <w:tr w14:paraId="4D3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7EFACAD">
            <w:pPr>
              <w:ind w:firstLine="0" w:firstLineChars="0"/>
              <w:jc w:val="center"/>
              <w:rPr>
                <w:rFonts w:ascii="宋体" w:cs="Times New Roman"/>
                <w:szCs w:val="21"/>
                <w:highlight w:val="none"/>
              </w:rPr>
            </w:pPr>
            <w:r>
              <w:rPr>
                <w:rFonts w:hint="eastAsia" w:ascii="宋体" w:cs="Times New Roman"/>
                <w:szCs w:val="21"/>
                <w:highlight w:val="none"/>
              </w:rPr>
              <w:t>14</w:t>
            </w:r>
          </w:p>
        </w:tc>
        <w:tc>
          <w:tcPr>
            <w:tcW w:w="1103" w:type="dxa"/>
            <w:vMerge w:val="continue"/>
            <w:tcBorders>
              <w:top w:val="single" w:color="auto" w:sz="4" w:space="0"/>
              <w:left w:val="single" w:color="auto" w:sz="4" w:space="0"/>
              <w:right w:val="single" w:color="auto" w:sz="4" w:space="0"/>
            </w:tcBorders>
          </w:tcPr>
          <w:p w14:paraId="60C02B4F">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74A53F5">
            <w:pPr>
              <w:ind w:firstLine="0" w:firstLineChars="0"/>
              <w:rPr>
                <w:rFonts w:ascii="宋体" w:cs="Times New Roman"/>
                <w:szCs w:val="21"/>
                <w:highlight w:val="none"/>
              </w:rPr>
            </w:pPr>
            <w:r>
              <w:rPr>
                <w:rFonts w:hint="eastAsia" w:ascii="宋体" w:cs="Times New Roman"/>
                <w:szCs w:val="21"/>
                <w:highlight w:val="none"/>
              </w:rPr>
              <w:t>人员满意度评价</w:t>
            </w:r>
          </w:p>
        </w:tc>
        <w:tc>
          <w:tcPr>
            <w:tcW w:w="1232" w:type="dxa"/>
            <w:tcBorders>
              <w:top w:val="single" w:color="auto" w:sz="4" w:space="0"/>
              <w:left w:val="single" w:color="auto" w:sz="4" w:space="0"/>
              <w:right w:val="single" w:color="auto" w:sz="4" w:space="0"/>
            </w:tcBorders>
            <w:vAlign w:val="center"/>
          </w:tcPr>
          <w:p w14:paraId="0983CB2E">
            <w:pPr>
              <w:ind w:firstLine="0" w:firstLineChars="0"/>
              <w:rPr>
                <w:rFonts w:ascii="宋体" w:cs="Times New Roman"/>
                <w:szCs w:val="21"/>
                <w:highlight w:val="none"/>
              </w:rPr>
            </w:pPr>
            <w:r>
              <w:rPr>
                <w:rFonts w:hint="eastAsia" w:ascii="宋体" w:cs="Times New Roman"/>
                <w:szCs w:val="21"/>
                <w:highlight w:val="none"/>
              </w:rPr>
              <w:t>甲方</w:t>
            </w:r>
            <w:r>
              <w:rPr>
                <w:rFonts w:ascii="宋体" w:cs="Times New Roman"/>
                <w:szCs w:val="21"/>
                <w:highlight w:val="none"/>
              </w:rPr>
              <w:t>对</w:t>
            </w:r>
            <w:r>
              <w:rPr>
                <w:rFonts w:hint="eastAsia" w:ascii="宋体" w:cs="Times New Roman"/>
                <w:szCs w:val="21"/>
                <w:highlight w:val="none"/>
              </w:rPr>
              <w:t>乙方</w:t>
            </w:r>
            <w:r>
              <w:rPr>
                <w:rFonts w:ascii="宋体" w:cs="Times New Roman"/>
                <w:szCs w:val="21"/>
                <w:highlight w:val="none"/>
              </w:rPr>
              <w:t>外包人员表现的满意度评价</w:t>
            </w:r>
          </w:p>
        </w:tc>
        <w:tc>
          <w:tcPr>
            <w:tcW w:w="2667" w:type="dxa"/>
            <w:tcBorders>
              <w:top w:val="single" w:color="auto" w:sz="4" w:space="0"/>
              <w:left w:val="single" w:color="auto" w:sz="4" w:space="0"/>
              <w:right w:val="single" w:color="auto" w:sz="4" w:space="0"/>
            </w:tcBorders>
            <w:vAlign w:val="center"/>
          </w:tcPr>
          <w:p w14:paraId="201649C7">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工作效率高，态度积极主动，</w:t>
            </w:r>
            <w:r>
              <w:rPr>
                <w:rFonts w:ascii="宋体" w:cs="Times New Roman"/>
                <w:szCs w:val="21"/>
                <w:highlight w:val="none"/>
              </w:rPr>
              <w:t>保质保量完成工作任务</w:t>
            </w:r>
            <w:r>
              <w:rPr>
                <w:rFonts w:hint="eastAsia" w:ascii="宋体" w:cs="Times New Roman"/>
                <w:szCs w:val="21"/>
                <w:highlight w:val="none"/>
              </w:rPr>
              <w:t>，</w:t>
            </w:r>
            <w:r>
              <w:rPr>
                <w:rFonts w:ascii="宋体" w:cs="Times New Roman"/>
                <w:szCs w:val="21"/>
                <w:highlight w:val="none"/>
              </w:rPr>
              <w:t>对团队有突出贡献，日常行为能起到模范带头作用</w:t>
            </w:r>
            <w:r>
              <w:rPr>
                <w:rFonts w:hint="eastAsia" w:ascii="宋体" w:cs="Times New Roman"/>
                <w:szCs w:val="21"/>
                <w:highlight w:val="none"/>
              </w:rPr>
              <w:t>的；</w:t>
            </w:r>
          </w:p>
          <w:p w14:paraId="12191543">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工作效率较高，态度比较主动，较好</w:t>
            </w:r>
            <w:r>
              <w:rPr>
                <w:rFonts w:ascii="宋体" w:cs="Times New Roman"/>
                <w:szCs w:val="21"/>
                <w:highlight w:val="none"/>
              </w:rPr>
              <w:t>完成工作任务</w:t>
            </w:r>
            <w:r>
              <w:rPr>
                <w:rFonts w:hint="eastAsia" w:ascii="宋体" w:cs="Times New Roman"/>
                <w:szCs w:val="21"/>
                <w:highlight w:val="none"/>
              </w:rPr>
              <w:t>，</w:t>
            </w:r>
            <w:r>
              <w:rPr>
                <w:rFonts w:ascii="宋体" w:cs="Times New Roman"/>
                <w:szCs w:val="21"/>
                <w:highlight w:val="none"/>
              </w:rPr>
              <w:t>对团队有</w:t>
            </w:r>
            <w:r>
              <w:rPr>
                <w:rFonts w:hint="eastAsia" w:ascii="宋体" w:cs="Times New Roman"/>
                <w:szCs w:val="21"/>
                <w:highlight w:val="none"/>
              </w:rPr>
              <w:t>一定</w:t>
            </w:r>
            <w:r>
              <w:rPr>
                <w:rFonts w:ascii="宋体" w:cs="Times New Roman"/>
                <w:szCs w:val="21"/>
                <w:highlight w:val="none"/>
              </w:rPr>
              <w:t>贡献，日常行为</w:t>
            </w:r>
            <w:r>
              <w:rPr>
                <w:rFonts w:hint="eastAsia" w:ascii="宋体" w:cs="Times New Roman"/>
                <w:szCs w:val="21"/>
                <w:highlight w:val="none"/>
              </w:rPr>
              <w:t>表现较好的；</w:t>
            </w:r>
          </w:p>
          <w:p w14:paraId="67516721">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工作效率一般，态度合格，能够按时</w:t>
            </w:r>
            <w:r>
              <w:rPr>
                <w:rFonts w:ascii="宋体" w:cs="Times New Roman"/>
                <w:szCs w:val="21"/>
                <w:highlight w:val="none"/>
              </w:rPr>
              <w:t>完成工作任务</w:t>
            </w:r>
            <w:r>
              <w:rPr>
                <w:rFonts w:hint="eastAsia" w:ascii="宋体" w:cs="Times New Roman"/>
                <w:szCs w:val="21"/>
                <w:highlight w:val="none"/>
              </w:rPr>
              <w:t>的；</w:t>
            </w:r>
          </w:p>
          <w:p w14:paraId="38EE5B3E">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工作效率低下，态度懈怠散漫，不能按时</w:t>
            </w:r>
            <w:r>
              <w:rPr>
                <w:rFonts w:ascii="宋体" w:cs="Times New Roman"/>
                <w:szCs w:val="21"/>
                <w:highlight w:val="none"/>
              </w:rPr>
              <w:t>完成工作任务</w:t>
            </w:r>
            <w:r>
              <w:rPr>
                <w:rFonts w:hint="eastAsia" w:ascii="宋体" w:cs="Times New Roman"/>
                <w:szCs w:val="21"/>
                <w:highlight w:val="none"/>
              </w:rPr>
              <w:t>的。</w:t>
            </w:r>
          </w:p>
        </w:tc>
        <w:tc>
          <w:tcPr>
            <w:tcW w:w="1006" w:type="dxa"/>
            <w:tcBorders>
              <w:top w:val="single" w:color="auto" w:sz="4" w:space="0"/>
              <w:left w:val="single" w:color="auto" w:sz="4" w:space="0"/>
              <w:right w:val="single" w:color="auto" w:sz="4" w:space="0"/>
            </w:tcBorders>
            <w:vAlign w:val="center"/>
          </w:tcPr>
          <w:p w14:paraId="2B2F35D6">
            <w:pPr>
              <w:ind w:firstLine="0" w:firstLineChars="0"/>
              <w:rPr>
                <w:rFonts w:ascii="宋体" w:cs="Times New Roman"/>
                <w:szCs w:val="21"/>
                <w:highlight w:val="none"/>
              </w:rPr>
            </w:pPr>
            <w:r>
              <w:rPr>
                <w:rFonts w:hint="eastAsia" w:ascii="宋体" w:cs="Times New Roman"/>
                <w:szCs w:val="21"/>
                <w:highlight w:val="none"/>
              </w:rPr>
              <w:t>评价为较差/差时，甲方有权要求乙方更换人员并赔偿实际损失。</w:t>
            </w:r>
          </w:p>
        </w:tc>
      </w:tr>
    </w:tbl>
    <w:p w14:paraId="71463048">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2CB73B1C">
      <w:pPr>
        <w:pStyle w:val="16"/>
        <w:numPr>
          <w:ilvl w:val="0"/>
          <w:numId w:val="9"/>
        </w:numPr>
        <w:rPr>
          <w:highlight w:val="none"/>
        </w:rPr>
      </w:pPr>
      <w:r>
        <w:rPr>
          <w:rFonts w:hint="eastAsia"/>
          <w:highlight w:val="none"/>
        </w:rPr>
        <w:t>人员要求</w:t>
      </w:r>
    </w:p>
    <w:p w14:paraId="0C636BE1">
      <w:pPr>
        <w:numPr>
          <w:ilvl w:val="0"/>
          <w:numId w:val="10"/>
        </w:numPr>
        <w:ind w:firstLine="420"/>
        <w:rPr>
          <w:highlight w:val="none"/>
        </w:rPr>
      </w:pPr>
      <w:r>
        <w:rPr>
          <w:highlight w:val="none"/>
        </w:rPr>
        <w:t>提供近半年公司为项目组成员缴纳社保的证明材料</w:t>
      </w:r>
      <w:r>
        <w:rPr>
          <w:rFonts w:hint="eastAsia"/>
          <w:highlight w:val="none"/>
        </w:rPr>
        <w:t>并加盖鲜章（员工参保单位为响应人或委托第三方公司代缴，均认定有效；若员工社保委托第三方公司代缴，需提供代缴材料证明与第三方签订的合同或协议。）</w:t>
      </w:r>
    </w:p>
    <w:p w14:paraId="5D2E4DE2">
      <w:pPr>
        <w:pStyle w:val="10"/>
        <w:numPr>
          <w:ilvl w:val="0"/>
          <w:numId w:val="10"/>
        </w:numPr>
        <w:ind w:firstLine="420"/>
        <w:rPr>
          <w:highlight w:val="none"/>
        </w:rPr>
      </w:pPr>
      <w:r>
        <w:rPr>
          <w:rFonts w:hint="eastAsia" w:cs="Times New Roman"/>
          <w:szCs w:val="24"/>
          <w:highlight w:val="none"/>
          <w:shd w:val="clear" w:color="auto" w:fill="FFFFFF"/>
        </w:rPr>
        <w:t>项目组成员简历信息。（</w:t>
      </w:r>
      <w:r>
        <w:rPr>
          <w:rFonts w:cs="Times New Roman"/>
          <w:highlight w:val="none"/>
        </w:rPr>
        <w:t>参与本项目建设的成员清单，并附上相关人员简历、劳动合同、资质证书复印件</w:t>
      </w:r>
      <w:r>
        <w:rPr>
          <w:rFonts w:cs="Times New Roman"/>
          <w:szCs w:val="24"/>
          <w:highlight w:val="none"/>
          <w:shd w:val="clear" w:color="auto" w:fill="FFFFFF"/>
        </w:rPr>
        <w:t>并加盖单位公章</w:t>
      </w:r>
      <w:r>
        <w:rPr>
          <w:rFonts w:hint="eastAsia" w:cs="Times New Roman"/>
          <w:szCs w:val="24"/>
          <w:highlight w:val="none"/>
          <w:shd w:val="clear" w:color="auto" w:fill="FFFFFF"/>
        </w:rPr>
        <w:t>）</w:t>
      </w:r>
    </w:p>
    <w:p w14:paraId="546ECB50">
      <w:pPr>
        <w:ind w:firstLine="420"/>
        <w:rPr>
          <w:highlight w:val="none"/>
        </w:rPr>
      </w:pPr>
      <w:r>
        <w:rPr>
          <w:rFonts w:hint="eastAsia"/>
          <w:highlight w:val="none"/>
        </w:rPr>
        <w:br w:type="page"/>
      </w:r>
    </w:p>
    <w:p w14:paraId="397AB1B3">
      <w:pPr>
        <w:pStyle w:val="16"/>
        <w:numPr>
          <w:ilvl w:val="0"/>
          <w:numId w:val="9"/>
        </w:numPr>
        <w:rPr>
          <w:highlight w:val="none"/>
        </w:rPr>
      </w:pPr>
      <w:r>
        <w:rPr>
          <w:rFonts w:hint="eastAsia"/>
          <w:highlight w:val="none"/>
        </w:rPr>
        <w:t>售后服务和培训方案</w:t>
      </w:r>
    </w:p>
    <w:p w14:paraId="3300009C">
      <w:pPr>
        <w:ind w:firstLine="420"/>
        <w:rPr>
          <w:highlight w:val="none"/>
        </w:rPr>
      </w:pPr>
      <w:r>
        <w:rPr>
          <w:rFonts w:hint="eastAsia"/>
          <w:highlight w:val="none"/>
        </w:rPr>
        <w:t>提供售后服务和培训方案并加盖鲜章</w:t>
      </w:r>
    </w:p>
    <w:p w14:paraId="22243FAF">
      <w:pPr>
        <w:ind w:firstLine="420"/>
        <w:rPr>
          <w:highlight w:val="none"/>
        </w:rPr>
      </w:pPr>
      <w:r>
        <w:rPr>
          <w:rFonts w:hint="eastAsia"/>
          <w:highlight w:val="none"/>
        </w:rPr>
        <w:br w:type="page"/>
      </w:r>
    </w:p>
    <w:p w14:paraId="63ABDC56">
      <w:pPr>
        <w:pStyle w:val="16"/>
        <w:numPr>
          <w:ilvl w:val="0"/>
          <w:numId w:val="9"/>
        </w:numPr>
        <w:rPr>
          <w:highlight w:val="none"/>
        </w:rPr>
      </w:pPr>
      <w:r>
        <w:rPr>
          <w:rFonts w:hint="eastAsia"/>
          <w:highlight w:val="none"/>
        </w:rPr>
        <w:t>服务连续性预案</w:t>
      </w:r>
    </w:p>
    <w:p w14:paraId="5330BF2F">
      <w:pPr>
        <w:ind w:firstLine="420"/>
        <w:rPr>
          <w:highlight w:val="none"/>
        </w:rPr>
      </w:pPr>
      <w:r>
        <w:rPr>
          <w:highlight w:val="none"/>
        </w:rPr>
        <w:t>提供服务连续性预案</w:t>
      </w:r>
      <w:r>
        <w:rPr>
          <w:rFonts w:hint="eastAsia"/>
          <w:highlight w:val="none"/>
        </w:rPr>
        <w:t>并加盖鲜章</w:t>
      </w:r>
    </w:p>
    <w:p w14:paraId="10235627">
      <w:pPr>
        <w:ind w:firstLine="420"/>
        <w:rPr>
          <w:highlight w:val="none"/>
        </w:rPr>
      </w:pPr>
      <w:r>
        <w:rPr>
          <w:rFonts w:hint="eastAsia"/>
          <w:highlight w:val="none"/>
        </w:rPr>
        <w:br w:type="page"/>
      </w:r>
    </w:p>
    <w:p w14:paraId="36ACD51C">
      <w:pPr>
        <w:pStyle w:val="16"/>
        <w:numPr>
          <w:ilvl w:val="0"/>
          <w:numId w:val="9"/>
        </w:numPr>
        <w:rPr>
          <w:highlight w:val="none"/>
        </w:rPr>
      </w:pPr>
      <w:r>
        <w:rPr>
          <w:rFonts w:hint="eastAsia"/>
          <w:highlight w:val="none"/>
        </w:rPr>
        <w:t>项目实施方案</w:t>
      </w:r>
    </w:p>
    <w:p w14:paraId="1F785CD4">
      <w:pPr>
        <w:ind w:firstLine="420"/>
        <w:rPr>
          <w:highlight w:val="none"/>
        </w:rPr>
      </w:pPr>
      <w:r>
        <w:rPr>
          <w:rFonts w:hint="eastAsia"/>
          <w:highlight w:val="none"/>
        </w:rPr>
        <w:t>提供项目实施方案并加盖鲜章</w:t>
      </w:r>
    </w:p>
    <w:p w14:paraId="678DF9B2">
      <w:pPr>
        <w:ind w:firstLine="420"/>
        <w:rPr>
          <w:highlight w:val="none"/>
        </w:rPr>
      </w:pPr>
      <w:r>
        <w:rPr>
          <w:rFonts w:hint="eastAsia"/>
          <w:highlight w:val="none"/>
        </w:rPr>
        <w:br w:type="page"/>
      </w:r>
    </w:p>
    <w:p w14:paraId="4CB102D8">
      <w:pPr>
        <w:pStyle w:val="16"/>
        <w:rPr>
          <w:highlight w:val="none"/>
        </w:rPr>
      </w:pPr>
      <w:r>
        <w:rPr>
          <w:rFonts w:hint="eastAsia"/>
          <w:highlight w:val="none"/>
        </w:rPr>
        <w:t>（七）其他（如有）</w:t>
      </w:r>
    </w:p>
    <w:p w14:paraId="3DC708DD">
      <w:pPr>
        <w:pStyle w:val="42"/>
        <w:rPr>
          <w:highlight w:val="none"/>
        </w:rPr>
      </w:pPr>
      <w:r>
        <w:rPr>
          <w:highlight w:val="none"/>
        </w:rPr>
        <w:t>（如第三章中要求提供的文件、方案等材料）</w:t>
      </w:r>
    </w:p>
    <w:p w14:paraId="17ABCB72">
      <w:pPr>
        <w:ind w:firstLine="420"/>
        <w:rPr>
          <w:highlight w:val="none"/>
        </w:rPr>
      </w:pPr>
    </w:p>
    <w:p w14:paraId="34A8A0FE">
      <w:pPr>
        <w:ind w:firstLine="420"/>
        <w:rPr>
          <w:highlight w:val="none"/>
        </w:rPr>
      </w:pPr>
    </w:p>
    <w:p w14:paraId="4434FC2D">
      <w:pPr>
        <w:ind w:firstLine="420"/>
        <w:rPr>
          <w:highlight w:val="none"/>
        </w:rPr>
        <w:sectPr>
          <w:pgSz w:w="11906" w:h="16838"/>
          <w:pgMar w:top="1440" w:right="1800" w:bottom="1440" w:left="1800" w:header="851" w:footer="992" w:gutter="0"/>
          <w:pgNumType w:fmt="decimal"/>
          <w:cols w:space="425" w:num="1"/>
          <w:docGrid w:type="lines" w:linePitch="312" w:charSpace="0"/>
        </w:sectPr>
      </w:pPr>
    </w:p>
    <w:p w14:paraId="3FBB2443">
      <w:pPr>
        <w:pStyle w:val="34"/>
        <w:rPr>
          <w:highlight w:val="none"/>
        </w:rPr>
      </w:pPr>
      <w:r>
        <w:rPr>
          <w:highlight w:val="none"/>
        </w:rPr>
        <w:t>五、商务技术文件</w:t>
      </w:r>
    </w:p>
    <w:p w14:paraId="096AF6FC">
      <w:pPr>
        <w:pStyle w:val="42"/>
        <w:rPr>
          <w:highlight w:val="none"/>
        </w:rPr>
      </w:pPr>
      <w:r>
        <w:rPr>
          <w:highlight w:val="none"/>
        </w:rPr>
        <w:t>（根据第四章内容提供相关材料）</w:t>
      </w:r>
    </w:p>
    <w:p w14:paraId="6791D073">
      <w:pPr>
        <w:ind w:firstLine="422"/>
        <w:rPr>
          <w:rStyle w:val="30"/>
          <w:b/>
          <w:highlight w:val="none"/>
        </w:rPr>
      </w:pPr>
    </w:p>
    <w:p w14:paraId="5FF6C0BD">
      <w:pPr>
        <w:ind w:firstLine="422"/>
        <w:rPr>
          <w:rStyle w:val="30"/>
          <w:b/>
          <w:highlight w:val="none"/>
        </w:rPr>
      </w:pPr>
    </w:p>
    <w:p w14:paraId="184D0142">
      <w:pPr>
        <w:ind w:firstLine="422"/>
        <w:rPr>
          <w:rStyle w:val="30"/>
          <w:b/>
          <w:highlight w:val="none"/>
        </w:rPr>
      </w:pPr>
    </w:p>
    <w:p w14:paraId="5D35F859">
      <w:pPr>
        <w:widowControl/>
        <w:autoSpaceDE/>
        <w:autoSpaceDN/>
        <w:spacing w:line="240" w:lineRule="auto"/>
        <w:ind w:firstLine="0" w:firstLineChars="0"/>
        <w:jc w:val="left"/>
        <w:rPr>
          <w:b/>
          <w:sz w:val="28"/>
          <w:highlight w:val="none"/>
        </w:rPr>
      </w:pPr>
      <w:r>
        <w:rPr>
          <w:highlight w:val="none"/>
        </w:rPr>
        <w:br w:type="page"/>
      </w:r>
    </w:p>
    <w:p w14:paraId="7A855116">
      <w:pPr>
        <w:pStyle w:val="34"/>
        <w:rPr>
          <w:highlight w:val="none"/>
        </w:rPr>
      </w:pPr>
      <w:r>
        <w:rPr>
          <w:rFonts w:hint="eastAsia"/>
          <w:highlight w:val="none"/>
        </w:rPr>
        <w:t>六</w:t>
      </w:r>
      <w:r>
        <w:rPr>
          <w:highlight w:val="none"/>
        </w:rPr>
        <w:t>、其他（如有）</w:t>
      </w:r>
    </w:p>
    <w:p w14:paraId="6784A244">
      <w:pPr>
        <w:ind w:firstLine="420"/>
        <w:rPr>
          <w:highlight w:val="none"/>
        </w:rPr>
      </w:pPr>
    </w:p>
    <w:p w14:paraId="6651EC7C">
      <w:pPr>
        <w:ind w:firstLine="420"/>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AD66">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AE03">
    <w:pPr>
      <w:pStyle w:val="18"/>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B5767">
                          <w:pPr>
                            <w:pStyle w:val="1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B5767">
                    <w:pPr>
                      <w:pStyle w:val="1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B136">
    <w:pPr>
      <w:pStyle w:val="18"/>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5728">
                          <w:pPr>
                            <w:pStyle w:val="1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885728">
                    <w:pPr>
                      <w:pStyle w:val="1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DD5A">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6739">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BB14">
    <w:pPr>
      <w:tabs>
        <w:tab w:val="center" w:pos="4153"/>
        <w:tab w:val="right" w:pos="8306"/>
      </w:tabs>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26B99">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026B99">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A26C">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8E440">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F8E440">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3E8A">
    <w:pPr>
      <w:pStyle w:val="18"/>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40462C18">
    <w:pPr>
      <w:pStyle w:val="1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4770">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2F7D">
    <w:pPr>
      <w:pStyle w:val="1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EC03F">
                          <w:pPr>
                            <w:pStyle w:val="1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DEC03F">
                    <w:pPr>
                      <w:pStyle w:val="1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479D">
    <w:pPr>
      <w:pStyle w:val="18"/>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B769E">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FB769E">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3D21">
    <w:pPr>
      <w:pStyle w:val="1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AE9C">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4257">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EE26">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1878">
    <w:pPr>
      <w:pStyle w:val="19"/>
      <w:ind w:firstLine="360"/>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F7646"/>
    <w:multiLevelType w:val="singleLevel"/>
    <w:tmpl w:val="B0BF7646"/>
    <w:lvl w:ilvl="0" w:tentative="0">
      <w:start w:val="3"/>
      <w:numFmt w:val="chineseCounting"/>
      <w:suff w:val="nothing"/>
      <w:lvlText w:val="（%1）"/>
      <w:lvlJc w:val="left"/>
      <w:rPr>
        <w:rFonts w:hint="eastAsia"/>
      </w:rPr>
    </w:lvl>
  </w:abstractNum>
  <w:abstractNum w:abstractNumId="1">
    <w:nsid w:val="C14857F3"/>
    <w:multiLevelType w:val="singleLevel"/>
    <w:tmpl w:val="C14857F3"/>
    <w:lvl w:ilvl="0" w:tentative="0">
      <w:start w:val="2"/>
      <w:numFmt w:val="chineseCounting"/>
      <w:suff w:val="nothing"/>
      <w:lvlText w:val="%1、"/>
      <w:lvlJc w:val="left"/>
      <w:rPr>
        <w:rFonts w:hint="eastAsia"/>
      </w:rPr>
    </w:lvl>
  </w:abstractNum>
  <w:abstractNum w:abstractNumId="2">
    <w:nsid w:val="FFFFFFFE"/>
    <w:multiLevelType w:val="singleLevel"/>
    <w:tmpl w:val="FFFFFFFE"/>
    <w:lvl w:ilvl="0" w:tentative="0">
      <w:start w:val="0"/>
      <w:numFmt w:val="decimal"/>
      <w:lvlText w:val="*"/>
      <w:lvlJc w:val="left"/>
      <w:pPr>
        <w:ind w:left="0" w:firstLine="0"/>
      </w:pPr>
    </w:lvl>
  </w:abstractNum>
  <w:abstractNum w:abstractNumId="3">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8">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9">
    <w:nsid w:val="54C9F938"/>
    <w:multiLevelType w:val="singleLevel"/>
    <w:tmpl w:val="54C9F938"/>
    <w:lvl w:ilvl="0" w:tentative="0">
      <w:start w:val="1"/>
      <w:numFmt w:val="decimal"/>
      <w:lvlText w:val="%1."/>
      <w:lvlJc w:val="left"/>
      <w:pPr>
        <w:tabs>
          <w:tab w:val="left" w:pos="312"/>
        </w:tabs>
      </w:pPr>
    </w:lvl>
  </w:abstractNum>
  <w:num w:numId="1">
    <w:abstractNumId w:val="1"/>
  </w:num>
  <w:num w:numId="2">
    <w:abstractNumId w:val="6"/>
  </w:num>
  <w:num w:numId="3">
    <w:abstractNumId w:val="4"/>
  </w:num>
  <w:num w:numId="4">
    <w:abstractNumId w:val="3"/>
  </w:num>
  <w:num w:numId="5">
    <w:abstractNumId w:val="5"/>
  </w:num>
  <w:num w:numId="6">
    <w:abstractNumId w:val="8"/>
  </w:num>
  <w:num w:numId="7">
    <w:abstractNumId w:val="7"/>
  </w:num>
  <w:num w:numId="8">
    <w:abstractNumId w:val="2"/>
    <w:lvlOverride w:ilvl="0">
      <w:lvl w:ilvl="0" w:tentative="1">
        <w:start w:val="0"/>
        <w:numFmt w:val="bullet"/>
        <w:lvlText w:val=""/>
        <w:lvlJc w:val="left"/>
        <w:pPr>
          <w:ind w:left="1080" w:hanging="360"/>
        </w:pPr>
        <w:rPr>
          <w:rFonts w:hint="default" w:ascii="Symbol" w:hAnsi="Symbol"/>
        </w:rPr>
      </w:lvl>
    </w:lvlOverride>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EC4DD3"/>
    <w:rsid w:val="0008612C"/>
    <w:rsid w:val="000D326C"/>
    <w:rsid w:val="000E0864"/>
    <w:rsid w:val="000F1C7C"/>
    <w:rsid w:val="001210A8"/>
    <w:rsid w:val="00124AA5"/>
    <w:rsid w:val="001A0637"/>
    <w:rsid w:val="001B63B8"/>
    <w:rsid w:val="001D52EB"/>
    <w:rsid w:val="00246D86"/>
    <w:rsid w:val="002E75F1"/>
    <w:rsid w:val="002E7944"/>
    <w:rsid w:val="0034121D"/>
    <w:rsid w:val="003524B2"/>
    <w:rsid w:val="00386743"/>
    <w:rsid w:val="003B50E2"/>
    <w:rsid w:val="003D156B"/>
    <w:rsid w:val="004038D0"/>
    <w:rsid w:val="00405FBB"/>
    <w:rsid w:val="00421B9E"/>
    <w:rsid w:val="004A2481"/>
    <w:rsid w:val="004C5617"/>
    <w:rsid w:val="004E5DF8"/>
    <w:rsid w:val="004F1A86"/>
    <w:rsid w:val="00542146"/>
    <w:rsid w:val="00574DBA"/>
    <w:rsid w:val="00586AFF"/>
    <w:rsid w:val="005D38A2"/>
    <w:rsid w:val="00620FBE"/>
    <w:rsid w:val="00630C97"/>
    <w:rsid w:val="00636694"/>
    <w:rsid w:val="0067695E"/>
    <w:rsid w:val="00690FD1"/>
    <w:rsid w:val="00733A3A"/>
    <w:rsid w:val="00780FA1"/>
    <w:rsid w:val="007A2796"/>
    <w:rsid w:val="00805D2E"/>
    <w:rsid w:val="008411B3"/>
    <w:rsid w:val="008760AD"/>
    <w:rsid w:val="00895A1A"/>
    <w:rsid w:val="008B575A"/>
    <w:rsid w:val="008D6162"/>
    <w:rsid w:val="008E5F77"/>
    <w:rsid w:val="00924E52"/>
    <w:rsid w:val="00974DC9"/>
    <w:rsid w:val="009B1B52"/>
    <w:rsid w:val="009D4228"/>
    <w:rsid w:val="009D684B"/>
    <w:rsid w:val="009F445D"/>
    <w:rsid w:val="00A37069"/>
    <w:rsid w:val="00AB5335"/>
    <w:rsid w:val="00AC5F9C"/>
    <w:rsid w:val="00AE477C"/>
    <w:rsid w:val="00B20FE3"/>
    <w:rsid w:val="00B22F90"/>
    <w:rsid w:val="00C34538"/>
    <w:rsid w:val="00C56D4D"/>
    <w:rsid w:val="00C73C5A"/>
    <w:rsid w:val="00C75363"/>
    <w:rsid w:val="00C77D13"/>
    <w:rsid w:val="00C81DCF"/>
    <w:rsid w:val="00CD5D87"/>
    <w:rsid w:val="00D452A2"/>
    <w:rsid w:val="00D46445"/>
    <w:rsid w:val="00D80690"/>
    <w:rsid w:val="00DF2425"/>
    <w:rsid w:val="00E12BB2"/>
    <w:rsid w:val="00E4619B"/>
    <w:rsid w:val="00EB0F64"/>
    <w:rsid w:val="00EC4DD3"/>
    <w:rsid w:val="00EC6DDF"/>
    <w:rsid w:val="00ED2415"/>
    <w:rsid w:val="00F1261F"/>
    <w:rsid w:val="00F352E9"/>
    <w:rsid w:val="00F42B2F"/>
    <w:rsid w:val="00F4463C"/>
    <w:rsid w:val="00FC3E9C"/>
    <w:rsid w:val="00FE1306"/>
    <w:rsid w:val="05241B93"/>
    <w:rsid w:val="05696BF0"/>
    <w:rsid w:val="05E949E2"/>
    <w:rsid w:val="09321E9A"/>
    <w:rsid w:val="097B1C6F"/>
    <w:rsid w:val="09F213A7"/>
    <w:rsid w:val="0AC951A2"/>
    <w:rsid w:val="0B7D3DAB"/>
    <w:rsid w:val="0BE32951"/>
    <w:rsid w:val="0C662A91"/>
    <w:rsid w:val="0CA94819"/>
    <w:rsid w:val="0CC021A1"/>
    <w:rsid w:val="0E162E53"/>
    <w:rsid w:val="10DC59D8"/>
    <w:rsid w:val="10EB7251"/>
    <w:rsid w:val="15F827A5"/>
    <w:rsid w:val="18AB13E0"/>
    <w:rsid w:val="1BC25F36"/>
    <w:rsid w:val="1D297901"/>
    <w:rsid w:val="232956BD"/>
    <w:rsid w:val="23BF2D5B"/>
    <w:rsid w:val="258C6447"/>
    <w:rsid w:val="2B430715"/>
    <w:rsid w:val="38C3321C"/>
    <w:rsid w:val="3A296D28"/>
    <w:rsid w:val="3D540DAF"/>
    <w:rsid w:val="43C403B8"/>
    <w:rsid w:val="442F1269"/>
    <w:rsid w:val="4496470B"/>
    <w:rsid w:val="45D0782E"/>
    <w:rsid w:val="484160CD"/>
    <w:rsid w:val="4A406025"/>
    <w:rsid w:val="4AFA0E6B"/>
    <w:rsid w:val="4BC468B1"/>
    <w:rsid w:val="4D2F7B2D"/>
    <w:rsid w:val="55E116E0"/>
    <w:rsid w:val="572D6076"/>
    <w:rsid w:val="59F80094"/>
    <w:rsid w:val="5EAD4386"/>
    <w:rsid w:val="62061B5C"/>
    <w:rsid w:val="636C5E75"/>
    <w:rsid w:val="65C8438A"/>
    <w:rsid w:val="664D3BBB"/>
    <w:rsid w:val="6A3B1F16"/>
    <w:rsid w:val="6BD10E4A"/>
    <w:rsid w:val="6C6A0146"/>
    <w:rsid w:val="6DEE183F"/>
    <w:rsid w:val="6E08785D"/>
    <w:rsid w:val="6E4126F0"/>
    <w:rsid w:val="71922E29"/>
    <w:rsid w:val="75665652"/>
    <w:rsid w:val="78CA752A"/>
    <w:rsid w:val="7B585AD0"/>
    <w:rsid w:val="7C9337C8"/>
    <w:rsid w:val="7CE6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paragraph" w:styleId="5">
    <w:name w:val="heading 4"/>
    <w:basedOn w:val="1"/>
    <w:next w:val="1"/>
    <w:qFormat/>
    <w:uiPriority w:val="0"/>
    <w:pPr>
      <w:outlineLvl w:val="3"/>
    </w:pPr>
    <w:rPr>
      <w:rFonts w:cs="Times New Roman"/>
      <w:bCs/>
      <w:szCs w:val="28"/>
    </w:rPr>
  </w:style>
  <w:style w:type="paragraph" w:styleId="6">
    <w:name w:val="heading 5"/>
    <w:basedOn w:val="1"/>
    <w:next w:val="1"/>
    <w:qFormat/>
    <w:uiPriority w:val="0"/>
    <w:pPr>
      <w:ind w:firstLine="0" w:firstLineChars="0"/>
      <w:jc w:val="center"/>
      <w:outlineLvl w:val="4"/>
    </w:pPr>
    <w:rPr>
      <w:b/>
      <w:sz w:val="28"/>
    </w:rPr>
  </w:style>
  <w:style w:type="paragraph" w:styleId="7">
    <w:name w:val="heading 6"/>
    <w:basedOn w:val="1"/>
    <w:next w:val="1"/>
    <w:qFormat/>
    <w:uiPriority w:val="0"/>
    <w:pPr>
      <w:keepNext/>
      <w:keepLines/>
      <w:spacing w:before="240" w:after="64" w:line="317" w:lineRule="auto"/>
      <w:outlineLvl w:val="5"/>
    </w:pPr>
    <w:rPr>
      <w:rFonts w:eastAsia="黑体"/>
      <w:b/>
    </w:rPr>
  </w:style>
  <w:style w:type="paragraph" w:styleId="8">
    <w:name w:val="heading 7"/>
    <w:basedOn w:val="1"/>
    <w:next w:val="1"/>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before="50" w:beforeLines="50" w:line="400" w:lineRule="exact"/>
      <w:ind w:left="150" w:leftChars="150"/>
    </w:pPr>
    <w:rPr>
      <w:rFonts w:eastAsia="楷体_GB2312" w:cs="Times New Roman"/>
      <w:spacing w:val="20"/>
      <w:sz w:val="24"/>
    </w:rPr>
  </w:style>
  <w:style w:type="paragraph" w:customStyle="1" w:styleId="12">
    <w:name w:val="参选文件格式3"/>
    <w:basedOn w:val="1"/>
    <w:link w:val="29"/>
    <w:qFormat/>
    <w:uiPriority w:val="0"/>
    <w:pPr>
      <w:tabs>
        <w:tab w:val="left" w:pos="6300"/>
      </w:tabs>
      <w:snapToGrid w:val="0"/>
      <w:spacing w:line="600" w:lineRule="exact"/>
      <w:ind w:firstLine="0" w:firstLineChars="0"/>
      <w:jc w:val="center"/>
    </w:pPr>
    <w:rPr>
      <w:rFonts w:ascii="宋体"/>
      <w:b/>
      <w:snapToGrid w:val="0"/>
      <w:kern w:val="0"/>
    </w:rPr>
  </w:style>
  <w:style w:type="paragraph" w:styleId="13">
    <w:name w:val="Plain Text"/>
    <w:basedOn w:val="1"/>
    <w:next w:val="14"/>
    <w:qFormat/>
    <w:uiPriority w:val="0"/>
    <w:rPr>
      <w:rFonts w:ascii="宋体" w:cs="Times New Roman"/>
      <w:szCs w:val="21"/>
      <w:lang w:val="zh-CN"/>
    </w:rPr>
  </w:style>
  <w:style w:type="paragraph" w:customStyle="1" w:styleId="14">
    <w:name w:val="封面标题"/>
    <w:basedOn w:val="1"/>
    <w:qFormat/>
    <w:uiPriority w:val="0"/>
    <w:pPr>
      <w:ind w:firstLine="0" w:firstLineChars="0"/>
      <w:jc w:val="center"/>
    </w:pPr>
    <w:rPr>
      <w:rFonts w:cs="Times New Roman"/>
      <w:b/>
      <w:snapToGrid w:val="0"/>
      <w:kern w:val="0"/>
      <w:sz w:val="48"/>
      <w:szCs w:val="84"/>
    </w:rPr>
  </w:style>
  <w:style w:type="paragraph" w:styleId="15">
    <w:name w:val="Body Text Indent 2"/>
    <w:basedOn w:val="1"/>
    <w:next w:val="16"/>
    <w:qFormat/>
    <w:uiPriority w:val="0"/>
    <w:pPr>
      <w:spacing w:before="50" w:beforeLines="50" w:line="400" w:lineRule="exact"/>
    </w:pPr>
    <w:rPr>
      <w:rFonts w:eastAsia="楷体_GB2312" w:cs="Times New Roman"/>
      <w:spacing w:val="20"/>
      <w:sz w:val="24"/>
    </w:rPr>
  </w:style>
  <w:style w:type="paragraph" w:customStyle="1" w:styleId="16">
    <w:name w:val="参选文件格式2"/>
    <w:basedOn w:val="1"/>
    <w:next w:val="1"/>
    <w:qFormat/>
    <w:uiPriority w:val="0"/>
    <w:pPr>
      <w:ind w:firstLine="0" w:firstLineChars="0"/>
      <w:jc w:val="center"/>
      <w:outlineLvl w:val="2"/>
    </w:pPr>
    <w:rPr>
      <w:bCs/>
      <w:szCs w:val="32"/>
    </w:rPr>
  </w:style>
  <w:style w:type="paragraph" w:styleId="17">
    <w:name w:val="Balloon Text"/>
    <w:basedOn w:val="1"/>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0"/>
  </w:style>
  <w:style w:type="paragraph" w:styleId="21">
    <w:name w:val="Subtitle"/>
    <w:basedOn w:val="1"/>
    <w:qFormat/>
    <w:uiPriority w:val="0"/>
    <w:pPr>
      <w:spacing w:before="240" w:after="60" w:line="312" w:lineRule="auto"/>
      <w:jc w:val="center"/>
      <w:outlineLvl w:val="1"/>
    </w:pPr>
    <w:rPr>
      <w:rFonts w:ascii="Arial" w:hAnsi="Arial"/>
      <w:b/>
      <w:kern w:val="28"/>
      <w:sz w:val="32"/>
    </w:rPr>
  </w:style>
  <w:style w:type="paragraph" w:styleId="22">
    <w:name w:val="annotation subject"/>
    <w:basedOn w:val="1"/>
    <w:next w:val="9"/>
    <w:qFormat/>
    <w:uiPriority w:val="0"/>
    <w:pPr>
      <w:jc w:val="left"/>
    </w:pPr>
    <w:rPr>
      <w:b/>
      <w:bCs/>
    </w:rPr>
  </w:style>
  <w:style w:type="character" w:styleId="25">
    <w:name w:val="Strong"/>
    <w:qFormat/>
    <w:uiPriority w:val="0"/>
    <w:rPr>
      <w:b/>
      <w:bCs/>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customStyle="1" w:styleId="28">
    <w:name w:val="标题 2 Char"/>
    <w:basedOn w:val="24"/>
    <w:qFormat/>
    <w:uiPriority w:val="0"/>
    <w:rPr>
      <w:rFonts w:ascii="Times New Roman" w:hAnsi="Times New Roman" w:eastAsia="宋体" w:cs="Times New Roman"/>
      <w:b/>
      <w:bCs/>
      <w:snapToGrid w:val="0"/>
      <w:szCs w:val="24"/>
    </w:rPr>
  </w:style>
  <w:style w:type="character" w:customStyle="1" w:styleId="29">
    <w:name w:val="参选文件格式3 Char"/>
    <w:basedOn w:val="24"/>
    <w:link w:val="12"/>
    <w:qFormat/>
    <w:uiPriority w:val="0"/>
    <w:rPr>
      <w:rFonts w:ascii="宋体" w:hAnsi="Times New Roman" w:eastAsia="宋体" w:cs="Cambria Math"/>
      <w:b/>
      <w:snapToGrid w:val="0"/>
      <w:kern w:val="0"/>
      <w:sz w:val="21"/>
      <w:szCs w:val="20"/>
      <w:lang w:val="en-US" w:eastAsia="zh-CN" w:bidi="ar-SA"/>
    </w:rPr>
  </w:style>
  <w:style w:type="character" w:customStyle="1" w:styleId="30">
    <w:name w:val="标题 4 Char"/>
    <w:qFormat/>
    <w:uiPriority w:val="0"/>
    <w:rPr>
      <w:rFonts w:cs="Times New Roman"/>
      <w:bCs/>
      <w:szCs w:val="28"/>
    </w:rPr>
  </w:style>
  <w:style w:type="character" w:customStyle="1" w:styleId="31">
    <w:name w:val="标题 1 Char"/>
    <w:basedOn w:val="24"/>
    <w:qFormat/>
    <w:uiPriority w:val="0"/>
    <w:rPr>
      <w:rFonts w:ascii="Times New Roman" w:hAnsi="Times New Roman" w:eastAsia="宋体" w:cs="等线 Light"/>
      <w:b/>
      <w:snapToGrid w:val="0"/>
      <w:kern w:val="0"/>
      <w:sz w:val="44"/>
      <w:szCs w:val="44"/>
    </w:rPr>
  </w:style>
  <w:style w:type="character" w:customStyle="1" w:styleId="32">
    <w:name w:val="标题 3 Char"/>
    <w:basedOn w:val="24"/>
    <w:qFormat/>
    <w:uiPriority w:val="0"/>
    <w:rPr>
      <w:b/>
      <w:bCs/>
      <w:szCs w:val="32"/>
    </w:rPr>
  </w:style>
  <w:style w:type="character" w:customStyle="1" w:styleId="33">
    <w:name w:val="标题 5 Char"/>
    <w:qFormat/>
    <w:uiPriority w:val="0"/>
    <w:rPr>
      <w:rFonts w:ascii="Times New Roman" w:hAnsi="Times New Roman" w:eastAsia="宋体"/>
      <w:b/>
      <w:sz w:val="28"/>
    </w:rPr>
  </w:style>
  <w:style w:type="paragraph" w:customStyle="1" w:styleId="34">
    <w:name w:val="参选文件格式1"/>
    <w:basedOn w:val="1"/>
    <w:next w:val="1"/>
    <w:qFormat/>
    <w:uiPriority w:val="0"/>
    <w:pPr>
      <w:ind w:firstLine="0" w:firstLineChars="0"/>
      <w:jc w:val="center"/>
      <w:outlineLvl w:val="1"/>
    </w:pPr>
    <w:rPr>
      <w:b/>
      <w:sz w:val="28"/>
    </w:rPr>
  </w:style>
  <w:style w:type="character" w:customStyle="1" w:styleId="35">
    <w:name w:val="标题 4 字符"/>
    <w:qFormat/>
    <w:uiPriority w:val="0"/>
    <w:rPr>
      <w:rFonts w:cs="Times New Roman"/>
      <w:bCs/>
      <w:szCs w:val="28"/>
    </w:rPr>
  </w:style>
  <w:style w:type="paragraph" w:customStyle="1" w:styleId="36">
    <w:name w:val="表格"/>
    <w:basedOn w:val="1"/>
    <w:qFormat/>
    <w:uiPriority w:val="0"/>
    <w:pPr>
      <w:spacing w:line="240" w:lineRule="auto"/>
      <w:ind w:firstLine="0" w:firstLineChars="0"/>
    </w:pPr>
    <w:rPr>
      <w:bCs/>
      <w:szCs w:val="18"/>
    </w:rPr>
  </w:style>
  <w:style w:type="paragraph" w:customStyle="1" w:styleId="37">
    <w:name w:val="表格（标题）"/>
    <w:basedOn w:val="1"/>
    <w:qFormat/>
    <w:uiPriority w:val="0"/>
    <w:pPr>
      <w:spacing w:line="240" w:lineRule="auto"/>
      <w:ind w:firstLine="0" w:firstLineChars="0"/>
      <w:jc w:val="center"/>
    </w:pPr>
    <w:rPr>
      <w:b/>
      <w:bCs/>
      <w:szCs w:val="18"/>
    </w:rPr>
  </w:style>
  <w:style w:type="paragraph" w:customStyle="1" w:styleId="38">
    <w:name w:val="标题2（无级别）"/>
    <w:basedOn w:val="1"/>
    <w:next w:val="1"/>
    <w:qFormat/>
    <w:uiPriority w:val="0"/>
    <w:pPr>
      <w:ind w:firstLine="0" w:firstLineChars="0"/>
    </w:pPr>
    <w:rPr>
      <w:rFonts w:cs="Times New Roman"/>
      <w:b/>
      <w:bCs/>
      <w:snapToGrid w:val="0"/>
      <w:szCs w:val="24"/>
    </w:rPr>
  </w:style>
  <w:style w:type="paragraph" w:customStyle="1" w:styleId="39">
    <w:name w:val="标题3（无级别）"/>
    <w:basedOn w:val="1"/>
    <w:next w:val="1"/>
    <w:qFormat/>
    <w:uiPriority w:val="0"/>
    <w:rPr>
      <w:b/>
      <w:bCs/>
      <w:szCs w:val="32"/>
    </w:rPr>
  </w:style>
  <w:style w:type="paragraph" w:customStyle="1" w:styleId="40">
    <w:name w:val="小五"/>
    <w:basedOn w:val="1"/>
    <w:next w:val="1"/>
    <w:qFormat/>
    <w:uiPriority w:val="0"/>
    <w:pPr>
      <w:spacing w:line="240" w:lineRule="auto"/>
      <w:ind w:firstLine="0" w:firstLineChars="0"/>
    </w:pPr>
    <w:rPr>
      <w:rFonts w:cs="Times New Roman"/>
      <w:sz w:val="18"/>
      <w:szCs w:val="18"/>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styleId="43">
    <w:name w:val="List Paragraph"/>
    <w:basedOn w:val="1"/>
    <w:qFormat/>
    <w:uiPriority w:val="0"/>
  </w:style>
  <w:style w:type="character" w:customStyle="1" w:styleId="44">
    <w:name w:val="font_text_1"/>
    <w:qFormat/>
    <w:uiPriority w:val="0"/>
  </w:style>
  <w:style w:type="paragraph" w:customStyle="1" w:styleId="45">
    <w:name w:val="修订1"/>
    <w:qFormat/>
    <w:uiPriority w:val="0"/>
    <w:pPr>
      <w:spacing w:after="160" w:line="278" w:lineRule="auto"/>
    </w:pPr>
    <w:rPr>
      <w:rFonts w:ascii="Times New Roman" w:hAnsi="Times New Roman" w:eastAsia="宋体" w:cs="Cambria Math"/>
      <w:kern w:val="2"/>
      <w:sz w:val="21"/>
      <w:lang w:val="en-US" w:eastAsia="zh-CN" w:bidi="ar-SA"/>
    </w:rPr>
  </w:style>
  <w:style w:type="paragraph" w:customStyle="1" w:styleId="46">
    <w:name w:val="修订2"/>
    <w:qFormat/>
    <w:uiPriority w:val="0"/>
    <w:pPr>
      <w:spacing w:after="160" w:line="278" w:lineRule="auto"/>
    </w:pPr>
    <w:rPr>
      <w:rFonts w:ascii="Times New Roman" w:hAnsi="Times New Roman" w:eastAsia="宋体" w:cs="Cambria Math"/>
      <w:kern w:val="2"/>
      <w:sz w:val="21"/>
      <w:lang w:val="en-US" w:eastAsia="zh-CN" w:bidi="ar-SA"/>
    </w:rPr>
  </w:style>
  <w:style w:type="paragraph" w:customStyle="1" w:styleId="47">
    <w:name w:val="修订3"/>
    <w:hidden/>
    <w:unhideWhenUsed/>
    <w:qFormat/>
    <w:uiPriority w:val="99"/>
    <w:rPr>
      <w:rFonts w:ascii="Times New Roman" w:hAnsi="Times New Roman" w:eastAsia="宋体" w:cs="Cambria Math"/>
      <w:kern w:val="2"/>
      <w:sz w:val="21"/>
      <w:lang w:val="en-US" w:eastAsia="zh-CN" w:bidi="ar-SA"/>
    </w:rPr>
  </w:style>
  <w:style w:type="paragraph" w:customStyle="1" w:styleId="48">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6D67C-DD88-41C3-885F-E3049EA70033}">
  <ds:schemaRefs/>
</ds:datastoreItem>
</file>

<file path=docProps/app.xml><?xml version="1.0" encoding="utf-8"?>
<Properties xmlns="http://schemas.openxmlformats.org/officeDocument/2006/extended-properties" xmlns:vt="http://schemas.openxmlformats.org/officeDocument/2006/docPropsVTypes">
  <Template>Normal</Template>
  <Pages>146</Pages>
  <Words>21065</Words>
  <Characters>22732</Characters>
  <Lines>81</Lines>
  <Paragraphs>154</Paragraphs>
  <TotalTime>2</TotalTime>
  <ScaleCrop>false</ScaleCrop>
  <LinksUpToDate>false</LinksUpToDate>
  <CharactersWithSpaces>23006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2025-11-04T15:23:00Z</dcterms:created>
  <dc:creator>admin</dc:creator>
  <cp:lastModifiedBy>交易中心--邵</cp:lastModifiedBy>
  <cp:lastPrinted>2025-07-08T01:38:00Z</cp:lastPrinted>
  <dcterms:modified xsi:type="dcterms:W3CDTF">2025-11-20T03:18:01Z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9F231E54499B44EAAC3474B169B1D31A_13</vt:lpwstr>
  </property>
  <property fmtid="{D5CDD505-2E9C-101B-9397-08002B2CF9AE}" pid="4" name="KSOTemplateDocerSaveRecord">
    <vt:lpwstr>eyJoZGlkIjoiNGEzY2Y4NDY0NmFjOTE0MjY0NWNkZjdlMWI4NThlYWIiLCJ1c2VySWQiOiIxNzQ5MDg4Mjg2In0=</vt:lpwstr>
  </property>
</Properties>
</file>