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72C08">
      <w:pPr>
        <w:wordWrap w:val="0"/>
        <w:autoSpaceDE w:val="0"/>
        <w:autoSpaceDN w:val="0"/>
        <w:adjustRightInd w:val="0"/>
        <w:snapToGrid w:val="0"/>
        <w:spacing w:line="360" w:lineRule="auto"/>
        <w:jc w:val="center"/>
        <w:rPr>
          <w:rFonts w:hint="eastAsia" w:ascii="宋体" w:hAnsi="宋体"/>
          <w:snapToGrid w:val="0"/>
          <w:kern w:val="0"/>
          <w:sz w:val="28"/>
          <w:szCs w:val="28"/>
        </w:rPr>
      </w:pPr>
      <w:r>
        <w:rPr>
          <w:rFonts w:hint="eastAsia" w:ascii="宋体" w:hAnsi="宋体"/>
          <w:snapToGrid w:val="0"/>
          <w:kern w:val="0"/>
          <w:sz w:val="28"/>
          <w:szCs w:val="28"/>
          <w:u w:val="single"/>
        </w:rPr>
        <w:t>重庆三峡银行2025年度服务器采购项目</w:t>
      </w:r>
      <w:r>
        <w:rPr>
          <w:rFonts w:ascii="宋体" w:hAnsi="宋体"/>
          <w:snapToGrid w:val="0"/>
          <w:kern w:val="0"/>
          <w:sz w:val="28"/>
          <w:szCs w:val="28"/>
        </w:rPr>
        <w:t>招标公告</w:t>
      </w:r>
    </w:p>
    <w:p w14:paraId="35F0FFE8">
      <w:pPr>
        <w:pStyle w:val="3"/>
        <w:wordWrap w:val="0"/>
        <w:spacing w:before="100" w:after="100" w:line="460" w:lineRule="exact"/>
        <w:rPr>
          <w:rFonts w:hint="eastAsia" w:ascii="宋体" w:hAnsi="宋体"/>
          <w:snapToGrid w:val="0"/>
          <w:sz w:val="28"/>
          <w:szCs w:val="28"/>
        </w:rPr>
      </w:pPr>
      <w:bookmarkStart w:id="0" w:name="_Toc287607728"/>
      <w:bookmarkStart w:id="1" w:name="_Toc287620667"/>
      <w:bookmarkStart w:id="2" w:name="_Toc200359427"/>
      <w:bookmarkStart w:id="3" w:name="_Toc430530416"/>
      <w:bookmarkStart w:id="4" w:name="_Toc216363844"/>
      <w:bookmarkStart w:id="5" w:name="_Toc277082536"/>
      <w:bookmarkStart w:id="6" w:name="_Toc224103299"/>
      <w:bookmarkStart w:id="7" w:name="_Toc200359238"/>
      <w:bookmarkStart w:id="8" w:name="_Toc509218692"/>
      <w:r>
        <w:rPr>
          <w:rFonts w:ascii="宋体" w:hAnsi="宋体"/>
          <w:snapToGrid w:val="0"/>
          <w:sz w:val="28"/>
          <w:szCs w:val="28"/>
        </w:rPr>
        <w:t>1. 招标条件</w:t>
      </w:r>
      <w:bookmarkEnd w:id="0"/>
      <w:bookmarkEnd w:id="1"/>
      <w:bookmarkEnd w:id="2"/>
      <w:bookmarkEnd w:id="3"/>
      <w:bookmarkEnd w:id="4"/>
      <w:bookmarkEnd w:id="5"/>
      <w:bookmarkEnd w:id="6"/>
      <w:bookmarkEnd w:id="7"/>
      <w:bookmarkEnd w:id="8"/>
    </w:p>
    <w:p w14:paraId="79962851">
      <w:pPr>
        <w:tabs>
          <w:tab w:val="left" w:pos="3315"/>
          <w:tab w:val="left" w:pos="3390"/>
          <w:tab w:val="left" w:pos="6120"/>
          <w:tab w:val="left" w:pos="885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rPr>
      </w:pPr>
      <w:r>
        <w:rPr>
          <w:rFonts w:ascii="宋体" w:hAnsi="宋体"/>
          <w:snapToGrid w:val="0"/>
          <w:kern w:val="0"/>
          <w:szCs w:val="21"/>
        </w:rPr>
        <w:t>本招标项目</w:t>
      </w:r>
      <w:r>
        <w:rPr>
          <w:rFonts w:hint="eastAsia" w:ascii="宋体" w:hAnsi="宋体"/>
          <w:snapToGrid w:val="0"/>
          <w:kern w:val="0"/>
          <w:szCs w:val="21"/>
          <w:u w:val="single"/>
        </w:rPr>
        <w:t>重庆三峡银行2025年度服务器采购项目</w:t>
      </w:r>
      <w:r>
        <w:rPr>
          <w:rFonts w:ascii="宋体" w:hAnsi="宋体"/>
          <w:snapToGrid w:val="0"/>
          <w:kern w:val="0"/>
          <w:szCs w:val="21"/>
        </w:rPr>
        <w:t>项目业主为</w:t>
      </w:r>
      <w:r>
        <w:rPr>
          <w:rFonts w:hint="eastAsia"/>
          <w:u w:val="single"/>
        </w:rPr>
        <w:t>重庆三峡银行股份有限公司</w:t>
      </w:r>
      <w:r>
        <w:rPr>
          <w:rFonts w:ascii="宋体" w:hAnsi="宋体"/>
          <w:snapToGrid w:val="0"/>
          <w:kern w:val="0"/>
          <w:szCs w:val="21"/>
        </w:rPr>
        <w:t>，</w:t>
      </w:r>
      <w:r>
        <w:rPr>
          <w:rFonts w:hint="eastAsia" w:ascii="宋体" w:hAnsi="宋体"/>
          <w:snapToGrid w:val="0"/>
          <w:kern w:val="0"/>
          <w:szCs w:val="21"/>
        </w:rPr>
        <w:t>招标项目</w:t>
      </w:r>
      <w:r>
        <w:rPr>
          <w:rFonts w:ascii="宋体" w:hAnsi="宋体"/>
          <w:snapToGrid w:val="0"/>
          <w:kern w:val="0"/>
          <w:szCs w:val="21"/>
        </w:rPr>
        <w:t>资金来自</w:t>
      </w:r>
      <w:r>
        <w:rPr>
          <w:rFonts w:hint="eastAsia" w:ascii="宋体" w:hAnsi="宋体"/>
          <w:snapToGrid w:val="0"/>
          <w:kern w:val="0"/>
          <w:szCs w:val="21"/>
          <w:u w:val="single"/>
        </w:rPr>
        <w:t xml:space="preserve">自筹资金 </w:t>
      </w:r>
      <w:r>
        <w:rPr>
          <w:rFonts w:ascii="宋体" w:hAnsi="宋体"/>
          <w:snapToGrid w:val="0"/>
          <w:kern w:val="0"/>
          <w:szCs w:val="21"/>
        </w:rPr>
        <w:t>，项目出资比例为</w:t>
      </w:r>
      <w:r>
        <w:rPr>
          <w:rFonts w:hint="eastAsia" w:ascii="宋体" w:hAnsi="宋体"/>
          <w:snapToGrid w:val="0"/>
          <w:kern w:val="0"/>
          <w:szCs w:val="21"/>
          <w:u w:val="single"/>
        </w:rPr>
        <w:t>100%</w:t>
      </w:r>
      <w:r>
        <w:rPr>
          <w:rFonts w:ascii="宋体" w:hAnsi="宋体"/>
          <w:snapToGrid w:val="0"/>
          <w:kern w:val="0"/>
          <w:szCs w:val="21"/>
        </w:rPr>
        <w:t>，招标人</w:t>
      </w:r>
      <w:r>
        <w:rPr>
          <w:rFonts w:ascii="宋体" w:hAnsi="宋体"/>
          <w:snapToGrid w:val="0"/>
          <w:kern w:val="0"/>
          <w:position w:val="-2"/>
          <w:szCs w:val="21"/>
        </w:rPr>
        <w:t>为</w:t>
      </w:r>
      <w:r>
        <w:rPr>
          <w:rFonts w:hint="eastAsia"/>
          <w:u w:val="single"/>
        </w:rPr>
        <w:t>重庆三峡银行股份有限公司</w:t>
      </w:r>
      <w:r>
        <w:rPr>
          <w:rFonts w:ascii="宋体" w:hAnsi="宋体"/>
          <w:snapToGrid w:val="0"/>
          <w:kern w:val="0"/>
          <w:position w:val="-2"/>
          <w:szCs w:val="21"/>
        </w:rPr>
        <w:t>。项目已具备招标条件，现对</w:t>
      </w:r>
      <w:r>
        <w:rPr>
          <w:rFonts w:hint="eastAsia" w:ascii="宋体" w:hAnsi="宋体"/>
          <w:snapToGrid w:val="0"/>
          <w:kern w:val="0"/>
          <w:position w:val="-2"/>
          <w:szCs w:val="21"/>
        </w:rPr>
        <w:t>2025年度服务器采购</w:t>
      </w:r>
      <w:r>
        <w:rPr>
          <w:rFonts w:ascii="宋体" w:hAnsi="宋体"/>
          <w:snapToGrid w:val="0"/>
          <w:kern w:val="0"/>
          <w:position w:val="-2"/>
          <w:szCs w:val="21"/>
        </w:rPr>
        <w:t>进行公开招标。</w:t>
      </w:r>
    </w:p>
    <w:p w14:paraId="10959EBE">
      <w:pPr>
        <w:pStyle w:val="3"/>
        <w:wordWrap w:val="0"/>
        <w:spacing w:before="100" w:after="100" w:line="460" w:lineRule="exact"/>
        <w:rPr>
          <w:rFonts w:hint="eastAsia" w:ascii="宋体" w:hAnsi="宋体"/>
          <w:snapToGrid w:val="0"/>
          <w:sz w:val="28"/>
          <w:szCs w:val="28"/>
        </w:rPr>
      </w:pPr>
      <w:bookmarkStart w:id="9" w:name="_Toc200359239"/>
      <w:bookmarkStart w:id="10" w:name="_Toc430530417"/>
      <w:bookmarkStart w:id="11" w:name="_Toc200359428"/>
      <w:bookmarkStart w:id="12" w:name="_Toc224103300"/>
      <w:bookmarkStart w:id="13" w:name="_Toc287620668"/>
      <w:bookmarkStart w:id="14" w:name="_Toc277082537"/>
      <w:bookmarkStart w:id="15" w:name="_Toc216363845"/>
      <w:bookmarkStart w:id="16" w:name="_Toc287607729"/>
      <w:bookmarkStart w:id="17" w:name="_Toc509218693"/>
      <w:r>
        <w:rPr>
          <w:rFonts w:ascii="宋体" w:hAnsi="宋体"/>
          <w:snapToGrid w:val="0"/>
          <w:sz w:val="28"/>
          <w:szCs w:val="28"/>
        </w:rPr>
        <w:t>2. 项目概况与招标范围</w:t>
      </w:r>
      <w:bookmarkEnd w:id="9"/>
      <w:bookmarkEnd w:id="10"/>
      <w:bookmarkEnd w:id="11"/>
      <w:bookmarkEnd w:id="12"/>
      <w:bookmarkEnd w:id="13"/>
      <w:bookmarkEnd w:id="14"/>
      <w:bookmarkEnd w:id="15"/>
      <w:bookmarkEnd w:id="16"/>
      <w:bookmarkEnd w:id="17"/>
    </w:p>
    <w:p w14:paraId="56F7A77A">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u w:val="single"/>
        </w:rPr>
      </w:pPr>
      <w:r>
        <w:rPr>
          <w:rFonts w:hint="eastAsia" w:ascii="宋体" w:hAnsi="宋体"/>
          <w:snapToGrid w:val="0"/>
          <w:kern w:val="0"/>
          <w:szCs w:val="21"/>
        </w:rPr>
        <w:t>2.1 建设地点：</w:t>
      </w:r>
      <w:r>
        <w:rPr>
          <w:rFonts w:hint="eastAsia" w:ascii="宋体" w:hAnsi="宋体"/>
          <w:snapToGrid w:val="0"/>
          <w:kern w:val="0"/>
          <w:szCs w:val="21"/>
          <w:u w:val="single"/>
        </w:rPr>
        <w:t>重庆市。</w:t>
      </w:r>
    </w:p>
    <w:p w14:paraId="75E0E5F5">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2.2 项目概况：</w:t>
      </w:r>
      <w:r>
        <w:rPr>
          <w:rFonts w:hint="eastAsia" w:ascii="宋体" w:hAnsi="宋体"/>
          <w:snapToGrid w:val="0"/>
          <w:kern w:val="0"/>
          <w:szCs w:val="21"/>
          <w:u w:val="single"/>
        </w:rPr>
        <w:t>完成重庆三峡银行2025年度服务器供货及安装。</w:t>
      </w:r>
    </w:p>
    <w:p w14:paraId="4FE2E4C2">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2.3 本次招标项目货物采购估算金额：</w:t>
      </w:r>
      <w:r>
        <w:rPr>
          <w:rFonts w:hint="eastAsia" w:ascii="宋体" w:hAnsi="宋体"/>
          <w:snapToGrid w:val="0"/>
          <w:kern w:val="0"/>
          <w:szCs w:val="21"/>
          <w:u w:val="single"/>
        </w:rPr>
        <w:t>1218.91万元。</w:t>
      </w:r>
    </w:p>
    <w:p w14:paraId="4E6ED0F3">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u w:val="single"/>
        </w:rPr>
      </w:pPr>
      <w:r>
        <w:rPr>
          <w:rFonts w:hint="eastAsia" w:ascii="宋体" w:hAnsi="宋体"/>
          <w:snapToGrid w:val="0"/>
          <w:kern w:val="0"/>
          <w:szCs w:val="21"/>
        </w:rPr>
        <w:t>2.4 招标范围：</w:t>
      </w:r>
      <w:r>
        <w:rPr>
          <w:rFonts w:hint="eastAsia" w:ascii="宋体" w:hAnsi="宋体"/>
          <w:snapToGrid w:val="0"/>
          <w:kern w:val="0"/>
          <w:szCs w:val="21"/>
          <w:u w:val="single"/>
        </w:rPr>
        <w:t>按照第五章供货要求，完成设备供货及安装部署。</w:t>
      </w:r>
    </w:p>
    <w:p w14:paraId="0C52D864">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2.5 交货地点：</w:t>
      </w:r>
      <w:r>
        <w:rPr>
          <w:rFonts w:hint="eastAsia" w:ascii="宋体" w:hAnsi="宋体"/>
          <w:snapToGrid w:val="0"/>
          <w:kern w:val="0"/>
          <w:szCs w:val="21"/>
          <w:u w:val="single"/>
        </w:rPr>
        <w:t>重庆市招标人指定地点。</w:t>
      </w:r>
    </w:p>
    <w:p w14:paraId="61442D32">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u w:val="single"/>
        </w:rPr>
      </w:pPr>
      <w:r>
        <w:rPr>
          <w:rFonts w:hint="eastAsia" w:ascii="宋体" w:hAnsi="宋体"/>
          <w:snapToGrid w:val="0"/>
          <w:kern w:val="0"/>
          <w:szCs w:val="21"/>
        </w:rPr>
        <w:t xml:space="preserve">2.6 </w:t>
      </w:r>
      <w:bookmarkStart w:id="18" w:name="_Hlk64626254"/>
      <w:r>
        <w:rPr>
          <w:rFonts w:hint="eastAsia" w:ascii="宋体" w:hAnsi="宋体"/>
          <w:snapToGrid w:val="0"/>
          <w:kern w:val="0"/>
          <w:szCs w:val="21"/>
        </w:rPr>
        <w:t>交货期：</w:t>
      </w:r>
      <w:bookmarkEnd w:id="18"/>
      <w:r>
        <w:rPr>
          <w:rFonts w:hint="eastAsia" w:ascii="宋体" w:hAnsi="宋体"/>
          <w:snapToGrid w:val="0"/>
          <w:kern w:val="0"/>
          <w:szCs w:val="21"/>
          <w:u w:val="single"/>
        </w:rPr>
        <w:t>本项目设备的交付周期为45个自然日，原则上以合同签订之日起开始计算。</w:t>
      </w:r>
    </w:p>
    <w:p w14:paraId="0F86D233">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u w:val="single"/>
        </w:rPr>
      </w:pPr>
      <w:r>
        <w:rPr>
          <w:rFonts w:hint="eastAsia" w:ascii="宋体" w:hAnsi="宋体"/>
          <w:snapToGrid w:val="0"/>
          <w:kern w:val="0"/>
          <w:szCs w:val="21"/>
        </w:rPr>
        <w:t>2.7 标段划分：</w:t>
      </w:r>
      <w:r>
        <w:rPr>
          <w:rFonts w:hint="eastAsia" w:ascii="宋体" w:hAnsi="宋体"/>
          <w:snapToGrid w:val="0"/>
          <w:kern w:val="0"/>
          <w:szCs w:val="21"/>
          <w:u w:val="single"/>
        </w:rPr>
        <w:t>本项目共划分2个标段，各标段整机采购数量如下，同一投标人可以同时对两个标段进行投标，但同一投标人只能成为一个标段的中标人。（注：同一投标人同时对两个标段进行投标的，应按标段分别制作投标文件。）</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658"/>
        <w:gridCol w:w="1902"/>
        <w:gridCol w:w="2316"/>
      </w:tblGrid>
      <w:tr w14:paraId="7FAE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70" w:type="dxa"/>
            <w:vAlign w:val="center"/>
          </w:tcPr>
          <w:p w14:paraId="423AABBE">
            <w:pPr>
              <w:jc w:val="center"/>
              <w:rPr>
                <w:szCs w:val="21"/>
              </w:rPr>
            </w:pPr>
            <w:r>
              <w:rPr>
                <w:rStyle w:val="6"/>
                <w:rFonts w:ascii="Times New Roman" w:hAnsi="Times New Roman" w:cs="Cambria Math"/>
                <w:color w:val="auto"/>
              </w:rPr>
              <w:t>标段</w:t>
            </w:r>
            <w:r>
              <w:rPr>
                <w:rStyle w:val="6"/>
                <w:rFonts w:hint="eastAsia" w:cs="Cambria Math"/>
                <w:color w:val="auto"/>
              </w:rPr>
              <w:t>号及名称</w:t>
            </w:r>
          </w:p>
        </w:tc>
        <w:tc>
          <w:tcPr>
            <w:tcW w:w="1658" w:type="dxa"/>
            <w:vAlign w:val="center"/>
          </w:tcPr>
          <w:p w14:paraId="5FDB8139">
            <w:pPr>
              <w:jc w:val="center"/>
              <w:rPr>
                <w:rStyle w:val="6"/>
                <w:rFonts w:ascii="Times New Roman" w:hAnsi="Times New Roman" w:cs="Cambria Math"/>
                <w:color w:val="auto"/>
              </w:rPr>
            </w:pPr>
            <w:r>
              <w:rPr>
                <w:rStyle w:val="6"/>
                <w:rFonts w:ascii="Times New Roman" w:hAnsi="Times New Roman" w:cs="Cambria Math"/>
                <w:color w:val="auto"/>
              </w:rPr>
              <w:t>服务器配置</w:t>
            </w:r>
          </w:p>
        </w:tc>
        <w:tc>
          <w:tcPr>
            <w:tcW w:w="1902" w:type="dxa"/>
            <w:vAlign w:val="center"/>
          </w:tcPr>
          <w:p w14:paraId="02F94273">
            <w:pPr>
              <w:jc w:val="center"/>
              <w:rPr>
                <w:rStyle w:val="6"/>
                <w:rFonts w:ascii="Times New Roman" w:hAnsi="Times New Roman" w:cs="Cambria Math"/>
                <w:color w:val="auto"/>
              </w:rPr>
            </w:pPr>
            <w:r>
              <w:rPr>
                <w:rStyle w:val="6"/>
                <w:rFonts w:ascii="Times New Roman" w:hAnsi="Times New Roman" w:cs="Cambria Math"/>
                <w:color w:val="auto"/>
              </w:rPr>
              <w:t>采购</w:t>
            </w:r>
            <w:r>
              <w:rPr>
                <w:rStyle w:val="6"/>
                <w:rFonts w:hint="eastAsia" w:cs="Cambria Math"/>
                <w:color w:val="auto"/>
              </w:rPr>
              <w:t>整机</w:t>
            </w:r>
            <w:r>
              <w:rPr>
                <w:rStyle w:val="6"/>
                <w:rFonts w:ascii="Times New Roman" w:hAnsi="Times New Roman" w:cs="Cambria Math"/>
                <w:color w:val="auto"/>
              </w:rPr>
              <w:t>数量（台）</w:t>
            </w:r>
          </w:p>
        </w:tc>
        <w:tc>
          <w:tcPr>
            <w:tcW w:w="2316" w:type="dxa"/>
            <w:vAlign w:val="center"/>
          </w:tcPr>
          <w:p w14:paraId="2F76E7FB">
            <w:pPr>
              <w:jc w:val="center"/>
              <w:rPr>
                <w:rStyle w:val="6"/>
                <w:rFonts w:ascii="Times New Roman" w:hAnsi="Times New Roman" w:cs="Cambria Math"/>
                <w:color w:val="auto"/>
              </w:rPr>
            </w:pPr>
            <w:r>
              <w:rPr>
                <w:rStyle w:val="6"/>
                <w:rFonts w:ascii="Times New Roman" w:hAnsi="Times New Roman" w:cs="Cambria Math"/>
                <w:color w:val="auto"/>
              </w:rPr>
              <w:t>备注</w:t>
            </w:r>
          </w:p>
        </w:tc>
      </w:tr>
      <w:tr w14:paraId="5764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970" w:type="dxa"/>
            <w:vMerge w:val="restart"/>
            <w:vAlign w:val="center"/>
          </w:tcPr>
          <w:p w14:paraId="5E38BCC5">
            <w:pPr>
              <w:jc w:val="center"/>
            </w:pPr>
            <w:r>
              <w:t>标段1：鲲鹏芯片服务器</w:t>
            </w:r>
          </w:p>
        </w:tc>
        <w:tc>
          <w:tcPr>
            <w:tcW w:w="1658" w:type="dxa"/>
            <w:tcBorders>
              <w:left w:val="single" w:color="auto" w:sz="4" w:space="0"/>
            </w:tcBorders>
            <w:vAlign w:val="center"/>
          </w:tcPr>
          <w:p w14:paraId="41AEB6CB">
            <w:pPr>
              <w:jc w:val="center"/>
            </w:pPr>
            <w:r>
              <w:t>配置一</w:t>
            </w:r>
          </w:p>
        </w:tc>
        <w:tc>
          <w:tcPr>
            <w:tcW w:w="1902" w:type="dxa"/>
            <w:tcBorders>
              <w:left w:val="single" w:color="auto" w:sz="4" w:space="0"/>
            </w:tcBorders>
            <w:vAlign w:val="center"/>
          </w:tcPr>
          <w:p w14:paraId="66A772CB">
            <w:pPr>
              <w:jc w:val="center"/>
            </w:pPr>
            <w:r>
              <w:t>17</w:t>
            </w:r>
          </w:p>
        </w:tc>
        <w:tc>
          <w:tcPr>
            <w:tcW w:w="2316" w:type="dxa"/>
            <w:vMerge w:val="restart"/>
            <w:tcBorders>
              <w:left w:val="single" w:color="auto" w:sz="4" w:space="0"/>
            </w:tcBorders>
            <w:vAlign w:val="center"/>
          </w:tcPr>
          <w:p w14:paraId="40EBC8E9">
            <w:pPr>
              <w:jc w:val="center"/>
            </w:pPr>
            <w:r>
              <w:rPr>
                <w:rFonts w:hint="eastAsia"/>
              </w:rPr>
              <w:t>整机</w:t>
            </w:r>
            <w:r>
              <w:t>具体配置要求见第五章</w:t>
            </w:r>
            <w:r>
              <w:rPr>
                <w:rFonts w:hint="eastAsia"/>
              </w:rPr>
              <w:t>供货要求</w:t>
            </w:r>
          </w:p>
          <w:p w14:paraId="30877374">
            <w:pPr>
              <w:jc w:val="center"/>
            </w:pPr>
          </w:p>
        </w:tc>
      </w:tr>
      <w:tr w14:paraId="5427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70" w:type="dxa"/>
            <w:vMerge w:val="continue"/>
            <w:vAlign w:val="center"/>
          </w:tcPr>
          <w:p w14:paraId="5758BE10"/>
        </w:tc>
        <w:tc>
          <w:tcPr>
            <w:tcW w:w="1658" w:type="dxa"/>
            <w:tcBorders>
              <w:left w:val="single" w:color="auto" w:sz="4" w:space="0"/>
            </w:tcBorders>
            <w:vAlign w:val="center"/>
          </w:tcPr>
          <w:p w14:paraId="02805CE2">
            <w:pPr>
              <w:jc w:val="center"/>
            </w:pPr>
            <w:r>
              <w:t>配置二</w:t>
            </w:r>
          </w:p>
        </w:tc>
        <w:tc>
          <w:tcPr>
            <w:tcW w:w="1902" w:type="dxa"/>
            <w:tcBorders>
              <w:left w:val="single" w:color="auto" w:sz="4" w:space="0"/>
            </w:tcBorders>
            <w:vAlign w:val="center"/>
          </w:tcPr>
          <w:p w14:paraId="11780141">
            <w:pPr>
              <w:jc w:val="center"/>
            </w:pPr>
            <w:r>
              <w:t>7</w:t>
            </w:r>
          </w:p>
        </w:tc>
        <w:tc>
          <w:tcPr>
            <w:tcW w:w="0" w:type="auto"/>
            <w:vMerge w:val="continue"/>
            <w:tcBorders>
              <w:left w:val="single" w:color="auto" w:sz="4" w:space="0"/>
            </w:tcBorders>
            <w:vAlign w:val="center"/>
          </w:tcPr>
          <w:p w14:paraId="43D4C21A"/>
        </w:tc>
      </w:tr>
      <w:tr w14:paraId="021D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970" w:type="dxa"/>
            <w:vMerge w:val="continue"/>
            <w:vAlign w:val="center"/>
          </w:tcPr>
          <w:p w14:paraId="01AAA1BA"/>
        </w:tc>
        <w:tc>
          <w:tcPr>
            <w:tcW w:w="1658" w:type="dxa"/>
            <w:tcBorders>
              <w:left w:val="single" w:color="auto" w:sz="4" w:space="0"/>
            </w:tcBorders>
            <w:vAlign w:val="center"/>
          </w:tcPr>
          <w:p w14:paraId="0A0B160B">
            <w:pPr>
              <w:jc w:val="center"/>
            </w:pPr>
            <w:r>
              <w:t>配置三</w:t>
            </w:r>
          </w:p>
        </w:tc>
        <w:tc>
          <w:tcPr>
            <w:tcW w:w="1902" w:type="dxa"/>
            <w:tcBorders>
              <w:left w:val="single" w:color="auto" w:sz="4" w:space="0"/>
            </w:tcBorders>
            <w:vAlign w:val="center"/>
          </w:tcPr>
          <w:p w14:paraId="665963AF">
            <w:pPr>
              <w:jc w:val="center"/>
            </w:pPr>
            <w:r>
              <w:t>10</w:t>
            </w:r>
          </w:p>
        </w:tc>
        <w:tc>
          <w:tcPr>
            <w:tcW w:w="0" w:type="auto"/>
            <w:vMerge w:val="continue"/>
            <w:tcBorders>
              <w:left w:val="single" w:color="auto" w:sz="4" w:space="0"/>
            </w:tcBorders>
            <w:vAlign w:val="center"/>
          </w:tcPr>
          <w:p w14:paraId="0E52308C"/>
        </w:tc>
      </w:tr>
      <w:tr w14:paraId="4788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970" w:type="dxa"/>
            <w:vMerge w:val="continue"/>
            <w:vAlign w:val="center"/>
          </w:tcPr>
          <w:p w14:paraId="313BA543"/>
        </w:tc>
        <w:tc>
          <w:tcPr>
            <w:tcW w:w="1658" w:type="dxa"/>
            <w:tcBorders>
              <w:left w:val="single" w:color="auto" w:sz="4" w:space="0"/>
            </w:tcBorders>
            <w:vAlign w:val="center"/>
          </w:tcPr>
          <w:p w14:paraId="583FC525">
            <w:pPr>
              <w:jc w:val="center"/>
            </w:pPr>
            <w:r>
              <w:t>配置四</w:t>
            </w:r>
          </w:p>
        </w:tc>
        <w:tc>
          <w:tcPr>
            <w:tcW w:w="1902" w:type="dxa"/>
            <w:tcBorders>
              <w:left w:val="single" w:color="auto" w:sz="4" w:space="0"/>
            </w:tcBorders>
            <w:vAlign w:val="center"/>
          </w:tcPr>
          <w:p w14:paraId="217B0A10">
            <w:pPr>
              <w:jc w:val="center"/>
            </w:pPr>
            <w:r>
              <w:t>18</w:t>
            </w:r>
          </w:p>
        </w:tc>
        <w:tc>
          <w:tcPr>
            <w:tcW w:w="0" w:type="auto"/>
            <w:vMerge w:val="continue"/>
            <w:tcBorders>
              <w:left w:val="single" w:color="auto" w:sz="4" w:space="0"/>
            </w:tcBorders>
            <w:vAlign w:val="center"/>
          </w:tcPr>
          <w:p w14:paraId="083DD7B1"/>
        </w:tc>
      </w:tr>
      <w:tr w14:paraId="1F36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970" w:type="dxa"/>
            <w:vMerge w:val="continue"/>
            <w:vAlign w:val="center"/>
          </w:tcPr>
          <w:p w14:paraId="52070089"/>
        </w:tc>
        <w:tc>
          <w:tcPr>
            <w:tcW w:w="1658" w:type="dxa"/>
            <w:tcBorders>
              <w:left w:val="single" w:color="auto" w:sz="4" w:space="0"/>
            </w:tcBorders>
            <w:vAlign w:val="center"/>
          </w:tcPr>
          <w:p w14:paraId="71AC70E4">
            <w:pPr>
              <w:jc w:val="center"/>
            </w:pPr>
            <w:r>
              <w:t>配置五</w:t>
            </w:r>
          </w:p>
        </w:tc>
        <w:tc>
          <w:tcPr>
            <w:tcW w:w="1902" w:type="dxa"/>
            <w:tcBorders>
              <w:left w:val="single" w:color="auto" w:sz="4" w:space="0"/>
            </w:tcBorders>
            <w:vAlign w:val="center"/>
          </w:tcPr>
          <w:p w14:paraId="7F73D4F5">
            <w:pPr>
              <w:jc w:val="center"/>
            </w:pPr>
            <w:r>
              <w:t>3</w:t>
            </w:r>
          </w:p>
        </w:tc>
        <w:tc>
          <w:tcPr>
            <w:tcW w:w="0" w:type="auto"/>
            <w:vMerge w:val="continue"/>
            <w:tcBorders>
              <w:left w:val="single" w:color="auto" w:sz="4" w:space="0"/>
            </w:tcBorders>
            <w:vAlign w:val="center"/>
          </w:tcPr>
          <w:p w14:paraId="19BDBE35"/>
        </w:tc>
      </w:tr>
      <w:tr w14:paraId="59A2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70" w:type="dxa"/>
            <w:vMerge w:val="continue"/>
            <w:vAlign w:val="center"/>
          </w:tcPr>
          <w:p w14:paraId="0F9115FD"/>
        </w:tc>
        <w:tc>
          <w:tcPr>
            <w:tcW w:w="1658" w:type="dxa"/>
            <w:tcBorders>
              <w:left w:val="single" w:color="auto" w:sz="4" w:space="0"/>
            </w:tcBorders>
            <w:vAlign w:val="center"/>
          </w:tcPr>
          <w:p w14:paraId="4C053DA3">
            <w:pPr>
              <w:jc w:val="center"/>
            </w:pPr>
            <w:r>
              <w:t>配置六</w:t>
            </w:r>
          </w:p>
        </w:tc>
        <w:tc>
          <w:tcPr>
            <w:tcW w:w="1902" w:type="dxa"/>
            <w:tcBorders>
              <w:left w:val="single" w:color="auto" w:sz="4" w:space="0"/>
            </w:tcBorders>
            <w:vAlign w:val="center"/>
          </w:tcPr>
          <w:p w14:paraId="001A6EEF">
            <w:pPr>
              <w:jc w:val="center"/>
            </w:pPr>
            <w:r>
              <w:t>1</w:t>
            </w:r>
          </w:p>
        </w:tc>
        <w:tc>
          <w:tcPr>
            <w:tcW w:w="0" w:type="auto"/>
            <w:vMerge w:val="continue"/>
            <w:tcBorders>
              <w:left w:val="single" w:color="auto" w:sz="4" w:space="0"/>
            </w:tcBorders>
            <w:vAlign w:val="center"/>
          </w:tcPr>
          <w:p w14:paraId="111E7CB3"/>
        </w:tc>
      </w:tr>
      <w:tr w14:paraId="3B90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70" w:type="dxa"/>
            <w:vMerge w:val="restart"/>
            <w:vAlign w:val="center"/>
          </w:tcPr>
          <w:p w14:paraId="504DB733">
            <w:pPr>
              <w:jc w:val="center"/>
            </w:pPr>
            <w:r>
              <w:t>标段2：海光芯片服务器</w:t>
            </w:r>
          </w:p>
        </w:tc>
        <w:tc>
          <w:tcPr>
            <w:tcW w:w="1658" w:type="dxa"/>
            <w:tcBorders>
              <w:left w:val="single" w:color="auto" w:sz="4" w:space="0"/>
            </w:tcBorders>
            <w:vAlign w:val="center"/>
          </w:tcPr>
          <w:p w14:paraId="5079FCD0">
            <w:pPr>
              <w:jc w:val="center"/>
            </w:pPr>
            <w:r>
              <w:t>配置一</w:t>
            </w:r>
          </w:p>
        </w:tc>
        <w:tc>
          <w:tcPr>
            <w:tcW w:w="1902" w:type="dxa"/>
            <w:tcBorders>
              <w:left w:val="single" w:color="auto" w:sz="4" w:space="0"/>
            </w:tcBorders>
            <w:vAlign w:val="center"/>
          </w:tcPr>
          <w:p w14:paraId="72E496DE">
            <w:pPr>
              <w:jc w:val="center"/>
            </w:pPr>
            <w:r>
              <w:t>33</w:t>
            </w:r>
          </w:p>
        </w:tc>
        <w:tc>
          <w:tcPr>
            <w:tcW w:w="2316" w:type="dxa"/>
            <w:vMerge w:val="continue"/>
            <w:tcBorders>
              <w:left w:val="single" w:color="auto" w:sz="4" w:space="0"/>
            </w:tcBorders>
            <w:vAlign w:val="center"/>
          </w:tcPr>
          <w:p w14:paraId="467CC4A6"/>
        </w:tc>
      </w:tr>
      <w:tr w14:paraId="31ED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70" w:type="dxa"/>
            <w:vMerge w:val="continue"/>
            <w:vAlign w:val="center"/>
          </w:tcPr>
          <w:p w14:paraId="42E74949"/>
        </w:tc>
        <w:tc>
          <w:tcPr>
            <w:tcW w:w="1658" w:type="dxa"/>
            <w:tcBorders>
              <w:left w:val="single" w:color="auto" w:sz="4" w:space="0"/>
            </w:tcBorders>
            <w:vAlign w:val="center"/>
          </w:tcPr>
          <w:p w14:paraId="3DF3489E">
            <w:pPr>
              <w:jc w:val="center"/>
            </w:pPr>
            <w:r>
              <w:t>配置二</w:t>
            </w:r>
          </w:p>
        </w:tc>
        <w:tc>
          <w:tcPr>
            <w:tcW w:w="1902" w:type="dxa"/>
            <w:tcBorders>
              <w:left w:val="single" w:color="auto" w:sz="4" w:space="0"/>
            </w:tcBorders>
            <w:vAlign w:val="center"/>
          </w:tcPr>
          <w:p w14:paraId="393599BC">
            <w:pPr>
              <w:jc w:val="center"/>
            </w:pPr>
            <w:r>
              <w:t>11</w:t>
            </w:r>
          </w:p>
        </w:tc>
        <w:tc>
          <w:tcPr>
            <w:tcW w:w="2316" w:type="dxa"/>
            <w:vMerge w:val="continue"/>
            <w:tcBorders>
              <w:left w:val="single" w:color="auto" w:sz="4" w:space="0"/>
            </w:tcBorders>
            <w:vAlign w:val="center"/>
          </w:tcPr>
          <w:p w14:paraId="58578DF3"/>
        </w:tc>
      </w:tr>
      <w:tr w14:paraId="5958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970" w:type="dxa"/>
            <w:vMerge w:val="continue"/>
            <w:vAlign w:val="center"/>
          </w:tcPr>
          <w:p w14:paraId="7DDA6598"/>
        </w:tc>
        <w:tc>
          <w:tcPr>
            <w:tcW w:w="1658" w:type="dxa"/>
            <w:tcBorders>
              <w:left w:val="single" w:color="auto" w:sz="4" w:space="0"/>
            </w:tcBorders>
            <w:vAlign w:val="center"/>
          </w:tcPr>
          <w:p w14:paraId="3E787799">
            <w:pPr>
              <w:jc w:val="center"/>
            </w:pPr>
            <w:r>
              <w:t>配置三</w:t>
            </w:r>
          </w:p>
        </w:tc>
        <w:tc>
          <w:tcPr>
            <w:tcW w:w="1902" w:type="dxa"/>
            <w:tcBorders>
              <w:left w:val="single" w:color="auto" w:sz="4" w:space="0"/>
            </w:tcBorders>
            <w:vAlign w:val="center"/>
          </w:tcPr>
          <w:p w14:paraId="2E90FA55">
            <w:pPr>
              <w:jc w:val="center"/>
            </w:pPr>
            <w:r>
              <w:t>3</w:t>
            </w:r>
          </w:p>
        </w:tc>
        <w:tc>
          <w:tcPr>
            <w:tcW w:w="2316" w:type="dxa"/>
            <w:vMerge w:val="continue"/>
            <w:tcBorders>
              <w:left w:val="single" w:color="auto" w:sz="4" w:space="0"/>
            </w:tcBorders>
            <w:vAlign w:val="center"/>
          </w:tcPr>
          <w:p w14:paraId="0AE048E1"/>
        </w:tc>
      </w:tr>
      <w:tr w14:paraId="42F7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70" w:type="dxa"/>
            <w:vMerge w:val="continue"/>
            <w:vAlign w:val="center"/>
          </w:tcPr>
          <w:p w14:paraId="33B8D1D0"/>
        </w:tc>
        <w:tc>
          <w:tcPr>
            <w:tcW w:w="1658" w:type="dxa"/>
            <w:tcBorders>
              <w:left w:val="single" w:color="auto" w:sz="4" w:space="0"/>
            </w:tcBorders>
            <w:vAlign w:val="center"/>
          </w:tcPr>
          <w:p w14:paraId="5455E104">
            <w:pPr>
              <w:jc w:val="center"/>
            </w:pPr>
            <w:r>
              <w:t>配置四</w:t>
            </w:r>
          </w:p>
        </w:tc>
        <w:tc>
          <w:tcPr>
            <w:tcW w:w="1902" w:type="dxa"/>
            <w:tcBorders>
              <w:left w:val="single" w:color="auto" w:sz="4" w:space="0"/>
            </w:tcBorders>
            <w:vAlign w:val="center"/>
          </w:tcPr>
          <w:p w14:paraId="7DA64917">
            <w:pPr>
              <w:jc w:val="center"/>
            </w:pPr>
            <w:r>
              <w:t>1</w:t>
            </w:r>
          </w:p>
        </w:tc>
        <w:tc>
          <w:tcPr>
            <w:tcW w:w="2316" w:type="dxa"/>
            <w:vMerge w:val="continue"/>
            <w:tcBorders>
              <w:left w:val="single" w:color="auto" w:sz="4" w:space="0"/>
            </w:tcBorders>
            <w:vAlign w:val="center"/>
          </w:tcPr>
          <w:p w14:paraId="6F4EF41C"/>
        </w:tc>
      </w:tr>
    </w:tbl>
    <w:p w14:paraId="35A65821">
      <w:pPr>
        <w:pStyle w:val="3"/>
        <w:wordWrap w:val="0"/>
        <w:spacing w:before="100" w:after="100" w:line="460" w:lineRule="exact"/>
        <w:rPr>
          <w:rFonts w:hint="eastAsia" w:ascii="宋体" w:hAnsi="宋体"/>
          <w:snapToGrid w:val="0"/>
          <w:sz w:val="28"/>
          <w:szCs w:val="28"/>
        </w:rPr>
      </w:pPr>
      <w:bookmarkStart w:id="19" w:name="_Toc287607730"/>
      <w:bookmarkStart w:id="20" w:name="_Toc277082538"/>
      <w:bookmarkStart w:id="21" w:name="_Toc200359240"/>
      <w:bookmarkStart w:id="22" w:name="_Toc216363846"/>
      <w:bookmarkStart w:id="23" w:name="_Toc200359429"/>
      <w:bookmarkStart w:id="24" w:name="_Toc224103301"/>
      <w:bookmarkStart w:id="25" w:name="_Toc509218694"/>
      <w:bookmarkStart w:id="26" w:name="_Toc430530418"/>
      <w:bookmarkStart w:id="27" w:name="_Toc287620669"/>
      <w:r>
        <w:rPr>
          <w:rFonts w:ascii="宋体" w:hAnsi="宋体"/>
          <w:snapToGrid w:val="0"/>
          <w:sz w:val="28"/>
          <w:szCs w:val="28"/>
        </w:rPr>
        <w:t>3. 投标人资格要求</w:t>
      </w:r>
      <w:bookmarkEnd w:id="19"/>
      <w:bookmarkEnd w:id="20"/>
      <w:bookmarkEnd w:id="21"/>
      <w:bookmarkEnd w:id="22"/>
      <w:bookmarkEnd w:id="23"/>
      <w:bookmarkEnd w:id="24"/>
      <w:bookmarkEnd w:id="25"/>
      <w:bookmarkEnd w:id="26"/>
      <w:bookmarkEnd w:id="27"/>
    </w:p>
    <w:p w14:paraId="498FA9D4">
      <w:pPr>
        <w:wordWrap w:val="0"/>
        <w:autoSpaceDE w:val="0"/>
        <w:autoSpaceDN w:val="0"/>
        <w:adjustRightInd w:val="0"/>
        <w:snapToGrid w:val="0"/>
        <w:spacing w:before="48" w:beforeLines="20" w:line="400" w:lineRule="exact"/>
        <w:ind w:firstLine="420" w:firstLineChars="200"/>
        <w:rPr>
          <w:rFonts w:hint="eastAsia" w:ascii="宋体" w:hAnsi="宋体"/>
          <w:snapToGrid w:val="0"/>
          <w:kern w:val="0"/>
          <w:szCs w:val="21"/>
        </w:rPr>
      </w:pPr>
      <w:r>
        <w:rPr>
          <w:rFonts w:ascii="宋体" w:hAnsi="宋体"/>
          <w:snapToGrid w:val="0"/>
          <w:kern w:val="0"/>
          <w:szCs w:val="21"/>
        </w:rPr>
        <w:t>3.1  本次招标</w:t>
      </w:r>
      <w:r>
        <w:rPr>
          <w:rFonts w:hint="eastAsia" w:ascii="宋体" w:hAnsi="宋体"/>
          <w:szCs w:val="21"/>
        </w:rPr>
        <w:t>允许</w:t>
      </w:r>
      <w:r>
        <w:rPr>
          <w:rFonts w:ascii="宋体" w:hAnsi="宋体"/>
          <w:snapToGrid w:val="0"/>
          <w:kern w:val="0"/>
          <w:szCs w:val="21"/>
        </w:rPr>
        <w:t>投标人</w:t>
      </w:r>
      <w:r>
        <w:rPr>
          <w:rFonts w:hint="eastAsia" w:ascii="宋体" w:hAnsi="宋体"/>
          <w:snapToGrid w:val="0"/>
          <w:kern w:val="0"/>
          <w:szCs w:val="21"/>
        </w:rPr>
        <w:t>以投标货物的下列身份参加投标</w:t>
      </w:r>
    </w:p>
    <w:p w14:paraId="2772FA91">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cs="Arial"/>
          <w:szCs w:val="21"/>
          <w:shd w:val="clear" w:color="auto" w:fill="FFFFFF"/>
        </w:rPr>
      </w:pPr>
      <w:r>
        <w:rPr>
          <w:rFonts w:hint="eastAsia" w:ascii="宋体" w:hAnsi="宋体"/>
          <w:snapToGrid w:val="0"/>
          <w:kern w:val="0"/>
          <w:szCs w:val="21"/>
        </w:rPr>
        <w:t>服务器设备原厂商、</w:t>
      </w:r>
      <w:r>
        <w:rPr>
          <w:rFonts w:hint="eastAsia" w:ascii="宋体" w:hAnsi="宋体" w:cs="Arial"/>
          <w:szCs w:val="21"/>
          <w:shd w:val="clear" w:color="auto" w:fill="FFFFFF"/>
        </w:rPr>
        <w:t>代理商（包括经销商、</w:t>
      </w:r>
      <w:r>
        <w:rPr>
          <w:rFonts w:ascii="宋体" w:hAnsi="宋体" w:cs="Arial"/>
          <w:szCs w:val="21"/>
          <w:shd w:val="clear" w:color="auto" w:fill="FFFFFF"/>
        </w:rPr>
        <w:t>服务器设备原厂商</w:t>
      </w:r>
      <w:r>
        <w:rPr>
          <w:rFonts w:hint="eastAsia" w:ascii="宋体" w:hAnsi="宋体" w:cs="Arial"/>
          <w:szCs w:val="21"/>
          <w:shd w:val="clear" w:color="auto" w:fill="FFFFFF"/>
        </w:rPr>
        <w:t>下属销售子公司）</w:t>
      </w:r>
    </w:p>
    <w:p w14:paraId="01034A45">
      <w:pPr>
        <w:wordWrap w:val="0"/>
        <w:autoSpaceDE w:val="0"/>
        <w:autoSpaceDN w:val="0"/>
        <w:adjustRightInd w:val="0"/>
        <w:snapToGrid w:val="0"/>
        <w:spacing w:line="400" w:lineRule="exact"/>
        <w:ind w:firstLine="420" w:firstLineChars="200"/>
        <w:rPr>
          <w:rFonts w:hint="eastAsia" w:ascii="宋体" w:hAnsi="宋体"/>
          <w:iCs/>
          <w:szCs w:val="21"/>
        </w:rPr>
      </w:pPr>
      <w:r>
        <w:rPr>
          <w:rFonts w:hint="eastAsia" w:ascii="宋体" w:hAnsi="宋体"/>
          <w:snapToGrid w:val="0"/>
          <w:kern w:val="0"/>
          <w:szCs w:val="21"/>
        </w:rPr>
        <w:t xml:space="preserve">3.1.1 </w:t>
      </w:r>
      <w:r>
        <w:rPr>
          <w:rFonts w:hint="eastAsia" w:ascii="宋体" w:hAnsi="宋体"/>
          <w:iCs/>
          <w:szCs w:val="21"/>
        </w:rPr>
        <w:t>投标人为服务器设备原厂商应符合以下要求：</w:t>
      </w:r>
    </w:p>
    <w:p w14:paraId="7644F861">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iCs/>
          <w:szCs w:val="21"/>
        </w:rPr>
        <w:t>（1）</w:t>
      </w:r>
      <w:r>
        <w:rPr>
          <w:rFonts w:ascii="宋体" w:hAnsi="宋体"/>
          <w:szCs w:val="21"/>
        </w:rPr>
        <w:t>具备</w:t>
      </w:r>
      <w:r>
        <w:rPr>
          <w:rFonts w:hint="eastAsia" w:ascii="宋体" w:hAnsi="宋体"/>
          <w:szCs w:val="21"/>
        </w:rPr>
        <w:t>独立法人资格。</w:t>
      </w:r>
    </w:p>
    <w:p w14:paraId="4EF98DBC">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3.1.2 投标人为代理商应符合以下要求：</w:t>
      </w:r>
    </w:p>
    <w:p w14:paraId="56BF4B46">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（1）具备独立法人资格；</w:t>
      </w:r>
    </w:p>
    <w:p w14:paraId="03B79E71">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（2）</w:t>
      </w:r>
      <w:bookmarkStart w:id="28" w:name="OLE_LINK2"/>
      <w:r>
        <w:rPr>
          <w:rFonts w:hint="eastAsia" w:ascii="宋体" w:hAnsi="宋体"/>
          <w:szCs w:val="21"/>
        </w:rPr>
        <w:t>具有针对本项目的</w:t>
      </w:r>
      <w:r>
        <w:rPr>
          <w:rFonts w:ascii="宋体" w:hAnsi="宋体"/>
          <w:szCs w:val="21"/>
        </w:rPr>
        <w:t>服务器设备原厂商</w:t>
      </w:r>
      <w:r>
        <w:rPr>
          <w:rFonts w:hint="eastAsia" w:ascii="宋体" w:hAnsi="宋体"/>
          <w:szCs w:val="21"/>
        </w:rPr>
        <w:t>授权书</w:t>
      </w:r>
      <w:bookmarkEnd w:id="28"/>
      <w:r>
        <w:rPr>
          <w:rFonts w:hint="eastAsia" w:ascii="宋体" w:hAnsi="宋体"/>
          <w:szCs w:val="21"/>
        </w:rPr>
        <w:t>；</w:t>
      </w:r>
    </w:p>
    <w:p w14:paraId="3645F8A5">
      <w:pPr>
        <w:wordWrap w:val="0"/>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szCs w:val="21"/>
        </w:rPr>
        <w:t>注：本招标项目同一标段中，一个</w:t>
      </w:r>
      <w:r>
        <w:rPr>
          <w:rFonts w:ascii="宋体" w:hAnsi="宋体"/>
          <w:szCs w:val="21"/>
        </w:rPr>
        <w:t>服务器设备原厂商</w:t>
      </w:r>
      <w:r>
        <w:rPr>
          <w:rFonts w:hint="eastAsia" w:ascii="宋体" w:hAnsi="宋体"/>
          <w:szCs w:val="21"/>
        </w:rPr>
        <w:t>仅能委托一个代理商参加投标，否则各相关投标均无效；</w:t>
      </w:r>
      <w:r>
        <w:rPr>
          <w:rFonts w:ascii="宋体" w:hAnsi="宋体"/>
          <w:szCs w:val="21"/>
        </w:rPr>
        <w:t>服务器设备原厂商</w:t>
      </w:r>
      <w:r>
        <w:rPr>
          <w:rFonts w:hint="eastAsia" w:ascii="宋体" w:hAnsi="宋体"/>
          <w:szCs w:val="21"/>
        </w:rPr>
        <w:t>和其代理商不得在本招标项目同一标段中投标，否则各相关投标均无效。</w:t>
      </w:r>
    </w:p>
    <w:p w14:paraId="35609022">
      <w:pPr>
        <w:wordWrap w:val="0"/>
        <w:autoSpaceDE w:val="0"/>
        <w:autoSpaceDN w:val="0"/>
        <w:adjustRightInd w:val="0"/>
        <w:snapToGrid w:val="0"/>
        <w:spacing w:line="400" w:lineRule="exact"/>
        <w:ind w:firstLine="420" w:firstLineChars="200"/>
        <w:rPr>
          <w:rFonts w:hint="eastAsia" w:ascii="宋体" w:hAnsi="宋体"/>
          <w:snapToGrid w:val="0"/>
          <w:kern w:val="0"/>
          <w:szCs w:val="21"/>
        </w:rPr>
      </w:pPr>
      <w:r>
        <w:rPr>
          <w:rFonts w:hint="eastAsia" w:ascii="宋体" w:hAnsi="宋体"/>
          <w:szCs w:val="21"/>
        </w:rPr>
        <w:t>（3）被代理的</w:t>
      </w:r>
      <w:r>
        <w:rPr>
          <w:rFonts w:ascii="宋体" w:hAnsi="宋体"/>
          <w:szCs w:val="21"/>
        </w:rPr>
        <w:t>服务器设备原厂商</w:t>
      </w:r>
      <w:r>
        <w:rPr>
          <w:rFonts w:hint="eastAsia" w:ascii="宋体" w:hAnsi="宋体"/>
          <w:szCs w:val="21"/>
        </w:rPr>
        <w:t>应符合上述3.1.1项的规定。</w:t>
      </w:r>
    </w:p>
    <w:p w14:paraId="5486390C">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3.2  投标人还应在业绩、资金、人员等方面具有相应的供货能力，详见招标文件第二章投标人须知前附表第1.4.1项内容。</w:t>
      </w:r>
    </w:p>
    <w:p w14:paraId="3C477340">
      <w:pPr>
        <w:tabs>
          <w:tab w:val="left" w:pos="3840"/>
          <w:tab w:val="left" w:pos="5300"/>
        </w:tabs>
        <w:wordWrap w:val="0"/>
        <w:autoSpaceDE w:val="0"/>
        <w:autoSpaceDN w:val="0"/>
        <w:adjustRightInd w:val="0"/>
        <w:snapToGrid w:val="0"/>
        <w:spacing w:line="460" w:lineRule="exact"/>
        <w:ind w:firstLine="420" w:firstLineChars="200"/>
        <w:jc w:val="left"/>
        <w:rPr>
          <w:rFonts w:hint="eastAsia" w:ascii="宋体" w:hAnsi="宋体"/>
          <w:snapToGrid w:val="0"/>
          <w:kern w:val="0"/>
          <w:szCs w:val="21"/>
        </w:rPr>
      </w:pPr>
      <w:r>
        <w:rPr>
          <w:rFonts w:hint="eastAsia" w:ascii="宋体" w:hAnsi="宋体"/>
          <w:snapToGrid w:val="0"/>
          <w:kern w:val="0"/>
          <w:szCs w:val="21"/>
        </w:rPr>
        <w:t>3.3  本</w:t>
      </w:r>
      <w:r>
        <w:rPr>
          <w:rFonts w:ascii="宋体" w:hAnsi="宋体"/>
          <w:snapToGrid w:val="0"/>
          <w:kern w:val="0"/>
          <w:szCs w:val="21"/>
        </w:rPr>
        <w:t>次招标</w:t>
      </w:r>
      <w:r>
        <w:rPr>
          <w:rFonts w:hint="eastAsia" w:ascii="宋体" w:hAnsi="宋体"/>
          <w:snapToGrid w:val="0"/>
          <w:kern w:val="0"/>
          <w:szCs w:val="21"/>
          <w:u w:val="single"/>
        </w:rPr>
        <w:t>不接受</w:t>
      </w:r>
      <w:r>
        <w:rPr>
          <w:rFonts w:ascii="宋体" w:hAnsi="宋体"/>
          <w:snapToGrid w:val="0"/>
          <w:kern w:val="0"/>
          <w:szCs w:val="21"/>
        </w:rPr>
        <w:t>联合体投标。</w:t>
      </w:r>
    </w:p>
    <w:p w14:paraId="1C1D3BB0">
      <w:pPr>
        <w:pStyle w:val="3"/>
        <w:wordWrap w:val="0"/>
        <w:spacing w:before="100" w:after="100" w:line="460" w:lineRule="exact"/>
        <w:rPr>
          <w:rFonts w:hint="eastAsia" w:ascii="宋体" w:hAnsi="宋体"/>
          <w:snapToGrid w:val="0"/>
          <w:sz w:val="28"/>
          <w:szCs w:val="28"/>
        </w:rPr>
      </w:pPr>
      <w:bookmarkStart w:id="29" w:name="_Toc287607731"/>
      <w:bookmarkStart w:id="30" w:name="_Toc509218695"/>
      <w:bookmarkStart w:id="31" w:name="_Toc287620670"/>
      <w:bookmarkStart w:id="32" w:name="_Toc200359430"/>
      <w:bookmarkStart w:id="33" w:name="_Toc216363847"/>
      <w:bookmarkStart w:id="34" w:name="_Toc277082539"/>
      <w:bookmarkStart w:id="35" w:name="_Toc430530419"/>
      <w:bookmarkStart w:id="36" w:name="_Toc224103302"/>
      <w:bookmarkStart w:id="37" w:name="_Toc200359241"/>
      <w:r>
        <w:rPr>
          <w:rFonts w:hint="eastAsia" w:ascii="宋体" w:hAnsi="宋体"/>
          <w:snapToGrid w:val="0"/>
          <w:sz w:val="28"/>
          <w:szCs w:val="28"/>
        </w:rPr>
        <w:t>4</w:t>
      </w:r>
      <w:r>
        <w:rPr>
          <w:rFonts w:ascii="宋体" w:hAnsi="宋体"/>
          <w:snapToGrid w:val="0"/>
          <w:sz w:val="28"/>
          <w:szCs w:val="28"/>
        </w:rPr>
        <w:t>. 招标文件的获取</w:t>
      </w:r>
      <w:bookmarkEnd w:id="29"/>
      <w:bookmarkEnd w:id="30"/>
      <w:bookmarkEnd w:id="31"/>
      <w:bookmarkEnd w:id="32"/>
      <w:bookmarkEnd w:id="33"/>
      <w:bookmarkEnd w:id="34"/>
      <w:bookmarkEnd w:id="35"/>
      <w:bookmarkEnd w:id="36"/>
      <w:bookmarkEnd w:id="37"/>
    </w:p>
    <w:p w14:paraId="288795D2">
      <w:pPr>
        <w:tabs>
          <w:tab w:val="left" w:pos="3850"/>
          <w:tab w:val="left" w:pos="3980"/>
          <w:tab w:val="left" w:pos="4100"/>
          <w:tab w:val="left" w:pos="4600"/>
          <w:tab w:val="left" w:pos="5360"/>
          <w:tab w:val="left" w:pos="5460"/>
          <w:tab w:val="left" w:pos="6200"/>
          <w:tab w:val="left" w:pos="6327"/>
          <w:tab w:val="left" w:pos="6901"/>
        </w:tabs>
        <w:wordWrap w:val="0"/>
        <w:autoSpaceDE w:val="0"/>
        <w:autoSpaceDN w:val="0"/>
        <w:adjustRightInd w:val="0"/>
        <w:snapToGrid w:val="0"/>
        <w:spacing w:line="450" w:lineRule="exact"/>
        <w:ind w:firstLine="420" w:firstLineChars="200"/>
        <w:rPr>
          <w:rFonts w:hint="eastAsia" w:ascii="宋体" w:hAnsi="宋体"/>
          <w:snapToGrid w:val="0"/>
          <w:kern w:val="0"/>
          <w:szCs w:val="21"/>
        </w:rPr>
      </w:pPr>
      <w:r>
        <w:rPr>
          <w:rFonts w:hint="eastAsia" w:ascii="宋体" w:hAnsi="宋体"/>
          <w:snapToGrid w:val="0"/>
          <w:kern w:val="0"/>
          <w:szCs w:val="21"/>
        </w:rPr>
        <w:t xml:space="preserve">4.1  </w:t>
      </w:r>
      <w:r>
        <w:rPr>
          <w:rFonts w:ascii="宋体" w:hAnsi="宋体"/>
          <w:snapToGrid w:val="0"/>
          <w:kern w:val="0"/>
          <w:szCs w:val="21"/>
        </w:rPr>
        <w:t>凡有意参加投标者，请于</w:t>
      </w:r>
      <w:r>
        <w:rPr>
          <w:rFonts w:hint="eastAsia" w:ascii="宋体" w:hAnsi="宋体"/>
          <w:snapToGrid w:val="0"/>
          <w:kern w:val="0"/>
          <w:szCs w:val="21"/>
          <w:lang w:val="en-US" w:eastAsia="zh-CN"/>
        </w:rPr>
        <w:t>2025</w:t>
      </w:r>
      <w:r>
        <w:rPr>
          <w:rFonts w:ascii="宋体" w:hAnsi="宋体"/>
          <w:snapToGrid w:val="0"/>
          <w:kern w:val="0"/>
          <w:szCs w:val="21"/>
        </w:rPr>
        <w:t>年</w:t>
      </w:r>
      <w:r>
        <w:rPr>
          <w:rFonts w:hint="eastAsia" w:ascii="宋体" w:hAnsi="宋体"/>
          <w:snapToGrid w:val="0"/>
          <w:kern w:val="0"/>
          <w:szCs w:val="21"/>
          <w:lang w:val="en-US" w:eastAsia="zh-CN"/>
        </w:rPr>
        <w:t>12</w:t>
      </w:r>
      <w:r>
        <w:rPr>
          <w:rFonts w:ascii="宋体" w:hAnsi="宋体"/>
          <w:snapToGrid w:val="0"/>
          <w:kern w:val="0"/>
          <w:szCs w:val="21"/>
        </w:rPr>
        <w:t>月</w:t>
      </w:r>
      <w:r>
        <w:rPr>
          <w:rFonts w:hint="eastAsia" w:ascii="宋体" w:hAnsi="宋体"/>
          <w:snapToGrid w:val="0"/>
          <w:kern w:val="0"/>
          <w:szCs w:val="21"/>
          <w:lang w:val="en-US" w:eastAsia="zh-CN"/>
        </w:rPr>
        <w:t>16</w:t>
      </w:r>
      <w:r>
        <w:rPr>
          <w:rFonts w:ascii="宋体" w:hAnsi="宋体"/>
          <w:snapToGrid w:val="0"/>
          <w:kern w:val="0"/>
          <w:szCs w:val="21"/>
        </w:rPr>
        <w:t>日（北京时间，下同）起在</w:t>
      </w:r>
      <w:r>
        <w:rPr>
          <w:rFonts w:hint="eastAsia" w:ascii="宋体" w:hAnsi="宋体"/>
          <w:snapToGrid w:val="0"/>
          <w:kern w:val="0"/>
          <w:szCs w:val="21"/>
          <w:u w:val="single"/>
        </w:rPr>
        <w:t>重庆市公共资源交易网（www.cqggzy.com）</w:t>
      </w:r>
      <w:r>
        <w:rPr>
          <w:rFonts w:hint="eastAsia" w:ascii="宋体" w:hAnsi="宋体"/>
          <w:i/>
          <w:snapToGrid w:val="0"/>
          <w:kern w:val="0"/>
          <w:szCs w:val="21"/>
        </w:rPr>
        <w:t>[提示：</w:t>
      </w:r>
      <w:r>
        <w:rPr>
          <w:rFonts w:hint="eastAsia" w:ascii="宋体" w:hAnsi="宋体"/>
          <w:i/>
          <w:szCs w:val="21"/>
        </w:rPr>
        <w:t>下载地址采用其他网址的应注明，</w:t>
      </w:r>
      <w:r>
        <w:rPr>
          <w:rFonts w:hint="eastAsia" w:ascii="宋体" w:hAnsi="宋体"/>
          <w:i/>
          <w:snapToGrid w:val="0"/>
          <w:kern w:val="0"/>
          <w:szCs w:val="21"/>
        </w:rPr>
        <w:t>下同]</w:t>
      </w:r>
      <w:r>
        <w:rPr>
          <w:rFonts w:ascii="宋体" w:hAnsi="宋体"/>
          <w:snapToGrid w:val="0"/>
          <w:kern w:val="0"/>
          <w:szCs w:val="21"/>
        </w:rPr>
        <w:t>下载招标文件</w:t>
      </w:r>
      <w:r>
        <w:rPr>
          <w:rFonts w:hint="eastAsia" w:ascii="宋体" w:hAnsi="宋体"/>
          <w:snapToGrid w:val="0"/>
          <w:kern w:val="0"/>
          <w:szCs w:val="21"/>
        </w:rPr>
        <w:t>、</w:t>
      </w:r>
      <w:r>
        <w:rPr>
          <w:rFonts w:ascii="宋体" w:hAnsi="宋体"/>
          <w:snapToGrid w:val="0"/>
          <w:kern w:val="0"/>
          <w:szCs w:val="21"/>
        </w:rPr>
        <w:t>工程量清单、图纸、澄清、修改、补充通知、最高限价通知等全部内容。不管下载与否都视为潜在投标人全部知晓有关招投标过程和全部内容。</w:t>
      </w:r>
    </w:p>
    <w:p w14:paraId="748B6CAE">
      <w:pPr>
        <w:tabs>
          <w:tab w:val="left" w:pos="3850"/>
          <w:tab w:val="left" w:pos="3980"/>
          <w:tab w:val="left" w:pos="4100"/>
          <w:tab w:val="left" w:pos="4600"/>
          <w:tab w:val="left" w:pos="5360"/>
          <w:tab w:val="left" w:pos="5460"/>
          <w:tab w:val="left" w:pos="6200"/>
          <w:tab w:val="left" w:pos="6327"/>
          <w:tab w:val="left" w:pos="6901"/>
        </w:tabs>
        <w:wordWrap w:val="0"/>
        <w:autoSpaceDE w:val="0"/>
        <w:autoSpaceDN w:val="0"/>
        <w:adjustRightInd w:val="0"/>
        <w:snapToGrid w:val="0"/>
        <w:spacing w:line="450" w:lineRule="exact"/>
        <w:ind w:firstLine="420" w:firstLineChars="200"/>
        <w:rPr>
          <w:rFonts w:hint="eastAsia" w:ascii="宋体" w:hAnsi="宋体"/>
          <w:snapToGrid w:val="0"/>
          <w:kern w:val="0"/>
          <w:szCs w:val="21"/>
        </w:rPr>
      </w:pPr>
      <w:r>
        <w:rPr>
          <w:rFonts w:hint="eastAsia" w:ascii="宋体" w:hAnsi="宋体"/>
          <w:snapToGrid w:val="0"/>
          <w:kern w:val="0"/>
          <w:szCs w:val="21"/>
        </w:rPr>
        <w:t>4.2  投标人可在</w:t>
      </w:r>
      <w:r>
        <w:rPr>
          <w:rFonts w:hint="eastAsia" w:ascii="宋体" w:hAnsi="宋体"/>
          <w:snapToGrid w:val="0"/>
          <w:kern w:val="0"/>
          <w:szCs w:val="21"/>
          <w:u w:val="single"/>
        </w:rPr>
        <w:t>重庆市公共资源交易网（www.cqggzy.com）</w:t>
      </w:r>
      <w:r>
        <w:rPr>
          <w:rFonts w:hint="eastAsia" w:ascii="宋体" w:hAnsi="宋体"/>
          <w:snapToGrid w:val="0"/>
          <w:kern w:val="0"/>
          <w:szCs w:val="21"/>
        </w:rPr>
        <w:t>本项目招标公告网页下方“我要提问”栏提出疑问，提问时间从本公告发布至</w:t>
      </w:r>
      <w:r>
        <w:rPr>
          <w:rFonts w:hint="eastAsia" w:ascii="宋体" w:hAnsi="宋体"/>
          <w:snapToGrid w:val="0"/>
          <w:kern w:val="0"/>
          <w:szCs w:val="21"/>
          <w:lang w:val="en-US" w:eastAsia="zh-CN"/>
        </w:rPr>
        <w:t>2025</w:t>
      </w:r>
      <w:r>
        <w:rPr>
          <w:rFonts w:hint="eastAsia" w:ascii="宋体" w:hAnsi="宋体" w:cs="宋体"/>
          <w:kern w:val="0"/>
          <w:szCs w:val="21"/>
        </w:rPr>
        <w:t>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21</w:t>
      </w:r>
      <w:r>
        <w:rPr>
          <w:rFonts w:hint="eastAsia" w:ascii="宋体" w:hAnsi="宋体" w:cs="宋体"/>
          <w:kern w:val="0"/>
          <w:szCs w:val="21"/>
        </w:rPr>
        <w:t>日</w:t>
      </w:r>
      <w:r>
        <w:rPr>
          <w:rFonts w:hint="eastAsia" w:ascii="宋体" w:hAnsi="宋体" w:cs="宋体"/>
          <w:kern w:val="0"/>
          <w:szCs w:val="21"/>
          <w:lang w:val="en-US" w:eastAsia="zh-CN"/>
        </w:rPr>
        <w:t>17</w:t>
      </w:r>
      <w:r>
        <w:rPr>
          <w:rFonts w:hint="eastAsia" w:ascii="宋体" w:hAnsi="宋体" w:cs="宋体"/>
          <w:szCs w:val="21"/>
        </w:rPr>
        <w:t>时</w:t>
      </w:r>
      <w:r>
        <w:rPr>
          <w:rFonts w:hint="eastAsia" w:ascii="宋体" w:hAnsi="宋体" w:cs="宋体"/>
          <w:szCs w:val="21"/>
          <w:lang w:val="en-US" w:eastAsia="zh-CN"/>
        </w:rPr>
        <w:t>00</w:t>
      </w:r>
      <w:r>
        <w:rPr>
          <w:rFonts w:hint="eastAsia" w:ascii="宋体" w:hAnsi="宋体" w:cs="宋体"/>
          <w:szCs w:val="21"/>
        </w:rPr>
        <w:t>分</w:t>
      </w:r>
      <w:r>
        <w:rPr>
          <w:rFonts w:hint="eastAsia" w:ascii="宋体" w:hAnsi="宋体"/>
          <w:snapToGrid w:val="0"/>
          <w:kern w:val="0"/>
          <w:szCs w:val="21"/>
        </w:rPr>
        <w:t>（北京时间）前。</w:t>
      </w:r>
    </w:p>
    <w:p w14:paraId="23D555C9">
      <w:pPr>
        <w:tabs>
          <w:tab w:val="left" w:pos="2420"/>
          <w:tab w:val="left" w:pos="5445"/>
        </w:tabs>
        <w:wordWrap w:val="0"/>
        <w:autoSpaceDE w:val="0"/>
        <w:autoSpaceDN w:val="0"/>
        <w:adjustRightInd w:val="0"/>
        <w:snapToGrid w:val="0"/>
        <w:spacing w:line="450" w:lineRule="exact"/>
        <w:ind w:firstLine="420"/>
        <w:jc w:val="left"/>
        <w:rPr>
          <w:rFonts w:hint="eastAsia" w:ascii="宋体" w:hAnsi="宋体"/>
          <w:snapToGrid w:val="0"/>
          <w:kern w:val="0"/>
          <w:szCs w:val="21"/>
        </w:rPr>
      </w:pPr>
      <w:r>
        <w:rPr>
          <w:rFonts w:hint="eastAsia" w:ascii="宋体" w:hAnsi="宋体"/>
          <w:snapToGrid w:val="0"/>
          <w:kern w:val="0"/>
          <w:szCs w:val="21"/>
        </w:rPr>
        <w:t>4.3  招标人应于</w:t>
      </w:r>
      <w:r>
        <w:rPr>
          <w:rFonts w:hint="eastAsia" w:ascii="宋体" w:hAnsi="宋体"/>
          <w:snapToGrid w:val="0"/>
          <w:kern w:val="0"/>
          <w:szCs w:val="21"/>
          <w:lang w:val="en-US" w:eastAsia="zh-CN"/>
        </w:rPr>
        <w:t>2025</w:t>
      </w:r>
      <w:r>
        <w:rPr>
          <w:rFonts w:hint="eastAsia" w:ascii="宋体" w:hAnsi="宋体" w:cs="宋体"/>
          <w:kern w:val="0"/>
          <w:szCs w:val="21"/>
        </w:rPr>
        <w:t>年</w:t>
      </w:r>
      <w:r>
        <w:rPr>
          <w:rFonts w:hint="eastAsia" w:ascii="宋体" w:hAnsi="宋体" w:cs="宋体"/>
          <w:kern w:val="0"/>
          <w:szCs w:val="21"/>
          <w:lang w:val="en-US" w:eastAsia="zh-CN"/>
        </w:rPr>
        <w:t>12</w:t>
      </w:r>
      <w:r>
        <w:rPr>
          <w:rFonts w:hint="eastAsia" w:ascii="宋体" w:hAnsi="宋体" w:cs="宋体"/>
          <w:kern w:val="0"/>
          <w:szCs w:val="21"/>
        </w:rPr>
        <w:t>月</w:t>
      </w:r>
      <w:r>
        <w:rPr>
          <w:rFonts w:hint="eastAsia" w:ascii="宋体" w:hAnsi="宋体" w:cs="宋体"/>
          <w:kern w:val="0"/>
          <w:szCs w:val="21"/>
          <w:lang w:val="en-US" w:eastAsia="zh-CN"/>
        </w:rPr>
        <w:t>23</w:t>
      </w:r>
      <w:r>
        <w:rPr>
          <w:rFonts w:hint="eastAsia" w:ascii="宋体" w:hAnsi="宋体" w:cs="宋体"/>
          <w:kern w:val="0"/>
          <w:szCs w:val="21"/>
        </w:rPr>
        <w:t>日</w:t>
      </w:r>
      <w:r>
        <w:rPr>
          <w:rFonts w:hint="eastAsia" w:ascii="宋体" w:hAnsi="宋体" w:cs="宋体"/>
          <w:kern w:val="0"/>
          <w:szCs w:val="21"/>
          <w:lang w:val="en-US" w:eastAsia="zh-CN"/>
        </w:rPr>
        <w:t>18</w:t>
      </w:r>
      <w:r>
        <w:rPr>
          <w:rFonts w:hint="eastAsia" w:ascii="宋体" w:hAnsi="宋体" w:cs="宋体"/>
          <w:szCs w:val="21"/>
        </w:rPr>
        <w:t>时</w:t>
      </w:r>
      <w:r>
        <w:rPr>
          <w:rFonts w:hint="eastAsia" w:ascii="宋体" w:hAnsi="宋体" w:cs="宋体"/>
          <w:szCs w:val="21"/>
          <w:lang w:val="en-US" w:eastAsia="zh-CN"/>
        </w:rPr>
        <w:t>00</w:t>
      </w:r>
      <w:r>
        <w:rPr>
          <w:rFonts w:hint="eastAsia" w:ascii="宋体" w:hAnsi="宋体" w:cs="宋体"/>
          <w:szCs w:val="21"/>
        </w:rPr>
        <w:t>分</w:t>
      </w:r>
      <w:r>
        <w:rPr>
          <w:rFonts w:hint="eastAsia" w:ascii="宋体" w:hAnsi="宋体"/>
          <w:snapToGrid w:val="0"/>
          <w:kern w:val="0"/>
          <w:szCs w:val="21"/>
        </w:rPr>
        <w:t>（北京时间）前在</w:t>
      </w:r>
      <w:r>
        <w:rPr>
          <w:rFonts w:hint="eastAsia" w:ascii="宋体" w:hAnsi="宋体"/>
          <w:snapToGrid w:val="0"/>
          <w:kern w:val="0"/>
          <w:szCs w:val="21"/>
          <w:u w:val="single"/>
        </w:rPr>
        <w:t>重庆市公共资源交易网（www.cqggzy.com）</w:t>
      </w:r>
      <w:r>
        <w:rPr>
          <w:rFonts w:hint="eastAsia" w:ascii="宋体" w:hAnsi="宋体"/>
          <w:snapToGrid w:val="0"/>
          <w:kern w:val="0"/>
          <w:szCs w:val="21"/>
        </w:rPr>
        <w:t>发布澄清或修改。</w:t>
      </w:r>
    </w:p>
    <w:p w14:paraId="4A48BC30">
      <w:pPr>
        <w:pStyle w:val="3"/>
        <w:wordWrap w:val="0"/>
        <w:spacing w:before="100" w:after="100" w:line="460" w:lineRule="exact"/>
        <w:rPr>
          <w:rFonts w:hint="eastAsia" w:ascii="宋体" w:hAnsi="宋体"/>
          <w:snapToGrid w:val="0"/>
          <w:sz w:val="28"/>
          <w:szCs w:val="28"/>
        </w:rPr>
      </w:pPr>
      <w:bookmarkStart w:id="38" w:name="_Toc509218696"/>
      <w:bookmarkStart w:id="39" w:name="_Toc430530420"/>
      <w:bookmarkStart w:id="40" w:name="_Toc200359431"/>
      <w:bookmarkStart w:id="41" w:name="_Toc216363848"/>
      <w:bookmarkStart w:id="42" w:name="_Toc287607732"/>
      <w:bookmarkStart w:id="43" w:name="_Toc200359242"/>
      <w:bookmarkStart w:id="44" w:name="_Toc287620671"/>
      <w:bookmarkStart w:id="45" w:name="_Toc277082540"/>
      <w:bookmarkStart w:id="46" w:name="_Toc224103303"/>
      <w:r>
        <w:rPr>
          <w:rFonts w:hint="eastAsia" w:ascii="宋体" w:hAnsi="宋体"/>
          <w:snapToGrid w:val="0"/>
          <w:sz w:val="28"/>
          <w:szCs w:val="28"/>
        </w:rPr>
        <w:t>5</w:t>
      </w:r>
      <w:r>
        <w:rPr>
          <w:rFonts w:ascii="宋体" w:hAnsi="宋体"/>
          <w:snapToGrid w:val="0"/>
          <w:sz w:val="28"/>
          <w:szCs w:val="28"/>
        </w:rPr>
        <w:t>. 投标文件的递交</w:t>
      </w:r>
      <w:bookmarkEnd w:id="38"/>
      <w:bookmarkEnd w:id="39"/>
      <w:bookmarkEnd w:id="40"/>
      <w:bookmarkEnd w:id="41"/>
      <w:bookmarkEnd w:id="42"/>
      <w:bookmarkEnd w:id="43"/>
      <w:bookmarkEnd w:id="44"/>
      <w:bookmarkEnd w:id="45"/>
      <w:bookmarkEnd w:id="46"/>
    </w:p>
    <w:p w14:paraId="636851CE">
      <w:pPr>
        <w:tabs>
          <w:tab w:val="left" w:pos="2000"/>
          <w:tab w:val="left" w:pos="5580"/>
          <w:tab w:val="left" w:pos="6220"/>
          <w:tab w:val="left" w:pos="6840"/>
          <w:tab w:val="left" w:pos="7460"/>
          <w:tab w:val="left" w:pos="8100"/>
        </w:tabs>
        <w:wordWrap w:val="0"/>
        <w:autoSpaceDE w:val="0"/>
        <w:autoSpaceDN w:val="0"/>
        <w:adjustRightInd w:val="0"/>
        <w:snapToGrid w:val="0"/>
        <w:spacing w:line="450" w:lineRule="exact"/>
        <w:ind w:firstLine="420" w:firstLineChars="200"/>
        <w:rPr>
          <w:rFonts w:hint="eastAsia" w:ascii="宋体" w:hAnsi="宋体"/>
          <w:snapToGrid w:val="0"/>
          <w:kern w:val="0"/>
          <w:szCs w:val="21"/>
        </w:rPr>
      </w:pPr>
      <w:r>
        <w:rPr>
          <w:rFonts w:ascii="宋体" w:hAnsi="宋体"/>
          <w:snapToGrid w:val="0"/>
          <w:kern w:val="0"/>
          <w:szCs w:val="21"/>
        </w:rPr>
        <w:t>5.1  投标文件递交的</w:t>
      </w:r>
      <w:r>
        <w:rPr>
          <w:rFonts w:hint="eastAsia" w:ascii="宋体" w:hAnsi="宋体"/>
          <w:snapToGrid w:val="0"/>
          <w:kern w:val="0"/>
          <w:szCs w:val="21"/>
        </w:rPr>
        <w:t>开始时间</w:t>
      </w:r>
      <w:r>
        <w:rPr>
          <w:rFonts w:ascii="宋体" w:hAnsi="宋体"/>
          <w:snapToGrid w:val="0"/>
          <w:kern w:val="0"/>
          <w:szCs w:val="21"/>
        </w:rPr>
        <w:t>为</w:t>
      </w:r>
      <w:r>
        <w:rPr>
          <w:rFonts w:hint="eastAsia" w:ascii="宋体" w:hAnsi="宋体"/>
          <w:snapToGrid w:val="0"/>
          <w:kern w:val="0"/>
          <w:szCs w:val="21"/>
          <w:lang w:val="en-US" w:eastAsia="zh-CN"/>
        </w:rPr>
        <w:t>2025</w:t>
      </w:r>
      <w:r>
        <w:rPr>
          <w:rFonts w:ascii="宋体" w:hAnsi="宋体"/>
          <w:snapToGrid w:val="0"/>
          <w:kern w:val="0"/>
          <w:szCs w:val="21"/>
        </w:rPr>
        <w:t>年</w:t>
      </w:r>
      <w:r>
        <w:rPr>
          <w:rFonts w:hint="eastAsia" w:ascii="宋体" w:hAnsi="宋体"/>
          <w:snapToGrid w:val="0"/>
          <w:kern w:val="0"/>
          <w:szCs w:val="21"/>
          <w:lang w:val="en-US" w:eastAsia="zh-CN"/>
        </w:rPr>
        <w:t>1</w:t>
      </w:r>
      <w:r>
        <w:rPr>
          <w:rFonts w:ascii="宋体" w:hAnsi="宋体"/>
          <w:snapToGrid w:val="0"/>
          <w:kern w:val="0"/>
          <w:szCs w:val="21"/>
        </w:rPr>
        <w:t>月</w:t>
      </w:r>
      <w:r>
        <w:rPr>
          <w:rFonts w:hint="eastAsia" w:ascii="宋体" w:hAnsi="宋体"/>
          <w:snapToGrid w:val="0"/>
          <w:kern w:val="0"/>
          <w:szCs w:val="21"/>
          <w:lang w:val="en-US" w:eastAsia="zh-CN"/>
        </w:rPr>
        <w:t>8</w:t>
      </w:r>
      <w:r>
        <w:rPr>
          <w:rFonts w:ascii="宋体" w:hAnsi="宋体"/>
          <w:snapToGrid w:val="0"/>
          <w:kern w:val="0"/>
          <w:szCs w:val="21"/>
        </w:rPr>
        <w:t>日</w:t>
      </w:r>
      <w:r>
        <w:rPr>
          <w:rFonts w:hint="eastAsia" w:ascii="宋体" w:hAnsi="宋体"/>
          <w:snapToGrid w:val="0"/>
          <w:kern w:val="0"/>
          <w:szCs w:val="21"/>
          <w:lang w:val="en-US" w:eastAsia="zh-CN"/>
        </w:rPr>
        <w:t>9</w:t>
      </w:r>
      <w:r>
        <w:rPr>
          <w:rFonts w:ascii="宋体" w:hAnsi="宋体"/>
          <w:snapToGrid w:val="0"/>
          <w:kern w:val="0"/>
          <w:szCs w:val="21"/>
        </w:rPr>
        <w:t>时</w:t>
      </w:r>
      <w:r>
        <w:rPr>
          <w:rFonts w:hint="eastAsia" w:ascii="宋体" w:hAnsi="宋体"/>
          <w:snapToGrid w:val="0"/>
          <w:kern w:val="0"/>
          <w:szCs w:val="21"/>
          <w:lang w:val="en-US" w:eastAsia="zh-CN"/>
        </w:rPr>
        <w:t>00</w:t>
      </w:r>
      <w:r>
        <w:rPr>
          <w:rFonts w:ascii="宋体" w:hAnsi="宋体"/>
          <w:snapToGrid w:val="0"/>
          <w:kern w:val="0"/>
          <w:szCs w:val="21"/>
        </w:rPr>
        <w:t>分，</w:t>
      </w:r>
      <w:r>
        <w:rPr>
          <w:rFonts w:hint="eastAsia" w:ascii="宋体" w:hAnsi="宋体"/>
          <w:snapToGrid w:val="0"/>
          <w:kern w:val="0"/>
          <w:szCs w:val="21"/>
        </w:rPr>
        <w:t>投标文件递交的</w:t>
      </w:r>
      <w:r>
        <w:rPr>
          <w:rFonts w:ascii="宋体" w:hAnsi="宋体"/>
          <w:snapToGrid w:val="0"/>
          <w:kern w:val="0"/>
          <w:szCs w:val="21"/>
        </w:rPr>
        <w:t>截止时间（投标截止时间，下同）为</w:t>
      </w:r>
      <w:r>
        <w:rPr>
          <w:rFonts w:hint="eastAsia" w:ascii="宋体" w:hAnsi="宋体"/>
          <w:snapToGrid w:val="0"/>
          <w:kern w:val="0"/>
          <w:szCs w:val="21"/>
          <w:lang w:val="en-US" w:eastAsia="zh-CN"/>
        </w:rPr>
        <w:t>2025</w:t>
      </w:r>
      <w:r>
        <w:rPr>
          <w:rFonts w:ascii="宋体" w:hAnsi="宋体"/>
          <w:snapToGrid w:val="0"/>
          <w:kern w:val="0"/>
          <w:szCs w:val="21"/>
        </w:rPr>
        <w:t>年</w:t>
      </w:r>
      <w:r>
        <w:rPr>
          <w:rFonts w:hint="eastAsia" w:ascii="宋体" w:hAnsi="宋体"/>
          <w:snapToGrid w:val="0"/>
          <w:kern w:val="0"/>
          <w:szCs w:val="21"/>
          <w:lang w:val="en-US" w:eastAsia="zh-CN"/>
        </w:rPr>
        <w:t>1</w:t>
      </w:r>
      <w:r>
        <w:rPr>
          <w:rFonts w:ascii="宋体" w:hAnsi="宋体"/>
          <w:snapToGrid w:val="0"/>
          <w:kern w:val="0"/>
          <w:szCs w:val="21"/>
        </w:rPr>
        <w:t>月</w:t>
      </w:r>
      <w:r>
        <w:rPr>
          <w:rFonts w:hint="eastAsia" w:ascii="宋体" w:hAnsi="宋体"/>
          <w:snapToGrid w:val="0"/>
          <w:kern w:val="0"/>
          <w:szCs w:val="21"/>
          <w:lang w:val="en-US" w:eastAsia="zh-CN"/>
        </w:rPr>
        <w:t>8</w:t>
      </w:r>
      <w:r>
        <w:rPr>
          <w:rFonts w:ascii="宋体" w:hAnsi="宋体"/>
          <w:snapToGrid w:val="0"/>
          <w:kern w:val="0"/>
          <w:szCs w:val="21"/>
        </w:rPr>
        <w:t>日</w:t>
      </w:r>
      <w:r>
        <w:rPr>
          <w:rFonts w:hint="eastAsia" w:ascii="宋体" w:hAnsi="宋体"/>
          <w:snapToGrid w:val="0"/>
          <w:kern w:val="0"/>
          <w:szCs w:val="21"/>
          <w:lang w:val="en-US" w:eastAsia="zh-CN"/>
        </w:rPr>
        <w:t>9</w:t>
      </w:r>
      <w:r>
        <w:rPr>
          <w:rFonts w:ascii="宋体" w:hAnsi="宋体"/>
          <w:snapToGrid w:val="0"/>
          <w:kern w:val="0"/>
          <w:szCs w:val="21"/>
        </w:rPr>
        <w:t>时</w:t>
      </w:r>
      <w:r>
        <w:rPr>
          <w:rFonts w:hint="eastAsia" w:ascii="宋体" w:hAnsi="宋体"/>
          <w:snapToGrid w:val="0"/>
          <w:kern w:val="0"/>
          <w:szCs w:val="21"/>
          <w:lang w:val="en-US" w:eastAsia="zh-CN"/>
        </w:rPr>
        <w:t>30</w:t>
      </w:r>
      <w:r>
        <w:rPr>
          <w:rFonts w:ascii="宋体" w:hAnsi="宋体"/>
          <w:snapToGrid w:val="0"/>
          <w:kern w:val="0"/>
          <w:szCs w:val="21"/>
        </w:rPr>
        <w:t>分，地点为</w:t>
      </w:r>
      <w:r>
        <w:rPr>
          <w:rFonts w:hint="eastAsia" w:ascii="宋体" w:hAnsi="宋体"/>
          <w:kern w:val="0"/>
          <w:szCs w:val="21"/>
        </w:rPr>
        <w:t>重庆市公共资源交易中心开标区（具体请登陆重庆市公共资源交易网（</w:t>
      </w:r>
      <w:r>
        <w:rPr>
          <w:rFonts w:ascii="宋体" w:hAnsi="宋体"/>
          <w:kern w:val="0"/>
          <w:szCs w:val="21"/>
        </w:rPr>
        <w:t>www.cqggzy.com）查询或递交文件当日见交易中心大厅电子显示屏）</w:t>
      </w:r>
      <w:r>
        <w:rPr>
          <w:rFonts w:ascii="宋体" w:hAnsi="宋体"/>
          <w:snapToGrid w:val="0"/>
          <w:kern w:val="0"/>
          <w:szCs w:val="21"/>
        </w:rPr>
        <w:t>。</w:t>
      </w:r>
    </w:p>
    <w:p w14:paraId="341739E8">
      <w:pPr>
        <w:wordWrap w:val="0"/>
        <w:autoSpaceDE w:val="0"/>
        <w:autoSpaceDN w:val="0"/>
        <w:adjustRightInd w:val="0"/>
        <w:snapToGrid w:val="0"/>
        <w:spacing w:line="450" w:lineRule="exact"/>
        <w:ind w:firstLine="420" w:firstLineChars="200"/>
        <w:rPr>
          <w:rFonts w:hint="eastAsia" w:ascii="宋体" w:hAnsi="宋体"/>
          <w:snapToGrid w:val="0"/>
          <w:kern w:val="0"/>
          <w:szCs w:val="21"/>
        </w:rPr>
      </w:pPr>
      <w:r>
        <w:rPr>
          <w:rFonts w:ascii="宋体" w:hAnsi="宋体"/>
          <w:snapToGrid w:val="0"/>
          <w:kern w:val="0"/>
          <w:szCs w:val="21"/>
        </w:rPr>
        <w:t>5.2  逾期送达的或者未送达指定地点的投标文件，招标人不予受理</w:t>
      </w:r>
      <w:r>
        <w:rPr>
          <w:rFonts w:hint="eastAsia" w:ascii="宋体" w:hAnsi="宋体"/>
          <w:snapToGrid w:val="0"/>
          <w:kern w:val="0"/>
          <w:szCs w:val="21"/>
        </w:rPr>
        <w:t>。</w:t>
      </w:r>
    </w:p>
    <w:p w14:paraId="7A154C99">
      <w:pPr>
        <w:pStyle w:val="3"/>
        <w:wordWrap w:val="0"/>
        <w:spacing w:before="100" w:after="100" w:line="460" w:lineRule="exact"/>
        <w:rPr>
          <w:rFonts w:hint="eastAsia" w:ascii="宋体" w:hAnsi="宋体"/>
          <w:snapToGrid w:val="0"/>
          <w:sz w:val="28"/>
          <w:szCs w:val="28"/>
        </w:rPr>
      </w:pPr>
      <w:bookmarkStart w:id="47" w:name="_Toc200359243"/>
      <w:bookmarkStart w:id="48" w:name="_Toc287620672"/>
      <w:bookmarkStart w:id="49" w:name="_Toc216363849"/>
      <w:bookmarkStart w:id="50" w:name="_Toc287607733"/>
      <w:bookmarkStart w:id="51" w:name="_Toc430530421"/>
      <w:bookmarkStart w:id="52" w:name="_Toc224103304"/>
      <w:bookmarkStart w:id="53" w:name="_Toc509218697"/>
      <w:bookmarkStart w:id="54" w:name="_Toc277082541"/>
      <w:bookmarkStart w:id="55" w:name="_Toc200359432"/>
      <w:r>
        <w:rPr>
          <w:rFonts w:hint="eastAsia" w:ascii="宋体" w:hAnsi="宋体"/>
          <w:snapToGrid w:val="0"/>
          <w:sz w:val="28"/>
          <w:szCs w:val="28"/>
        </w:rPr>
        <w:t>6</w:t>
      </w:r>
      <w:r>
        <w:rPr>
          <w:rFonts w:ascii="宋体" w:hAnsi="宋体"/>
          <w:snapToGrid w:val="0"/>
          <w:sz w:val="28"/>
          <w:szCs w:val="28"/>
        </w:rPr>
        <w:t>. 发布公告的媒介</w:t>
      </w:r>
      <w:bookmarkEnd w:id="47"/>
      <w:bookmarkEnd w:id="48"/>
      <w:bookmarkEnd w:id="49"/>
      <w:bookmarkEnd w:id="50"/>
      <w:bookmarkEnd w:id="51"/>
      <w:bookmarkEnd w:id="52"/>
      <w:bookmarkEnd w:id="53"/>
      <w:bookmarkEnd w:id="54"/>
      <w:bookmarkEnd w:id="55"/>
      <w:bookmarkStart w:id="64" w:name="_GoBack"/>
      <w:bookmarkEnd w:id="64"/>
    </w:p>
    <w:p w14:paraId="1E288930">
      <w:pPr>
        <w:tabs>
          <w:tab w:val="left" w:pos="4950"/>
        </w:tabs>
        <w:wordWrap w:val="0"/>
        <w:autoSpaceDE w:val="0"/>
        <w:autoSpaceDN w:val="0"/>
        <w:adjustRightInd w:val="0"/>
        <w:snapToGrid w:val="0"/>
        <w:spacing w:line="450" w:lineRule="exact"/>
        <w:ind w:firstLine="420" w:firstLineChars="200"/>
        <w:rPr>
          <w:rFonts w:hint="eastAsia" w:ascii="宋体" w:hAnsi="宋体"/>
          <w:snapToGrid w:val="0"/>
          <w:kern w:val="0"/>
          <w:szCs w:val="21"/>
        </w:rPr>
      </w:pPr>
      <w:r>
        <w:rPr>
          <w:rFonts w:ascii="宋体" w:hAnsi="宋体"/>
          <w:snapToGrid w:val="0"/>
          <w:kern w:val="0"/>
          <w:szCs w:val="21"/>
        </w:rPr>
        <w:t>本次招标公告同时在</w:t>
      </w:r>
      <w:r>
        <w:rPr>
          <w:rFonts w:hint="eastAsia" w:ascii="宋体" w:hAnsi="宋体"/>
          <w:snapToGrid w:val="0"/>
          <w:kern w:val="0"/>
          <w:szCs w:val="21"/>
          <w:u w:val="single"/>
        </w:rPr>
        <w:t>重庆市公共资源交易网（www.cqggzy.com）</w:t>
      </w:r>
      <w:r>
        <w:rPr>
          <w:rFonts w:ascii="宋体" w:hAnsi="宋体"/>
          <w:snapToGrid w:val="0"/>
          <w:kern w:val="0"/>
          <w:szCs w:val="21"/>
        </w:rPr>
        <w:t>上发布。</w:t>
      </w:r>
    </w:p>
    <w:p w14:paraId="1423B6CE">
      <w:pPr>
        <w:pStyle w:val="3"/>
        <w:wordWrap w:val="0"/>
        <w:spacing w:before="100" w:after="100" w:line="460" w:lineRule="exact"/>
        <w:rPr>
          <w:rFonts w:hint="eastAsia" w:ascii="宋体" w:hAnsi="宋体"/>
          <w:snapToGrid w:val="0"/>
          <w:sz w:val="28"/>
          <w:szCs w:val="28"/>
        </w:rPr>
      </w:pPr>
      <w:bookmarkStart w:id="56" w:name="_Toc287620673"/>
      <w:bookmarkStart w:id="57" w:name="_Toc287607734"/>
      <w:bookmarkStart w:id="58" w:name="_Toc216363850"/>
      <w:bookmarkStart w:id="59" w:name="_Toc430530422"/>
      <w:bookmarkStart w:id="60" w:name="_Toc277082542"/>
      <w:bookmarkStart w:id="61" w:name="_Toc224103305"/>
      <w:bookmarkStart w:id="62" w:name="_Toc509218698"/>
      <w:r>
        <w:rPr>
          <w:rFonts w:hint="eastAsia" w:ascii="宋体" w:hAnsi="宋体"/>
          <w:snapToGrid w:val="0"/>
          <w:sz w:val="28"/>
          <w:szCs w:val="28"/>
        </w:rPr>
        <w:t>7</w:t>
      </w:r>
      <w:r>
        <w:rPr>
          <w:rFonts w:ascii="宋体" w:hAnsi="宋体"/>
          <w:snapToGrid w:val="0"/>
          <w:sz w:val="28"/>
          <w:szCs w:val="28"/>
        </w:rPr>
        <w:t>. 联系方式</w:t>
      </w:r>
      <w:bookmarkEnd w:id="56"/>
      <w:bookmarkEnd w:id="57"/>
      <w:bookmarkEnd w:id="58"/>
      <w:bookmarkEnd w:id="59"/>
      <w:bookmarkEnd w:id="60"/>
      <w:bookmarkEnd w:id="61"/>
      <w:bookmarkEnd w:id="62"/>
    </w:p>
    <w:tbl>
      <w:tblPr>
        <w:tblStyle w:val="4"/>
        <w:tblW w:w="0" w:type="auto"/>
        <w:jc w:val="center"/>
        <w:tblLayout w:type="autofit"/>
        <w:tblCellMar>
          <w:top w:w="0" w:type="dxa"/>
          <w:left w:w="108" w:type="dxa"/>
          <w:bottom w:w="0" w:type="dxa"/>
          <w:right w:w="108" w:type="dxa"/>
        </w:tblCellMar>
      </w:tblPr>
      <w:tblGrid>
        <w:gridCol w:w="4424"/>
        <w:gridCol w:w="4098"/>
      </w:tblGrid>
      <w:tr w14:paraId="0F555A12">
        <w:tblPrEx>
          <w:tblCellMar>
            <w:top w:w="0" w:type="dxa"/>
            <w:left w:w="108" w:type="dxa"/>
            <w:bottom w:w="0" w:type="dxa"/>
            <w:right w:w="108" w:type="dxa"/>
          </w:tblCellMar>
        </w:tblPrEx>
        <w:trPr>
          <w:jc w:val="center"/>
        </w:trPr>
        <w:tc>
          <w:tcPr>
            <w:tcW w:w="5039" w:type="dxa"/>
          </w:tcPr>
          <w:p w14:paraId="3928B170">
            <w:pPr>
              <w:tabs>
                <w:tab w:val="left" w:pos="5140"/>
                <w:tab w:val="left" w:pos="8520"/>
              </w:tabs>
              <w:autoSpaceDE w:val="0"/>
              <w:autoSpaceDN w:val="0"/>
              <w:adjustRightInd w:val="0"/>
              <w:spacing w:line="400" w:lineRule="exact"/>
              <w:jc w:val="left"/>
              <w:rPr>
                <w:rFonts w:hint="eastAsia" w:ascii="宋体" w:hAnsi="宋体"/>
                <w:snapToGrid w:val="0"/>
                <w:kern w:val="0"/>
                <w:szCs w:val="21"/>
              </w:rPr>
            </w:pPr>
            <w:r>
              <w:rPr>
                <w:rFonts w:hint="eastAsia" w:ascii="宋体" w:hAnsi="宋体"/>
                <w:snapToGrid w:val="0"/>
                <w:kern w:val="0"/>
                <w:szCs w:val="21"/>
              </w:rPr>
              <w:t>招标人</w:t>
            </w:r>
            <w:r>
              <w:rPr>
                <w:rFonts w:ascii="宋体" w:hAnsi="宋体"/>
                <w:snapToGrid w:val="0"/>
                <w:kern w:val="0"/>
                <w:szCs w:val="21"/>
              </w:rPr>
              <w:t>：</w:t>
            </w:r>
            <w:r>
              <w:rPr>
                <w:rFonts w:hint="eastAsia" w:ascii="宋体" w:hAnsi="宋体"/>
                <w:snapToGrid w:val="0"/>
                <w:kern w:val="0"/>
                <w:szCs w:val="21"/>
              </w:rPr>
              <w:t>重庆三峡银行股份有限公司</w:t>
            </w:r>
          </w:p>
          <w:p w14:paraId="692BDCCB">
            <w:pPr>
              <w:tabs>
                <w:tab w:val="left" w:pos="5140"/>
                <w:tab w:val="left" w:pos="8420"/>
              </w:tabs>
              <w:autoSpaceDE w:val="0"/>
              <w:autoSpaceDN w:val="0"/>
              <w:adjustRightInd w:val="0"/>
              <w:spacing w:line="400" w:lineRule="exact"/>
              <w:jc w:val="left"/>
              <w:rPr>
                <w:rFonts w:hint="eastAsia" w:ascii="宋体" w:hAnsi="宋体"/>
                <w:snapToGrid w:val="0"/>
                <w:kern w:val="0"/>
                <w:szCs w:val="21"/>
              </w:rPr>
            </w:pPr>
            <w:r>
              <w:rPr>
                <w:rFonts w:ascii="宋体" w:hAnsi="宋体"/>
                <w:snapToGrid w:val="0"/>
                <w:kern w:val="0"/>
                <w:szCs w:val="21"/>
              </w:rPr>
              <w:t>地址：</w:t>
            </w:r>
            <w:r>
              <w:rPr>
                <w:rFonts w:hint="eastAsia" w:ascii="宋体" w:hAnsi="宋体"/>
                <w:snapToGrid w:val="0"/>
                <w:kern w:val="0"/>
                <w:szCs w:val="21"/>
              </w:rPr>
              <w:t>重庆市渝北区嘉州路88号中渝国际都会4号写字楼21层</w:t>
            </w:r>
          </w:p>
          <w:p w14:paraId="52C2400C">
            <w:pPr>
              <w:tabs>
                <w:tab w:val="left" w:pos="5140"/>
                <w:tab w:val="left" w:pos="8420"/>
              </w:tabs>
              <w:autoSpaceDE w:val="0"/>
              <w:autoSpaceDN w:val="0"/>
              <w:adjustRightInd w:val="0"/>
              <w:spacing w:line="400" w:lineRule="exact"/>
              <w:jc w:val="left"/>
              <w:rPr>
                <w:rFonts w:hint="eastAsia" w:ascii="宋体" w:hAnsi="宋体"/>
                <w:snapToGrid w:val="0"/>
                <w:kern w:val="0"/>
                <w:szCs w:val="21"/>
              </w:rPr>
            </w:pPr>
            <w:r>
              <w:rPr>
                <w:rFonts w:ascii="宋体" w:hAnsi="宋体"/>
                <w:snapToGrid w:val="0"/>
                <w:kern w:val="0"/>
                <w:szCs w:val="21"/>
              </w:rPr>
              <w:t>联系人：</w:t>
            </w:r>
            <w:r>
              <w:rPr>
                <w:rFonts w:hint="eastAsia" w:ascii="宋体" w:hAnsi="宋体"/>
                <w:snapToGrid w:val="0"/>
                <w:kern w:val="0"/>
                <w:szCs w:val="21"/>
              </w:rPr>
              <w:t>敬老师</w:t>
            </w:r>
          </w:p>
          <w:p w14:paraId="011FE035">
            <w:pPr>
              <w:tabs>
                <w:tab w:val="left" w:pos="5140"/>
                <w:tab w:val="left" w:pos="8520"/>
              </w:tabs>
              <w:autoSpaceDE w:val="0"/>
              <w:autoSpaceDN w:val="0"/>
              <w:adjustRightInd w:val="0"/>
              <w:spacing w:line="400" w:lineRule="exact"/>
              <w:jc w:val="left"/>
              <w:rPr>
                <w:rFonts w:hint="eastAsia" w:ascii="宋体" w:hAnsi="宋体"/>
                <w:snapToGrid w:val="0"/>
                <w:kern w:val="0"/>
                <w:szCs w:val="21"/>
              </w:rPr>
            </w:pPr>
            <w:r>
              <w:rPr>
                <w:rFonts w:ascii="宋体" w:hAnsi="宋体"/>
                <w:snapToGrid w:val="0"/>
                <w:kern w:val="0"/>
                <w:szCs w:val="21"/>
              </w:rPr>
              <w:t>电话：</w:t>
            </w:r>
            <w:r>
              <w:rPr>
                <w:rFonts w:hint="eastAsia" w:ascii="宋体" w:hAnsi="宋体"/>
                <w:snapToGrid w:val="0"/>
                <w:kern w:val="0"/>
                <w:szCs w:val="21"/>
              </w:rPr>
              <w:t>023-88890395</w:t>
            </w:r>
          </w:p>
          <w:p w14:paraId="3EE90E8C">
            <w:pPr>
              <w:tabs>
                <w:tab w:val="left" w:pos="5140"/>
                <w:tab w:val="left" w:pos="8520"/>
              </w:tabs>
              <w:autoSpaceDE w:val="0"/>
              <w:autoSpaceDN w:val="0"/>
              <w:adjustRightInd w:val="0"/>
              <w:spacing w:line="400" w:lineRule="exact"/>
              <w:jc w:val="left"/>
              <w:rPr>
                <w:rFonts w:hint="eastAsia" w:ascii="宋体" w:hAnsi="宋体"/>
                <w:snapToGrid w:val="0"/>
                <w:kern w:val="0"/>
                <w:szCs w:val="21"/>
              </w:rPr>
            </w:pPr>
            <w:r>
              <w:rPr>
                <w:rFonts w:hint="eastAsia" w:ascii="宋体" w:hAnsi="宋体"/>
                <w:snapToGrid w:val="0"/>
                <w:kern w:val="0"/>
                <w:szCs w:val="21"/>
              </w:rPr>
              <w:t>业务咨询人：魏恩</w:t>
            </w:r>
          </w:p>
          <w:p w14:paraId="0DDFDAAB">
            <w:pPr>
              <w:tabs>
                <w:tab w:val="left" w:pos="5140"/>
                <w:tab w:val="left" w:pos="8520"/>
              </w:tabs>
              <w:autoSpaceDE w:val="0"/>
              <w:autoSpaceDN w:val="0"/>
              <w:adjustRightInd w:val="0"/>
              <w:spacing w:line="400" w:lineRule="exact"/>
              <w:jc w:val="left"/>
              <w:rPr>
                <w:rFonts w:hint="eastAsia" w:ascii="宋体" w:hAnsi="宋体"/>
                <w:snapToGrid w:val="0"/>
                <w:kern w:val="0"/>
                <w:szCs w:val="21"/>
              </w:rPr>
            </w:pPr>
            <w:r>
              <w:rPr>
                <w:rFonts w:hint="eastAsia" w:ascii="宋体" w:hAnsi="宋体"/>
                <w:snapToGrid w:val="0"/>
                <w:kern w:val="0"/>
                <w:szCs w:val="21"/>
              </w:rPr>
              <w:t>联系方式：17783826559</w:t>
            </w:r>
          </w:p>
        </w:tc>
        <w:tc>
          <w:tcPr>
            <w:tcW w:w="4645" w:type="dxa"/>
          </w:tcPr>
          <w:p w14:paraId="5FD48DD6">
            <w:pPr>
              <w:tabs>
                <w:tab w:val="left" w:pos="5140"/>
                <w:tab w:val="left" w:pos="8520"/>
              </w:tabs>
              <w:autoSpaceDE w:val="0"/>
              <w:autoSpaceDN w:val="0"/>
              <w:adjustRightInd w:val="0"/>
              <w:spacing w:line="400" w:lineRule="exact"/>
              <w:jc w:val="left"/>
              <w:rPr>
                <w:rFonts w:hint="eastAsia" w:ascii="宋体" w:hAnsi="宋体"/>
                <w:snapToGrid w:val="0"/>
                <w:kern w:val="0"/>
                <w:szCs w:val="21"/>
              </w:rPr>
            </w:pPr>
            <w:r>
              <w:rPr>
                <w:rFonts w:hint="eastAsia" w:ascii="宋体" w:hAnsi="宋体"/>
                <w:snapToGrid w:val="0"/>
                <w:kern w:val="0"/>
                <w:szCs w:val="21"/>
              </w:rPr>
              <w:t>招标代理机构</w:t>
            </w:r>
            <w:r>
              <w:rPr>
                <w:rFonts w:ascii="宋体" w:hAnsi="宋体"/>
                <w:snapToGrid w:val="0"/>
                <w:kern w:val="0"/>
                <w:szCs w:val="21"/>
              </w:rPr>
              <w:t>：</w:t>
            </w:r>
            <w:bookmarkStart w:id="63" w:name="OLE_LINK24"/>
            <w:r>
              <w:rPr>
                <w:rFonts w:hint="eastAsia" w:ascii="宋体" w:hAnsi="宋体" w:cs="宋体"/>
              </w:rPr>
              <w:t>重庆招标采购（集团）有限责任公司</w:t>
            </w:r>
            <w:bookmarkEnd w:id="63"/>
          </w:p>
          <w:p w14:paraId="78524206">
            <w:pPr>
              <w:tabs>
                <w:tab w:val="left" w:pos="5140"/>
                <w:tab w:val="left" w:pos="8420"/>
              </w:tabs>
              <w:autoSpaceDE w:val="0"/>
              <w:autoSpaceDN w:val="0"/>
              <w:adjustRightInd w:val="0"/>
              <w:spacing w:line="400" w:lineRule="exact"/>
              <w:jc w:val="left"/>
              <w:rPr>
                <w:rFonts w:hint="eastAsia" w:ascii="宋体" w:hAnsi="宋体"/>
                <w:snapToGrid w:val="0"/>
                <w:kern w:val="0"/>
                <w:szCs w:val="21"/>
              </w:rPr>
            </w:pPr>
            <w:r>
              <w:rPr>
                <w:rFonts w:ascii="宋体" w:hAnsi="宋体"/>
                <w:snapToGrid w:val="0"/>
                <w:kern w:val="0"/>
                <w:szCs w:val="21"/>
              </w:rPr>
              <w:t>地址：</w:t>
            </w:r>
            <w:r>
              <w:rPr>
                <w:rFonts w:hint="eastAsia" w:ascii="宋体" w:hAnsi="宋体"/>
                <w:snapToGrid w:val="0"/>
                <w:kern w:val="0"/>
                <w:szCs w:val="21"/>
              </w:rPr>
              <w:t>重庆市江北区五简路2号重庆咨询大厦A栋</w:t>
            </w:r>
          </w:p>
          <w:p w14:paraId="06BBE6FB">
            <w:pPr>
              <w:tabs>
                <w:tab w:val="left" w:pos="5140"/>
                <w:tab w:val="left" w:pos="8420"/>
              </w:tabs>
              <w:autoSpaceDE w:val="0"/>
              <w:autoSpaceDN w:val="0"/>
              <w:adjustRightInd w:val="0"/>
              <w:spacing w:line="400" w:lineRule="exact"/>
              <w:jc w:val="left"/>
              <w:rPr>
                <w:rFonts w:hint="eastAsia" w:ascii="宋体" w:hAnsi="宋体"/>
                <w:snapToGrid w:val="0"/>
                <w:kern w:val="0"/>
                <w:szCs w:val="21"/>
              </w:rPr>
            </w:pPr>
            <w:r>
              <w:rPr>
                <w:rFonts w:ascii="宋体" w:hAnsi="宋体"/>
                <w:snapToGrid w:val="0"/>
                <w:kern w:val="0"/>
                <w:szCs w:val="21"/>
              </w:rPr>
              <w:t>联系人：</w:t>
            </w:r>
            <w:r>
              <w:rPr>
                <w:rFonts w:hint="eastAsia" w:ascii="宋体" w:hAnsi="宋体"/>
                <w:snapToGrid w:val="0"/>
                <w:kern w:val="0"/>
                <w:szCs w:val="21"/>
              </w:rPr>
              <w:t>龚女士</w:t>
            </w:r>
          </w:p>
          <w:p w14:paraId="7198D5F7">
            <w:pPr>
              <w:tabs>
                <w:tab w:val="left" w:pos="5140"/>
                <w:tab w:val="left" w:pos="8520"/>
              </w:tabs>
              <w:autoSpaceDE w:val="0"/>
              <w:autoSpaceDN w:val="0"/>
              <w:adjustRightInd w:val="0"/>
              <w:spacing w:line="400" w:lineRule="exact"/>
              <w:jc w:val="left"/>
              <w:rPr>
                <w:rFonts w:hint="eastAsia" w:ascii="宋体" w:hAnsi="宋体"/>
                <w:snapToGrid w:val="0"/>
                <w:kern w:val="0"/>
                <w:szCs w:val="21"/>
              </w:rPr>
            </w:pPr>
            <w:r>
              <w:rPr>
                <w:rFonts w:ascii="宋体" w:hAnsi="宋体"/>
                <w:snapToGrid w:val="0"/>
                <w:kern w:val="0"/>
                <w:szCs w:val="21"/>
              </w:rPr>
              <w:t>电话：</w:t>
            </w:r>
            <w:r>
              <w:rPr>
                <w:rFonts w:hint="eastAsia" w:ascii="宋体" w:hAnsi="宋体"/>
                <w:snapToGrid w:val="0"/>
                <w:kern w:val="0"/>
                <w:szCs w:val="21"/>
              </w:rPr>
              <w:t>023-67078251</w:t>
            </w:r>
          </w:p>
        </w:tc>
      </w:tr>
    </w:tbl>
    <w:p w14:paraId="27F5BED1"/>
    <w:p w14:paraId="4A0C3D24"/>
    <w:p w14:paraId="1E602470">
      <w:pPr>
        <w:pStyle w:val="2"/>
        <w:jc w:val="right"/>
      </w:pPr>
      <w:r>
        <w:rPr>
          <w:rFonts w:hint="eastAsia" w:ascii="宋体" w:hAnsi="宋体"/>
          <w:snapToGrid w:val="0"/>
          <w:kern w:val="0"/>
          <w:szCs w:val="21"/>
          <w:lang w:val="en-US" w:eastAsia="zh-CN"/>
        </w:rPr>
        <w:t>2025</w:t>
      </w:r>
      <w:r>
        <w:rPr>
          <w:rFonts w:ascii="宋体" w:hAnsi="宋体"/>
          <w:snapToGrid w:val="0"/>
          <w:kern w:val="0"/>
          <w:szCs w:val="21"/>
        </w:rPr>
        <w:t>年</w:t>
      </w:r>
      <w:r>
        <w:rPr>
          <w:rFonts w:hint="eastAsia" w:ascii="宋体" w:hAnsi="宋体"/>
          <w:snapToGrid w:val="0"/>
          <w:kern w:val="0"/>
          <w:szCs w:val="21"/>
          <w:lang w:val="en-US" w:eastAsia="zh-CN"/>
        </w:rPr>
        <w:t>12</w:t>
      </w:r>
      <w:r>
        <w:rPr>
          <w:rFonts w:ascii="宋体" w:hAnsi="宋体"/>
          <w:snapToGrid w:val="0"/>
          <w:kern w:val="0"/>
          <w:szCs w:val="21"/>
        </w:rPr>
        <w:t>月</w:t>
      </w:r>
      <w:r>
        <w:rPr>
          <w:rFonts w:hint="eastAsia" w:ascii="宋体" w:hAnsi="宋体"/>
          <w:snapToGrid w:val="0"/>
          <w:kern w:val="0"/>
          <w:szCs w:val="21"/>
          <w:lang w:val="en-US" w:eastAsia="zh-CN"/>
        </w:rPr>
        <w:t>16</w:t>
      </w:r>
      <w:r>
        <w:rPr>
          <w:rFonts w:ascii="宋体" w:hAnsi="宋体"/>
          <w:snapToGrid w:val="0"/>
          <w:kern w:val="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37EE3"/>
    <w:rsid w:val="0BF37EE3"/>
    <w:rsid w:val="3A1F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5"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character" w:customStyle="1" w:styleId="6">
    <w:name w:val="font31"/>
    <w:basedOn w:val="5"/>
    <w:autoRedefine/>
    <w:qFormat/>
    <w:uiPriority w:val="0"/>
    <w:rPr>
      <w:rFonts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1363</Words>
  <Characters>1542</Characters>
  <Lines>0</Lines>
  <Paragraphs>0</Paragraphs>
  <TotalTime>2</TotalTime>
  <ScaleCrop>false</ScaleCrop>
  <LinksUpToDate>false</LinksUpToDate>
  <CharactersWithSpaces>1637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2025-12-11T14:33:00Z</dcterms:created>
  <dc:creator>傅新立</dc:creator>
  <cp:lastModifiedBy>西瓜鱼</cp:lastModifiedBy>
  <dcterms:modified xsi:type="dcterms:W3CDTF">2025-12-16T01:31:48Z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1794750EF741430596C3976B50DB0F8B_11</vt:lpwstr>
  </property>
  <property fmtid="{D5CDD505-2E9C-101B-9397-08002B2CF9AE}" pid="4" name="KSOTemplateDocerSaveRecord">
    <vt:lpwstr>eyJoZGlkIjoiMmZhOTliYWRkODQyNDliY2QyNjZjYzk3YTM1YjhlNGUiLCJ1c2VySWQiOiIzNzk3MTg4ODcifQ==</vt:lpwstr>
  </property>
</Properties>
</file>