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BB5CF">
      <w:pPr>
        <w:pStyle w:val="2"/>
        <w:widowControl/>
        <w:rPr>
          <w:rFonts w:hint="eastAsia" w:ascii="宋体" w:hAnsi="宋体" w:eastAsia="宋体" w:cs="宋体"/>
          <w:b/>
          <w:bCs w:val="0"/>
          <w:kern w:val="0"/>
          <w:sz w:val="44"/>
          <w:szCs w:val="44"/>
        </w:rPr>
      </w:pPr>
      <w:r>
        <w:rPr>
          <w:rFonts w:hint="eastAsia" w:ascii="宋体" w:hAnsi="宋体" w:eastAsia="宋体" w:cs="宋体"/>
          <w:b/>
          <w:bCs w:val="0"/>
          <w:kern w:val="0"/>
          <w:sz w:val="44"/>
          <w:szCs w:val="44"/>
        </w:rPr>
        <w:t>重庆三峡银行2026-2027年度</w:t>
      </w:r>
    </w:p>
    <w:p w14:paraId="1F1090BB">
      <w:pPr>
        <w:pStyle w:val="2"/>
        <w:widowControl/>
        <w:rPr>
          <w:rFonts w:hint="default" w:ascii="Times New Roman" w:hAnsi="Times New Roman" w:eastAsia="宋体" w:cs="等线 Light"/>
          <w:b/>
          <w:bCs w:val="0"/>
          <w:kern w:val="0"/>
          <w:sz w:val="44"/>
          <w:szCs w:val="44"/>
        </w:rPr>
      </w:pPr>
      <w:r>
        <w:rPr>
          <w:rFonts w:hint="eastAsia" w:ascii="宋体" w:hAnsi="宋体" w:eastAsia="宋体" w:cs="宋体"/>
          <w:b/>
          <w:bCs w:val="0"/>
          <w:kern w:val="0"/>
          <w:sz w:val="44"/>
          <w:szCs w:val="44"/>
        </w:rPr>
        <w:t>西永数据中心暖通空调系统维保询比公告</w:t>
      </w:r>
    </w:p>
    <w:p w14:paraId="23898BF8">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Style w:val="8"/>
          <w:rFonts w:hint="eastAsia" w:ascii="宋体" w:hAnsi="宋体" w:eastAsia="宋体" w:cs="宋体"/>
          <w:kern w:val="2"/>
          <w:sz w:val="21"/>
          <w:szCs w:val="21"/>
          <w:shd w:val="clear" w:fill="FFFFFF"/>
          <w:lang w:val="en-US" w:eastAsia="zh-CN" w:bidi="ar"/>
        </w:rPr>
        <w:t>为保障重庆三峡银行西永数据中心暖通空调系统的安全稳定运行。</w:t>
      </w:r>
      <w:r>
        <w:rPr>
          <w:rFonts w:hint="eastAsia" w:ascii="宋体" w:hAnsi="宋体" w:eastAsia="宋体" w:cs="宋体"/>
          <w:kern w:val="2"/>
          <w:sz w:val="21"/>
          <w:szCs w:val="21"/>
          <w:lang w:val="en-US" w:eastAsia="zh-CN" w:bidi="ar"/>
        </w:rPr>
        <w:t>现对</w:t>
      </w:r>
      <w:r>
        <w:rPr>
          <w:rFonts w:hint="eastAsia" w:ascii="宋体" w:hAnsi="宋体" w:eastAsia="宋体" w:cs="宋体"/>
          <w:kern w:val="2"/>
          <w:sz w:val="21"/>
          <w:szCs w:val="21"/>
          <w:u w:val="single"/>
          <w:lang w:val="en-US" w:eastAsia="zh-CN" w:bidi="ar"/>
        </w:rPr>
        <w:t>重庆三峡银行</w:t>
      </w:r>
      <w:r>
        <w:rPr>
          <w:rFonts w:hint="default" w:ascii="Times New Roman" w:hAnsi="Times New Roman" w:eastAsia="宋体" w:cs="Times New Roman"/>
          <w:kern w:val="2"/>
          <w:sz w:val="21"/>
          <w:szCs w:val="21"/>
          <w:u w:val="single"/>
          <w:lang w:val="en-US" w:eastAsia="zh-CN" w:bidi="ar"/>
        </w:rPr>
        <w:t>2026-2027</w:t>
      </w:r>
      <w:r>
        <w:rPr>
          <w:rFonts w:hint="eastAsia" w:ascii="宋体" w:hAnsi="宋体" w:eastAsia="宋体" w:cs="宋体"/>
          <w:kern w:val="2"/>
          <w:sz w:val="21"/>
          <w:szCs w:val="21"/>
          <w:u w:val="single"/>
          <w:lang w:val="en-US" w:eastAsia="zh-CN" w:bidi="ar"/>
        </w:rPr>
        <w:t>年度</w:t>
      </w:r>
      <w:r>
        <w:rPr>
          <w:rFonts w:hint="eastAsia" w:ascii="宋体" w:hAnsi="宋体" w:eastAsia="宋体" w:cs="宋体"/>
          <w:kern w:val="2"/>
          <w:sz w:val="21"/>
          <w:szCs w:val="21"/>
          <w:u w:val="single"/>
          <w:shd w:val="clear" w:fill="FFFFFF"/>
          <w:lang w:val="en-US" w:eastAsia="zh-CN" w:bidi="ar"/>
        </w:rPr>
        <w:t>西永数据中心暖通空调系统维保</w:t>
      </w:r>
      <w:r>
        <w:rPr>
          <w:rFonts w:hint="eastAsia" w:ascii="宋体" w:hAnsi="宋体" w:eastAsia="宋体" w:cs="宋体"/>
          <w:kern w:val="2"/>
          <w:sz w:val="21"/>
          <w:szCs w:val="21"/>
          <w:lang w:val="en-US" w:eastAsia="zh-CN" w:bidi="ar"/>
        </w:rPr>
        <w:t>进行公开询比，特邀请有意向的潜在响应人参与响应。</w:t>
      </w:r>
    </w:p>
    <w:p w14:paraId="6E2249C3">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1. </w:t>
      </w:r>
      <w:r>
        <w:rPr>
          <w:rFonts w:hint="eastAsia" w:ascii="宋体" w:hAnsi="宋体" w:eastAsia="宋体" w:cs="宋体"/>
          <w:b/>
          <w:bCs/>
          <w:kern w:val="2"/>
          <w:sz w:val="21"/>
          <w:szCs w:val="21"/>
        </w:rPr>
        <w:t>询比项目内容</w:t>
      </w:r>
    </w:p>
    <w:p w14:paraId="26D9D11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1.1 </w:t>
      </w:r>
      <w:r>
        <w:rPr>
          <w:rFonts w:hint="eastAsia" w:ascii="宋体" w:hAnsi="宋体" w:eastAsia="宋体" w:cs="宋体"/>
          <w:kern w:val="2"/>
          <w:sz w:val="21"/>
          <w:szCs w:val="21"/>
          <w:lang w:val="en-US" w:eastAsia="zh-CN" w:bidi="ar"/>
        </w:rPr>
        <w:t>项目名称：重庆三峡银行</w:t>
      </w:r>
      <w:r>
        <w:rPr>
          <w:rFonts w:hint="default" w:ascii="Times New Roman" w:hAnsi="Times New Roman" w:eastAsia="宋体" w:cs="Times New Roman"/>
          <w:kern w:val="2"/>
          <w:sz w:val="21"/>
          <w:szCs w:val="21"/>
          <w:lang w:val="en-US" w:eastAsia="zh-CN" w:bidi="ar"/>
        </w:rPr>
        <w:t>2026-2027</w:t>
      </w:r>
      <w:r>
        <w:rPr>
          <w:rFonts w:hint="eastAsia" w:ascii="宋体" w:hAnsi="宋体" w:eastAsia="宋体" w:cs="宋体"/>
          <w:kern w:val="2"/>
          <w:sz w:val="21"/>
          <w:szCs w:val="21"/>
          <w:lang w:val="en-US" w:eastAsia="zh-CN" w:bidi="ar"/>
        </w:rPr>
        <w:t>年度西永数据中心暖通空调系统维保</w:t>
      </w:r>
    </w:p>
    <w:p w14:paraId="10A70F99">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1.2 </w:t>
      </w:r>
      <w:r>
        <w:rPr>
          <w:rFonts w:hint="eastAsia" w:ascii="宋体" w:hAnsi="宋体" w:eastAsia="宋体" w:cs="宋体"/>
          <w:kern w:val="2"/>
          <w:sz w:val="21"/>
          <w:szCs w:val="21"/>
          <w:lang w:val="en-US" w:eastAsia="zh-CN" w:bidi="ar"/>
        </w:rPr>
        <w:t>采购人：重庆三峡银行股份有限公司。</w:t>
      </w:r>
    </w:p>
    <w:p w14:paraId="683123A2">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1.3 </w:t>
      </w:r>
      <w:r>
        <w:rPr>
          <w:rFonts w:hint="eastAsia" w:ascii="宋体" w:hAnsi="宋体" w:eastAsia="宋体" w:cs="宋体"/>
          <w:kern w:val="2"/>
          <w:sz w:val="21"/>
          <w:szCs w:val="21"/>
          <w:lang w:val="en-US" w:eastAsia="zh-CN" w:bidi="ar"/>
        </w:rPr>
        <w:t>询比范围：提供西永数据中心暖通空调系统设备设施（冷水机组、</w:t>
      </w:r>
      <w:r>
        <w:rPr>
          <w:rFonts w:hint="default" w:ascii="Times New Roman" w:hAnsi="Times New Roman" w:eastAsia="宋体" w:cs="Times New Roman"/>
          <w:kern w:val="2"/>
          <w:sz w:val="21"/>
          <w:szCs w:val="21"/>
          <w:lang w:val="en-US" w:eastAsia="zh-CN" w:bidi="ar"/>
        </w:rPr>
        <w:t>BA</w:t>
      </w:r>
      <w:r>
        <w:rPr>
          <w:rFonts w:hint="eastAsia" w:ascii="宋体" w:hAnsi="宋体" w:eastAsia="宋体" w:cs="宋体"/>
          <w:kern w:val="2"/>
          <w:sz w:val="21"/>
          <w:szCs w:val="21"/>
          <w:lang w:val="en-US" w:eastAsia="zh-CN" w:bidi="ar"/>
        </w:rPr>
        <w:t>监控系统除外，包含总行机房</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台风冷空调）在指定时间期限内的维保质保服务，包含定期巡检、定期维护、特种设备检测、故障维修、暖通空调相关房间温湿度解决、软件优化升级、应急服务、技术支持、配合其他单位调试、设备和零配件提供及更换、耗材供应、文档资料等，且包含上述服务相关的材料及人工等所有费用。</w:t>
      </w:r>
    </w:p>
    <w:p w14:paraId="23776567">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1.4 </w:t>
      </w:r>
      <w:r>
        <w:rPr>
          <w:rFonts w:hint="eastAsia" w:ascii="宋体" w:hAnsi="宋体" w:eastAsia="宋体" w:cs="宋体"/>
          <w:kern w:val="2"/>
          <w:sz w:val="21"/>
          <w:szCs w:val="21"/>
          <w:lang w:val="en-US" w:eastAsia="zh-CN" w:bidi="ar"/>
        </w:rPr>
        <w:t>响应报价</w:t>
      </w:r>
    </w:p>
    <w:p w14:paraId="65B45468">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最高限价：</w:t>
      </w:r>
      <w:r>
        <w:rPr>
          <w:rFonts w:hint="default" w:ascii="Times New Roman" w:hAnsi="Times New Roman" w:eastAsia="宋体" w:cs="Times New Roman"/>
          <w:kern w:val="2"/>
          <w:sz w:val="21"/>
          <w:szCs w:val="21"/>
          <w:lang w:val="en-US" w:eastAsia="zh-CN" w:bidi="ar"/>
        </w:rPr>
        <w:t>72.5</w:t>
      </w:r>
      <w:r>
        <w:rPr>
          <w:rFonts w:hint="eastAsia" w:ascii="宋体" w:hAnsi="宋体" w:eastAsia="宋体" w:cs="宋体"/>
          <w:kern w:val="2"/>
          <w:sz w:val="21"/>
          <w:szCs w:val="21"/>
          <w:lang w:val="en-US" w:eastAsia="zh-CN" w:bidi="ar"/>
        </w:rPr>
        <w:t>万元（含税）</w:t>
      </w:r>
    </w:p>
    <w:p w14:paraId="2E57CAA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报价方式及要求：详见第五章</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项目要求</w:t>
      </w:r>
    </w:p>
    <w:p w14:paraId="307F4570">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1.5 </w:t>
      </w:r>
      <w:r>
        <w:rPr>
          <w:rFonts w:hint="eastAsia" w:ascii="宋体" w:hAnsi="宋体" w:eastAsia="宋体" w:cs="宋体"/>
          <w:kern w:val="2"/>
          <w:sz w:val="21"/>
          <w:szCs w:val="21"/>
          <w:lang w:val="en-US" w:eastAsia="zh-CN" w:bidi="ar"/>
        </w:rPr>
        <w:t>成交供应商数量：</w:t>
      </w:r>
      <w:r>
        <w:rPr>
          <w:rFonts w:hint="default" w:ascii="Times New Roman" w:hAnsi="Times New Roman" w:eastAsia="宋体" w:cs="Times New Roman"/>
          <w:kern w:val="2"/>
          <w:sz w:val="21"/>
          <w:szCs w:val="21"/>
          <w:lang w:val="en-US" w:eastAsia="zh-CN" w:bidi="ar"/>
        </w:rPr>
        <w:t>1</w:t>
      </w:r>
    </w:p>
    <w:p w14:paraId="41F4104F">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1.6 </w:t>
      </w:r>
      <w:r>
        <w:rPr>
          <w:rFonts w:hint="eastAsia" w:ascii="宋体" w:hAnsi="宋体" w:eastAsia="宋体" w:cs="宋体"/>
          <w:kern w:val="2"/>
          <w:sz w:val="21"/>
          <w:szCs w:val="21"/>
          <w:lang w:val="en-US" w:eastAsia="zh-CN" w:bidi="ar"/>
        </w:rPr>
        <w:t>其他：</w:t>
      </w:r>
      <w:r>
        <w:rPr>
          <w:rFonts w:hint="default" w:ascii="Times New Roman" w:hAnsi="Times New Roman" w:eastAsia="宋体" w:cs="Times New Roman"/>
          <w:kern w:val="2"/>
          <w:sz w:val="21"/>
          <w:szCs w:val="21"/>
          <w:lang w:val="en-US" w:eastAsia="zh-CN" w:bidi="ar"/>
        </w:rPr>
        <w:t>/</w:t>
      </w:r>
    </w:p>
    <w:p w14:paraId="2C5AF039">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2. </w:t>
      </w:r>
      <w:r>
        <w:rPr>
          <w:rFonts w:hint="eastAsia" w:ascii="宋体" w:hAnsi="宋体" w:eastAsia="宋体" w:cs="宋体"/>
          <w:b/>
          <w:bCs/>
          <w:kern w:val="2"/>
          <w:sz w:val="21"/>
          <w:szCs w:val="21"/>
        </w:rPr>
        <w:t>响应人资格要求</w:t>
      </w:r>
    </w:p>
    <w:p w14:paraId="6002FB1A">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2.1 </w:t>
      </w:r>
      <w:r>
        <w:rPr>
          <w:rFonts w:hint="eastAsia" w:ascii="宋体" w:hAnsi="宋体" w:eastAsia="宋体" w:cs="宋体"/>
          <w:kern w:val="2"/>
          <w:sz w:val="21"/>
          <w:szCs w:val="21"/>
          <w:lang w:val="en-US" w:eastAsia="zh-CN" w:bidi="ar"/>
        </w:rPr>
        <w:t>具有独立承担民事责任的能力</w:t>
      </w:r>
    </w:p>
    <w:p w14:paraId="06235029">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【提供：</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、响应人有效营业执照（副本）或事业单位法人证书（副本）或个体工商户营业执照或有效的自然人身份证明；</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、响应人法定代表人身份证明（响应人为自然人的，无需提供）；</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、法定代表人授权委托书（如有，适用于有委托代理人的情况时采用）。】</w:t>
      </w:r>
    </w:p>
    <w:p w14:paraId="78341D25">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2.2 </w:t>
      </w:r>
      <w:r>
        <w:rPr>
          <w:rFonts w:hint="eastAsia" w:ascii="宋体" w:hAnsi="宋体" w:eastAsia="宋体" w:cs="宋体"/>
          <w:kern w:val="2"/>
          <w:sz w:val="21"/>
          <w:szCs w:val="21"/>
          <w:lang w:val="en-US" w:eastAsia="zh-CN" w:bidi="ar"/>
        </w:rPr>
        <w:t>响应人应具有良好的商业信誉和健全的财务会计制度，具有履行合同所必需的设备和专业技术能力，有依法缴纳税收和社会保障金的良好记录，三年内在经营活动中没有重大违法记录【提供书面声明】；</w:t>
      </w:r>
    </w:p>
    <w:p w14:paraId="7F1D6113">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2.3 </w:t>
      </w:r>
      <w:r>
        <w:rPr>
          <w:rFonts w:hint="eastAsia" w:ascii="宋体" w:hAnsi="宋体" w:eastAsia="宋体" w:cs="宋体"/>
          <w:kern w:val="2"/>
          <w:sz w:val="21"/>
          <w:szCs w:val="21"/>
          <w:lang w:val="en-US" w:eastAsia="zh-CN" w:bidi="ar"/>
        </w:rPr>
        <w:t>本项目不允许任何形式的转包【提供书面声明】。</w:t>
      </w:r>
    </w:p>
    <w:p w14:paraId="2F823A8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2.4 </w:t>
      </w:r>
      <w:r>
        <w:rPr>
          <w:rFonts w:hint="eastAsia" w:ascii="宋体" w:hAnsi="宋体" w:eastAsia="宋体" w:cs="宋体"/>
          <w:kern w:val="2"/>
          <w:sz w:val="21"/>
          <w:szCs w:val="21"/>
          <w:lang w:val="en-US" w:eastAsia="zh-CN" w:bidi="ar"/>
        </w:rPr>
        <w:t>法人及法定代表人没有被人民法院列为失信被执行人名单（中国执行信息公开网网址：</w:t>
      </w:r>
      <w:r>
        <w:rPr>
          <w:rFonts w:hint="default" w:ascii="Times New Roman" w:hAnsi="Times New Roman" w:eastAsia="宋体" w:cs="Times New Roman"/>
          <w:kern w:val="2"/>
          <w:sz w:val="21"/>
          <w:szCs w:val="21"/>
          <w:lang w:val="en-US" w:eastAsia="zh-CN" w:bidi="ar"/>
        </w:rPr>
        <w:t>https://zxgk.court.gov.cn/</w:t>
      </w:r>
      <w:r>
        <w:rPr>
          <w:rFonts w:hint="eastAsia" w:ascii="宋体" w:hAnsi="宋体" w:eastAsia="宋体" w:cs="宋体"/>
          <w:kern w:val="2"/>
          <w:sz w:val="21"/>
          <w:szCs w:val="21"/>
          <w:lang w:val="en-US" w:eastAsia="zh-CN" w:bidi="ar"/>
        </w:rPr>
        <w:t>）【提供：</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、法人在中国执行信息公开网的查询截图并加盖单位鲜章；</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、法定代表人在中国执行信息公开网的查询截图并加盖单位鲜章】；</w:t>
      </w:r>
    </w:p>
    <w:p w14:paraId="66C5AC0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2.5 </w:t>
      </w:r>
      <w:r>
        <w:rPr>
          <w:rFonts w:hint="eastAsia" w:ascii="宋体" w:hAnsi="宋体" w:eastAsia="宋体" w:cs="宋体"/>
          <w:kern w:val="2"/>
          <w:sz w:val="21"/>
          <w:szCs w:val="21"/>
          <w:lang w:val="en-US" w:eastAsia="zh-CN" w:bidi="ar"/>
        </w:rPr>
        <w:t>本次询比不接受联合体响应。</w:t>
      </w:r>
    </w:p>
    <w:p w14:paraId="53955CE5">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2.6 2022</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日至响应截止之日止（以合同签订时间为准），具有至少</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个合同金额不低于</w:t>
      </w:r>
      <w:r>
        <w:rPr>
          <w:rFonts w:hint="default" w:ascii="Times New Roman" w:hAnsi="Times New Roman" w:eastAsia="宋体" w:cs="Times New Roman"/>
          <w:kern w:val="2"/>
          <w:sz w:val="21"/>
          <w:szCs w:val="21"/>
          <w:lang w:val="en-US" w:eastAsia="zh-CN" w:bidi="ar"/>
        </w:rPr>
        <w:t>50</w:t>
      </w:r>
      <w:r>
        <w:rPr>
          <w:rFonts w:hint="eastAsia" w:ascii="宋体" w:hAnsi="宋体" w:eastAsia="宋体" w:cs="宋体"/>
          <w:kern w:val="2"/>
          <w:sz w:val="21"/>
          <w:szCs w:val="21"/>
          <w:lang w:val="en-US" w:eastAsia="zh-CN" w:bidi="ar"/>
        </w:rPr>
        <w:t>万元的金融业数据中心基础设施相关维保业绩（暖通空调系统应为水冷系统，维护内容中至少包含冷水机组、精密空调、管网（含阀门）、水泵、冷却塔中的任意</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项），否则取消响应资质。【提供：</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、合同关键页（合同关键页包含：甲乙双方名称、双方印章、项目名称、合同签订时间、服务范围。）；</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、项目简介（格式自拟）；</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、合同对应的发票之一（网上税务系统查询（</w:t>
      </w:r>
      <w:r>
        <w:rPr>
          <w:rFonts w:hint="default" w:ascii="Times New Roman" w:hAnsi="Times New Roman" w:eastAsia="宋体" w:cs="Cambria Math"/>
          <w:kern w:val="2"/>
          <w:sz w:val="21"/>
          <w:szCs w:val="21"/>
          <w:lang w:val="en-US" w:eastAsia="zh-CN" w:bidi="ar"/>
        </w:rPr>
        <w:t>https://inv-veri.chinatax.gov.cn/</w:t>
      </w:r>
      <w:r>
        <w:rPr>
          <w:rFonts w:hint="eastAsia" w:ascii="宋体" w:hAnsi="宋体" w:eastAsia="宋体" w:cs="宋体"/>
          <w:kern w:val="2"/>
          <w:sz w:val="21"/>
          <w:szCs w:val="21"/>
          <w:lang w:val="en-US" w:eastAsia="zh-CN" w:bidi="ar"/>
        </w:rPr>
        <w:t>）该发票的截图，发票开具日期须晚于合同签订日期、发票购买方须与合同买方一致、发票销售方须与合同卖方（响应人）一致）。】</w:t>
      </w:r>
    </w:p>
    <w:p w14:paraId="64DD501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2.7 </w:t>
      </w:r>
      <w:r>
        <w:rPr>
          <w:rFonts w:hint="eastAsia" w:ascii="宋体" w:hAnsi="宋体" w:eastAsia="宋体" w:cs="宋体"/>
          <w:kern w:val="2"/>
          <w:sz w:val="21"/>
          <w:szCs w:val="21"/>
          <w:lang w:val="en-US" w:eastAsia="zh-CN" w:bidi="ar"/>
        </w:rPr>
        <w:t>响应人应具备行政主管部门颁发的有效的建筑机电安装工程专业承包三级（含）或机电工程施工总承包三级（含）以上资质【提供资质证明材料】；</w:t>
      </w:r>
    </w:p>
    <w:p w14:paraId="34740C27">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2.8 </w:t>
      </w:r>
      <w:r>
        <w:rPr>
          <w:rFonts w:hint="eastAsia" w:ascii="宋体" w:hAnsi="宋体" w:eastAsia="宋体" w:cs="宋体"/>
          <w:kern w:val="2"/>
          <w:sz w:val="21"/>
          <w:szCs w:val="21"/>
          <w:lang w:val="en-US" w:eastAsia="zh-CN" w:bidi="ar"/>
        </w:rPr>
        <w:t>响应人应具备行政主管部门颁发的有效的安全生产许可证【提供安全生产许可证】；</w:t>
      </w:r>
    </w:p>
    <w:p w14:paraId="0377CD4A">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2.9 </w:t>
      </w:r>
      <w:r>
        <w:rPr>
          <w:rFonts w:hint="eastAsia" w:ascii="宋体" w:hAnsi="宋体" w:eastAsia="宋体" w:cs="宋体"/>
          <w:kern w:val="2"/>
          <w:sz w:val="21"/>
          <w:szCs w:val="21"/>
          <w:lang w:val="en-US" w:eastAsia="zh-CN" w:bidi="ar"/>
        </w:rPr>
        <w:t>响应人须提供精密空调原厂（世图兹空调技术服务（上海）有限公司）针对本项目的原厂授权及维保承诺函【提供原厂授权及维保承诺函】；</w:t>
      </w:r>
    </w:p>
    <w:p w14:paraId="39CB3A20">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注</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以上证明文件若采购人存疑，响应人需提供原件备查，响应文件中须附相关证明文件复印件并逐页加盖公章。</w:t>
      </w:r>
    </w:p>
    <w:p w14:paraId="2B54434B">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2.10</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本次询比不接受曾因响应人的违约行为与采购人发生过纠纷的响应人；不接受与采购人合作过程中不遵守询比文件及合同约定的响应人；不接受曾在采购人项目中存在弄虚作假行为的响应人。若响应人存在上述情况，采购人将有权随时取消其响应资格或成交资格（若签署合同后发现的则有权解除合同），没收其响应保证金，并追究其相应的法律责任。截至挂网日，存在上述情况的公司已纳入下列清单。</w:t>
      </w:r>
    </w:p>
    <w:tbl>
      <w:tblPr>
        <w:tblStyle w:val="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526"/>
        <w:gridCol w:w="4933"/>
      </w:tblGrid>
      <w:tr w14:paraId="257A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Borders>
              <w:top w:val="single" w:color="auto" w:sz="4" w:space="0"/>
              <w:left w:val="single" w:color="auto" w:sz="4" w:space="0"/>
              <w:bottom w:val="single" w:color="auto" w:sz="4" w:space="0"/>
              <w:right w:val="single" w:color="auto" w:sz="4" w:space="0"/>
            </w:tcBorders>
            <w:shd w:val="clear"/>
            <w:vAlign w:val="top"/>
          </w:tcPr>
          <w:p w14:paraId="3D2718FE">
            <w:pPr>
              <w:pStyle w:val="7"/>
              <w:keepNext w:val="0"/>
              <w:keepLines w:val="0"/>
              <w:widowControl w:val="0"/>
              <w:suppressLineNumbers w:val="0"/>
              <w:spacing w:before="0" w:beforeAutospacing="0" w:after="0" w:afterAutospacing="0"/>
              <w:ind w:left="0" w:right="0"/>
              <w:rPr>
                <w:rFonts w:hint="default" w:ascii="Times New Roman" w:hAnsi="Times New Roman" w:eastAsia="宋体" w:cs="Cambria Math"/>
                <w:b/>
                <w:bCs/>
                <w:kern w:val="2"/>
                <w:sz w:val="21"/>
                <w:szCs w:val="21"/>
                <w:bdr w:val="none" w:color="auto" w:sz="0" w:space="0"/>
              </w:rPr>
            </w:pPr>
            <w:r>
              <w:rPr>
                <w:rFonts w:hint="eastAsia" w:ascii="宋体" w:hAnsi="宋体" w:eastAsia="宋体" w:cs="宋体"/>
                <w:b/>
                <w:bCs/>
                <w:kern w:val="2"/>
                <w:sz w:val="21"/>
                <w:szCs w:val="21"/>
                <w:bdr w:val="none" w:color="auto" w:sz="0" w:space="0"/>
              </w:rPr>
              <w:t>序号</w:t>
            </w:r>
          </w:p>
        </w:tc>
        <w:tc>
          <w:tcPr>
            <w:tcW w:w="4933" w:type="dxa"/>
            <w:tcBorders>
              <w:top w:val="single" w:color="auto" w:sz="4" w:space="0"/>
              <w:left w:val="single" w:color="auto" w:sz="4" w:space="0"/>
              <w:bottom w:val="single" w:color="auto" w:sz="4" w:space="0"/>
              <w:right w:val="single" w:color="auto" w:sz="4" w:space="0"/>
            </w:tcBorders>
            <w:shd w:val="clear"/>
            <w:vAlign w:val="top"/>
          </w:tcPr>
          <w:p w14:paraId="203B855F">
            <w:pPr>
              <w:pStyle w:val="7"/>
              <w:keepNext w:val="0"/>
              <w:keepLines w:val="0"/>
              <w:widowControl w:val="0"/>
              <w:suppressLineNumbers w:val="0"/>
              <w:spacing w:before="0" w:beforeAutospacing="0" w:after="0" w:afterAutospacing="0"/>
              <w:ind w:left="0" w:right="0"/>
              <w:rPr>
                <w:rFonts w:hint="default" w:ascii="Times New Roman" w:hAnsi="Times New Roman" w:eastAsia="宋体" w:cs="Cambria Math"/>
                <w:b/>
                <w:bCs/>
                <w:kern w:val="2"/>
                <w:sz w:val="21"/>
                <w:szCs w:val="21"/>
                <w:bdr w:val="none" w:color="auto" w:sz="0" w:space="0"/>
              </w:rPr>
            </w:pPr>
            <w:r>
              <w:rPr>
                <w:rFonts w:hint="eastAsia" w:ascii="宋体" w:hAnsi="宋体" w:eastAsia="宋体" w:cs="宋体"/>
                <w:b/>
                <w:bCs/>
                <w:kern w:val="2"/>
                <w:sz w:val="21"/>
                <w:szCs w:val="21"/>
                <w:bdr w:val="none" w:color="auto" w:sz="0" w:space="0"/>
              </w:rPr>
              <w:t>公司</w:t>
            </w:r>
          </w:p>
        </w:tc>
      </w:tr>
      <w:tr w14:paraId="2AFD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0" w:hRule="atLeast"/>
        </w:trPr>
        <w:tc>
          <w:tcPr>
            <w:tcW w:w="1526" w:type="dxa"/>
            <w:tcBorders>
              <w:top w:val="single" w:color="auto" w:sz="4" w:space="0"/>
              <w:left w:val="single" w:color="auto" w:sz="4" w:space="0"/>
              <w:bottom w:val="single" w:color="auto" w:sz="4" w:space="0"/>
              <w:right w:val="single" w:color="auto" w:sz="4" w:space="0"/>
            </w:tcBorders>
            <w:shd w:val="clear"/>
            <w:vAlign w:val="top"/>
          </w:tcPr>
          <w:p w14:paraId="28E05492">
            <w:pPr>
              <w:pStyle w:val="6"/>
              <w:keepNext w:val="0"/>
              <w:keepLines w:val="0"/>
              <w:widowControl w:val="0"/>
              <w:suppressLineNumbers w:val="0"/>
              <w:spacing w:before="0" w:beforeAutospacing="0" w:after="0" w:afterAutospacing="0"/>
              <w:ind w:left="0" w:right="0"/>
              <w:rPr>
                <w:rFonts w:hint="default" w:ascii="Times New Roman" w:hAnsi="Times New Roman" w:eastAsia="宋体" w:cs="Cambria Math"/>
                <w:bCs/>
                <w:kern w:val="2"/>
                <w:sz w:val="21"/>
                <w:szCs w:val="21"/>
                <w:bdr w:val="none" w:color="auto" w:sz="0" w:space="0"/>
              </w:rPr>
            </w:pPr>
            <w:r>
              <w:rPr>
                <w:rFonts w:hint="default" w:ascii="Times New Roman" w:hAnsi="Times New Roman" w:eastAsia="宋体" w:cs="Times New Roman"/>
                <w:bCs/>
                <w:kern w:val="2"/>
                <w:sz w:val="21"/>
                <w:szCs w:val="21"/>
                <w:bdr w:val="none" w:color="auto" w:sz="0" w:space="0"/>
              </w:rPr>
              <w:t>1</w:t>
            </w:r>
          </w:p>
        </w:tc>
        <w:tc>
          <w:tcPr>
            <w:tcW w:w="4933" w:type="dxa"/>
            <w:tcBorders>
              <w:top w:val="single" w:color="auto" w:sz="4" w:space="0"/>
              <w:left w:val="single" w:color="auto" w:sz="4" w:space="0"/>
              <w:bottom w:val="single" w:color="auto" w:sz="4" w:space="0"/>
              <w:right w:val="single" w:color="auto" w:sz="4" w:space="0"/>
            </w:tcBorders>
            <w:shd w:val="clear"/>
            <w:vAlign w:val="top"/>
          </w:tcPr>
          <w:p w14:paraId="332615A5">
            <w:pPr>
              <w:pStyle w:val="6"/>
              <w:keepNext w:val="0"/>
              <w:keepLines w:val="0"/>
              <w:widowControl w:val="0"/>
              <w:suppressLineNumbers w:val="0"/>
              <w:spacing w:before="0" w:beforeAutospacing="0" w:after="0" w:afterAutospacing="0"/>
              <w:ind w:left="0" w:right="0"/>
              <w:rPr>
                <w:rFonts w:hint="default" w:ascii="Times New Roman" w:hAnsi="Times New Roman" w:eastAsia="宋体" w:cs="Cambria Math"/>
                <w:bCs/>
                <w:kern w:val="2"/>
                <w:sz w:val="21"/>
                <w:szCs w:val="21"/>
                <w:bdr w:val="none" w:color="auto" w:sz="0" w:space="0"/>
              </w:rPr>
            </w:pPr>
            <w:r>
              <w:rPr>
                <w:rFonts w:hint="eastAsia" w:ascii="宋体" w:hAnsi="宋体" w:eastAsia="宋体" w:cs="宋体"/>
                <w:bCs/>
                <w:kern w:val="2"/>
                <w:sz w:val="21"/>
                <w:szCs w:val="21"/>
                <w:bdr w:val="none" w:color="auto" w:sz="0" w:space="0"/>
              </w:rPr>
              <w:t>依米康软件技术（深圳）有限责任公司</w:t>
            </w:r>
          </w:p>
        </w:tc>
      </w:tr>
    </w:tbl>
    <w:p w14:paraId="2B38C49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注</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以上证明文件若采购人存疑，响应人需提供原件备查，响应文件中须附相关证明文件复印件并逐页加盖公章。</w:t>
      </w:r>
    </w:p>
    <w:p w14:paraId="5B935493">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3. </w:t>
      </w:r>
      <w:r>
        <w:rPr>
          <w:rFonts w:hint="eastAsia" w:ascii="宋体" w:hAnsi="宋体" w:eastAsia="宋体" w:cs="宋体"/>
          <w:b/>
          <w:bCs/>
          <w:kern w:val="2"/>
          <w:sz w:val="21"/>
          <w:szCs w:val="21"/>
        </w:rPr>
        <w:t>询比文件的获取</w:t>
      </w:r>
    </w:p>
    <w:p w14:paraId="660B58DA">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3.1 </w:t>
      </w:r>
      <w:r>
        <w:rPr>
          <w:rFonts w:hint="eastAsia" w:ascii="宋体" w:hAnsi="宋体" w:eastAsia="宋体" w:cs="宋体"/>
          <w:kern w:val="2"/>
          <w:sz w:val="21"/>
          <w:szCs w:val="21"/>
          <w:lang w:val="en-US" w:eastAsia="zh-CN" w:bidi="ar"/>
        </w:rPr>
        <w:t>响应截止时间：</w:t>
      </w:r>
      <w:r>
        <w:rPr>
          <w:rFonts w:hint="default" w:ascii="Times New Roman" w:hAnsi="Times New Roman" w:eastAsia="宋体" w:cs="Times New Roman"/>
          <w:kern w:val="2"/>
          <w:sz w:val="21"/>
          <w:szCs w:val="21"/>
          <w:u w:val="single"/>
          <w:lang w:val="en-US" w:eastAsia="zh-CN" w:bidi="ar"/>
        </w:rPr>
        <w:t>2026</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u w:val="single"/>
          <w:lang w:val="en-US" w:eastAsia="zh-CN" w:bidi="ar"/>
        </w:rPr>
        <w:t>1</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u w:val="single"/>
          <w:lang w:val="en-US" w:eastAsia="zh-CN" w:bidi="ar"/>
        </w:rPr>
        <w:t>6</w:t>
      </w:r>
      <w:r>
        <w:rPr>
          <w:rFonts w:hint="eastAsia" w:ascii="宋体" w:hAnsi="宋体" w:eastAsia="宋体" w:cs="宋体"/>
          <w:kern w:val="2"/>
          <w:sz w:val="21"/>
          <w:szCs w:val="21"/>
          <w:lang w:val="en-US" w:eastAsia="zh-CN" w:bidi="ar"/>
        </w:rPr>
        <w:t>日</w:t>
      </w:r>
      <w:r>
        <w:rPr>
          <w:rFonts w:hint="default" w:ascii="Times New Roman" w:hAnsi="Times New Roman" w:eastAsia="宋体" w:cs="Times New Roman"/>
          <w:kern w:val="2"/>
          <w:sz w:val="21"/>
          <w:szCs w:val="21"/>
          <w:u w:val="single"/>
          <w:lang w:val="en-US" w:eastAsia="zh-CN" w:bidi="ar"/>
        </w:rPr>
        <w:t>9</w:t>
      </w:r>
      <w:r>
        <w:rPr>
          <w:rFonts w:hint="eastAsia" w:ascii="宋体" w:hAnsi="宋体" w:eastAsia="宋体" w:cs="宋体"/>
          <w:kern w:val="2"/>
          <w:sz w:val="21"/>
          <w:szCs w:val="21"/>
          <w:lang w:val="en-US" w:eastAsia="zh-CN" w:bidi="ar"/>
        </w:rPr>
        <w:t>时</w:t>
      </w:r>
      <w:r>
        <w:rPr>
          <w:rFonts w:hint="default" w:ascii="Times New Roman" w:hAnsi="Times New Roman" w:eastAsia="宋体" w:cs="Times New Roman"/>
          <w:kern w:val="2"/>
          <w:sz w:val="21"/>
          <w:szCs w:val="21"/>
          <w:u w:val="single"/>
          <w:lang w:val="en-US" w:eastAsia="zh-CN" w:bidi="ar"/>
        </w:rPr>
        <w:t>30</w:t>
      </w:r>
      <w:r>
        <w:rPr>
          <w:rFonts w:hint="eastAsia" w:ascii="宋体" w:hAnsi="宋体" w:eastAsia="宋体" w:cs="宋体"/>
          <w:kern w:val="2"/>
          <w:sz w:val="21"/>
          <w:szCs w:val="21"/>
          <w:lang w:val="en-US" w:eastAsia="zh-CN" w:bidi="ar"/>
        </w:rPr>
        <w:t>分（北京时间）</w:t>
      </w:r>
    </w:p>
    <w:p w14:paraId="74E33B6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3.2 </w:t>
      </w:r>
      <w:r>
        <w:rPr>
          <w:rFonts w:hint="eastAsia" w:ascii="宋体" w:hAnsi="宋体" w:eastAsia="宋体" w:cs="宋体"/>
          <w:kern w:val="2"/>
          <w:sz w:val="21"/>
          <w:szCs w:val="21"/>
          <w:lang w:val="en-US" w:eastAsia="zh-CN" w:bidi="ar"/>
        </w:rPr>
        <w:t>获取时间和方式：响应截止时间前，在重庆市公共资源交易网（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）下载询比文件。</w:t>
      </w:r>
    </w:p>
    <w:p w14:paraId="295AD4BB">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4. </w:t>
      </w:r>
      <w:r>
        <w:rPr>
          <w:rFonts w:hint="eastAsia" w:ascii="宋体" w:hAnsi="宋体" w:eastAsia="宋体" w:cs="宋体"/>
          <w:b/>
          <w:bCs/>
          <w:kern w:val="2"/>
          <w:sz w:val="21"/>
          <w:szCs w:val="21"/>
        </w:rPr>
        <w:t>提问</w:t>
      </w:r>
    </w:p>
    <w:p w14:paraId="3181473C">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4.1 </w:t>
      </w:r>
      <w:r>
        <w:rPr>
          <w:rFonts w:hint="eastAsia" w:ascii="宋体" w:hAnsi="宋体" w:eastAsia="宋体" w:cs="宋体"/>
          <w:kern w:val="2"/>
          <w:sz w:val="21"/>
          <w:szCs w:val="21"/>
          <w:lang w:val="en-US" w:eastAsia="zh-CN" w:bidi="ar"/>
        </w:rPr>
        <w:t>提问截止时间：</w:t>
      </w:r>
      <w:r>
        <w:rPr>
          <w:rFonts w:hint="default" w:ascii="Times New Roman" w:hAnsi="Times New Roman" w:eastAsia="宋体" w:cs="Times New Roman"/>
          <w:kern w:val="2"/>
          <w:sz w:val="21"/>
          <w:szCs w:val="21"/>
          <w:lang w:val="en-US" w:eastAsia="zh-CN" w:bidi="ar"/>
        </w:rPr>
        <w:t>2025</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25</w:t>
      </w:r>
      <w:r>
        <w:rPr>
          <w:rFonts w:hint="eastAsia" w:ascii="宋体" w:hAnsi="宋体" w:eastAsia="宋体" w:cs="宋体"/>
          <w:kern w:val="2"/>
          <w:sz w:val="21"/>
          <w:szCs w:val="21"/>
          <w:lang w:val="en-US" w:eastAsia="zh-CN" w:bidi="ar"/>
        </w:rPr>
        <w:t>日</w:t>
      </w:r>
      <w:r>
        <w:rPr>
          <w:rFonts w:hint="default" w:ascii="Times New Roman" w:hAnsi="Times New Roman" w:eastAsia="宋体" w:cs="Times New Roman"/>
          <w:kern w:val="2"/>
          <w:sz w:val="21"/>
          <w:szCs w:val="21"/>
          <w:lang w:val="en-US" w:eastAsia="zh-CN" w:bidi="ar"/>
        </w:rPr>
        <w:t>17</w:t>
      </w:r>
      <w:r>
        <w:rPr>
          <w:rFonts w:hint="eastAsia" w:ascii="宋体" w:hAnsi="宋体" w:eastAsia="宋体" w:cs="宋体"/>
          <w:kern w:val="2"/>
          <w:sz w:val="21"/>
          <w:szCs w:val="21"/>
          <w:lang w:val="en-US" w:eastAsia="zh-CN" w:bidi="ar"/>
        </w:rPr>
        <w:t>时</w:t>
      </w:r>
      <w:r>
        <w:rPr>
          <w:rFonts w:hint="default" w:ascii="Times New Roman" w:hAnsi="Times New Roman" w:eastAsia="宋体" w:cs="Times New Roman"/>
          <w:kern w:val="2"/>
          <w:sz w:val="21"/>
          <w:szCs w:val="21"/>
          <w:lang w:val="en-US" w:eastAsia="zh-CN" w:bidi="ar"/>
        </w:rPr>
        <w:t>00</w:t>
      </w:r>
      <w:r>
        <w:rPr>
          <w:rFonts w:hint="eastAsia" w:ascii="宋体" w:hAnsi="宋体" w:eastAsia="宋体" w:cs="宋体"/>
          <w:kern w:val="2"/>
          <w:sz w:val="21"/>
          <w:szCs w:val="21"/>
          <w:lang w:val="en-US" w:eastAsia="zh-CN" w:bidi="ar"/>
        </w:rPr>
        <w:t>分（北京时间）</w:t>
      </w:r>
    </w:p>
    <w:p w14:paraId="6283EAC7">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4.2 </w:t>
      </w:r>
      <w:r>
        <w:rPr>
          <w:rFonts w:hint="eastAsia" w:ascii="宋体" w:hAnsi="宋体" w:eastAsia="宋体" w:cs="宋体"/>
          <w:kern w:val="2"/>
          <w:sz w:val="21"/>
          <w:szCs w:val="21"/>
          <w:lang w:val="en-US" w:eastAsia="zh-CN" w:bidi="ar"/>
        </w:rPr>
        <w:t>响应人在下载询比文件后，应仔细检查询比文件的所有内容，如有残缺或文字表述不清，以及存在错、碰、漏、缺、概念模糊和有可能出现歧义或理解上的偏差的内容等应在提问截止时间前自行在重庆市公共资源交易网（</w:t>
      </w:r>
      <w:r>
        <w:rPr>
          <w:rFonts w:hint="default" w:ascii="Times New Roman" w:hAnsi="Times New Roman" w:eastAsia="宋体" w:cs="Times New Roman"/>
          <w:kern w:val="2"/>
          <w:sz w:val="21"/>
          <w:szCs w:val="21"/>
          <w:lang w:val="en-US" w:eastAsia="zh-CN" w:bidi="ar"/>
        </w:rPr>
        <w:t>http://www.cqggzy.com/</w:t>
      </w:r>
      <w:r>
        <w:rPr>
          <w:rFonts w:hint="eastAsia" w:ascii="宋体" w:hAnsi="宋体" w:eastAsia="宋体" w:cs="宋体"/>
          <w:kern w:val="2"/>
          <w:sz w:val="21"/>
          <w:szCs w:val="21"/>
          <w:lang w:val="en-US" w:eastAsia="zh-CN" w:bidi="ar"/>
        </w:rPr>
        <w:t>）询比公告的“我要提问”栏目匿名提出。响应人未提出，则视为响应人已全面确认询比文件内容。采购人在认为有必要对响应人所提问题进行回复或对询比文件进行补充修改时，将在《重庆市公共资源交易网（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）》“答疑补遗”栏上发布澄清修改文件。不论响应人下载与否，都视为响应人收到有关本项目在《重庆市公共资源交易网（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）》上发布的所有资料并全部知晓有关询比过程和事宜，由此产生的一切后果由响应人自负。</w:t>
      </w:r>
    </w:p>
    <w:p w14:paraId="2668F6F7">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5. </w:t>
      </w:r>
      <w:r>
        <w:rPr>
          <w:rFonts w:hint="eastAsia" w:ascii="宋体" w:hAnsi="宋体" w:eastAsia="宋体" w:cs="宋体"/>
          <w:b/>
          <w:bCs/>
          <w:kern w:val="2"/>
          <w:sz w:val="21"/>
          <w:szCs w:val="21"/>
        </w:rPr>
        <w:t>响应保证金的递交</w:t>
      </w:r>
    </w:p>
    <w:p w14:paraId="43EA160C">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5.1 </w:t>
      </w:r>
      <w:r>
        <w:rPr>
          <w:rFonts w:hint="eastAsia" w:ascii="宋体" w:hAnsi="宋体" w:eastAsia="宋体" w:cs="宋体"/>
          <w:kern w:val="2"/>
          <w:sz w:val="21"/>
          <w:szCs w:val="21"/>
          <w:lang w:val="en-US" w:eastAsia="zh-CN" w:bidi="ar"/>
        </w:rPr>
        <w:t>响应保证金的金额：</w:t>
      </w:r>
      <w:r>
        <w:rPr>
          <w:rFonts w:hint="default" w:ascii="Times New Roman" w:hAnsi="Times New Roman" w:eastAsia="宋体" w:cs="Times New Roman"/>
          <w:b/>
          <w:bCs/>
          <w:kern w:val="2"/>
          <w:sz w:val="21"/>
          <w:szCs w:val="21"/>
          <w:u w:val="single"/>
          <w:lang w:val="en-US" w:eastAsia="zh-CN" w:bidi="ar"/>
        </w:rPr>
        <w:t>14000</w:t>
      </w:r>
      <w:r>
        <w:rPr>
          <w:rFonts w:hint="eastAsia" w:ascii="宋体" w:hAnsi="宋体" w:eastAsia="宋体" w:cs="宋体"/>
          <w:b/>
          <w:bCs/>
          <w:kern w:val="2"/>
          <w:sz w:val="21"/>
          <w:szCs w:val="21"/>
          <w:u w:val="single"/>
          <w:lang w:val="en-US" w:eastAsia="zh-CN" w:bidi="ar"/>
        </w:rPr>
        <w:t>元整（大写：壹万肆仟元整）</w:t>
      </w:r>
      <w:r>
        <w:rPr>
          <w:rFonts w:hint="eastAsia" w:ascii="宋体" w:hAnsi="宋体" w:eastAsia="宋体" w:cs="宋体"/>
          <w:kern w:val="2"/>
          <w:sz w:val="21"/>
          <w:szCs w:val="21"/>
          <w:lang w:val="en-US" w:eastAsia="zh-CN" w:bidi="ar"/>
        </w:rPr>
        <w:t>。</w:t>
      </w:r>
    </w:p>
    <w:p w14:paraId="1054314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5.2 </w:t>
      </w:r>
      <w:r>
        <w:rPr>
          <w:rFonts w:hint="eastAsia" w:ascii="宋体" w:hAnsi="宋体" w:eastAsia="宋体" w:cs="宋体"/>
          <w:kern w:val="2"/>
          <w:sz w:val="21"/>
          <w:szCs w:val="21"/>
          <w:lang w:val="en-US" w:eastAsia="zh-CN" w:bidi="ar"/>
        </w:rPr>
        <w:t>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67385FAB">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5.3 </w:t>
      </w:r>
      <w:r>
        <w:rPr>
          <w:rFonts w:hint="eastAsia" w:ascii="宋体" w:hAnsi="宋体" w:eastAsia="宋体" w:cs="宋体"/>
          <w:kern w:val="2"/>
          <w:sz w:val="21"/>
          <w:szCs w:val="21"/>
          <w:lang w:val="en-US" w:eastAsia="zh-CN" w:bidi="ar"/>
        </w:rPr>
        <w:t>响应保证金递交的截止时间同响应截止时间。响应保证金以重庆市公共资源交易中心询比现场获取的保证金交纳情况为准。</w:t>
      </w:r>
    </w:p>
    <w:p w14:paraId="74047FD6">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5.</w:t>
      </w:r>
      <w:r>
        <w:rPr>
          <w:rFonts w:hint="default" w:ascii="Times New Roman" w:hAnsi="Times New Roman" w:eastAsia="宋体" w:cs="Cambria Math"/>
          <w:kern w:val="2"/>
          <w:sz w:val="21"/>
          <w:szCs w:val="21"/>
          <w:lang w:val="en-US" w:eastAsia="zh-CN" w:bidi="ar"/>
        </w:rPr>
        <w:t>4</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响应保证金专用账户如下：</w:t>
      </w:r>
    </w:p>
    <w:p w14:paraId="34341682">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详见重庆市公共资源交易网（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）对应本项目询比公告信息栏中的保证金信息。</w:t>
      </w:r>
    </w:p>
    <w:p w14:paraId="5B59B1C7">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6. </w:t>
      </w:r>
      <w:r>
        <w:rPr>
          <w:rFonts w:hint="eastAsia" w:ascii="宋体" w:hAnsi="宋体" w:eastAsia="宋体" w:cs="宋体"/>
          <w:b/>
          <w:bCs/>
          <w:kern w:val="2"/>
          <w:sz w:val="21"/>
          <w:szCs w:val="21"/>
        </w:rPr>
        <w:t>市场主体信息登记</w:t>
      </w:r>
    </w:p>
    <w:p w14:paraId="245EB815">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根据重庆市公共资源交易中心《关于开展公共资源交易市场主体信息登记工作的公告》的要求，响应人在响应前需在重庆市公共资源交易网（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）办理市场主体信息登记手续。</w:t>
      </w:r>
    </w:p>
    <w:p w14:paraId="14C7A71F">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7. </w:t>
      </w:r>
      <w:r>
        <w:rPr>
          <w:rFonts w:hint="eastAsia" w:ascii="宋体" w:hAnsi="宋体" w:eastAsia="宋体" w:cs="宋体"/>
          <w:b/>
          <w:bCs/>
          <w:kern w:val="2"/>
          <w:sz w:val="21"/>
          <w:szCs w:val="21"/>
        </w:rPr>
        <w:t>响应文件的递交</w:t>
      </w:r>
    </w:p>
    <w:p w14:paraId="732F6A33">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7.1 </w:t>
      </w:r>
      <w:r>
        <w:rPr>
          <w:rFonts w:hint="eastAsia" w:ascii="宋体" w:hAnsi="宋体" w:eastAsia="宋体" w:cs="宋体"/>
          <w:kern w:val="2"/>
          <w:sz w:val="21"/>
          <w:szCs w:val="21"/>
          <w:lang w:val="en-US" w:eastAsia="zh-CN" w:bidi="ar"/>
        </w:rPr>
        <w:t>响应文件现场递交时间为响应截止时间前半小时内，截至响应截止时间将不再收取响应文件。</w:t>
      </w:r>
    </w:p>
    <w:p w14:paraId="15C4791F">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7.2 </w:t>
      </w:r>
      <w:r>
        <w:rPr>
          <w:rFonts w:hint="eastAsia" w:ascii="宋体" w:hAnsi="宋体" w:eastAsia="宋体" w:cs="宋体"/>
          <w:kern w:val="2"/>
          <w:sz w:val="21"/>
          <w:szCs w:val="21"/>
          <w:lang w:val="en-US" w:eastAsia="zh-CN" w:bidi="ar"/>
        </w:rPr>
        <w:t>递交地点为重庆市渝北区青枫北路</w:t>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号渝兴广场</w:t>
      </w:r>
      <w:r>
        <w:rPr>
          <w:rFonts w:hint="default" w:ascii="Times New Roman" w:hAnsi="Times New Roman" w:eastAsia="宋体" w:cs="Times New Roman"/>
          <w:kern w:val="2"/>
          <w:sz w:val="21"/>
          <w:szCs w:val="21"/>
          <w:lang w:val="en-US" w:eastAsia="zh-CN" w:bidi="ar"/>
        </w:rPr>
        <w:t>B10</w:t>
      </w:r>
      <w:r>
        <w:rPr>
          <w:rFonts w:hint="eastAsia" w:ascii="宋体" w:hAnsi="宋体" w:eastAsia="宋体" w:cs="宋体"/>
          <w:kern w:val="2"/>
          <w:sz w:val="21"/>
          <w:szCs w:val="21"/>
          <w:lang w:val="en-US" w:eastAsia="zh-CN" w:bidi="ar"/>
        </w:rPr>
        <w:t>栋重庆市公共资源交易中心开标区（具体请登录重庆市公共资源交易网（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）查询或递交文件当日见交易中心大厅电子显示屏）。</w:t>
      </w:r>
    </w:p>
    <w:p w14:paraId="1CE6F8C6">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7.3 </w:t>
      </w:r>
      <w:r>
        <w:rPr>
          <w:rFonts w:hint="eastAsia" w:ascii="宋体" w:hAnsi="宋体" w:eastAsia="宋体" w:cs="宋体"/>
          <w:kern w:val="2"/>
          <w:sz w:val="21"/>
          <w:szCs w:val="21"/>
          <w:lang w:val="en-US" w:eastAsia="zh-CN" w:bidi="ar"/>
        </w:rPr>
        <w:t>逾期送达的响应文件，不予接收。</w:t>
      </w:r>
    </w:p>
    <w:p w14:paraId="10032063">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8. </w:t>
      </w:r>
      <w:r>
        <w:rPr>
          <w:rFonts w:hint="eastAsia" w:ascii="宋体" w:hAnsi="宋体" w:eastAsia="宋体" w:cs="宋体"/>
          <w:b/>
          <w:bCs/>
          <w:kern w:val="2"/>
          <w:sz w:val="21"/>
          <w:szCs w:val="21"/>
        </w:rPr>
        <w:t>发布公告的媒介</w:t>
      </w:r>
    </w:p>
    <w:p w14:paraId="2986CB7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本次询比公告同时在</w:t>
      </w:r>
      <w:r>
        <w:rPr>
          <w:rFonts w:hint="eastAsia" w:ascii="宋体" w:hAnsi="宋体" w:eastAsia="宋体" w:cs="宋体"/>
          <w:kern w:val="2"/>
          <w:sz w:val="21"/>
          <w:szCs w:val="21"/>
          <w:u w:val="single"/>
          <w:lang w:val="en-US" w:eastAsia="zh-CN" w:bidi="ar"/>
        </w:rPr>
        <w:t>《重庆市公共资源交易网（</w:t>
      </w:r>
      <w:r>
        <w:rPr>
          <w:rFonts w:hint="default" w:ascii="Times New Roman" w:hAnsi="Times New Roman" w:eastAsia="宋体" w:cs="Times New Roman"/>
          <w:kern w:val="2"/>
          <w:sz w:val="21"/>
          <w:szCs w:val="21"/>
          <w:u w:val="single"/>
          <w:lang w:val="en-US" w:eastAsia="zh-CN" w:bidi="ar"/>
        </w:rPr>
        <w:t>www.cqggzy.com</w:t>
      </w:r>
      <w:r>
        <w:rPr>
          <w:rFonts w:hint="eastAsia" w:ascii="宋体" w:hAnsi="宋体" w:eastAsia="宋体" w:cs="宋体"/>
          <w:kern w:val="2"/>
          <w:sz w:val="21"/>
          <w:szCs w:val="21"/>
          <w:u w:val="single"/>
          <w:lang w:val="en-US" w:eastAsia="zh-CN" w:bidi="ar"/>
        </w:rPr>
        <w:t>）》《重庆三峡银行官网（</w:t>
      </w:r>
      <w:r>
        <w:rPr>
          <w:rFonts w:hint="default" w:ascii="Times New Roman" w:hAnsi="Times New Roman" w:eastAsia="宋体" w:cs="Times New Roman"/>
          <w:kern w:val="2"/>
          <w:sz w:val="21"/>
          <w:szCs w:val="21"/>
          <w:u w:val="single"/>
          <w:lang w:val="en-US" w:eastAsia="zh-CN" w:bidi="ar"/>
        </w:rPr>
        <w:t>https://www.ccqtgb.com</w:t>
      </w:r>
      <w:r>
        <w:rPr>
          <w:rFonts w:hint="eastAsia" w:ascii="宋体" w:hAnsi="宋体" w:eastAsia="宋体" w:cs="宋体"/>
          <w:kern w:val="2"/>
          <w:sz w:val="21"/>
          <w:szCs w:val="21"/>
          <w:u w:val="single"/>
          <w:lang w:val="en-US" w:eastAsia="zh-CN" w:bidi="ar"/>
        </w:rPr>
        <w:t>）》和《中国招标投标公共服务平台（</w:t>
      </w:r>
      <w:r>
        <w:rPr>
          <w:rFonts w:hint="default" w:ascii="Times New Roman" w:hAnsi="Times New Roman" w:eastAsia="宋体" w:cs="Times New Roman"/>
          <w:kern w:val="2"/>
          <w:sz w:val="21"/>
          <w:szCs w:val="21"/>
          <w:u w:val="single"/>
          <w:lang w:val="en-US" w:eastAsia="zh-CN" w:bidi="ar"/>
        </w:rPr>
        <w:t>http://www.cebpubservice.com</w:t>
      </w:r>
      <w:r>
        <w:rPr>
          <w:rFonts w:hint="eastAsia" w:ascii="宋体" w:hAnsi="宋体" w:eastAsia="宋体" w:cs="宋体"/>
          <w:kern w:val="2"/>
          <w:sz w:val="21"/>
          <w:szCs w:val="21"/>
          <w:u w:val="single"/>
          <w:lang w:val="en-US" w:eastAsia="zh-CN" w:bidi="ar"/>
        </w:rPr>
        <w:t>）》</w:t>
      </w:r>
      <w:r>
        <w:rPr>
          <w:rFonts w:hint="eastAsia" w:ascii="宋体" w:hAnsi="宋体" w:eastAsia="宋体" w:cs="宋体"/>
          <w:kern w:val="2"/>
          <w:sz w:val="21"/>
          <w:szCs w:val="21"/>
          <w:lang w:val="en-US" w:eastAsia="zh-CN" w:bidi="ar"/>
        </w:rPr>
        <w:t>上发布。</w:t>
      </w:r>
    </w:p>
    <w:p w14:paraId="7F6CF728">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9. </w:t>
      </w:r>
      <w:r>
        <w:rPr>
          <w:rFonts w:hint="eastAsia" w:ascii="宋体" w:hAnsi="宋体" w:eastAsia="宋体" w:cs="宋体"/>
          <w:b/>
          <w:bCs/>
          <w:kern w:val="2"/>
          <w:sz w:val="21"/>
          <w:szCs w:val="21"/>
        </w:rPr>
        <w:t>联系方式</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943"/>
        <w:gridCol w:w="4480"/>
      </w:tblGrid>
      <w:tr w14:paraId="59058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shd w:val="clear"/>
            <w:vAlign w:val="top"/>
          </w:tcPr>
          <w:p w14:paraId="5256A080">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r>
              <w:rPr>
                <w:rFonts w:hint="default" w:ascii="Times New Roman" w:hAnsi="Times New Roman" w:eastAsia="宋体" w:cs="Times New Roman"/>
                <w:kern w:val="2"/>
                <w:sz w:val="21"/>
                <w:szCs w:val="21"/>
                <w:bdr w:val="none" w:color="auto" w:sz="0" w:space="0"/>
                <w:lang w:val="en-US" w:eastAsia="zh-CN" w:bidi="ar"/>
              </w:rPr>
              <w:t xml:space="preserve">9.1 </w:t>
            </w:r>
            <w:r>
              <w:rPr>
                <w:rFonts w:hint="eastAsia" w:ascii="宋体" w:hAnsi="宋体" w:eastAsia="宋体" w:cs="宋体"/>
                <w:kern w:val="2"/>
                <w:sz w:val="21"/>
                <w:szCs w:val="21"/>
                <w:bdr w:val="none" w:color="auto" w:sz="0" w:space="0"/>
                <w:lang w:val="en-US" w:eastAsia="zh-CN" w:bidi="ar"/>
              </w:rPr>
              <w:t>项目需求咨询</w:t>
            </w:r>
          </w:p>
        </w:tc>
      </w:tr>
      <w:tr w14:paraId="67DA7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3943" w:type="dxa"/>
            <w:tcBorders>
              <w:top w:val="nil"/>
              <w:left w:val="single" w:color="auto" w:sz="4" w:space="0"/>
              <w:bottom w:val="nil"/>
              <w:right w:val="nil"/>
            </w:tcBorders>
            <w:shd w:val="clear"/>
            <w:vAlign w:val="top"/>
          </w:tcPr>
          <w:p w14:paraId="59475430">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项目联系人：梁有监</w:t>
            </w:r>
          </w:p>
        </w:tc>
        <w:tc>
          <w:tcPr>
            <w:tcW w:w="4480" w:type="dxa"/>
            <w:tcBorders>
              <w:top w:val="nil"/>
              <w:left w:val="nil"/>
              <w:bottom w:val="nil"/>
              <w:right w:val="single" w:color="auto" w:sz="4" w:space="0"/>
            </w:tcBorders>
            <w:shd w:val="clear"/>
            <w:vAlign w:val="top"/>
          </w:tcPr>
          <w:p w14:paraId="09AFDC8A">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联系方式：</w:t>
            </w:r>
            <w:r>
              <w:rPr>
                <w:rFonts w:hint="default" w:ascii="Times New Roman" w:hAnsi="Times New Roman" w:eastAsia="宋体" w:cs="Times New Roman"/>
                <w:kern w:val="2"/>
                <w:sz w:val="21"/>
                <w:szCs w:val="21"/>
                <w:bdr w:val="none" w:color="auto" w:sz="0" w:space="0"/>
                <w:lang w:val="en-US" w:eastAsia="zh-CN" w:bidi="ar"/>
              </w:rPr>
              <w:t>18996169121</w:t>
            </w:r>
          </w:p>
        </w:tc>
      </w:tr>
      <w:tr w14:paraId="67F15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shd w:val="clear"/>
            <w:vAlign w:val="top"/>
          </w:tcPr>
          <w:p w14:paraId="046B9862">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p>
        </w:tc>
      </w:tr>
      <w:tr w14:paraId="10F9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shd w:val="clear"/>
            <w:vAlign w:val="top"/>
          </w:tcPr>
          <w:p w14:paraId="7B10E792">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r>
              <w:rPr>
                <w:rFonts w:hint="default" w:ascii="Times New Roman" w:hAnsi="Times New Roman" w:eastAsia="宋体" w:cs="Times New Roman"/>
                <w:kern w:val="2"/>
                <w:sz w:val="21"/>
                <w:szCs w:val="21"/>
                <w:bdr w:val="none" w:color="auto" w:sz="0" w:space="0"/>
                <w:lang w:val="en-US" w:eastAsia="zh-CN" w:bidi="ar"/>
              </w:rPr>
              <w:t xml:space="preserve">9.2 </w:t>
            </w:r>
            <w:r>
              <w:rPr>
                <w:rFonts w:hint="eastAsia" w:ascii="宋体" w:hAnsi="宋体" w:eastAsia="宋体" w:cs="宋体"/>
                <w:kern w:val="2"/>
                <w:sz w:val="21"/>
                <w:szCs w:val="21"/>
                <w:bdr w:val="none" w:color="auto" w:sz="0" w:space="0"/>
                <w:lang w:val="en-US" w:eastAsia="zh-CN" w:bidi="ar"/>
              </w:rPr>
              <w:t>项目流程咨询</w:t>
            </w:r>
          </w:p>
        </w:tc>
      </w:tr>
      <w:tr w14:paraId="57669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shd w:val="clear"/>
            <w:vAlign w:val="top"/>
          </w:tcPr>
          <w:p w14:paraId="5480651B">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平台服务机构：重庆联合产权交易所集团股份有限公司</w:t>
            </w:r>
          </w:p>
        </w:tc>
      </w:tr>
      <w:tr w14:paraId="0BD2A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3943" w:type="dxa"/>
            <w:tcBorders>
              <w:top w:val="nil"/>
              <w:left w:val="single" w:color="auto" w:sz="4" w:space="0"/>
              <w:bottom w:val="nil"/>
              <w:right w:val="nil"/>
            </w:tcBorders>
            <w:shd w:val="clear"/>
            <w:vAlign w:val="top"/>
          </w:tcPr>
          <w:p w14:paraId="7C4B9F5E">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eastAsia"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平台联系人：杜老师</w:t>
            </w:r>
          </w:p>
        </w:tc>
        <w:tc>
          <w:tcPr>
            <w:tcW w:w="4480" w:type="dxa"/>
            <w:tcBorders>
              <w:top w:val="nil"/>
              <w:left w:val="nil"/>
              <w:bottom w:val="nil"/>
              <w:right w:val="single" w:color="auto" w:sz="4" w:space="0"/>
            </w:tcBorders>
            <w:shd w:val="clear"/>
            <w:vAlign w:val="top"/>
          </w:tcPr>
          <w:p w14:paraId="30A901B5">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联系方式：</w:t>
            </w:r>
            <w:r>
              <w:rPr>
                <w:rFonts w:hint="default" w:ascii="Times New Roman" w:hAnsi="Times New Roman" w:eastAsia="宋体" w:cs="Times New Roman"/>
                <w:kern w:val="2"/>
                <w:sz w:val="21"/>
                <w:szCs w:val="21"/>
                <w:bdr w:val="none" w:color="auto" w:sz="0" w:space="0"/>
                <w:lang w:val="en-US" w:eastAsia="zh-CN" w:bidi="ar"/>
              </w:rPr>
              <w:t>023-63626034</w:t>
            </w:r>
          </w:p>
        </w:tc>
      </w:tr>
      <w:tr w14:paraId="39845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shd w:val="clear"/>
            <w:vAlign w:val="top"/>
          </w:tcPr>
          <w:p w14:paraId="3721BB52">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p>
        </w:tc>
      </w:tr>
      <w:tr w14:paraId="3C7A6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shd w:val="clear"/>
            <w:vAlign w:val="top"/>
          </w:tcPr>
          <w:p w14:paraId="2608A93B">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r>
              <w:rPr>
                <w:rFonts w:hint="default" w:ascii="Times New Roman" w:hAnsi="Times New Roman" w:eastAsia="宋体" w:cs="Times New Roman"/>
                <w:kern w:val="2"/>
                <w:sz w:val="21"/>
                <w:szCs w:val="21"/>
                <w:bdr w:val="none" w:color="auto" w:sz="0" w:space="0"/>
                <w:lang w:val="en-US" w:eastAsia="zh-CN" w:bidi="ar"/>
              </w:rPr>
              <w:t xml:space="preserve">9.3 </w:t>
            </w:r>
            <w:r>
              <w:rPr>
                <w:rFonts w:hint="eastAsia" w:ascii="宋体" w:hAnsi="宋体" w:eastAsia="宋体" w:cs="宋体"/>
                <w:kern w:val="2"/>
                <w:sz w:val="21"/>
                <w:szCs w:val="21"/>
                <w:bdr w:val="none" w:color="auto" w:sz="0" w:space="0"/>
                <w:lang w:val="en-US" w:eastAsia="zh-CN" w:bidi="ar"/>
              </w:rPr>
              <w:t>采购人联系方式</w:t>
            </w:r>
          </w:p>
        </w:tc>
      </w:tr>
      <w:tr w14:paraId="3D586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3943" w:type="dxa"/>
            <w:tcBorders>
              <w:top w:val="nil"/>
              <w:left w:val="single" w:color="auto" w:sz="4" w:space="0"/>
              <w:bottom w:val="nil"/>
              <w:right w:val="nil"/>
            </w:tcBorders>
            <w:shd w:val="clear"/>
            <w:vAlign w:val="top"/>
          </w:tcPr>
          <w:p w14:paraId="5F0F9DE8">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联系人：敬老师</w:t>
            </w:r>
          </w:p>
        </w:tc>
        <w:tc>
          <w:tcPr>
            <w:tcW w:w="4480" w:type="dxa"/>
            <w:tcBorders>
              <w:top w:val="nil"/>
              <w:left w:val="nil"/>
              <w:bottom w:val="nil"/>
              <w:right w:val="single" w:color="auto" w:sz="4" w:space="0"/>
            </w:tcBorders>
            <w:shd w:val="clear"/>
            <w:vAlign w:val="top"/>
          </w:tcPr>
          <w:p w14:paraId="39588FFD">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联系方式：</w:t>
            </w:r>
            <w:r>
              <w:rPr>
                <w:rFonts w:hint="default" w:ascii="Times New Roman" w:hAnsi="Times New Roman" w:eastAsia="宋体" w:cs="Times New Roman"/>
                <w:kern w:val="2"/>
                <w:sz w:val="21"/>
                <w:szCs w:val="21"/>
                <w:bdr w:val="none" w:color="auto" w:sz="0" w:space="0"/>
                <w:lang w:val="en-US" w:eastAsia="zh-CN" w:bidi="ar"/>
              </w:rPr>
              <w:t>023-88890395</w:t>
            </w:r>
          </w:p>
        </w:tc>
      </w:tr>
      <w:tr w14:paraId="0988B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shd w:val="clear"/>
            <w:vAlign w:val="top"/>
          </w:tcPr>
          <w:p w14:paraId="628EB66C">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采购人地址：重庆市渝北区嘉州路</w:t>
            </w:r>
            <w:r>
              <w:rPr>
                <w:rFonts w:hint="default" w:ascii="Times New Roman" w:hAnsi="Times New Roman" w:eastAsia="宋体" w:cs="Times New Roman"/>
                <w:kern w:val="2"/>
                <w:sz w:val="21"/>
                <w:szCs w:val="21"/>
                <w:bdr w:val="none" w:color="auto" w:sz="0" w:space="0"/>
                <w:lang w:val="en-US" w:eastAsia="zh-CN" w:bidi="ar"/>
              </w:rPr>
              <w:t>88</w:t>
            </w:r>
            <w:r>
              <w:rPr>
                <w:rFonts w:hint="eastAsia" w:ascii="宋体" w:hAnsi="宋体" w:eastAsia="宋体" w:cs="宋体"/>
                <w:kern w:val="2"/>
                <w:sz w:val="21"/>
                <w:szCs w:val="21"/>
                <w:bdr w:val="none" w:color="auto" w:sz="0" w:space="0"/>
                <w:lang w:val="en-US" w:eastAsia="zh-CN" w:bidi="ar"/>
              </w:rPr>
              <w:t>号中渝国际都会</w:t>
            </w:r>
            <w:r>
              <w:rPr>
                <w:rFonts w:hint="default" w:ascii="Times New Roman" w:hAnsi="Times New Roman" w:eastAsia="宋体" w:cs="Times New Roman"/>
                <w:kern w:val="2"/>
                <w:sz w:val="21"/>
                <w:szCs w:val="21"/>
                <w:bdr w:val="none" w:color="auto" w:sz="0" w:space="0"/>
                <w:lang w:val="en-US" w:eastAsia="zh-CN" w:bidi="ar"/>
              </w:rPr>
              <w:t>4</w:t>
            </w:r>
            <w:r>
              <w:rPr>
                <w:rFonts w:hint="eastAsia" w:ascii="宋体" w:hAnsi="宋体" w:eastAsia="宋体" w:cs="宋体"/>
                <w:kern w:val="2"/>
                <w:sz w:val="21"/>
                <w:szCs w:val="21"/>
                <w:bdr w:val="none" w:color="auto" w:sz="0" w:space="0"/>
                <w:lang w:val="en-US" w:eastAsia="zh-CN" w:bidi="ar"/>
              </w:rPr>
              <w:t>号写字楼</w:t>
            </w:r>
            <w:r>
              <w:rPr>
                <w:rFonts w:hint="default" w:ascii="Times New Roman" w:hAnsi="Times New Roman" w:eastAsia="宋体" w:cs="Times New Roman"/>
                <w:kern w:val="2"/>
                <w:sz w:val="21"/>
                <w:szCs w:val="21"/>
                <w:bdr w:val="none" w:color="auto" w:sz="0" w:space="0"/>
                <w:lang w:val="en-US" w:eastAsia="zh-CN" w:bidi="ar"/>
              </w:rPr>
              <w:t>21</w:t>
            </w:r>
            <w:r>
              <w:rPr>
                <w:rFonts w:hint="eastAsia" w:ascii="宋体" w:hAnsi="宋体" w:eastAsia="宋体" w:cs="宋体"/>
                <w:kern w:val="2"/>
                <w:sz w:val="21"/>
                <w:szCs w:val="21"/>
                <w:bdr w:val="none" w:color="auto" w:sz="0" w:space="0"/>
                <w:lang w:val="en-US" w:eastAsia="zh-CN" w:bidi="ar"/>
              </w:rPr>
              <w:t>层</w:t>
            </w:r>
          </w:p>
        </w:tc>
      </w:tr>
    </w:tbl>
    <w:p w14:paraId="7DC090E9">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Cambria Math"/>
          <w:kern w:val="2"/>
          <w:sz w:val="21"/>
          <w:szCs w:val="21"/>
          <w:lang w:val="en-US" w:eastAsia="zh-CN" w:bidi="ar"/>
        </w:rPr>
        <w:t xml:space="preserve"> </w:t>
      </w:r>
      <w:r>
        <w:rPr>
          <w:rFonts w:hint="eastAsia" w:ascii="Times New Roman" w:hAnsi="Times New Roman" w:eastAsia="宋体" w:cs="Cambria Math"/>
          <w:kern w:val="2"/>
          <w:sz w:val="21"/>
          <w:szCs w:val="21"/>
          <w:lang w:val="en-US" w:eastAsia="zh-CN" w:bidi="ar"/>
        </w:rPr>
        <w:t>附件：重庆三峡银行2026-2027年度西永数据中心暖通空调系统维保询比文件</w:t>
      </w:r>
      <w:bookmarkStart w:id="0" w:name="_GoBack"/>
      <w:bookmarkEnd w:id="0"/>
    </w:p>
    <w:p w14:paraId="07A2865B">
      <w:pPr>
        <w:keepNext w:val="0"/>
        <w:keepLines w:val="0"/>
        <w:widowControl w:val="0"/>
        <w:suppressLineNumbers w:val="0"/>
        <w:autoSpaceDE w:val="0"/>
        <w:autoSpaceDN w:val="0"/>
        <w:spacing w:before="0" w:beforeAutospacing="0" w:after="0" w:afterAutospacing="0" w:line="360" w:lineRule="auto"/>
        <w:ind w:left="0" w:right="0" w:firstLine="0" w:firstLineChars="0"/>
        <w:jc w:val="right"/>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重庆三峡银行股份有限公司</w:t>
      </w:r>
    </w:p>
    <w:p w14:paraId="241FBC08">
      <w:pPr>
        <w:keepNext w:val="0"/>
        <w:keepLines w:val="0"/>
        <w:widowControl w:val="0"/>
        <w:suppressLineNumbers w:val="0"/>
        <w:autoSpaceDE w:val="0"/>
        <w:autoSpaceDN w:val="0"/>
        <w:spacing w:before="0" w:beforeAutospacing="0" w:after="0" w:afterAutospacing="0" w:line="360" w:lineRule="auto"/>
        <w:ind w:left="0" w:right="0" w:firstLine="420" w:firstLineChars="200"/>
        <w:jc w:val="right"/>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2025</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22</w:t>
      </w:r>
      <w:r>
        <w:rPr>
          <w:rFonts w:hint="eastAsia" w:ascii="宋体" w:hAnsi="宋体" w:eastAsia="宋体" w:cs="宋体"/>
          <w:kern w:val="2"/>
          <w:sz w:val="21"/>
          <w:szCs w:val="21"/>
          <w:lang w:val="en-US" w:eastAsia="zh-CN" w:bidi="ar"/>
        </w:rPr>
        <w:t>日</w:t>
      </w:r>
    </w:p>
    <w:p w14:paraId="1CCB9E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等线 Light">
    <w:altName w:val="C059"/>
    <w:panose1 w:val="00000000000000000000"/>
    <w:charset w:val="00"/>
    <w:family w:val="auto"/>
    <w:pitch w:val="default"/>
    <w:sig w:usb0="00000000" w:usb1="00000000" w:usb2="00000000" w:usb3="00000000" w:csb0="00000000" w:csb1="00000000"/>
  </w:font>
  <w:font w:name="Cambria Math">
    <w:altName w:val="DejaVu Math TeX Gyre"/>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F94D0"/>
    <w:rsid w:val="4FBF9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widowControl w:val="0"/>
      <w:suppressLineNumbers w:val="0"/>
      <w:tabs>
        <w:tab w:val="left" w:pos="3360"/>
      </w:tabs>
      <w:autoSpaceDE w:val="0"/>
      <w:autoSpaceDN w:val="0"/>
      <w:snapToGrid w:val="0"/>
      <w:spacing w:before="0" w:beforeAutospacing="0" w:after="0" w:afterAutospacing="0" w:line="600" w:lineRule="exact"/>
      <w:ind w:left="0" w:right="0" w:firstLine="0" w:firstLineChars="0"/>
      <w:jc w:val="center"/>
      <w:outlineLvl w:val="0"/>
    </w:pPr>
    <w:rPr>
      <w:rFonts w:hint="default" w:ascii="Times New Roman" w:hAnsi="Times New Roman" w:eastAsia="宋体" w:cs="等线 Light"/>
      <w:b/>
      <w:bCs/>
      <w:kern w:val="0"/>
      <w:sz w:val="44"/>
      <w:szCs w:val="44"/>
      <w:lang w:val="en-US" w:eastAsia="zh-CN" w:bidi="ar"/>
    </w:rPr>
  </w:style>
  <w:style w:type="paragraph" w:styleId="3">
    <w:name w:val="heading 2"/>
    <w:basedOn w:val="1"/>
    <w:next w:val="1"/>
    <w:semiHidden/>
    <w:unhideWhenUsed/>
    <w:qFormat/>
    <w:uiPriority w:val="0"/>
    <w:pPr>
      <w:keepNext w:val="0"/>
      <w:keepLines w:val="0"/>
      <w:widowControl w:val="0"/>
      <w:suppressLineNumbers w:val="0"/>
      <w:autoSpaceDE w:val="0"/>
      <w:autoSpaceDN w:val="0"/>
      <w:spacing w:before="0" w:beforeAutospacing="0" w:after="0" w:afterAutospacing="0" w:line="600" w:lineRule="exact"/>
      <w:ind w:left="0" w:right="0" w:firstLine="0" w:firstLineChars="0"/>
      <w:jc w:val="both"/>
      <w:outlineLvl w:val="1"/>
    </w:pPr>
    <w:rPr>
      <w:rFonts w:hint="default" w:ascii="Times New Roman" w:hAnsi="Times New Roman" w:eastAsia="宋体" w:cs="Times New Roman"/>
      <w:b/>
      <w:bCs/>
      <w:kern w:val="2"/>
      <w:sz w:val="21"/>
      <w:szCs w:val="21"/>
      <w:lang w:val="en-US" w:eastAsia="zh-CN" w:bidi="ar"/>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6">
    <w:name w:val="表格"/>
    <w:basedOn w:val="1"/>
    <w:uiPriority w:val="0"/>
    <w:pPr>
      <w:keepNext w:val="0"/>
      <w:keepLines w:val="0"/>
      <w:widowControl w:val="0"/>
      <w:suppressLineNumbers w:val="0"/>
      <w:autoSpaceDE w:val="0"/>
      <w:autoSpaceDN w:val="0"/>
      <w:spacing w:before="0" w:beforeAutospacing="0" w:after="0" w:afterAutospacing="0" w:line="240" w:lineRule="auto"/>
      <w:ind w:left="0" w:right="0" w:firstLine="0" w:firstLineChars="0"/>
      <w:jc w:val="both"/>
    </w:pPr>
    <w:rPr>
      <w:rFonts w:hint="default" w:ascii="Times New Roman" w:hAnsi="Times New Roman" w:eastAsia="宋体" w:cs="Cambria Math"/>
      <w:bCs/>
      <w:kern w:val="2"/>
      <w:sz w:val="21"/>
      <w:szCs w:val="21"/>
      <w:lang w:val="en-US" w:eastAsia="zh-CN" w:bidi="ar"/>
    </w:rPr>
  </w:style>
  <w:style w:type="paragraph" w:customStyle="1" w:styleId="7">
    <w:name w:val="表格（标题）"/>
    <w:basedOn w:val="1"/>
    <w:uiPriority w:val="0"/>
    <w:pPr>
      <w:keepNext w:val="0"/>
      <w:keepLines w:val="0"/>
      <w:widowControl w:val="0"/>
      <w:suppressLineNumbers w:val="0"/>
      <w:autoSpaceDE w:val="0"/>
      <w:autoSpaceDN w:val="0"/>
      <w:spacing w:before="0" w:beforeAutospacing="0" w:after="0" w:afterAutospacing="0" w:line="240" w:lineRule="auto"/>
      <w:ind w:left="0" w:right="0" w:firstLine="0" w:firstLineChars="0"/>
      <w:jc w:val="center"/>
    </w:pPr>
    <w:rPr>
      <w:rFonts w:hint="default" w:ascii="Times New Roman" w:hAnsi="Times New Roman" w:eastAsia="宋体" w:cs="Cambria Math"/>
      <w:b/>
      <w:bCs/>
      <w:kern w:val="2"/>
      <w:sz w:val="21"/>
      <w:szCs w:val="21"/>
      <w:lang w:val="en-US" w:eastAsia="zh-CN" w:bidi="ar"/>
    </w:rPr>
  </w:style>
  <w:style w:type="character" w:customStyle="1" w:styleId="8">
    <w:name w:val="15"/>
    <w:basedOn w:val="5"/>
    <w:uiPriority w:val="0"/>
    <w:rPr>
      <w:rFonts w:hint="eastAsia" w:ascii="宋体" w:hAnsi="宋体" w:eastAsia="宋体" w:cs="宋体"/>
      <w:color w:val="000000"/>
      <w:sz w:val="21"/>
      <w:szCs w:val="21"/>
    </w:rPr>
  </w:style>
  <w:style w:type="character" w:customStyle="1" w:styleId="9">
    <w:name w:val="10"/>
    <w:basedOn w:val="5"/>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2025-12-22T14:42:00Z</dcterms:created>
  <dc:creator>交易中心-柏</dc:creator>
  <cp:lastModifiedBy>交易中心-柏</cp:lastModifiedBy>
  <dcterms:modified xsi:type="dcterms:W3CDTF">2025-12-22T14:44:05Z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7A9C7CBC8A43F13F46E848696160C77B_41</vt:lpwstr>
  </property>
</Properties>
</file>