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71F2">
      <w:pPr>
        <w:bidi w:val="0"/>
        <w:rPr>
          <w:color w:val="auto"/>
          <w:highlight w:val="none"/>
        </w:rPr>
      </w:pPr>
    </w:p>
    <w:p w14:paraId="1296000B">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6D6169F">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lang w:val="en-US" w:eastAsia="zh-CN"/>
        </w:rPr>
      </w:pPr>
      <w:r>
        <w:rPr>
          <w:rFonts w:hint="eastAsia" w:cs="Times New Roman"/>
          <w:b/>
          <w:snapToGrid w:val="0"/>
          <w:color w:val="auto"/>
          <w:kern w:val="0"/>
          <w:sz w:val="48"/>
          <w:szCs w:val="84"/>
          <w:highlight w:val="none"/>
          <w:lang w:eastAsia="zh-CN"/>
        </w:rPr>
        <w:t>业务连续性数字化管理平台项目（第二次）</w:t>
      </w:r>
    </w:p>
    <w:p w14:paraId="78C0E830">
      <w:pPr>
        <w:bidi w:val="0"/>
        <w:rPr>
          <w:color w:val="auto"/>
          <w:highlight w:val="none"/>
        </w:rPr>
      </w:pPr>
    </w:p>
    <w:p w14:paraId="66D6605E">
      <w:pPr>
        <w:bidi w:val="0"/>
        <w:rPr>
          <w:color w:val="auto"/>
          <w:highlight w:val="none"/>
        </w:rPr>
      </w:pPr>
    </w:p>
    <w:p w14:paraId="1FB8F2E0">
      <w:pPr>
        <w:bidi w:val="0"/>
        <w:rPr>
          <w:color w:val="auto"/>
          <w:highlight w:val="none"/>
        </w:rPr>
      </w:pPr>
    </w:p>
    <w:p w14:paraId="4F40C97B">
      <w:pPr>
        <w:bidi w:val="0"/>
        <w:rPr>
          <w:color w:val="auto"/>
          <w:highlight w:val="none"/>
        </w:rPr>
      </w:pPr>
    </w:p>
    <w:p w14:paraId="01F77DFA">
      <w:pPr>
        <w:bidi w:val="0"/>
        <w:rPr>
          <w:color w:val="auto"/>
          <w:highlight w:val="none"/>
        </w:rPr>
      </w:pPr>
    </w:p>
    <w:p w14:paraId="744FE474">
      <w:pPr>
        <w:bidi w:val="0"/>
        <w:rPr>
          <w:color w:val="auto"/>
          <w:highlight w:val="none"/>
        </w:rPr>
      </w:pPr>
    </w:p>
    <w:p w14:paraId="710751DF">
      <w:pPr>
        <w:bidi w:val="0"/>
        <w:rPr>
          <w:color w:val="auto"/>
          <w:highlight w:val="none"/>
        </w:rPr>
      </w:pPr>
    </w:p>
    <w:p w14:paraId="7B9C5DD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0B926F92">
      <w:pPr>
        <w:bidi w:val="0"/>
        <w:rPr>
          <w:color w:val="auto"/>
          <w:highlight w:val="none"/>
        </w:rPr>
      </w:pPr>
    </w:p>
    <w:p w14:paraId="468A836F">
      <w:pPr>
        <w:bidi w:val="0"/>
        <w:rPr>
          <w:color w:val="auto"/>
          <w:highlight w:val="none"/>
        </w:rPr>
      </w:pPr>
    </w:p>
    <w:p w14:paraId="4379C517">
      <w:pPr>
        <w:bidi w:val="0"/>
        <w:rPr>
          <w:color w:val="auto"/>
          <w:highlight w:val="none"/>
        </w:rPr>
      </w:pPr>
    </w:p>
    <w:p w14:paraId="594610E4">
      <w:pPr>
        <w:bidi w:val="0"/>
        <w:rPr>
          <w:color w:val="auto"/>
          <w:highlight w:val="none"/>
        </w:rPr>
      </w:pPr>
    </w:p>
    <w:p w14:paraId="72ABF1B7">
      <w:pPr>
        <w:bidi w:val="0"/>
        <w:rPr>
          <w:color w:val="auto"/>
          <w:highlight w:val="none"/>
        </w:rPr>
      </w:pPr>
    </w:p>
    <w:p w14:paraId="20E120C7">
      <w:pPr>
        <w:bidi w:val="0"/>
        <w:rPr>
          <w:color w:val="auto"/>
          <w:highlight w:val="none"/>
        </w:rPr>
      </w:pPr>
    </w:p>
    <w:p w14:paraId="1EA1129B">
      <w:pPr>
        <w:bidi w:val="0"/>
        <w:rPr>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56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F6B584C">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40C448D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2667A5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5196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D812CF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1EEFCF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 xml:space="preserve">  </w:t>
            </w:r>
            <w:r>
              <w:rPr>
                <w:rFonts w:hint="eastAsia" w:cs="Times New Roman"/>
                <w:b/>
                <w:snapToGrid w:val="0"/>
                <w:color w:val="auto"/>
                <w:kern w:val="0"/>
                <w:sz w:val="30"/>
                <w:szCs w:val="30"/>
                <w:highlight w:val="none"/>
                <w:lang w:val="en-US" w:eastAsia="zh-CN"/>
              </w:rPr>
              <w:t>12</w:t>
            </w:r>
            <w:r>
              <w:rPr>
                <w:rFonts w:hint="eastAsia" w:ascii="Times New Roman" w:hAnsi="Times New Roman" w:cs="Times New Roman"/>
                <w:b/>
                <w:snapToGrid w:val="0"/>
                <w:color w:val="auto"/>
                <w:kern w:val="0"/>
                <w:sz w:val="30"/>
                <w:szCs w:val="30"/>
                <w:highlight w:val="none"/>
                <w:lang w:val="en-US" w:eastAsia="zh-CN"/>
              </w:rPr>
              <w:t xml:space="preserve">  </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6845A8F5">
            <w:pPr>
              <w:rPr>
                <w:color w:val="auto"/>
                <w:highlight w:val="none"/>
              </w:rPr>
            </w:pPr>
          </w:p>
        </w:tc>
      </w:tr>
    </w:tbl>
    <w:p w14:paraId="5A5EC958">
      <w:pPr>
        <w:bidi w:val="0"/>
        <w:rPr>
          <w:color w:val="auto"/>
          <w:highlight w:val="none"/>
        </w:rPr>
      </w:pPr>
    </w:p>
    <w:p w14:paraId="1B1B6DE1">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67D81CD2">
      <w:pPr>
        <w:pStyle w:val="40"/>
        <w:bidi w:val="0"/>
        <w:rPr>
          <w:highlight w:val="none"/>
        </w:rPr>
      </w:pPr>
      <w:r>
        <w:rPr>
          <w:rFonts w:hint="eastAsia"/>
          <w:highlight w:val="none"/>
        </w:rPr>
        <w:t>目录</w:t>
      </w:r>
    </w:p>
    <w:p w14:paraId="76E3DA94">
      <w:pPr>
        <w:pStyle w:val="16"/>
        <w:tabs>
          <w:tab w:val="right" w:leader="middleDot" w:pos="8306"/>
        </w:tabs>
        <w:rPr>
          <w:color w:val="auto"/>
          <w:highlight w:val="none"/>
        </w:rPr>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_Toc24243 </w:instrText>
      </w:r>
      <w:r>
        <w:rPr>
          <w:rFonts w:ascii="宋体" w:hAnsi="宋体"/>
          <w:snapToGrid w:val="0"/>
          <w:color w:val="auto"/>
          <w:kern w:val="0"/>
          <w:szCs w:val="24"/>
          <w:highlight w:val="none"/>
        </w:rPr>
        <w:fldChar w:fldCharType="separate"/>
      </w:r>
      <w:r>
        <w:rPr>
          <w:rFonts w:hint="eastAsia"/>
          <w:color w:val="auto"/>
          <w:highlight w:val="none"/>
        </w:rPr>
        <w:t xml:space="preserve">第一章 </w:t>
      </w:r>
      <w:r>
        <w:rPr>
          <w:rFonts w:hint="eastAsia"/>
          <w:color w:val="auto"/>
          <w:highlight w:val="none"/>
          <w:lang w:eastAsia="zh-CN"/>
        </w:rPr>
        <w:t>询比公告</w:t>
      </w:r>
      <w:r>
        <w:rPr>
          <w:color w:val="auto"/>
          <w:highlight w:val="none"/>
        </w:rPr>
        <w:tab/>
      </w:r>
      <w:r>
        <w:rPr>
          <w:color w:val="auto"/>
          <w:highlight w:val="none"/>
        </w:rPr>
        <w:fldChar w:fldCharType="begin"/>
      </w:r>
      <w:r>
        <w:rPr>
          <w:color w:val="auto"/>
          <w:highlight w:val="none"/>
        </w:rPr>
        <w:instrText xml:space="preserve"> PAGEREF _Toc24243 \h </w:instrText>
      </w:r>
      <w:r>
        <w:rPr>
          <w:color w:val="auto"/>
          <w:highlight w:val="none"/>
        </w:rPr>
        <w:fldChar w:fldCharType="separate"/>
      </w:r>
      <w:r>
        <w:rPr>
          <w:color w:val="auto"/>
          <w:highlight w:val="none"/>
        </w:rPr>
        <w:t>1</w:t>
      </w:r>
      <w:r>
        <w:rPr>
          <w:color w:val="auto"/>
          <w:highlight w:val="none"/>
        </w:rPr>
        <w:fldChar w:fldCharType="end"/>
      </w:r>
      <w:r>
        <w:rPr>
          <w:rFonts w:ascii="宋体" w:hAnsi="宋体"/>
          <w:snapToGrid w:val="0"/>
          <w:color w:val="auto"/>
          <w:kern w:val="0"/>
          <w:szCs w:val="24"/>
          <w:highlight w:val="none"/>
        </w:rPr>
        <w:fldChar w:fldCharType="end"/>
      </w:r>
    </w:p>
    <w:p w14:paraId="0A6507A4">
      <w:pPr>
        <w:pStyle w:val="16"/>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_Toc16494 </w:instrText>
      </w:r>
      <w:r>
        <w:rPr>
          <w:rFonts w:ascii="宋体" w:hAnsi="宋体"/>
          <w:snapToGrid w:val="0"/>
          <w:color w:val="auto"/>
          <w:kern w:val="0"/>
          <w:szCs w:val="24"/>
          <w:highlight w:val="none"/>
        </w:rPr>
        <w:fldChar w:fldCharType="separate"/>
      </w:r>
      <w:r>
        <w:rPr>
          <w:rFonts w:hint="eastAsia"/>
          <w:color w:val="auto"/>
          <w:highlight w:val="none"/>
        </w:rPr>
        <w:t xml:space="preserve">第二章 </w:t>
      </w:r>
      <w:r>
        <w:rPr>
          <w:rFonts w:hint="eastAsia"/>
          <w:color w:val="auto"/>
          <w:highlight w:val="none"/>
          <w:lang w:eastAsia="zh-CN"/>
        </w:rPr>
        <w:t>响应人</w:t>
      </w:r>
      <w:r>
        <w:rPr>
          <w:rFonts w:hint="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_Toc16494 \h </w:instrText>
      </w:r>
      <w:r>
        <w:rPr>
          <w:color w:val="auto"/>
          <w:highlight w:val="none"/>
        </w:rPr>
        <w:fldChar w:fldCharType="separate"/>
      </w:r>
      <w:r>
        <w:rPr>
          <w:color w:val="auto"/>
          <w:highlight w:val="none"/>
        </w:rPr>
        <w:t>5</w:t>
      </w:r>
      <w:r>
        <w:rPr>
          <w:color w:val="auto"/>
          <w:highlight w:val="none"/>
        </w:rPr>
        <w:fldChar w:fldCharType="end"/>
      </w:r>
      <w:r>
        <w:rPr>
          <w:rFonts w:ascii="宋体" w:hAnsi="宋体"/>
          <w:snapToGrid w:val="0"/>
          <w:color w:val="auto"/>
          <w:kern w:val="0"/>
          <w:szCs w:val="24"/>
          <w:highlight w:val="none"/>
        </w:rPr>
        <w:fldChar w:fldCharType="end"/>
      </w:r>
    </w:p>
    <w:p w14:paraId="54DC3648">
      <w:pPr>
        <w:pStyle w:val="16"/>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_Toc3142 </w:instrText>
      </w:r>
      <w:r>
        <w:rPr>
          <w:rFonts w:ascii="宋体" w:hAnsi="宋体"/>
          <w:snapToGrid w:val="0"/>
          <w:color w:val="auto"/>
          <w:kern w:val="0"/>
          <w:szCs w:val="24"/>
          <w:highlight w:val="none"/>
        </w:rPr>
        <w:fldChar w:fldCharType="separate"/>
      </w:r>
      <w:r>
        <w:rPr>
          <w:rFonts w:hint="eastAsia"/>
          <w:color w:val="auto"/>
          <w:highlight w:val="none"/>
          <w:lang w:val="en-US" w:eastAsia="zh-CN"/>
        </w:rPr>
        <w:t>第三章 评审办法（综合评估法）</w:t>
      </w:r>
      <w:r>
        <w:rPr>
          <w:color w:val="auto"/>
          <w:highlight w:val="none"/>
        </w:rPr>
        <w:tab/>
      </w:r>
      <w:r>
        <w:rPr>
          <w:color w:val="auto"/>
          <w:highlight w:val="none"/>
        </w:rPr>
        <w:fldChar w:fldCharType="begin"/>
      </w:r>
      <w:r>
        <w:rPr>
          <w:color w:val="auto"/>
          <w:highlight w:val="none"/>
        </w:rPr>
        <w:instrText xml:space="preserve"> PAGEREF _Toc3142 \h </w:instrText>
      </w:r>
      <w:r>
        <w:rPr>
          <w:color w:val="auto"/>
          <w:highlight w:val="none"/>
        </w:rPr>
        <w:fldChar w:fldCharType="separate"/>
      </w:r>
      <w:r>
        <w:rPr>
          <w:color w:val="auto"/>
          <w:highlight w:val="none"/>
        </w:rPr>
        <w:t>15</w:t>
      </w:r>
      <w:r>
        <w:rPr>
          <w:color w:val="auto"/>
          <w:highlight w:val="none"/>
        </w:rPr>
        <w:fldChar w:fldCharType="end"/>
      </w:r>
      <w:r>
        <w:rPr>
          <w:rFonts w:ascii="宋体" w:hAnsi="宋体"/>
          <w:snapToGrid w:val="0"/>
          <w:color w:val="auto"/>
          <w:kern w:val="0"/>
          <w:szCs w:val="24"/>
          <w:highlight w:val="none"/>
        </w:rPr>
        <w:fldChar w:fldCharType="end"/>
      </w:r>
    </w:p>
    <w:p w14:paraId="4E27D6D8">
      <w:pPr>
        <w:pStyle w:val="16"/>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_Toc12110 </w:instrText>
      </w:r>
      <w:r>
        <w:rPr>
          <w:rFonts w:ascii="宋体" w:hAnsi="宋体"/>
          <w:snapToGrid w:val="0"/>
          <w:color w:val="auto"/>
          <w:kern w:val="0"/>
          <w:szCs w:val="24"/>
          <w:highlight w:val="none"/>
        </w:rPr>
        <w:fldChar w:fldCharType="separate"/>
      </w:r>
      <w:r>
        <w:rPr>
          <w:rFonts w:hint="eastAsia"/>
          <w:color w:val="auto"/>
          <w:highlight w:val="none"/>
        </w:rPr>
        <w:t>第</w:t>
      </w:r>
      <w:r>
        <w:rPr>
          <w:rFonts w:hint="eastAsia"/>
          <w:color w:val="auto"/>
          <w:highlight w:val="none"/>
          <w:lang w:val="en-US" w:eastAsia="zh-CN"/>
        </w:rPr>
        <w:t>四</w:t>
      </w:r>
      <w:r>
        <w:rPr>
          <w:rFonts w:hint="eastAsia"/>
          <w:color w:val="auto"/>
          <w:highlight w:val="none"/>
        </w:rPr>
        <w:t>章 合同</w:t>
      </w:r>
      <w:r>
        <w:rPr>
          <w:rFonts w:hint="eastAsia"/>
          <w:color w:val="auto"/>
          <w:highlight w:val="none"/>
          <w:lang w:val="en-US" w:eastAsia="zh-CN"/>
        </w:rPr>
        <w:t>条款及格式</w:t>
      </w:r>
      <w:r>
        <w:rPr>
          <w:color w:val="auto"/>
          <w:highlight w:val="none"/>
        </w:rPr>
        <w:tab/>
      </w:r>
      <w:r>
        <w:rPr>
          <w:color w:val="auto"/>
          <w:highlight w:val="none"/>
        </w:rPr>
        <w:fldChar w:fldCharType="begin"/>
      </w:r>
      <w:r>
        <w:rPr>
          <w:color w:val="auto"/>
          <w:highlight w:val="none"/>
        </w:rPr>
        <w:instrText xml:space="preserve"> PAGEREF _Toc12110 \h </w:instrText>
      </w:r>
      <w:r>
        <w:rPr>
          <w:color w:val="auto"/>
          <w:highlight w:val="none"/>
        </w:rPr>
        <w:fldChar w:fldCharType="separate"/>
      </w:r>
      <w:r>
        <w:rPr>
          <w:color w:val="auto"/>
          <w:highlight w:val="none"/>
        </w:rPr>
        <w:t>22</w:t>
      </w:r>
      <w:r>
        <w:rPr>
          <w:color w:val="auto"/>
          <w:highlight w:val="none"/>
        </w:rPr>
        <w:fldChar w:fldCharType="end"/>
      </w:r>
      <w:r>
        <w:rPr>
          <w:rFonts w:ascii="宋体" w:hAnsi="宋体"/>
          <w:snapToGrid w:val="0"/>
          <w:color w:val="auto"/>
          <w:kern w:val="0"/>
          <w:szCs w:val="24"/>
          <w:highlight w:val="none"/>
        </w:rPr>
        <w:fldChar w:fldCharType="end"/>
      </w:r>
    </w:p>
    <w:p w14:paraId="29ECFC4C">
      <w:pPr>
        <w:pStyle w:val="16"/>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_Toc25975 </w:instrText>
      </w:r>
      <w:r>
        <w:rPr>
          <w:rFonts w:ascii="宋体" w:hAnsi="宋体"/>
          <w:snapToGrid w:val="0"/>
          <w:color w:val="auto"/>
          <w:kern w:val="0"/>
          <w:szCs w:val="24"/>
          <w:highlight w:val="none"/>
        </w:rPr>
        <w:fldChar w:fldCharType="separate"/>
      </w:r>
      <w:r>
        <w:rPr>
          <w:rFonts w:hint="eastAsia"/>
          <w:color w:val="auto"/>
          <w:highlight w:val="none"/>
          <w:lang w:eastAsia="zh-CN"/>
        </w:rPr>
        <w:t>第五章</w:t>
      </w:r>
      <w:r>
        <w:rPr>
          <w:rFonts w:hint="eastAsia"/>
          <w:color w:val="auto"/>
          <w:highlight w:val="none"/>
        </w:rPr>
        <w:t xml:space="preserve"> </w:t>
      </w:r>
      <w:r>
        <w:rPr>
          <w:rFonts w:hint="eastAsia"/>
          <w:color w:val="auto"/>
          <w:highlight w:val="none"/>
          <w:lang w:val="en-US" w:eastAsia="zh-CN"/>
        </w:rPr>
        <w:t>项目要求</w:t>
      </w:r>
      <w:r>
        <w:rPr>
          <w:color w:val="auto"/>
          <w:highlight w:val="none"/>
        </w:rPr>
        <w:tab/>
      </w:r>
      <w:r>
        <w:rPr>
          <w:color w:val="auto"/>
          <w:highlight w:val="none"/>
        </w:rPr>
        <w:fldChar w:fldCharType="begin"/>
      </w:r>
      <w:r>
        <w:rPr>
          <w:color w:val="auto"/>
          <w:highlight w:val="none"/>
        </w:rPr>
        <w:instrText xml:space="preserve"> PAGEREF _Toc25975 \h </w:instrText>
      </w:r>
      <w:r>
        <w:rPr>
          <w:color w:val="auto"/>
          <w:highlight w:val="none"/>
        </w:rPr>
        <w:fldChar w:fldCharType="separate"/>
      </w:r>
      <w:r>
        <w:rPr>
          <w:color w:val="auto"/>
          <w:highlight w:val="none"/>
        </w:rPr>
        <w:t>57</w:t>
      </w:r>
      <w:r>
        <w:rPr>
          <w:color w:val="auto"/>
          <w:highlight w:val="none"/>
        </w:rPr>
        <w:fldChar w:fldCharType="end"/>
      </w:r>
      <w:r>
        <w:rPr>
          <w:rFonts w:ascii="宋体" w:hAnsi="宋体"/>
          <w:snapToGrid w:val="0"/>
          <w:color w:val="auto"/>
          <w:kern w:val="0"/>
          <w:szCs w:val="24"/>
          <w:highlight w:val="none"/>
        </w:rPr>
        <w:fldChar w:fldCharType="end"/>
      </w:r>
    </w:p>
    <w:p w14:paraId="02CFE9C1">
      <w:pPr>
        <w:pStyle w:val="16"/>
        <w:tabs>
          <w:tab w:val="right" w:leader="middle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_Toc3181 </w:instrText>
      </w:r>
      <w:r>
        <w:rPr>
          <w:rFonts w:ascii="宋体" w:hAnsi="宋体"/>
          <w:snapToGrid w:val="0"/>
          <w:color w:val="auto"/>
          <w:kern w:val="0"/>
          <w:szCs w:val="24"/>
          <w:highlight w:val="none"/>
        </w:rPr>
        <w:fldChar w:fldCharType="separate"/>
      </w:r>
      <w:r>
        <w:rPr>
          <w:rFonts w:hint="eastAsia"/>
          <w:color w:val="auto"/>
          <w:highlight w:val="none"/>
        </w:rPr>
        <w:t>第</w:t>
      </w:r>
      <w:r>
        <w:rPr>
          <w:rFonts w:hint="eastAsia"/>
          <w:color w:val="auto"/>
          <w:highlight w:val="none"/>
          <w:lang w:val="en-US" w:eastAsia="zh-CN"/>
        </w:rPr>
        <w:t>六</w:t>
      </w:r>
      <w:r>
        <w:rPr>
          <w:rFonts w:hint="eastAsia"/>
          <w:color w:val="auto"/>
          <w:highlight w:val="none"/>
        </w:rPr>
        <w:t xml:space="preserve">章 </w:t>
      </w:r>
      <w:r>
        <w:rPr>
          <w:rFonts w:hint="eastAsia"/>
          <w:color w:val="auto"/>
          <w:highlight w:val="none"/>
          <w:lang w:eastAsia="zh-CN"/>
        </w:rPr>
        <w:t>响应文件</w:t>
      </w:r>
      <w:r>
        <w:rPr>
          <w:rFonts w:hint="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_Toc3181 \h </w:instrText>
      </w:r>
      <w:r>
        <w:rPr>
          <w:color w:val="auto"/>
          <w:highlight w:val="none"/>
        </w:rPr>
        <w:fldChar w:fldCharType="separate"/>
      </w:r>
      <w:r>
        <w:rPr>
          <w:color w:val="auto"/>
          <w:highlight w:val="none"/>
        </w:rPr>
        <w:t>75</w:t>
      </w:r>
      <w:r>
        <w:rPr>
          <w:color w:val="auto"/>
          <w:highlight w:val="none"/>
        </w:rPr>
        <w:fldChar w:fldCharType="end"/>
      </w:r>
      <w:r>
        <w:rPr>
          <w:rFonts w:ascii="宋体" w:hAnsi="宋体"/>
          <w:snapToGrid w:val="0"/>
          <w:color w:val="auto"/>
          <w:kern w:val="0"/>
          <w:szCs w:val="24"/>
          <w:highlight w:val="none"/>
        </w:rPr>
        <w:fldChar w:fldCharType="end"/>
      </w:r>
    </w:p>
    <w:p w14:paraId="207BECF4">
      <w:pPr>
        <w:widowControl/>
        <w:jc w:val="distribute"/>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6FE4ECBC">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p>
    <w:p w14:paraId="3C6A2C38">
      <w:pPr>
        <w:bidi w:val="0"/>
        <w:rPr>
          <w:rFonts w:hint="eastAsia"/>
          <w:color w:val="auto"/>
          <w:highlight w:val="none"/>
        </w:rPr>
      </w:pPr>
      <w:bookmarkStart w:id="0" w:name="_Toc440628903"/>
      <w:bookmarkStart w:id="1" w:name="_Toc6745"/>
      <w:bookmarkStart w:id="2" w:name="_Toc469574661"/>
    </w:p>
    <w:p w14:paraId="0F7DACD9">
      <w:pPr>
        <w:pStyle w:val="3"/>
        <w:bidi w:val="0"/>
        <w:rPr>
          <w:rFonts w:hint="eastAsia"/>
          <w:color w:val="auto"/>
          <w:highlight w:val="none"/>
          <w:lang w:val="en-US" w:eastAsia="zh-CN"/>
        </w:rPr>
      </w:pPr>
      <w:bookmarkStart w:id="3" w:name="_Toc24243"/>
      <w:bookmarkStart w:id="4" w:name="_Toc10551"/>
      <w:bookmarkStart w:id="5" w:name="_Toc32099"/>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lang w:eastAsia="zh-CN"/>
        </w:rPr>
        <w:t>询比公告</w:t>
      </w:r>
      <w:bookmarkEnd w:id="3"/>
      <w:bookmarkEnd w:id="4"/>
      <w:bookmarkEnd w:id="5"/>
    </w:p>
    <w:p w14:paraId="07B3E825">
      <w:pPr>
        <w:bidi w:val="0"/>
        <w:rPr>
          <w:color w:val="auto"/>
          <w:highlight w:val="none"/>
        </w:rPr>
      </w:pPr>
      <w:bookmarkStart w:id="6" w:name="_Toc55379218"/>
      <w:bookmarkStart w:id="7" w:name="_Toc89675127"/>
      <w:r>
        <w:rPr>
          <w:color w:val="auto"/>
          <w:highlight w:val="none"/>
        </w:rPr>
        <w:t>为进一步完善我行业务连续性管理体系，强化业务连续性保障能力，根据《国家金融监督管理总局办公厅关于业务连续性管理检查发现主要问题的通报》（金办发〔2023〕31号）相关要求，进一步做深做实业务影响分析、风险评估、应急管理等重点工作，保证业务连续性管理工作常态化开展，提高我行业务连续性管理的规范化、标准化和信息化</w:t>
      </w:r>
      <w:r>
        <w:rPr>
          <w:color w:val="auto"/>
          <w:highlight w:val="none"/>
          <w:u w:val="none"/>
        </w:rPr>
        <w:t>水平</w:t>
      </w:r>
      <w:r>
        <w:rPr>
          <w:rFonts w:hint="eastAsia"/>
          <w:color w:val="auto"/>
          <w:highlight w:val="none"/>
          <w:u w:val="none"/>
        </w:rPr>
        <w:t>。现对重庆三峡银行</w:t>
      </w:r>
      <w:r>
        <w:rPr>
          <w:rFonts w:hint="eastAsia"/>
          <w:color w:val="auto"/>
          <w:highlight w:val="none"/>
          <w:u w:val="none"/>
          <w:lang w:eastAsia="zh-CN"/>
        </w:rPr>
        <w:t>业务连续</w:t>
      </w:r>
      <w:r>
        <w:rPr>
          <w:rFonts w:hint="eastAsia"/>
          <w:color w:val="auto"/>
          <w:highlight w:val="none"/>
          <w:lang w:eastAsia="zh-CN"/>
        </w:rPr>
        <w:t>性数字化管理平台项目（第二次）</w:t>
      </w:r>
      <w:r>
        <w:rPr>
          <w:rFonts w:hint="eastAsia"/>
          <w:color w:val="auto"/>
          <w:highlight w:val="none"/>
        </w:rPr>
        <w:t>进行公开</w:t>
      </w:r>
      <w:r>
        <w:rPr>
          <w:rFonts w:hint="eastAsia"/>
          <w:color w:val="auto"/>
          <w:highlight w:val="none"/>
          <w:lang w:eastAsia="zh-CN"/>
        </w:rPr>
        <w:t>询比</w:t>
      </w:r>
      <w:r>
        <w:rPr>
          <w:rFonts w:hint="eastAsia"/>
          <w:color w:val="auto"/>
          <w:highlight w:val="none"/>
        </w:rPr>
        <w:t>，</w:t>
      </w:r>
      <w:r>
        <w:rPr>
          <w:color w:val="auto"/>
          <w:highlight w:val="none"/>
        </w:rPr>
        <w:t>特邀请有</w:t>
      </w:r>
      <w:bookmarkStart w:id="8" w:name="_Hlk59455120"/>
      <w:r>
        <w:rPr>
          <w:color w:val="auto"/>
          <w:highlight w:val="none"/>
        </w:rPr>
        <w:t>意向</w:t>
      </w:r>
      <w:bookmarkEnd w:id="8"/>
      <w:r>
        <w:rPr>
          <w:color w:val="auto"/>
          <w:highlight w:val="none"/>
        </w:rPr>
        <w:t>的潜在</w:t>
      </w:r>
      <w:r>
        <w:rPr>
          <w:rFonts w:hint="eastAsia"/>
          <w:color w:val="auto"/>
          <w:highlight w:val="none"/>
          <w:lang w:eastAsia="zh-CN"/>
        </w:rPr>
        <w:t>响应人</w:t>
      </w:r>
      <w:r>
        <w:rPr>
          <w:rFonts w:hint="eastAsia"/>
          <w:color w:val="auto"/>
          <w:highlight w:val="none"/>
          <w:lang w:val="en-US" w:eastAsia="zh-CN"/>
        </w:rPr>
        <w:t>参与响应</w:t>
      </w:r>
      <w:r>
        <w:rPr>
          <w:color w:val="auto"/>
          <w:highlight w:val="none"/>
        </w:rPr>
        <w:t>。</w:t>
      </w:r>
    </w:p>
    <w:p w14:paraId="0B55AF00">
      <w:pPr>
        <w:pStyle w:val="4"/>
        <w:bidi w:val="0"/>
        <w:rPr>
          <w:color w:val="auto"/>
          <w:highlight w:val="none"/>
        </w:rPr>
      </w:pPr>
      <w:r>
        <w:rPr>
          <w:rFonts w:hint="eastAsia"/>
          <w:color w:val="auto"/>
          <w:highlight w:val="none"/>
          <w:lang w:val="en-US" w:eastAsia="zh-CN"/>
        </w:rPr>
        <w:t xml:space="preserve">1. </w:t>
      </w:r>
      <w:r>
        <w:rPr>
          <w:rFonts w:hint="eastAsia"/>
          <w:color w:val="auto"/>
          <w:highlight w:val="none"/>
          <w:lang w:eastAsia="zh-CN"/>
        </w:rPr>
        <w:t>询比</w:t>
      </w:r>
      <w:r>
        <w:rPr>
          <w:rFonts w:hint="eastAsia"/>
          <w:color w:val="auto"/>
          <w:highlight w:val="none"/>
        </w:rPr>
        <w:t>项目内容</w:t>
      </w:r>
      <w:bookmarkEnd w:id="6"/>
      <w:bookmarkEnd w:id="7"/>
    </w:p>
    <w:p w14:paraId="30CC5872">
      <w:pPr>
        <w:bidi w:val="0"/>
        <w:rPr>
          <w:rFonts w:hint="eastAsia" w:eastAsia="宋体"/>
          <w:color w:val="auto"/>
          <w:highlight w:val="none"/>
          <w:lang w:val="en-US" w:eastAsia="zh-CN"/>
        </w:rPr>
      </w:pPr>
      <w:bookmarkStart w:id="9" w:name="_Toc469574664"/>
      <w:bookmarkStart w:id="10" w:name="_Toc288224935"/>
      <w:bookmarkStart w:id="11" w:name="_Toc89675128"/>
      <w:bookmarkStart w:id="12" w:name="_Toc297817088"/>
      <w:bookmarkStart w:id="13" w:name="_Toc55379219"/>
      <w:r>
        <w:rPr>
          <w:rFonts w:hint="eastAsia"/>
          <w:color w:val="auto"/>
          <w:highlight w:val="none"/>
          <w:lang w:val="en-US" w:eastAsia="zh-CN"/>
        </w:rPr>
        <w:t>1.1 项目名称：重庆三峡银行</w:t>
      </w:r>
      <w:r>
        <w:rPr>
          <w:rFonts w:hint="eastAsia"/>
          <w:color w:val="auto"/>
          <w:highlight w:val="none"/>
          <w:lang w:eastAsia="zh-CN"/>
        </w:rPr>
        <w:t>业务连续性数字化管理平台项目（第二次）</w:t>
      </w:r>
    </w:p>
    <w:p w14:paraId="6CB599A7">
      <w:pPr>
        <w:bidi w:val="0"/>
        <w:rPr>
          <w:rFonts w:hint="eastAsia"/>
          <w:color w:val="auto"/>
          <w:highlight w:val="none"/>
          <w:lang w:eastAsia="zh-CN"/>
        </w:rPr>
      </w:pPr>
      <w:r>
        <w:rPr>
          <w:rFonts w:hint="eastAsia"/>
          <w:color w:val="auto"/>
          <w:highlight w:val="none"/>
          <w:lang w:val="en-US" w:eastAsia="zh-CN"/>
        </w:rPr>
        <w:t>1.2 采购人：</w:t>
      </w:r>
      <w:r>
        <w:rPr>
          <w:color w:val="auto"/>
          <w:highlight w:val="none"/>
        </w:rPr>
        <w:t>重庆三峡银行股份有限公司</w:t>
      </w:r>
      <w:r>
        <w:rPr>
          <w:rFonts w:hint="eastAsia"/>
          <w:color w:val="auto"/>
          <w:highlight w:val="none"/>
          <w:lang w:eastAsia="zh-CN"/>
        </w:rPr>
        <w:t>。</w:t>
      </w:r>
    </w:p>
    <w:p w14:paraId="74F797DF">
      <w:pPr>
        <w:bidi w:val="0"/>
        <w:rPr>
          <w:rFonts w:hint="eastAsia"/>
          <w:color w:val="auto"/>
          <w:highlight w:val="none"/>
          <w:lang w:val="en-US" w:eastAsia="zh-CN"/>
        </w:rPr>
      </w:pPr>
      <w:r>
        <w:rPr>
          <w:rFonts w:hint="eastAsia"/>
          <w:color w:val="auto"/>
          <w:highlight w:val="none"/>
          <w:lang w:val="en-US" w:eastAsia="zh-CN"/>
        </w:rPr>
        <w:t>1.3 询比范围：重庆三峡银行业务连续性数字化管理平台项目（第二次）（具体内容见询比文件第五章项目要求）</w:t>
      </w:r>
    </w:p>
    <w:p w14:paraId="72CBF06A">
      <w:pPr>
        <w:rPr>
          <w:rFonts w:hint="eastAsia"/>
          <w:color w:val="auto"/>
          <w:highlight w:val="none"/>
          <w:lang w:val="en-US" w:eastAsia="zh-CN"/>
        </w:rPr>
      </w:pPr>
      <w:r>
        <w:rPr>
          <w:rFonts w:hint="eastAsia"/>
          <w:color w:val="auto"/>
          <w:highlight w:val="none"/>
          <w:lang w:val="en-US" w:eastAsia="zh-CN"/>
        </w:rPr>
        <w:t>1.4 响应报价</w:t>
      </w:r>
    </w:p>
    <w:p w14:paraId="14FB4786">
      <w:pPr>
        <w:rPr>
          <w:rFonts w:hint="eastAsia"/>
          <w:color w:val="auto"/>
          <w:highlight w:val="none"/>
          <w:lang w:eastAsia="zh-CN"/>
        </w:rPr>
      </w:pPr>
      <w:r>
        <w:rPr>
          <w:rFonts w:hint="eastAsia"/>
          <w:color w:val="auto"/>
          <w:highlight w:val="none"/>
          <w:lang w:val="en-US" w:eastAsia="zh-CN"/>
        </w:rPr>
        <w:t>最高限价：</w:t>
      </w:r>
      <w:r>
        <w:rPr>
          <w:color w:val="auto"/>
          <w:highlight w:val="none"/>
          <w:lang w:val="en-US" w:eastAsia="zh-CN"/>
        </w:rPr>
        <w:t>150万</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3EFA26C8">
      <w:pPr>
        <w:rPr>
          <w:color w:val="auto"/>
          <w:highlight w:val="none"/>
          <w:lang w:val="en-US" w:eastAsia="zh-CN"/>
        </w:rPr>
      </w:pPr>
      <w:r>
        <w:rPr>
          <w:rFonts w:hint="eastAsia"/>
          <w:color w:val="auto"/>
          <w:highlight w:val="none"/>
          <w:lang w:val="en-US" w:eastAsia="zh-CN"/>
        </w:rPr>
        <w:t>报价方式及要求：</w:t>
      </w:r>
      <w:r>
        <w:rPr>
          <w:color w:val="auto"/>
          <w:highlight w:val="none"/>
          <w:lang w:val="en-US" w:eastAsia="zh-CN"/>
        </w:rPr>
        <w:t>列明分项报价，及税率。</w:t>
      </w:r>
    </w:p>
    <w:p w14:paraId="28928943">
      <w:pPr>
        <w:rPr>
          <w:rFonts w:hint="eastAsia"/>
          <w:color w:val="auto"/>
          <w:highlight w:val="none"/>
          <w:lang w:val="en-US" w:eastAsia="zh-CN"/>
        </w:rPr>
      </w:pPr>
      <w:r>
        <w:rPr>
          <w:rFonts w:hint="eastAsia"/>
          <w:color w:val="auto"/>
          <w:highlight w:val="none"/>
          <w:lang w:val="en-US" w:eastAsia="zh-CN"/>
        </w:rPr>
        <w:t>1.5 成交供应商数量：</w:t>
      </w:r>
      <w:r>
        <w:rPr>
          <w:color w:val="auto"/>
          <w:highlight w:val="none"/>
          <w:lang w:val="en-US" w:eastAsia="zh-CN"/>
        </w:rPr>
        <w:t>1</w:t>
      </w:r>
    </w:p>
    <w:p w14:paraId="3D5FB55B">
      <w:pPr>
        <w:pStyle w:val="4"/>
        <w:bidi w:val="0"/>
        <w:rPr>
          <w:color w:val="auto"/>
          <w:highlight w:val="none"/>
        </w:rPr>
      </w:pPr>
      <w:r>
        <w:rPr>
          <w:rFonts w:hint="eastAsia"/>
          <w:color w:val="auto"/>
          <w:highlight w:val="none"/>
          <w:lang w:val="en-US" w:eastAsia="zh-CN"/>
        </w:rPr>
        <w:t xml:space="preserve">2. </w:t>
      </w:r>
      <w:r>
        <w:rPr>
          <w:rFonts w:hint="eastAsia"/>
          <w:color w:val="auto"/>
          <w:highlight w:val="none"/>
          <w:lang w:eastAsia="zh-CN"/>
        </w:rPr>
        <w:t>响应人</w:t>
      </w:r>
      <w:r>
        <w:rPr>
          <w:rFonts w:hint="eastAsia"/>
          <w:color w:val="auto"/>
          <w:highlight w:val="none"/>
        </w:rPr>
        <w:t>资格要求</w:t>
      </w:r>
      <w:bookmarkEnd w:id="9"/>
      <w:bookmarkEnd w:id="10"/>
      <w:bookmarkEnd w:id="11"/>
      <w:bookmarkEnd w:id="12"/>
      <w:bookmarkEnd w:id="13"/>
    </w:p>
    <w:p w14:paraId="6963C0ED">
      <w:pPr>
        <w:bidi w:val="0"/>
        <w:rPr>
          <w:rFonts w:hint="eastAsia"/>
          <w:color w:val="auto"/>
          <w:highlight w:val="none"/>
          <w:lang w:val="en-US" w:eastAsia="zh-CN"/>
        </w:rPr>
      </w:pPr>
      <w:bookmarkStart w:id="14" w:name="_Hlk55488870"/>
      <w:r>
        <w:rPr>
          <w:rFonts w:hint="eastAsia"/>
          <w:color w:val="auto"/>
          <w:highlight w:val="none"/>
          <w:lang w:val="en-US" w:eastAsia="zh-CN"/>
        </w:rPr>
        <w:t>2.1 具有独立承担民事责任的能力</w:t>
      </w:r>
    </w:p>
    <w:p w14:paraId="06633439">
      <w:pPr>
        <w:bidi w:val="0"/>
        <w:rPr>
          <w:rFonts w:hint="eastAsia"/>
          <w:color w:val="auto"/>
          <w:highlight w:val="none"/>
          <w:lang w:val="en-US" w:eastAsia="zh-CN"/>
        </w:rPr>
      </w:pPr>
      <w:r>
        <w:rPr>
          <w:rFonts w:hint="eastAsia"/>
          <w:color w:val="auto"/>
          <w:highlight w:val="none"/>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70294DAD">
      <w:pPr>
        <w:bidi w:val="0"/>
        <w:rPr>
          <w:rFonts w:hint="eastAsia"/>
          <w:color w:val="auto"/>
          <w:highlight w:val="none"/>
          <w:lang w:val="en-US" w:eastAsia="zh-CN"/>
        </w:rPr>
      </w:pPr>
      <w:r>
        <w:rPr>
          <w:rFonts w:hint="eastAsia"/>
          <w:color w:val="auto"/>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380F012">
      <w:pPr>
        <w:bidi w:val="0"/>
        <w:rPr>
          <w:rFonts w:hint="eastAsia"/>
          <w:color w:val="auto"/>
          <w:highlight w:val="none"/>
          <w:lang w:val="en-US" w:eastAsia="zh-CN"/>
        </w:rPr>
      </w:pPr>
      <w:r>
        <w:rPr>
          <w:rFonts w:hint="eastAsia"/>
          <w:color w:val="auto"/>
          <w:highlight w:val="none"/>
          <w:lang w:val="en-US" w:eastAsia="zh-CN"/>
        </w:rPr>
        <w:t>2.3 本项目不允许任何形式的转包【提供书面声明】。</w:t>
      </w:r>
    </w:p>
    <w:p w14:paraId="7C9EDF76">
      <w:pPr>
        <w:bidi w:val="0"/>
        <w:rPr>
          <w:rFonts w:hint="eastAsia"/>
          <w:color w:val="auto"/>
          <w:highlight w:val="none"/>
          <w:lang w:val="en-US" w:eastAsia="zh-CN"/>
        </w:rPr>
      </w:pPr>
      <w:r>
        <w:rPr>
          <w:rFonts w:hint="eastAsia"/>
          <w:color w:val="auto"/>
          <w:highlight w:val="none"/>
          <w:lang w:val="en-US" w:eastAsia="zh-CN"/>
        </w:rPr>
        <w:t>2.4 法人及法定代表人没有被人民法院列为失信被执行人名单</w:t>
      </w:r>
      <w:r>
        <w:rPr>
          <w:rFonts w:hint="eastAsia"/>
          <w:color w:val="auto"/>
          <w:highlight w:val="none"/>
        </w:rPr>
        <w:t>（中国执行信息公开网网址：https://zxgk.court.gov.cn/）</w:t>
      </w:r>
      <w:r>
        <w:rPr>
          <w:rFonts w:hint="eastAsia"/>
          <w:color w:val="auto"/>
          <w:highlight w:val="none"/>
          <w:lang w:val="en-US" w:eastAsia="zh-CN"/>
        </w:rPr>
        <w:t>【提供：1、法人在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并加盖单位鲜章；2、法定代表人在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46F0F446">
      <w:pPr>
        <w:bidi w:val="0"/>
        <w:rPr>
          <w:rFonts w:hint="eastAsia"/>
          <w:color w:val="auto"/>
          <w:highlight w:val="none"/>
          <w:lang w:val="en-US" w:eastAsia="zh-CN"/>
        </w:rPr>
      </w:pPr>
      <w:r>
        <w:rPr>
          <w:rFonts w:hint="eastAsia"/>
          <w:color w:val="auto"/>
          <w:highlight w:val="none"/>
          <w:lang w:val="en-US" w:eastAsia="zh-CN"/>
        </w:rPr>
        <w:t>2.5 本次询比不接受联合体响应。</w:t>
      </w:r>
    </w:p>
    <w:p w14:paraId="00A37A90">
      <w:pPr>
        <w:rPr>
          <w:rFonts w:hint="eastAsia"/>
          <w:color w:val="auto"/>
          <w:highlight w:val="none"/>
          <w:lang w:val="en-US" w:eastAsia="zh-CN"/>
        </w:rPr>
      </w:pPr>
      <w:r>
        <w:rPr>
          <w:rFonts w:hint="eastAsia"/>
          <w:color w:val="auto"/>
          <w:highlight w:val="none"/>
          <w:lang w:val="en-US" w:eastAsia="zh-CN"/>
        </w:rPr>
        <w:t>2.6 业绩案例：</w:t>
      </w:r>
      <w:r>
        <w:rPr>
          <w:color w:val="auto"/>
          <w:highlight w:val="none"/>
          <w:lang w:val="en-US" w:eastAsia="zh-CN"/>
        </w:rPr>
        <w:t>2022</w:t>
      </w:r>
      <w:r>
        <w:rPr>
          <w:rFonts w:hint="eastAsia"/>
          <w:color w:val="auto"/>
          <w:highlight w:val="none"/>
        </w:rPr>
        <w:t>年</w:t>
      </w:r>
      <w:r>
        <w:rPr>
          <w:color w:val="auto"/>
          <w:highlight w:val="none"/>
          <w:lang w:val="en-US" w:eastAsia="zh-CN"/>
        </w:rPr>
        <w:t>1</w:t>
      </w:r>
      <w:r>
        <w:rPr>
          <w:rFonts w:hint="eastAsia"/>
          <w:color w:val="auto"/>
          <w:highlight w:val="none"/>
        </w:rPr>
        <w:t>月</w:t>
      </w:r>
      <w:r>
        <w:rPr>
          <w:color w:val="auto"/>
          <w:highlight w:val="none"/>
          <w:lang w:val="en-US" w:eastAsia="zh-CN"/>
        </w:rPr>
        <w:t>1</w:t>
      </w:r>
      <w:r>
        <w:rPr>
          <w:rFonts w:hint="eastAsia"/>
          <w:color w:val="auto"/>
          <w:highlight w:val="none"/>
        </w:rPr>
        <w:t>日至本询比文件发出之日止</w:t>
      </w:r>
      <w:r>
        <w:rPr>
          <w:rFonts w:hint="eastAsia"/>
          <w:color w:val="auto"/>
          <w:highlight w:val="none"/>
          <w:lang w:eastAsia="zh-CN"/>
        </w:rPr>
        <w:t>（</w:t>
      </w:r>
      <w:r>
        <w:rPr>
          <w:rFonts w:hint="eastAsia"/>
          <w:color w:val="auto"/>
          <w:highlight w:val="none"/>
          <w:lang w:val="en-US" w:eastAsia="zh-CN"/>
        </w:rPr>
        <w:t>以合同签订时间为准/以合同服务期限为准</w:t>
      </w:r>
      <w:r>
        <w:rPr>
          <w:rFonts w:hint="eastAsia"/>
          <w:color w:val="auto"/>
          <w:highlight w:val="none"/>
          <w:lang w:eastAsia="zh-CN"/>
        </w:rPr>
        <w:t>），</w:t>
      </w:r>
      <w:r>
        <w:rPr>
          <w:rFonts w:hint="eastAsia"/>
          <w:color w:val="auto"/>
          <w:highlight w:val="none"/>
        </w:rPr>
        <w:t>具有</w:t>
      </w:r>
      <w:r>
        <w:rPr>
          <w:color w:val="auto"/>
          <w:highlight w:val="none"/>
        </w:rPr>
        <w:t>业务连续性数字化管理平台</w:t>
      </w:r>
      <w:r>
        <w:rPr>
          <w:rFonts w:hint="eastAsia"/>
          <w:color w:val="auto"/>
          <w:highlight w:val="none"/>
        </w:rPr>
        <w:t>相关实施案例不少于</w:t>
      </w:r>
      <w:r>
        <w:rPr>
          <w:color w:val="auto"/>
          <w:highlight w:val="none"/>
          <w:lang w:val="en-US" w:eastAsia="zh-CN"/>
        </w:rPr>
        <w:t>2</w:t>
      </w:r>
      <w:r>
        <w:rPr>
          <w:rFonts w:hint="eastAsia"/>
          <w:color w:val="auto"/>
          <w:highlight w:val="none"/>
          <w:lang w:val="en-US" w:eastAsia="zh-CN"/>
        </w:rPr>
        <w:t>个</w:t>
      </w:r>
      <w:r>
        <w:rPr>
          <w:rFonts w:hint="eastAsia"/>
          <w:color w:val="auto"/>
          <w:highlight w:val="none"/>
        </w:rPr>
        <w:t>，</w:t>
      </w:r>
      <w:r>
        <w:rPr>
          <w:color w:val="auto"/>
          <w:highlight w:val="none"/>
        </w:rPr>
        <w:t>其中</w:t>
      </w:r>
      <w:r>
        <w:rPr>
          <w:rFonts w:hint="eastAsia"/>
          <w:color w:val="auto"/>
          <w:highlight w:val="none"/>
        </w:rPr>
        <w:t>至少1个为国产化适配实施案例，</w:t>
      </w:r>
      <w:r>
        <w:rPr>
          <w:color w:val="auto"/>
          <w:highlight w:val="none"/>
        </w:rPr>
        <w:t>国产化适配案例需合同项目</w:t>
      </w:r>
      <w:r>
        <w:rPr>
          <w:rFonts w:hint="eastAsia"/>
          <w:color w:val="auto"/>
          <w:highlight w:val="none"/>
        </w:rPr>
        <w:t>名称或建设内容</w:t>
      </w:r>
      <w:r>
        <w:rPr>
          <w:color w:val="auto"/>
          <w:highlight w:val="none"/>
        </w:rPr>
        <w:t>中</w:t>
      </w:r>
      <w:r>
        <w:rPr>
          <w:rFonts w:hint="eastAsia" w:ascii="宋体" w:hAnsi="宋体" w:cs="宋体"/>
          <w:color w:val="auto"/>
          <w:kern w:val="0"/>
          <w:szCs w:val="21"/>
          <w:highlight w:val="none"/>
        </w:rPr>
        <w:t>体现适配国产操作系统、中间件</w:t>
      </w:r>
      <w:r>
        <w:rPr>
          <w:rFonts w:ascii="宋体" w:hAnsi="宋体" w:cs="宋体"/>
          <w:color w:val="auto"/>
          <w:kern w:val="0"/>
          <w:szCs w:val="21"/>
          <w:highlight w:val="none"/>
        </w:rPr>
        <w:t>、</w:t>
      </w:r>
      <w:r>
        <w:rPr>
          <w:rFonts w:hint="eastAsia" w:ascii="宋体" w:hAnsi="宋体" w:cs="宋体"/>
          <w:color w:val="auto"/>
          <w:kern w:val="0"/>
          <w:szCs w:val="21"/>
          <w:highlight w:val="none"/>
        </w:rPr>
        <w:t>数据库等</w:t>
      </w:r>
      <w:r>
        <w:rPr>
          <w:color w:val="auto"/>
          <w:highlight w:val="none"/>
        </w:rPr>
        <w:t>，或者提供</w:t>
      </w:r>
      <w:r>
        <w:rPr>
          <w:rFonts w:hint="eastAsia"/>
          <w:color w:val="auto"/>
          <w:highlight w:val="none"/>
          <w:lang w:val="en-US" w:eastAsia="zh-CN"/>
        </w:rPr>
        <w:t>相</w:t>
      </w:r>
      <w:r>
        <w:rPr>
          <w:color w:val="auto"/>
          <w:highlight w:val="none"/>
        </w:rPr>
        <w:t>关厂家针对案例合同中涉及产品的软件授权适配证明的证书（包含操作系统、中间件、数据库授权等）。</w:t>
      </w:r>
      <w:r>
        <w:rPr>
          <w:rFonts w:hint="eastAsia"/>
          <w:color w:val="auto"/>
          <w:highlight w:val="none"/>
        </w:rPr>
        <w:t>低于</w:t>
      </w:r>
      <w:r>
        <w:rPr>
          <w:color w:val="auto"/>
          <w:highlight w:val="none"/>
          <w:lang w:val="en-US" w:eastAsia="zh-CN"/>
        </w:rPr>
        <w:t>2</w:t>
      </w:r>
      <w:r>
        <w:rPr>
          <w:rFonts w:hint="eastAsia"/>
          <w:color w:val="auto"/>
          <w:highlight w:val="none"/>
        </w:rPr>
        <w:t>个案例（不含</w:t>
      </w:r>
      <w:r>
        <w:rPr>
          <w:color w:val="auto"/>
          <w:highlight w:val="none"/>
          <w:lang w:val="en-US" w:eastAsia="zh-CN"/>
        </w:rPr>
        <w:t>2</w:t>
      </w:r>
      <w:r>
        <w:rPr>
          <w:rFonts w:hint="eastAsia"/>
          <w:color w:val="auto"/>
          <w:highlight w:val="none"/>
        </w:rPr>
        <w:t>个）取消</w:t>
      </w:r>
      <w:r>
        <w:rPr>
          <w:rFonts w:hint="eastAsia"/>
          <w:color w:val="auto"/>
          <w:highlight w:val="none"/>
          <w:lang w:val="en-US" w:eastAsia="zh-CN"/>
        </w:rPr>
        <w:t>响应</w:t>
      </w:r>
      <w:r>
        <w:rPr>
          <w:rFonts w:hint="eastAsia"/>
          <w:color w:val="auto"/>
          <w:highlight w:val="none"/>
        </w:rPr>
        <w:t>资质【</w:t>
      </w:r>
      <w:r>
        <w:rPr>
          <w:rFonts w:hint="eastAsia"/>
          <w:color w:val="auto"/>
          <w:highlight w:val="none"/>
          <w:lang w:val="en-US" w:eastAsia="zh-CN"/>
        </w:rPr>
        <w:t>提供：1、合同关键页（合同关键页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w:t>
      </w:r>
      <w:r>
        <w:rPr>
          <w:rFonts w:hint="eastAsia"/>
          <w:color w:val="auto"/>
          <w:highlight w:val="none"/>
          <w:lang w:val="en-US" w:eastAsia="zh-CN"/>
        </w:rPr>
        <w:t>）；2、项目简介（格式自拟）；3、</w:t>
      </w:r>
      <w:r>
        <w:rPr>
          <w:rFonts w:hint="eastAsia"/>
          <w:color w:val="auto"/>
          <w:highlight w:val="none"/>
        </w:rPr>
        <w:t>合同对应的发票之一</w:t>
      </w:r>
      <w:r>
        <w:rPr>
          <w:rFonts w:hint="eastAsia"/>
          <w:color w:val="auto"/>
          <w:highlight w:val="none"/>
          <w:lang w:eastAsia="zh-CN"/>
        </w:rPr>
        <w:t>（</w:t>
      </w:r>
      <w:r>
        <w:rPr>
          <w:rFonts w:hint="eastAsia"/>
          <w:color w:val="auto"/>
          <w:highlight w:val="none"/>
        </w:rPr>
        <w:t>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eastAsia="zh-CN"/>
        </w:rPr>
        <w:t>，</w:t>
      </w:r>
      <w:r>
        <w:rPr>
          <w:rFonts w:hint="eastAsia"/>
          <w:color w:val="auto"/>
          <w:highlight w:val="none"/>
        </w:rPr>
        <w:t>发票开具日期须晚于合同签订日期、发票购买方须与合同买方一致、发票销售方须与合同卖方（</w:t>
      </w:r>
      <w:r>
        <w:rPr>
          <w:rFonts w:hint="eastAsia"/>
          <w:color w:val="auto"/>
          <w:highlight w:val="none"/>
          <w:lang w:eastAsia="zh-CN"/>
        </w:rPr>
        <w:t>响应人</w:t>
      </w:r>
      <w:r>
        <w:rPr>
          <w:rFonts w:hint="eastAsia"/>
          <w:color w:val="auto"/>
          <w:highlight w:val="none"/>
        </w:rPr>
        <w:t>）一致</w:t>
      </w:r>
      <w:r>
        <w:rPr>
          <w:rFonts w:hint="eastAsia"/>
          <w:color w:val="auto"/>
          <w:highlight w:val="none"/>
          <w:lang w:eastAsia="zh-CN"/>
        </w:rPr>
        <w:t>）</w:t>
      </w:r>
      <w:r>
        <w:rPr>
          <w:rFonts w:hint="eastAsia"/>
          <w:color w:val="auto"/>
          <w:highlight w:val="none"/>
          <w:lang w:val="en-US" w:eastAsia="zh-CN"/>
        </w:rPr>
        <w:t>。</w:t>
      </w:r>
      <w:r>
        <w:rPr>
          <w:rFonts w:hint="eastAsia"/>
          <w:color w:val="auto"/>
          <w:highlight w:val="none"/>
        </w:rPr>
        <w:t>】</w:t>
      </w:r>
    </w:p>
    <w:p w14:paraId="5DB6F112">
      <w:pPr>
        <w:bidi w:val="0"/>
        <w:rPr>
          <w:rFonts w:hint="eastAsia"/>
          <w:color w:val="auto"/>
          <w:highlight w:val="none"/>
        </w:rPr>
      </w:pPr>
      <w:r>
        <w:rPr>
          <w:rFonts w:hint="eastAsia"/>
          <w:color w:val="auto"/>
          <w:highlight w:val="none"/>
          <w:lang w:val="en-US" w:eastAsia="zh-CN"/>
        </w:rPr>
        <w:t xml:space="preserve">2.7 </w:t>
      </w:r>
      <w:r>
        <w:rPr>
          <w:rFonts w:hint="eastAsia"/>
          <w:color w:val="auto"/>
          <w:highlight w:val="none"/>
        </w:rPr>
        <w:t>本次</w:t>
      </w:r>
      <w:r>
        <w:rPr>
          <w:rFonts w:hint="eastAsia"/>
          <w:color w:val="auto"/>
          <w:highlight w:val="none"/>
          <w:lang w:eastAsia="zh-CN"/>
        </w:rPr>
        <w:t>询比</w:t>
      </w:r>
      <w:r>
        <w:rPr>
          <w:rFonts w:hint="eastAsia"/>
          <w:color w:val="auto"/>
          <w:highlight w:val="none"/>
        </w:rPr>
        <w:t>不接受曾因</w:t>
      </w:r>
      <w:r>
        <w:rPr>
          <w:rFonts w:hint="eastAsia"/>
          <w:color w:val="auto"/>
          <w:highlight w:val="none"/>
          <w:lang w:eastAsia="zh-CN"/>
        </w:rPr>
        <w:t>响应人</w:t>
      </w:r>
      <w:r>
        <w:rPr>
          <w:rFonts w:hint="eastAsia"/>
          <w:color w:val="auto"/>
          <w:highlight w:val="none"/>
        </w:rPr>
        <w:t>的违约行为与</w:t>
      </w:r>
      <w:r>
        <w:rPr>
          <w:rFonts w:hint="eastAsia"/>
          <w:color w:val="auto"/>
          <w:highlight w:val="none"/>
          <w:lang w:eastAsia="zh-CN"/>
        </w:rPr>
        <w:t>采购人</w:t>
      </w:r>
      <w:r>
        <w:rPr>
          <w:rFonts w:hint="eastAsia"/>
          <w:color w:val="auto"/>
          <w:highlight w:val="none"/>
        </w:rPr>
        <w:t>发生过纠纷的</w:t>
      </w:r>
      <w:r>
        <w:rPr>
          <w:rFonts w:hint="eastAsia"/>
          <w:color w:val="auto"/>
          <w:highlight w:val="none"/>
          <w:lang w:eastAsia="zh-CN"/>
        </w:rPr>
        <w:t>响应人</w:t>
      </w:r>
      <w:r>
        <w:rPr>
          <w:rFonts w:hint="eastAsia"/>
          <w:color w:val="auto"/>
          <w:highlight w:val="none"/>
        </w:rPr>
        <w:t>；</w:t>
      </w:r>
      <w:r>
        <w:rPr>
          <w:color w:val="auto"/>
          <w:highlight w:val="none"/>
        </w:rPr>
        <w:t>不接受</w:t>
      </w:r>
      <w:r>
        <w:rPr>
          <w:rFonts w:hint="eastAsia"/>
          <w:color w:val="auto"/>
          <w:highlight w:val="none"/>
        </w:rPr>
        <w:t>与</w:t>
      </w:r>
      <w:r>
        <w:rPr>
          <w:rFonts w:hint="eastAsia"/>
          <w:color w:val="auto"/>
          <w:highlight w:val="none"/>
          <w:lang w:eastAsia="zh-CN"/>
        </w:rPr>
        <w:t>采购人</w:t>
      </w:r>
      <w:r>
        <w:rPr>
          <w:rFonts w:hint="eastAsia"/>
          <w:color w:val="auto"/>
          <w:highlight w:val="none"/>
        </w:rPr>
        <w:t>合作过程中不遵守</w:t>
      </w:r>
      <w:r>
        <w:rPr>
          <w:rFonts w:hint="eastAsia"/>
          <w:color w:val="auto"/>
          <w:highlight w:val="none"/>
          <w:lang w:eastAsia="zh-CN"/>
        </w:rPr>
        <w:t>询比文件</w:t>
      </w:r>
      <w:r>
        <w:rPr>
          <w:rFonts w:hint="eastAsia"/>
          <w:color w:val="auto"/>
          <w:highlight w:val="none"/>
        </w:rPr>
        <w:t>及合同约定的</w:t>
      </w:r>
      <w:r>
        <w:rPr>
          <w:rFonts w:hint="eastAsia"/>
          <w:color w:val="auto"/>
          <w:highlight w:val="none"/>
          <w:lang w:eastAsia="zh-CN"/>
        </w:rPr>
        <w:t>响应人</w:t>
      </w:r>
      <w:r>
        <w:rPr>
          <w:rFonts w:hint="eastAsia"/>
          <w:color w:val="auto"/>
          <w:highlight w:val="none"/>
        </w:rPr>
        <w:t>；</w:t>
      </w:r>
      <w:r>
        <w:rPr>
          <w:color w:val="auto"/>
          <w:highlight w:val="none"/>
        </w:rPr>
        <w:t>不接受</w:t>
      </w:r>
      <w:r>
        <w:rPr>
          <w:rFonts w:hint="eastAsia"/>
          <w:color w:val="auto"/>
          <w:highlight w:val="none"/>
        </w:rPr>
        <w:t>曾在</w:t>
      </w:r>
      <w:r>
        <w:rPr>
          <w:rFonts w:hint="eastAsia"/>
          <w:color w:val="auto"/>
          <w:highlight w:val="none"/>
          <w:lang w:eastAsia="zh-CN"/>
        </w:rPr>
        <w:t>采购人</w:t>
      </w:r>
      <w:r>
        <w:rPr>
          <w:rFonts w:hint="eastAsia"/>
          <w:color w:val="auto"/>
          <w:highlight w:val="none"/>
        </w:rPr>
        <w:t>项目</w:t>
      </w:r>
      <w:r>
        <w:rPr>
          <w:color w:val="auto"/>
          <w:highlight w:val="none"/>
        </w:rPr>
        <w:t>中存在</w:t>
      </w:r>
      <w:r>
        <w:rPr>
          <w:rFonts w:hint="eastAsia"/>
          <w:color w:val="auto"/>
          <w:highlight w:val="none"/>
        </w:rPr>
        <w:t>弄虚作假行为的</w:t>
      </w:r>
      <w:r>
        <w:rPr>
          <w:rFonts w:hint="eastAsia"/>
          <w:color w:val="auto"/>
          <w:highlight w:val="none"/>
          <w:lang w:eastAsia="zh-CN"/>
        </w:rPr>
        <w:t>响应人</w:t>
      </w:r>
      <w:r>
        <w:rPr>
          <w:color w:val="auto"/>
          <w:highlight w:val="none"/>
        </w:rPr>
        <w:t>。若</w:t>
      </w:r>
      <w:r>
        <w:rPr>
          <w:rFonts w:hint="eastAsia"/>
          <w:color w:val="auto"/>
          <w:highlight w:val="none"/>
          <w:lang w:eastAsia="zh-CN"/>
        </w:rPr>
        <w:t>响应人</w:t>
      </w:r>
      <w:r>
        <w:rPr>
          <w:color w:val="auto"/>
          <w:highlight w:val="none"/>
        </w:rPr>
        <w:t>存在上述情况，</w:t>
      </w:r>
      <w:r>
        <w:rPr>
          <w:rFonts w:hint="eastAsia"/>
          <w:color w:val="auto"/>
          <w:highlight w:val="none"/>
          <w:lang w:eastAsia="zh-CN"/>
        </w:rPr>
        <w:t>采购人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lang w:val="en-US" w:eastAsia="zh-CN"/>
        </w:rPr>
        <w:t>响应</w:t>
      </w:r>
      <w:r>
        <w:rPr>
          <w:color w:val="auto"/>
          <w:highlight w:val="none"/>
        </w:rPr>
        <w:t>资格或</w:t>
      </w:r>
      <w:r>
        <w:rPr>
          <w:rFonts w:hint="eastAsia"/>
          <w:color w:val="auto"/>
          <w:highlight w:val="none"/>
          <w:lang w:eastAsia="zh-CN"/>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lang w:eastAsia="zh-CN"/>
        </w:rPr>
        <w:t>响应保证金</w:t>
      </w:r>
      <w:r>
        <w:rPr>
          <w:color w:val="auto"/>
          <w:highlight w:val="none"/>
        </w:rPr>
        <w:t>，并追究其相应的法律责任。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0"/>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252B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D627CFA">
            <w:pPr>
              <w:pStyle w:val="36"/>
              <w:rPr>
                <w:highlight w:val="none"/>
              </w:rPr>
            </w:pPr>
            <w:r>
              <w:rPr>
                <w:rFonts w:hint="eastAsia"/>
                <w:highlight w:val="none"/>
              </w:rPr>
              <w:t>序号</w:t>
            </w:r>
          </w:p>
        </w:tc>
        <w:tc>
          <w:tcPr>
            <w:tcW w:w="4933" w:type="dxa"/>
          </w:tcPr>
          <w:p w14:paraId="1941B1F4">
            <w:pPr>
              <w:pStyle w:val="36"/>
              <w:rPr>
                <w:highlight w:val="none"/>
              </w:rPr>
            </w:pPr>
            <w:r>
              <w:rPr>
                <w:rFonts w:hint="eastAsia"/>
                <w:highlight w:val="none"/>
              </w:rPr>
              <w:t>公司</w:t>
            </w:r>
          </w:p>
        </w:tc>
      </w:tr>
      <w:tr w14:paraId="6B2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D2863A7">
            <w:pPr>
              <w:pStyle w:val="35"/>
              <w:rPr>
                <w:highlight w:val="none"/>
              </w:rPr>
            </w:pPr>
            <w:r>
              <w:rPr>
                <w:rFonts w:hint="eastAsia" w:cs="宋体"/>
                <w:szCs w:val="21"/>
                <w:highlight w:val="none"/>
              </w:rPr>
              <w:t>1</w:t>
            </w:r>
          </w:p>
        </w:tc>
        <w:tc>
          <w:tcPr>
            <w:tcW w:w="4933" w:type="dxa"/>
            <w:tcBorders>
              <w:left w:val="single" w:color="auto" w:sz="4" w:space="0"/>
            </w:tcBorders>
          </w:tcPr>
          <w:p w14:paraId="1CDC0924">
            <w:pPr>
              <w:pStyle w:val="35"/>
              <w:rPr>
                <w:highlight w:val="none"/>
              </w:rPr>
            </w:pPr>
            <w:r>
              <w:rPr>
                <w:rFonts w:hint="eastAsia" w:cs="宋体"/>
                <w:szCs w:val="21"/>
                <w:highlight w:val="none"/>
              </w:rPr>
              <w:t>依米康软件技术（深圳）有限责任公司</w:t>
            </w:r>
          </w:p>
        </w:tc>
      </w:tr>
    </w:tbl>
    <w:p w14:paraId="67FD8C5D">
      <w:pPr>
        <w:rPr>
          <w:color w:val="auto"/>
          <w:highlight w:val="none"/>
        </w:rPr>
      </w:pPr>
      <w:r>
        <w:rPr>
          <w:rFonts w:hint="eastAsia"/>
          <w:color w:val="auto"/>
          <w:highlight w:val="none"/>
          <w:lang w:val="en-US" w:eastAsia="zh-CN"/>
        </w:rPr>
        <w:t>2.8 响应人具有</w:t>
      </w:r>
      <w:r>
        <w:rPr>
          <w:color w:val="auto"/>
          <w:highlight w:val="none"/>
        </w:rPr>
        <w:t>ISO27001(安全信息)资质认证、</w:t>
      </w:r>
      <w:r>
        <w:rPr>
          <w:rFonts w:hint="eastAsia"/>
          <w:color w:val="auto"/>
          <w:highlight w:val="none"/>
        </w:rPr>
        <w:t>ISO20000信息技术服务管理体系认证</w:t>
      </w:r>
      <w:r>
        <w:rPr>
          <w:color w:val="auto"/>
          <w:highlight w:val="none"/>
        </w:rPr>
        <w:t>。</w:t>
      </w:r>
      <w:r>
        <w:rPr>
          <w:rFonts w:hint="eastAsia"/>
          <w:color w:val="auto"/>
          <w:highlight w:val="none"/>
          <w:lang w:eastAsia="zh-CN"/>
        </w:rPr>
        <w:t>【</w:t>
      </w:r>
      <w:r>
        <w:rPr>
          <w:color w:val="auto"/>
          <w:highlight w:val="none"/>
        </w:rPr>
        <w:t>提供认证证明材料</w:t>
      </w:r>
      <w:r>
        <w:rPr>
          <w:rFonts w:hint="eastAsia"/>
          <w:color w:val="auto"/>
          <w:highlight w:val="none"/>
          <w:lang w:eastAsia="zh-CN"/>
        </w:rPr>
        <w:t>】</w:t>
      </w:r>
      <w:r>
        <w:rPr>
          <w:color w:val="auto"/>
          <w:highlight w:val="none"/>
        </w:rPr>
        <w:t>。</w:t>
      </w:r>
    </w:p>
    <w:p w14:paraId="4741E2C3">
      <w:pPr>
        <w:rPr>
          <w:color w:val="auto"/>
          <w:highlight w:val="none"/>
        </w:rPr>
      </w:pPr>
      <w:r>
        <w:rPr>
          <w:rFonts w:hint="eastAsia"/>
          <w:color w:val="auto"/>
          <w:highlight w:val="none"/>
        </w:rPr>
        <w:t>2.</w:t>
      </w:r>
      <w:r>
        <w:rPr>
          <w:color w:val="auto"/>
          <w:highlight w:val="none"/>
        </w:rPr>
        <w:t>9</w:t>
      </w:r>
      <w:r>
        <w:rPr>
          <w:rFonts w:hint="eastAsia"/>
          <w:color w:val="auto"/>
          <w:highlight w:val="none"/>
        </w:rPr>
        <w:t xml:space="preserve"> 响应人注册成立时间不少于3年，且近3年财务状况稳定【注册成立时间提供营业执照；财务状况提供书面声明】</w:t>
      </w:r>
      <w:r>
        <w:rPr>
          <w:color w:val="auto"/>
          <w:highlight w:val="none"/>
        </w:rPr>
        <w:t>。</w:t>
      </w:r>
    </w:p>
    <w:p w14:paraId="36BF0643">
      <w:pPr>
        <w:bidi w:val="0"/>
        <w:rPr>
          <w:color w:val="auto"/>
          <w:highlight w:val="none"/>
          <w:lang w:val="en-US" w:eastAsia="zh-CN"/>
        </w:rPr>
      </w:pPr>
      <w:r>
        <w:rPr>
          <w:color w:val="auto"/>
          <w:highlight w:val="none"/>
        </w:rPr>
        <w:t xml:space="preserve">2.10 </w:t>
      </w:r>
      <w:r>
        <w:rPr>
          <w:rFonts w:cs="宋体"/>
          <w:snapToGrid w:val="0"/>
          <w:color w:val="auto"/>
          <w:highlight w:val="none"/>
        </w:rPr>
        <w:t>响应人</w:t>
      </w:r>
      <w:r>
        <w:rPr>
          <w:rFonts w:hint="eastAsia" w:cs="宋体"/>
          <w:snapToGrid w:val="0"/>
          <w:color w:val="auto"/>
          <w:highlight w:val="none"/>
        </w:rPr>
        <w:t>须为产品原厂商，具备对产品二次开发及维护能力【提供书面声明】。</w:t>
      </w:r>
    </w:p>
    <w:p w14:paraId="2E52B8A8">
      <w:pPr>
        <w:bidi w:val="0"/>
        <w:rPr>
          <w:rFonts w:hint="eastAsia"/>
          <w:color w:val="auto"/>
          <w:highlight w:val="none"/>
        </w:rPr>
      </w:pPr>
      <w:r>
        <w:rPr>
          <w:rFonts w:hint="eastAsia"/>
          <w:color w:val="auto"/>
          <w:highlight w:val="none"/>
        </w:rPr>
        <w:t>注:以上证明文件若</w:t>
      </w:r>
      <w:r>
        <w:rPr>
          <w:rFonts w:hint="eastAsia"/>
          <w:color w:val="auto"/>
          <w:highlight w:val="none"/>
          <w:lang w:eastAsia="zh-CN"/>
        </w:rPr>
        <w:t>采购人</w:t>
      </w:r>
      <w:r>
        <w:rPr>
          <w:rFonts w:hint="eastAsia"/>
          <w:color w:val="auto"/>
          <w:highlight w:val="none"/>
        </w:rPr>
        <w:t>存疑，</w:t>
      </w:r>
      <w:r>
        <w:rPr>
          <w:rFonts w:hint="eastAsia"/>
          <w:color w:val="auto"/>
          <w:highlight w:val="none"/>
          <w:lang w:eastAsia="zh-CN"/>
        </w:rPr>
        <w:t>响应人</w:t>
      </w:r>
      <w:r>
        <w:rPr>
          <w:rFonts w:hint="eastAsia"/>
          <w:color w:val="auto"/>
          <w:highlight w:val="none"/>
        </w:rPr>
        <w:t>需提供原件备查，</w:t>
      </w:r>
      <w:r>
        <w:rPr>
          <w:rFonts w:hint="eastAsia"/>
          <w:color w:val="auto"/>
          <w:highlight w:val="none"/>
          <w:lang w:eastAsia="zh-CN"/>
        </w:rPr>
        <w:t>响应文件</w:t>
      </w:r>
      <w:r>
        <w:rPr>
          <w:rFonts w:hint="eastAsia"/>
          <w:color w:val="auto"/>
          <w:highlight w:val="none"/>
        </w:rPr>
        <w:t>中须附相关证明文件复印件并逐页加盖公章。</w:t>
      </w:r>
      <w:r>
        <w:rPr>
          <w:rFonts w:hint="eastAsia"/>
          <w:color w:val="auto"/>
          <w:highlight w:val="none"/>
          <w:lang w:val="en-US" w:eastAsia="zh-CN"/>
        </w:rPr>
        <w:t>项目如为多标段，</w:t>
      </w:r>
      <w:r>
        <w:rPr>
          <w:rFonts w:hint="eastAsia"/>
          <w:color w:val="auto"/>
          <w:highlight w:val="none"/>
          <w:lang w:eastAsia="zh-CN"/>
        </w:rPr>
        <w:t>询比</w:t>
      </w:r>
      <w:r>
        <w:rPr>
          <w:rFonts w:hint="eastAsia"/>
          <w:color w:val="auto"/>
          <w:highlight w:val="none"/>
        </w:rPr>
        <w:t>文件中未按标段分别表述的要求、规则、评审办法等内容，均视为适用于所有分包。</w:t>
      </w:r>
    </w:p>
    <w:bookmarkEnd w:id="14"/>
    <w:p w14:paraId="49D6B744">
      <w:pPr>
        <w:pStyle w:val="4"/>
        <w:bidi w:val="0"/>
        <w:rPr>
          <w:color w:val="auto"/>
          <w:highlight w:val="none"/>
        </w:rPr>
      </w:pPr>
      <w:bookmarkStart w:id="15" w:name="_Toc55379220"/>
      <w:bookmarkStart w:id="16" w:name="_Toc297817090"/>
      <w:bookmarkStart w:id="17" w:name="_Toc89675130"/>
      <w:bookmarkStart w:id="18" w:name="_Toc469574667"/>
      <w:r>
        <w:rPr>
          <w:rFonts w:hint="eastAsia"/>
          <w:color w:val="auto"/>
          <w:highlight w:val="none"/>
          <w:lang w:val="en-US" w:eastAsia="zh-CN"/>
        </w:rPr>
        <w:t xml:space="preserve">3. </w:t>
      </w:r>
      <w:r>
        <w:rPr>
          <w:rFonts w:hint="eastAsia"/>
          <w:color w:val="auto"/>
          <w:highlight w:val="none"/>
          <w:lang w:eastAsia="zh-CN"/>
        </w:rPr>
        <w:t>询比文件</w:t>
      </w:r>
      <w:r>
        <w:rPr>
          <w:rFonts w:hint="eastAsia"/>
          <w:color w:val="auto"/>
          <w:highlight w:val="none"/>
        </w:rPr>
        <w:t>的获取</w:t>
      </w:r>
      <w:bookmarkEnd w:id="15"/>
      <w:bookmarkStart w:id="316" w:name="_GoBack"/>
      <w:bookmarkEnd w:id="316"/>
    </w:p>
    <w:p w14:paraId="6965BE1D">
      <w:pPr>
        <w:bidi w:val="0"/>
        <w:rPr>
          <w:color w:val="auto"/>
          <w:highlight w:val="none"/>
          <w:lang w:val="en-US" w:eastAsia="zh-CN"/>
        </w:rPr>
      </w:pPr>
      <w:r>
        <w:rPr>
          <w:rFonts w:hint="eastAsia"/>
          <w:color w:val="auto"/>
          <w:highlight w:val="none"/>
          <w:lang w:val="en-US" w:eastAsia="zh-CN"/>
        </w:rPr>
        <w:t>3.1 响应截止时间：</w:t>
      </w:r>
      <w:r>
        <w:rPr>
          <w:rFonts w:hint="eastAsia"/>
          <w:color w:val="auto"/>
          <w:highlight w:val="none"/>
          <w:u w:val="none"/>
          <w:lang w:val="en-US" w:eastAsia="zh-CN"/>
        </w:rPr>
        <w:t xml:space="preserve">2026 </w:t>
      </w:r>
      <w:r>
        <w:rPr>
          <w:rFonts w:hint="eastAsia"/>
          <w:color w:val="auto"/>
          <w:highlight w:val="none"/>
          <w:u w:val="none"/>
        </w:rPr>
        <w:t>年</w:t>
      </w:r>
      <w:r>
        <w:rPr>
          <w:rFonts w:hint="eastAsia"/>
          <w:color w:val="auto"/>
          <w:highlight w:val="none"/>
          <w:u w:val="none"/>
          <w:lang w:val="en-US" w:eastAsia="zh-CN"/>
        </w:rPr>
        <w:t xml:space="preserve"> 1 </w:t>
      </w:r>
      <w:r>
        <w:rPr>
          <w:rFonts w:hint="eastAsia"/>
          <w:color w:val="auto"/>
          <w:highlight w:val="none"/>
          <w:u w:val="none"/>
        </w:rPr>
        <w:t xml:space="preserve">月 </w:t>
      </w:r>
      <w:r>
        <w:rPr>
          <w:rFonts w:hint="eastAsia"/>
          <w:color w:val="auto"/>
          <w:highlight w:val="none"/>
          <w:u w:val="none"/>
          <w:lang w:val="en-US" w:eastAsia="zh-CN"/>
        </w:rPr>
        <w:t>9</w:t>
      </w:r>
      <w:r>
        <w:rPr>
          <w:rFonts w:hint="eastAsia"/>
          <w:color w:val="auto"/>
          <w:highlight w:val="none"/>
          <w:u w:val="none"/>
        </w:rPr>
        <w:t xml:space="preserve"> 日</w:t>
      </w:r>
      <w:r>
        <w:rPr>
          <w:rFonts w:hint="eastAsia"/>
          <w:color w:val="auto"/>
          <w:highlight w:val="none"/>
          <w:u w:val="none"/>
          <w:lang w:val="en-US" w:eastAsia="zh-CN"/>
        </w:rPr>
        <w:t xml:space="preserve"> 9</w:t>
      </w:r>
      <w:r>
        <w:rPr>
          <w:rFonts w:hint="eastAsia"/>
          <w:color w:val="auto"/>
          <w:highlight w:val="none"/>
          <w:u w:val="none"/>
        </w:rPr>
        <w:t xml:space="preserve"> 时</w:t>
      </w:r>
      <w:r>
        <w:rPr>
          <w:rFonts w:hint="eastAsia"/>
          <w:color w:val="auto"/>
          <w:highlight w:val="none"/>
          <w:u w:val="none"/>
          <w:lang w:val="en-US" w:eastAsia="zh-CN"/>
        </w:rPr>
        <w:t xml:space="preserve"> 30 </w:t>
      </w:r>
      <w:r>
        <w:rPr>
          <w:rFonts w:hint="eastAsia"/>
          <w:color w:val="auto"/>
          <w:highlight w:val="none"/>
          <w:u w:val="none"/>
        </w:rPr>
        <w:t>分</w:t>
      </w:r>
      <w:r>
        <w:rPr>
          <w:rFonts w:hint="eastAsia"/>
          <w:color w:val="auto"/>
          <w:highlight w:val="none"/>
        </w:rPr>
        <w:t>（北京时间）</w:t>
      </w:r>
    </w:p>
    <w:p w14:paraId="29D36592">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w:t>
      </w:r>
      <w:r>
        <w:rPr>
          <w:rFonts w:hint="eastAsia"/>
          <w:color w:val="auto"/>
          <w:highlight w:val="none"/>
          <w:lang w:val="en-US" w:eastAsia="zh-CN"/>
        </w:rPr>
        <w:t>响应截止时间前</w:t>
      </w:r>
      <w:r>
        <w:rPr>
          <w:rFonts w:hint="eastAsia"/>
          <w:color w:val="auto"/>
          <w:highlight w:val="none"/>
        </w:rPr>
        <w:t>，在重庆市公共资源交易网（www.cqggzy.com）下载</w:t>
      </w:r>
      <w:r>
        <w:rPr>
          <w:rFonts w:hint="eastAsia"/>
          <w:color w:val="auto"/>
          <w:highlight w:val="none"/>
          <w:lang w:eastAsia="zh-CN"/>
        </w:rPr>
        <w:t>询比文件</w:t>
      </w:r>
      <w:r>
        <w:rPr>
          <w:rFonts w:hint="eastAsia"/>
          <w:color w:val="auto"/>
          <w:highlight w:val="none"/>
        </w:rPr>
        <w:t>。</w:t>
      </w:r>
    </w:p>
    <w:p w14:paraId="50C289CD">
      <w:pPr>
        <w:pStyle w:val="4"/>
        <w:bidi w:val="0"/>
        <w:rPr>
          <w:color w:val="auto"/>
          <w:highlight w:val="none"/>
          <w:lang w:val="en-US" w:eastAsia="zh-CN"/>
        </w:rPr>
      </w:pPr>
      <w:r>
        <w:rPr>
          <w:rFonts w:hint="eastAsia"/>
          <w:color w:val="auto"/>
          <w:highlight w:val="none"/>
          <w:lang w:val="en-US" w:eastAsia="zh-CN"/>
        </w:rPr>
        <w:t>4. 提问</w:t>
      </w:r>
    </w:p>
    <w:p w14:paraId="3BBFD8AF">
      <w:pPr>
        <w:bidi w:val="0"/>
        <w:rPr>
          <w:rFonts w:hint="eastAsia"/>
          <w:color w:val="auto"/>
          <w:highlight w:val="none"/>
        </w:rPr>
      </w:pPr>
      <w:r>
        <w:rPr>
          <w:rFonts w:hint="eastAsia"/>
          <w:color w:val="auto"/>
          <w:highlight w:val="none"/>
          <w:lang w:val="en-US" w:eastAsia="zh-CN"/>
        </w:rPr>
        <w:t>4.1 提问截止时间：2025</w:t>
      </w:r>
      <w:r>
        <w:rPr>
          <w:rFonts w:hint="eastAsia"/>
          <w:color w:val="auto"/>
          <w:highlight w:val="none"/>
        </w:rPr>
        <w:t xml:space="preserve">年 </w:t>
      </w:r>
      <w:r>
        <w:rPr>
          <w:rFonts w:hint="eastAsia"/>
          <w:color w:val="auto"/>
          <w:highlight w:val="none"/>
          <w:lang w:val="en-US" w:eastAsia="zh-CN"/>
        </w:rPr>
        <w:t>12</w:t>
      </w:r>
      <w:r>
        <w:rPr>
          <w:rFonts w:hint="eastAsia"/>
          <w:color w:val="auto"/>
          <w:highlight w:val="none"/>
        </w:rPr>
        <w:t xml:space="preserve"> 月</w:t>
      </w:r>
      <w:r>
        <w:rPr>
          <w:rFonts w:hint="eastAsia"/>
          <w:color w:val="auto"/>
          <w:highlight w:val="none"/>
          <w:lang w:val="en-US" w:eastAsia="zh-CN"/>
        </w:rPr>
        <w:t xml:space="preserve"> 28</w:t>
      </w:r>
      <w:r>
        <w:rPr>
          <w:rFonts w:hint="eastAsia"/>
          <w:color w:val="auto"/>
          <w:highlight w:val="none"/>
        </w:rPr>
        <w:t xml:space="preserve"> 日 </w:t>
      </w:r>
      <w:r>
        <w:rPr>
          <w:rFonts w:hint="eastAsia"/>
          <w:color w:val="auto"/>
          <w:highlight w:val="none"/>
          <w:lang w:val="en-US" w:eastAsia="zh-CN"/>
        </w:rPr>
        <w:t xml:space="preserve">17 </w:t>
      </w:r>
      <w:r>
        <w:rPr>
          <w:rFonts w:hint="eastAsia"/>
          <w:color w:val="auto"/>
          <w:highlight w:val="none"/>
        </w:rPr>
        <w:t xml:space="preserve"> 时</w:t>
      </w:r>
      <w:r>
        <w:rPr>
          <w:rFonts w:hint="eastAsia"/>
          <w:color w:val="auto"/>
          <w:highlight w:val="none"/>
          <w:lang w:val="en-US" w:eastAsia="zh-CN"/>
        </w:rPr>
        <w:t xml:space="preserve"> 00 </w:t>
      </w:r>
      <w:r>
        <w:rPr>
          <w:rFonts w:hint="eastAsia"/>
          <w:color w:val="auto"/>
          <w:highlight w:val="none"/>
        </w:rPr>
        <w:t>分（北京时间）</w:t>
      </w:r>
    </w:p>
    <w:p w14:paraId="16B69BCC">
      <w:pPr>
        <w:bidi w:val="0"/>
        <w:rPr>
          <w:rFonts w:hint="eastAsia"/>
          <w:color w:val="auto"/>
          <w:highlight w:val="none"/>
        </w:rPr>
      </w:pPr>
      <w:r>
        <w:rPr>
          <w:rFonts w:hint="eastAsia"/>
          <w:color w:val="auto"/>
          <w:highlight w:val="none"/>
          <w:lang w:val="en-US" w:eastAsia="zh-CN"/>
        </w:rPr>
        <w:t xml:space="preserve">4.2 </w:t>
      </w:r>
      <w:r>
        <w:rPr>
          <w:rFonts w:hint="eastAsia"/>
          <w:color w:val="auto"/>
          <w:highlight w:val="none"/>
          <w:lang w:eastAsia="zh-CN"/>
        </w:rPr>
        <w:t>响应人</w:t>
      </w:r>
      <w:r>
        <w:rPr>
          <w:rFonts w:hint="eastAsia"/>
          <w:color w:val="auto"/>
          <w:highlight w:val="none"/>
        </w:rPr>
        <w:t>在下载</w:t>
      </w:r>
      <w:r>
        <w:rPr>
          <w:rFonts w:hint="eastAsia"/>
          <w:color w:val="auto"/>
          <w:highlight w:val="none"/>
          <w:lang w:eastAsia="zh-CN"/>
        </w:rPr>
        <w:t>询比文件</w:t>
      </w:r>
      <w:r>
        <w:rPr>
          <w:rFonts w:hint="eastAsia"/>
          <w:color w:val="auto"/>
          <w:highlight w:val="none"/>
        </w:rPr>
        <w:t>后，应仔细检查</w:t>
      </w:r>
      <w:r>
        <w:rPr>
          <w:rFonts w:hint="eastAsia"/>
          <w:color w:val="auto"/>
          <w:highlight w:val="none"/>
          <w:lang w:eastAsia="zh-CN"/>
        </w:rPr>
        <w:t>询比文件</w:t>
      </w:r>
      <w:r>
        <w:rPr>
          <w:rFonts w:hint="eastAsia"/>
          <w:color w:val="auto"/>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color w:val="auto"/>
          <w:highlight w:val="none"/>
          <w:lang w:eastAsia="zh-CN"/>
        </w:rPr>
        <w:t>询比公告</w:t>
      </w:r>
      <w:r>
        <w:rPr>
          <w:rFonts w:hint="eastAsia"/>
          <w:color w:val="auto"/>
          <w:highlight w:val="none"/>
        </w:rPr>
        <w:t>的“我要提问”栏目匿名提出。</w:t>
      </w:r>
      <w:r>
        <w:rPr>
          <w:rFonts w:hint="eastAsia"/>
          <w:color w:val="auto"/>
          <w:highlight w:val="none"/>
          <w:lang w:eastAsia="zh-CN"/>
        </w:rPr>
        <w:t>响应人</w:t>
      </w:r>
      <w:r>
        <w:rPr>
          <w:rFonts w:hint="eastAsia"/>
          <w:color w:val="auto"/>
          <w:highlight w:val="none"/>
        </w:rPr>
        <w:t>未提出，则视为</w:t>
      </w:r>
      <w:r>
        <w:rPr>
          <w:rFonts w:hint="eastAsia"/>
          <w:color w:val="auto"/>
          <w:highlight w:val="none"/>
          <w:lang w:eastAsia="zh-CN"/>
        </w:rPr>
        <w:t>响应人</w:t>
      </w:r>
      <w:r>
        <w:rPr>
          <w:rFonts w:hint="eastAsia"/>
          <w:color w:val="auto"/>
          <w:highlight w:val="none"/>
        </w:rPr>
        <w:t>已全面确认</w:t>
      </w:r>
      <w:r>
        <w:rPr>
          <w:rFonts w:hint="eastAsia"/>
          <w:color w:val="auto"/>
          <w:highlight w:val="none"/>
          <w:lang w:eastAsia="zh-CN"/>
        </w:rPr>
        <w:t>询比文件</w:t>
      </w:r>
      <w:r>
        <w:rPr>
          <w:rFonts w:hint="eastAsia"/>
          <w:color w:val="auto"/>
          <w:highlight w:val="none"/>
        </w:rPr>
        <w:t>内容。采购人在认为有必要对响应人所提问题进行</w:t>
      </w:r>
      <w:r>
        <w:rPr>
          <w:rFonts w:hint="eastAsia"/>
          <w:color w:val="auto"/>
          <w:highlight w:val="none"/>
          <w:lang w:eastAsia="zh-CN"/>
        </w:rPr>
        <w:t>回复</w:t>
      </w:r>
      <w:r>
        <w:rPr>
          <w:rFonts w:hint="eastAsia"/>
          <w:color w:val="auto"/>
          <w:highlight w:val="none"/>
        </w:rPr>
        <w:t>或对询比文件进行补充</w:t>
      </w:r>
      <w:r>
        <w:rPr>
          <w:rFonts w:hint="eastAsia"/>
          <w:color w:val="auto"/>
          <w:highlight w:val="none"/>
          <w:lang w:val="en-US" w:eastAsia="zh-CN"/>
        </w:rPr>
        <w:t>修改</w:t>
      </w:r>
      <w:r>
        <w:rPr>
          <w:rFonts w:hint="eastAsia"/>
          <w:color w:val="auto"/>
          <w:highlight w:val="none"/>
        </w:rPr>
        <w:t>时，将在《重庆市公共资源交易网（www.cqggzy.com）》“答疑补遗”栏上发布</w:t>
      </w:r>
      <w:r>
        <w:rPr>
          <w:rFonts w:hint="eastAsia"/>
          <w:color w:val="auto"/>
          <w:highlight w:val="none"/>
          <w:lang w:val="en-US" w:eastAsia="zh-CN"/>
        </w:rPr>
        <w:t>澄清修改</w:t>
      </w:r>
      <w:r>
        <w:rPr>
          <w:rFonts w:hint="eastAsia"/>
          <w:color w:val="auto"/>
          <w:highlight w:val="none"/>
        </w:rPr>
        <w:t>文件。不论响应人下载与否，都视为响应人收到有关本项目在《重庆市公共资源交易网（www.cqggzy.com）》上发布的所有资料并全部知晓有关询比过程和事宜，由此产生的一切后果由响应人自负。</w:t>
      </w:r>
    </w:p>
    <w:p w14:paraId="63A1AD3F">
      <w:pPr>
        <w:pStyle w:val="4"/>
        <w:bidi w:val="0"/>
        <w:rPr>
          <w:color w:val="auto"/>
          <w:highlight w:val="none"/>
        </w:rPr>
      </w:pPr>
      <w:bookmarkStart w:id="19" w:name="_Toc55379221"/>
      <w:r>
        <w:rPr>
          <w:rFonts w:hint="eastAsia"/>
          <w:color w:val="auto"/>
          <w:highlight w:val="none"/>
          <w:lang w:val="en-US" w:eastAsia="zh-CN"/>
        </w:rPr>
        <w:t>5. 响应保证金</w:t>
      </w:r>
      <w:r>
        <w:rPr>
          <w:rFonts w:hint="eastAsia"/>
          <w:color w:val="auto"/>
          <w:highlight w:val="none"/>
        </w:rPr>
        <w:t>的递交</w:t>
      </w:r>
      <w:bookmarkEnd w:id="16"/>
      <w:bookmarkEnd w:id="17"/>
      <w:bookmarkEnd w:id="18"/>
      <w:bookmarkEnd w:id="19"/>
    </w:p>
    <w:p w14:paraId="7DF2788A">
      <w:pPr>
        <w:bidi w:val="0"/>
        <w:rPr>
          <w:color w:val="auto"/>
          <w:highlight w:val="none"/>
        </w:rPr>
      </w:pPr>
      <w:bookmarkStart w:id="20" w:name="_Toc55379222"/>
      <w:bookmarkStart w:id="21" w:name="_Toc297817091"/>
      <w:bookmarkStart w:id="22" w:name="_Toc469574668"/>
      <w:bookmarkStart w:id="23" w:name="_Toc89675131"/>
      <w:r>
        <w:rPr>
          <w:rFonts w:hint="eastAsia"/>
          <w:color w:val="auto"/>
          <w:highlight w:val="none"/>
          <w:lang w:val="en-US" w:eastAsia="zh-CN"/>
        </w:rPr>
        <w:t>5.</w:t>
      </w:r>
      <w:r>
        <w:rPr>
          <w:rFonts w:hint="eastAsia"/>
          <w:color w:val="auto"/>
          <w:highlight w:val="none"/>
        </w:rPr>
        <w:t>1</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的金额：</w:t>
      </w:r>
      <w:r>
        <w:rPr>
          <w:rFonts w:hint="eastAsia"/>
          <w:b/>
          <w:bCs/>
          <w:color w:val="auto"/>
          <w:highlight w:val="none"/>
          <w:u w:val="single"/>
          <w:lang w:val="en-US" w:eastAsia="zh-CN"/>
        </w:rPr>
        <w:t xml:space="preserve"> </w:t>
      </w:r>
      <w:r>
        <w:rPr>
          <w:b/>
          <w:bCs/>
          <w:color w:val="auto"/>
          <w:highlight w:val="none"/>
          <w:u w:val="single"/>
          <w:lang w:val="en-US" w:eastAsia="zh-CN"/>
        </w:rPr>
        <w:t>30</w:t>
      </w:r>
      <w:r>
        <w:rPr>
          <w:rFonts w:hint="eastAsia"/>
          <w:b/>
          <w:bCs/>
          <w:color w:val="auto"/>
          <w:highlight w:val="none"/>
          <w:u w:val="single"/>
          <w:lang w:val="en-US" w:eastAsia="zh-CN"/>
        </w:rPr>
        <w:t>,</w:t>
      </w:r>
      <w:r>
        <w:rPr>
          <w:b/>
          <w:bCs/>
          <w:color w:val="auto"/>
          <w:highlight w:val="none"/>
          <w:u w:val="single"/>
          <w:lang w:val="en-US" w:eastAsia="zh-CN"/>
        </w:rPr>
        <w:t>000</w:t>
      </w:r>
      <w:r>
        <w:rPr>
          <w:rFonts w:hint="eastAsia"/>
          <w:b/>
          <w:bCs/>
          <w:color w:val="auto"/>
          <w:highlight w:val="none"/>
          <w:u w:val="single"/>
        </w:rPr>
        <w:t>元整（大写：</w:t>
      </w:r>
      <w:r>
        <w:rPr>
          <w:b/>
          <w:bCs/>
          <w:color w:val="auto"/>
          <w:highlight w:val="none"/>
          <w:u w:val="single"/>
        </w:rPr>
        <w:t>叁万元整</w:t>
      </w:r>
      <w:r>
        <w:rPr>
          <w:rFonts w:hint="eastAsia"/>
          <w:b/>
          <w:bCs/>
          <w:color w:val="auto"/>
          <w:highlight w:val="none"/>
          <w:u w:val="single"/>
        </w:rPr>
        <w:t>）</w:t>
      </w:r>
      <w:r>
        <w:rPr>
          <w:rFonts w:hint="eastAsia"/>
          <w:color w:val="auto"/>
          <w:highlight w:val="none"/>
        </w:rPr>
        <w:t>。</w:t>
      </w:r>
    </w:p>
    <w:p w14:paraId="13717606">
      <w:pPr>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缴纳方式：</w:t>
      </w:r>
      <w:r>
        <w:rPr>
          <w:rFonts w:hint="eastAsia"/>
          <w:color w:val="auto"/>
          <w:highlight w:val="none"/>
          <w:lang w:eastAsia="zh-CN"/>
        </w:rPr>
        <w:t>响应人</w:t>
      </w:r>
      <w:r>
        <w:rPr>
          <w:rFonts w:hint="eastAsia"/>
          <w:color w:val="auto"/>
          <w:highlight w:val="none"/>
        </w:rPr>
        <w:t>从</w:t>
      </w:r>
      <w:r>
        <w:rPr>
          <w:rFonts w:hint="eastAsia"/>
          <w:color w:val="auto"/>
          <w:highlight w:val="none"/>
          <w:lang w:eastAsia="zh-CN"/>
        </w:rPr>
        <w:t>响应人</w:t>
      </w:r>
      <w:r>
        <w:rPr>
          <w:rFonts w:hint="eastAsia"/>
          <w:color w:val="auto"/>
          <w:highlight w:val="none"/>
        </w:rPr>
        <w:t>的银行账户，通过转账或电汇方式直接划付至</w:t>
      </w:r>
      <w:r>
        <w:rPr>
          <w:rFonts w:hint="eastAsia"/>
          <w:color w:val="auto"/>
          <w:highlight w:val="none"/>
          <w:lang w:val="en-US" w:eastAsia="zh-CN"/>
        </w:rPr>
        <w:t>对应标段公告下方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w:t>
      </w:r>
      <w:r>
        <w:rPr>
          <w:rFonts w:hint="eastAsia"/>
          <w:color w:val="auto"/>
          <w:highlight w:val="none"/>
          <w:lang w:eastAsia="zh-CN"/>
        </w:rPr>
        <w:t>响应保证金</w:t>
      </w:r>
      <w:r>
        <w:rPr>
          <w:rFonts w:hint="eastAsia"/>
          <w:color w:val="auto"/>
          <w:highlight w:val="none"/>
        </w:rPr>
        <w:t>无效。</w:t>
      </w:r>
      <w:r>
        <w:rPr>
          <w:rFonts w:hint="eastAsia"/>
          <w:color w:val="auto"/>
          <w:highlight w:val="none"/>
          <w:lang w:eastAsia="zh-CN"/>
        </w:rPr>
        <w:t>响应人</w:t>
      </w:r>
      <w:r>
        <w:rPr>
          <w:rFonts w:hint="eastAsia"/>
          <w:color w:val="auto"/>
          <w:highlight w:val="none"/>
        </w:rPr>
        <w:t>自行考虑汇入到账时间风险，本项目</w:t>
      </w:r>
      <w:r>
        <w:rPr>
          <w:rFonts w:hint="eastAsia"/>
          <w:color w:val="auto"/>
          <w:highlight w:val="none"/>
          <w:lang w:eastAsia="zh-CN"/>
        </w:rPr>
        <w:t>响应保证金</w:t>
      </w:r>
      <w:r>
        <w:rPr>
          <w:rFonts w:hint="eastAsia"/>
          <w:color w:val="auto"/>
          <w:highlight w:val="none"/>
        </w:rPr>
        <w:t>不接受任何形式保函（包括电子保函）；</w:t>
      </w:r>
    </w:p>
    <w:p w14:paraId="2BAFC4D6">
      <w:pPr>
        <w:bidi w:val="0"/>
        <w:rPr>
          <w:color w:val="auto"/>
          <w:highlight w:val="none"/>
        </w:rPr>
      </w:pPr>
      <w:r>
        <w:rPr>
          <w:rFonts w:hint="eastAsia"/>
          <w:color w:val="auto"/>
          <w:highlight w:val="none"/>
          <w:lang w:val="en-US" w:eastAsia="zh-CN"/>
        </w:rPr>
        <w:t>5.</w:t>
      </w:r>
      <w:r>
        <w:rPr>
          <w:rFonts w:hint="eastAsia"/>
          <w:color w:val="auto"/>
          <w:highlight w:val="none"/>
        </w:rPr>
        <w:t>3</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递交的截止时间</w:t>
      </w:r>
      <w:r>
        <w:rPr>
          <w:rFonts w:hint="eastAsia"/>
          <w:color w:val="auto"/>
          <w:highlight w:val="none"/>
          <w:lang w:val="en-US" w:eastAsia="zh-CN"/>
        </w:rPr>
        <w:t>同响应截止时间</w:t>
      </w:r>
      <w:r>
        <w:rPr>
          <w:rFonts w:hint="eastAsia"/>
          <w:color w:val="auto"/>
          <w:highlight w:val="none"/>
        </w:rPr>
        <w:t>。</w:t>
      </w:r>
      <w:r>
        <w:rPr>
          <w:rFonts w:hint="eastAsia"/>
          <w:color w:val="auto"/>
          <w:highlight w:val="none"/>
          <w:lang w:eastAsia="zh-CN"/>
        </w:rPr>
        <w:t>响应保证金</w:t>
      </w:r>
      <w:r>
        <w:rPr>
          <w:rFonts w:hint="eastAsia"/>
          <w:color w:val="auto"/>
          <w:highlight w:val="none"/>
        </w:rPr>
        <w:t>以重庆市公共资源交易中心</w:t>
      </w:r>
      <w:r>
        <w:rPr>
          <w:rFonts w:hint="eastAsia"/>
          <w:color w:val="auto"/>
          <w:highlight w:val="none"/>
          <w:lang w:eastAsia="zh-CN"/>
        </w:rPr>
        <w:t>询比</w:t>
      </w:r>
      <w:r>
        <w:rPr>
          <w:rFonts w:hint="eastAsia"/>
          <w:color w:val="auto"/>
          <w:highlight w:val="none"/>
        </w:rPr>
        <w:t>现场</w:t>
      </w:r>
      <w:r>
        <w:rPr>
          <w:rFonts w:hint="eastAsia"/>
          <w:color w:val="auto"/>
          <w:highlight w:val="none"/>
          <w:lang w:val="en-US" w:eastAsia="zh-CN"/>
        </w:rPr>
        <w:t>获取</w:t>
      </w:r>
      <w:r>
        <w:rPr>
          <w:rFonts w:hint="eastAsia"/>
          <w:color w:val="auto"/>
          <w:highlight w:val="none"/>
        </w:rPr>
        <w:t>的保证金交纳情况为准。</w:t>
      </w:r>
    </w:p>
    <w:p w14:paraId="4E4700AA">
      <w:pPr>
        <w:bidi w:val="0"/>
        <w:rPr>
          <w:color w:val="auto"/>
          <w:highlight w:val="none"/>
        </w:rPr>
      </w:pPr>
      <w:r>
        <w:rPr>
          <w:rFonts w:hint="eastAsia"/>
          <w:color w:val="auto"/>
          <w:highlight w:val="none"/>
          <w:lang w:val="en-US" w:eastAsia="zh-CN"/>
        </w:rPr>
        <w:t>5.</w:t>
      </w:r>
      <w:r>
        <w:rPr>
          <w:color w:val="auto"/>
          <w:highlight w:val="none"/>
        </w:rPr>
        <w:t>4</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专用账户如下：</w:t>
      </w:r>
    </w:p>
    <w:p w14:paraId="1D10924B">
      <w:pPr>
        <w:bidi w:val="0"/>
        <w:rPr>
          <w:rFonts w:hint="eastAsia"/>
          <w:color w:val="auto"/>
          <w:highlight w:val="none"/>
        </w:rPr>
      </w:pPr>
      <w:r>
        <w:rPr>
          <w:rFonts w:hint="eastAsia"/>
          <w:color w:val="auto"/>
          <w:highlight w:val="none"/>
        </w:rPr>
        <w:t>详见重庆市公共资源交易网（www.cqggzy.com）对应本项目</w:t>
      </w:r>
      <w:r>
        <w:rPr>
          <w:rFonts w:hint="eastAsia"/>
          <w:color w:val="auto"/>
          <w:highlight w:val="none"/>
          <w:lang w:eastAsia="zh-CN"/>
        </w:rPr>
        <w:t>询比公告</w:t>
      </w:r>
      <w:r>
        <w:rPr>
          <w:rFonts w:hint="eastAsia"/>
          <w:color w:val="auto"/>
          <w:highlight w:val="none"/>
        </w:rPr>
        <w:t>信息栏中的保证金信息。</w:t>
      </w:r>
    </w:p>
    <w:p w14:paraId="0F0E7EA0">
      <w:pPr>
        <w:pStyle w:val="4"/>
        <w:bidi w:val="0"/>
        <w:rPr>
          <w:rFonts w:hint="eastAsia"/>
          <w:color w:val="auto"/>
          <w:highlight w:val="none"/>
          <w:lang w:val="en-US" w:eastAsia="zh-CN"/>
        </w:rPr>
      </w:pPr>
      <w:r>
        <w:rPr>
          <w:rFonts w:hint="eastAsia"/>
          <w:color w:val="auto"/>
          <w:highlight w:val="none"/>
          <w:lang w:val="en-US" w:eastAsia="zh-CN"/>
        </w:rPr>
        <w:t>6. 市场主体信息登记</w:t>
      </w:r>
    </w:p>
    <w:p w14:paraId="4565573D">
      <w:pPr>
        <w:bidi w:val="0"/>
        <w:rPr>
          <w:color w:val="auto"/>
          <w:highlight w:val="none"/>
          <w:lang w:val="en-US" w:eastAsia="zh-CN"/>
        </w:rPr>
      </w:pPr>
      <w:r>
        <w:rPr>
          <w:rFonts w:hint="eastAsia"/>
          <w:color w:val="auto"/>
          <w:highlight w:val="none"/>
        </w:rPr>
        <w:t>根据重庆市公共资源交易中心《关于开展公共资源交易市场主体信息登记工作的公告》的要求，</w:t>
      </w:r>
      <w:r>
        <w:rPr>
          <w:rFonts w:hint="eastAsia"/>
          <w:color w:val="auto"/>
          <w:highlight w:val="none"/>
          <w:lang w:val="en-US"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前需在重庆市公共资源交易网（www.cqggzy.com）办理市场主体信息登记手续。</w:t>
      </w:r>
    </w:p>
    <w:bookmarkEnd w:id="20"/>
    <w:bookmarkEnd w:id="21"/>
    <w:bookmarkEnd w:id="22"/>
    <w:bookmarkEnd w:id="23"/>
    <w:p w14:paraId="4E90F10D">
      <w:pPr>
        <w:pStyle w:val="4"/>
        <w:bidi w:val="0"/>
        <w:rPr>
          <w:color w:val="auto"/>
          <w:highlight w:val="none"/>
        </w:rPr>
      </w:pPr>
      <w:r>
        <w:rPr>
          <w:rFonts w:hint="eastAsia"/>
          <w:color w:val="auto"/>
          <w:highlight w:val="none"/>
          <w:lang w:val="en-US" w:eastAsia="zh-CN"/>
        </w:rPr>
        <w:t xml:space="preserve">7. </w:t>
      </w:r>
      <w:r>
        <w:rPr>
          <w:rFonts w:hint="eastAsia"/>
          <w:color w:val="auto"/>
          <w:highlight w:val="none"/>
          <w:lang w:eastAsia="zh-CN"/>
        </w:rPr>
        <w:t>响应文件</w:t>
      </w:r>
      <w:r>
        <w:rPr>
          <w:rFonts w:hint="eastAsia"/>
          <w:color w:val="auto"/>
          <w:highlight w:val="none"/>
        </w:rPr>
        <w:t>的递交</w:t>
      </w:r>
    </w:p>
    <w:p w14:paraId="58BA7B2A">
      <w:pPr>
        <w:bidi w:val="0"/>
        <w:rPr>
          <w:color w:val="auto"/>
          <w:highlight w:val="none"/>
        </w:rPr>
      </w:pPr>
      <w:bookmarkStart w:id="24" w:name="_Toc89675132"/>
      <w:bookmarkStart w:id="25" w:name="_Toc55379223"/>
      <w:bookmarkStart w:id="26" w:name="_Toc469574669"/>
      <w:r>
        <w:rPr>
          <w:rFonts w:hint="eastAsia"/>
          <w:color w:val="auto"/>
          <w:highlight w:val="none"/>
          <w:lang w:val="en-US" w:eastAsia="zh-CN"/>
        </w:rPr>
        <w:t xml:space="preserve">7.1 </w:t>
      </w:r>
      <w:r>
        <w:rPr>
          <w:rFonts w:hint="eastAsia"/>
          <w:color w:val="auto"/>
          <w:highlight w:val="none"/>
          <w:lang w:eastAsia="zh-CN"/>
        </w:rPr>
        <w:t>响应文件</w:t>
      </w:r>
      <w:r>
        <w:rPr>
          <w:rFonts w:hint="eastAsia"/>
          <w:color w:val="auto"/>
          <w:highlight w:val="none"/>
        </w:rPr>
        <w:t>现场递交时间为</w:t>
      </w:r>
      <w:r>
        <w:rPr>
          <w:rFonts w:hint="eastAsia"/>
          <w:color w:val="auto"/>
          <w:highlight w:val="none"/>
          <w:lang w:val="en-US" w:eastAsia="zh-CN"/>
        </w:rPr>
        <w:t>响应截止时间前半小时内，截至响应截止时间将不再收取响应文件</w:t>
      </w:r>
      <w:r>
        <w:rPr>
          <w:rFonts w:hint="eastAsia"/>
          <w:color w:val="auto"/>
          <w:highlight w:val="none"/>
        </w:rPr>
        <w:t>。</w:t>
      </w:r>
    </w:p>
    <w:p w14:paraId="5B9D87BD">
      <w:pPr>
        <w:bidi w:val="0"/>
        <w:rPr>
          <w:color w:val="auto"/>
          <w:highlight w:val="none"/>
        </w:rPr>
      </w:pPr>
      <w:r>
        <w:rPr>
          <w:rFonts w:hint="eastAsia"/>
          <w:color w:val="auto"/>
          <w:highlight w:val="none"/>
          <w:lang w:val="en-US" w:eastAsia="zh-CN"/>
        </w:rPr>
        <w:t xml:space="preserve">7.2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46F01C30">
      <w:pPr>
        <w:bidi w:val="0"/>
        <w:rPr>
          <w:color w:val="auto"/>
          <w:highlight w:val="none"/>
        </w:rPr>
      </w:pPr>
      <w:r>
        <w:rPr>
          <w:rFonts w:hint="eastAsia"/>
          <w:color w:val="auto"/>
          <w:highlight w:val="none"/>
          <w:lang w:val="en-US" w:eastAsia="zh-CN"/>
        </w:rPr>
        <w:t xml:space="preserve">7.3 </w:t>
      </w:r>
      <w:r>
        <w:rPr>
          <w:rFonts w:hint="eastAsia"/>
          <w:color w:val="auto"/>
          <w:highlight w:val="none"/>
        </w:rPr>
        <w:t>逾期送达的</w:t>
      </w:r>
      <w:r>
        <w:rPr>
          <w:rFonts w:hint="eastAsia"/>
          <w:color w:val="auto"/>
          <w:highlight w:val="none"/>
          <w:lang w:eastAsia="zh-CN"/>
        </w:rPr>
        <w:t>响应文件</w:t>
      </w:r>
      <w:r>
        <w:rPr>
          <w:rFonts w:hint="eastAsia"/>
          <w:color w:val="auto"/>
          <w:highlight w:val="none"/>
        </w:rPr>
        <w:t>，不予接收。</w:t>
      </w:r>
    </w:p>
    <w:p w14:paraId="39BD0313">
      <w:pPr>
        <w:pStyle w:val="4"/>
        <w:bidi w:val="0"/>
        <w:rPr>
          <w:color w:val="auto"/>
          <w:highlight w:val="none"/>
        </w:rPr>
      </w:pPr>
      <w:r>
        <w:rPr>
          <w:rFonts w:hint="eastAsia"/>
          <w:color w:val="auto"/>
          <w:highlight w:val="none"/>
          <w:lang w:val="en-US" w:eastAsia="zh-CN"/>
        </w:rPr>
        <w:t xml:space="preserve">8. </w:t>
      </w:r>
      <w:r>
        <w:rPr>
          <w:rFonts w:hint="eastAsia"/>
          <w:color w:val="auto"/>
          <w:highlight w:val="none"/>
        </w:rPr>
        <w:t>发布公告的媒介</w:t>
      </w:r>
      <w:bookmarkEnd w:id="24"/>
      <w:bookmarkEnd w:id="25"/>
      <w:bookmarkEnd w:id="26"/>
    </w:p>
    <w:p w14:paraId="0ECCAA4B">
      <w:pPr>
        <w:bidi w:val="0"/>
        <w:rPr>
          <w:color w:val="auto"/>
          <w:highlight w:val="none"/>
        </w:rPr>
      </w:pPr>
      <w:bookmarkStart w:id="27" w:name="_Toc469574670"/>
      <w:bookmarkStart w:id="28" w:name="_Toc250565211"/>
      <w:bookmarkStart w:id="29" w:name="_Toc55379224"/>
      <w:bookmarkStart w:id="30" w:name="_Toc89675133"/>
      <w:r>
        <w:rPr>
          <w:rFonts w:hint="eastAsia"/>
          <w:color w:val="auto"/>
          <w:highlight w:val="none"/>
        </w:rPr>
        <w:t>本次</w:t>
      </w:r>
      <w:r>
        <w:rPr>
          <w:rFonts w:hint="eastAsia"/>
          <w:color w:val="auto"/>
          <w:highlight w:val="none"/>
          <w:lang w:eastAsia="zh-CN"/>
        </w:rPr>
        <w:t>询比公告</w:t>
      </w:r>
      <w:r>
        <w:rPr>
          <w:rFonts w:hint="eastAsia"/>
          <w:color w:val="auto"/>
          <w:highlight w:val="none"/>
        </w:rPr>
        <w:t>同时在</w:t>
      </w:r>
      <w:r>
        <w:rPr>
          <w:rFonts w:hint="eastAsia"/>
          <w:color w:val="auto"/>
          <w:highlight w:val="none"/>
          <w:u w:val="single"/>
        </w:rPr>
        <w:t>《重庆市公共资源交易网（www.cqggzy.com）》《重庆三峡银行官网（https://www.ccqtgb.com）》和《中国</w:t>
      </w:r>
      <w:r>
        <w:rPr>
          <w:rFonts w:hint="eastAsia"/>
          <w:color w:val="auto"/>
          <w:highlight w:val="none"/>
          <w:u w:val="single"/>
          <w:lang w:val="en-US" w:eastAsia="zh-CN"/>
        </w:rPr>
        <w:t>招标投标</w:t>
      </w:r>
      <w:r>
        <w:rPr>
          <w:rFonts w:hint="eastAsia"/>
          <w:color w:val="auto"/>
          <w:highlight w:val="none"/>
          <w:u w:val="single"/>
        </w:rPr>
        <w:t>公共服务平台（http://www.cebpubservice.com）》</w:t>
      </w:r>
      <w:r>
        <w:rPr>
          <w:rFonts w:hint="eastAsia"/>
          <w:color w:val="auto"/>
          <w:highlight w:val="none"/>
        </w:rPr>
        <w:t>上发布。</w:t>
      </w:r>
    </w:p>
    <w:p w14:paraId="317A0A2B">
      <w:pPr>
        <w:pStyle w:val="4"/>
        <w:bidi w:val="0"/>
        <w:rPr>
          <w:rFonts w:hint="eastAsia"/>
          <w:color w:val="auto"/>
          <w:highlight w:val="none"/>
        </w:rPr>
      </w:pPr>
      <w:r>
        <w:rPr>
          <w:rFonts w:hint="eastAsia"/>
          <w:color w:val="auto"/>
          <w:highlight w:val="none"/>
          <w:lang w:val="en-US" w:eastAsia="zh-CN"/>
        </w:rPr>
        <w:t xml:space="preserve">9. </w:t>
      </w:r>
      <w:r>
        <w:rPr>
          <w:rFonts w:hint="eastAsia"/>
          <w:color w:val="auto"/>
          <w:highlight w:val="none"/>
        </w:rPr>
        <w:t>联系方式</w:t>
      </w:r>
      <w:bookmarkEnd w:id="27"/>
      <w:bookmarkEnd w:id="28"/>
      <w:bookmarkEnd w:id="29"/>
      <w:bookmarkEnd w:id="30"/>
    </w:p>
    <w:p w14:paraId="02C7F97F">
      <w:pPr>
        <w:rPr>
          <w:rFonts w:hint="eastAsia"/>
          <w:color w:val="auto"/>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990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1172C5A">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72DC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4814A9D">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color w:val="auto"/>
                <w:highlight w:val="none"/>
              </w:rPr>
              <w:t>杨老师</w:t>
            </w:r>
          </w:p>
        </w:tc>
        <w:tc>
          <w:tcPr>
            <w:tcW w:w="4480" w:type="dxa"/>
            <w:tcBorders>
              <w:top w:val="nil"/>
              <w:left w:val="nil"/>
              <w:bottom w:val="nil"/>
              <w:right w:val="single" w:color="auto" w:sz="4" w:space="0"/>
            </w:tcBorders>
          </w:tcPr>
          <w:p w14:paraId="02267C43">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color w:val="auto"/>
                <w:highlight w:val="none"/>
              </w:rPr>
              <w:t>15922503659</w:t>
            </w:r>
          </w:p>
        </w:tc>
      </w:tr>
      <w:tr w14:paraId="2E47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4FBD7C">
            <w:pPr>
              <w:spacing w:line="360" w:lineRule="auto"/>
              <w:ind w:firstLine="0" w:firstLineChars="0"/>
              <w:jc w:val="left"/>
              <w:rPr>
                <w:rFonts w:hint="eastAsia"/>
                <w:color w:val="auto"/>
                <w:highlight w:val="none"/>
              </w:rPr>
            </w:pPr>
          </w:p>
        </w:tc>
      </w:tr>
      <w:tr w14:paraId="2868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C68CFF">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3F85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237757">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5D11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9983179">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邵老师</w:t>
            </w:r>
          </w:p>
        </w:tc>
        <w:tc>
          <w:tcPr>
            <w:tcW w:w="4480" w:type="dxa"/>
            <w:tcBorders>
              <w:top w:val="nil"/>
              <w:left w:val="nil"/>
              <w:bottom w:val="nil"/>
              <w:right w:val="single" w:color="auto" w:sz="4" w:space="0"/>
            </w:tcBorders>
          </w:tcPr>
          <w:p w14:paraId="68CDCCAF">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联系方式：023-6362</w:t>
            </w:r>
            <w:r>
              <w:rPr>
                <w:rFonts w:hint="eastAsia"/>
                <w:color w:val="auto"/>
                <w:highlight w:val="none"/>
                <w:lang w:val="en-US" w:eastAsia="zh-CN"/>
              </w:rPr>
              <w:t>7002</w:t>
            </w:r>
          </w:p>
        </w:tc>
      </w:tr>
      <w:tr w14:paraId="1B58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371939">
            <w:pPr>
              <w:spacing w:line="360" w:lineRule="auto"/>
              <w:ind w:firstLine="0" w:firstLineChars="0"/>
              <w:jc w:val="left"/>
              <w:rPr>
                <w:rFonts w:hint="eastAsia"/>
                <w:color w:val="auto"/>
                <w:highlight w:val="none"/>
              </w:rPr>
            </w:pPr>
          </w:p>
        </w:tc>
      </w:tr>
      <w:tr w14:paraId="2E1C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2B670B">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0D2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8045698">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tcPr>
          <w:p w14:paraId="1E12066A">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0D97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DCBEC4D">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567E0ACF">
      <w:pPr>
        <w:rPr>
          <w:color w:val="auto"/>
          <w:highlight w:val="none"/>
        </w:rPr>
      </w:pPr>
    </w:p>
    <w:p w14:paraId="1FC691BC">
      <w:pPr>
        <w:spacing w:line="240" w:lineRule="auto"/>
        <w:ind w:firstLine="0" w:firstLineChars="0"/>
        <w:jc w:val="right"/>
        <w:rPr>
          <w:color w:val="auto"/>
          <w:highlight w:val="none"/>
        </w:rPr>
      </w:pPr>
      <w:r>
        <w:rPr>
          <w:rFonts w:hint="eastAsia"/>
          <w:color w:val="auto"/>
          <w:highlight w:val="none"/>
        </w:rPr>
        <w:t>重庆三峡银行股份有限公司</w:t>
      </w:r>
    </w:p>
    <w:p w14:paraId="5D2FB41F">
      <w:pPr>
        <w:bidi w:val="0"/>
        <w:jc w:val="right"/>
        <w:rPr>
          <w:color w:val="auto"/>
          <w:highlight w:val="none"/>
        </w:rPr>
      </w:pPr>
      <w:r>
        <w:rPr>
          <w:rFonts w:hint="eastAsia"/>
          <w:color w:val="auto"/>
          <w:highlight w:val="none"/>
        </w:rPr>
        <w:t>202</w:t>
      </w:r>
      <w:r>
        <w:rPr>
          <w:rFonts w:hint="eastAsia"/>
          <w:color w:val="auto"/>
          <w:highlight w:val="none"/>
          <w:lang w:val="en-US" w:eastAsia="zh-CN"/>
        </w:rPr>
        <w:t xml:space="preserve">5 </w:t>
      </w:r>
      <w:r>
        <w:rPr>
          <w:rFonts w:hint="eastAsia"/>
          <w:color w:val="auto"/>
          <w:highlight w:val="none"/>
        </w:rPr>
        <w:t xml:space="preserve">年 </w:t>
      </w:r>
      <w:r>
        <w:rPr>
          <w:rFonts w:hint="eastAsia"/>
          <w:color w:val="auto"/>
          <w:highlight w:val="none"/>
          <w:lang w:val="en-US" w:eastAsia="zh-CN"/>
        </w:rPr>
        <w:t xml:space="preserve"> 12  </w:t>
      </w:r>
      <w:r>
        <w:rPr>
          <w:rFonts w:hint="eastAsia"/>
          <w:color w:val="auto"/>
          <w:highlight w:val="none"/>
        </w:rPr>
        <w:t xml:space="preserve">月 </w:t>
      </w:r>
      <w:r>
        <w:rPr>
          <w:rFonts w:hint="eastAsia"/>
          <w:color w:val="auto"/>
          <w:highlight w:val="none"/>
          <w:lang w:val="en-US" w:eastAsia="zh-CN"/>
        </w:rPr>
        <w:t xml:space="preserve"> 25 </w:t>
      </w:r>
      <w:r>
        <w:rPr>
          <w:rFonts w:hint="eastAsia"/>
          <w:color w:val="auto"/>
          <w:highlight w:val="none"/>
        </w:rPr>
        <w:t xml:space="preserve"> 日</w:t>
      </w:r>
    </w:p>
    <w:p w14:paraId="67B1BE3A">
      <w:pPr>
        <w:bidi w:val="0"/>
        <w:rPr>
          <w:color w:val="auto"/>
          <w:highlight w:val="none"/>
        </w:rPr>
      </w:pPr>
    </w:p>
    <w:p w14:paraId="3CEA6297">
      <w:pPr>
        <w:bidi w:val="0"/>
        <w:rPr>
          <w:color w:val="auto"/>
          <w:highlight w:val="none"/>
        </w:rPr>
      </w:pPr>
    </w:p>
    <w:p w14:paraId="3BC33868">
      <w:pPr>
        <w:bidi w:val="0"/>
        <w:ind w:left="0" w:firstLine="0" w:firstLineChars="0"/>
        <w:jc w:val="right"/>
        <w:rPr>
          <w:rFonts w:hint="eastAsia"/>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6144"/>
        </w:sectPr>
      </w:pPr>
      <w:bookmarkStart w:id="31" w:name="_Toc303066033"/>
      <w:bookmarkStart w:id="32" w:name="_Toc89675159"/>
    </w:p>
    <w:p w14:paraId="0C67D8A8">
      <w:pPr>
        <w:pStyle w:val="3"/>
        <w:bidi w:val="0"/>
        <w:rPr>
          <w:color w:val="auto"/>
          <w:highlight w:val="none"/>
        </w:rPr>
      </w:pPr>
      <w:bookmarkStart w:id="33" w:name="_Toc12671"/>
      <w:bookmarkStart w:id="34" w:name="_Toc16494"/>
      <w:bookmarkStart w:id="35" w:name="_Toc23131"/>
      <w:r>
        <w:rPr>
          <w:rFonts w:hint="eastAsia"/>
          <w:color w:val="auto"/>
          <w:highlight w:val="none"/>
        </w:rPr>
        <w:t xml:space="preserve">第二章 </w:t>
      </w:r>
      <w:r>
        <w:rPr>
          <w:rFonts w:hint="eastAsia"/>
          <w:color w:val="auto"/>
          <w:highlight w:val="none"/>
          <w:lang w:eastAsia="zh-CN"/>
        </w:rPr>
        <w:t>响应人</w:t>
      </w:r>
      <w:r>
        <w:rPr>
          <w:rFonts w:hint="eastAsia"/>
          <w:color w:val="auto"/>
          <w:highlight w:val="none"/>
        </w:rPr>
        <w:t>须知</w:t>
      </w:r>
      <w:bookmarkEnd w:id="31"/>
      <w:bookmarkEnd w:id="32"/>
      <w:bookmarkEnd w:id="33"/>
      <w:bookmarkEnd w:id="34"/>
      <w:bookmarkEnd w:id="35"/>
    </w:p>
    <w:p w14:paraId="18391915">
      <w:pPr>
        <w:pStyle w:val="4"/>
        <w:bidi w:val="0"/>
        <w:rPr>
          <w:rFonts w:hint="eastAsia"/>
          <w:color w:val="auto"/>
          <w:highlight w:val="none"/>
          <w:lang w:val="en-US" w:eastAsia="zh-CN"/>
        </w:rPr>
      </w:pPr>
      <w:bookmarkStart w:id="36" w:name="_Toc89675160"/>
      <w:r>
        <w:rPr>
          <w:rFonts w:hint="eastAsia"/>
          <w:color w:val="auto"/>
          <w:highlight w:val="none"/>
          <w:lang w:val="en-US" w:eastAsia="zh-CN"/>
        </w:rPr>
        <w:t>1. 总则</w:t>
      </w:r>
    </w:p>
    <w:p w14:paraId="730AE1B5">
      <w:pPr>
        <w:pStyle w:val="5"/>
        <w:bidi w:val="0"/>
        <w:rPr>
          <w:rFonts w:hint="eastAsia"/>
          <w:color w:val="auto"/>
          <w:highlight w:val="none"/>
          <w:lang w:val="en-US" w:eastAsia="zh-CN"/>
        </w:rPr>
      </w:pPr>
      <w:r>
        <w:rPr>
          <w:rFonts w:hint="eastAsia"/>
          <w:color w:val="auto"/>
          <w:highlight w:val="none"/>
          <w:lang w:val="en-US" w:eastAsia="zh-CN"/>
        </w:rPr>
        <w:t>1.1 项目概况</w:t>
      </w:r>
    </w:p>
    <w:p w14:paraId="714036FC">
      <w:pPr>
        <w:bidi w:val="0"/>
        <w:rPr>
          <w:rFonts w:hint="eastAsia"/>
          <w:color w:val="auto"/>
          <w:highlight w:val="none"/>
          <w:lang w:val="en-US" w:eastAsia="zh-CN"/>
        </w:rPr>
      </w:pPr>
      <w:r>
        <w:rPr>
          <w:rFonts w:hint="eastAsia"/>
          <w:color w:val="auto"/>
          <w:highlight w:val="none"/>
          <w:lang w:val="en-US" w:eastAsia="zh-CN"/>
        </w:rPr>
        <w:t>详见第一章“询比项目内容”。</w:t>
      </w:r>
    </w:p>
    <w:p w14:paraId="09EA1BCD">
      <w:pPr>
        <w:pStyle w:val="5"/>
        <w:bidi w:val="0"/>
        <w:rPr>
          <w:rFonts w:hint="eastAsia"/>
          <w:color w:val="auto"/>
          <w:highlight w:val="none"/>
          <w:lang w:val="en-US" w:eastAsia="zh-CN"/>
        </w:rPr>
      </w:pPr>
      <w:r>
        <w:rPr>
          <w:rFonts w:hint="eastAsia"/>
          <w:color w:val="auto"/>
          <w:highlight w:val="none"/>
          <w:lang w:val="en-US" w:eastAsia="zh-CN"/>
        </w:rPr>
        <w:t>1.2 询比范围</w:t>
      </w:r>
    </w:p>
    <w:p w14:paraId="0B675533">
      <w:pPr>
        <w:bidi w:val="0"/>
        <w:rPr>
          <w:rFonts w:hint="eastAsia"/>
          <w:color w:val="auto"/>
          <w:highlight w:val="none"/>
          <w:lang w:val="en-US" w:eastAsia="zh-CN"/>
        </w:rPr>
      </w:pPr>
      <w:r>
        <w:rPr>
          <w:rFonts w:hint="eastAsia"/>
          <w:color w:val="auto"/>
          <w:highlight w:val="none"/>
          <w:lang w:val="en-US" w:eastAsia="zh-CN"/>
        </w:rPr>
        <w:t>详见第一章。</w:t>
      </w:r>
    </w:p>
    <w:p w14:paraId="4FD21B4B">
      <w:pPr>
        <w:pStyle w:val="5"/>
        <w:bidi w:val="0"/>
        <w:rPr>
          <w:rFonts w:hint="eastAsia"/>
          <w:color w:val="auto"/>
          <w:highlight w:val="none"/>
          <w:lang w:val="en-US" w:eastAsia="zh-CN"/>
        </w:rPr>
      </w:pPr>
      <w:r>
        <w:rPr>
          <w:rFonts w:hint="eastAsia"/>
          <w:color w:val="auto"/>
          <w:highlight w:val="none"/>
          <w:lang w:val="en-US" w:eastAsia="zh-CN"/>
        </w:rPr>
        <w:t>1.3 项目期限、指标</w:t>
      </w:r>
    </w:p>
    <w:p w14:paraId="6496D6AF">
      <w:pPr>
        <w:bidi w:val="0"/>
        <w:rPr>
          <w:rFonts w:hint="eastAsia"/>
          <w:color w:val="auto"/>
          <w:highlight w:val="none"/>
          <w:lang w:val="en-US" w:eastAsia="zh-CN"/>
        </w:rPr>
      </w:pPr>
      <w:r>
        <w:rPr>
          <w:rFonts w:hint="eastAsia"/>
          <w:color w:val="auto"/>
          <w:highlight w:val="none"/>
          <w:lang w:val="en-US" w:eastAsia="zh-CN"/>
        </w:rPr>
        <w:t>详见第五章。</w:t>
      </w:r>
    </w:p>
    <w:p w14:paraId="77525344">
      <w:pPr>
        <w:pStyle w:val="5"/>
        <w:bidi w:val="0"/>
        <w:rPr>
          <w:rFonts w:hint="eastAsia"/>
          <w:color w:val="auto"/>
          <w:highlight w:val="none"/>
          <w:lang w:val="en-US" w:eastAsia="zh-CN"/>
        </w:rPr>
      </w:pPr>
      <w:r>
        <w:rPr>
          <w:rFonts w:hint="eastAsia"/>
          <w:color w:val="auto"/>
          <w:highlight w:val="none"/>
          <w:lang w:val="en-US" w:eastAsia="zh-CN"/>
        </w:rPr>
        <w:t>1.4 费用承担</w:t>
      </w:r>
    </w:p>
    <w:p w14:paraId="4FCE69A2">
      <w:pPr>
        <w:bidi w:val="0"/>
        <w:rPr>
          <w:color w:val="auto"/>
          <w:highlight w:val="none"/>
          <w:lang w:val="en-US" w:eastAsia="zh-CN"/>
        </w:rPr>
      </w:pPr>
      <w:r>
        <w:rPr>
          <w:rFonts w:hint="eastAsia"/>
          <w:color w:val="auto"/>
          <w:highlight w:val="none"/>
          <w:lang w:val="en-US" w:eastAsia="zh-CN"/>
        </w:rPr>
        <w:t>响应</w:t>
      </w:r>
      <w:r>
        <w:rPr>
          <w:color w:val="auto"/>
          <w:highlight w:val="none"/>
          <w:lang w:val="en-US" w:eastAsia="zh-CN"/>
        </w:rPr>
        <w:t>人准备和参加</w:t>
      </w:r>
      <w:r>
        <w:rPr>
          <w:rFonts w:hint="eastAsia"/>
          <w:color w:val="auto"/>
          <w:highlight w:val="none"/>
          <w:lang w:val="en-US" w:eastAsia="zh-CN"/>
        </w:rPr>
        <w:t>项目</w:t>
      </w:r>
      <w:r>
        <w:rPr>
          <w:color w:val="auto"/>
          <w:highlight w:val="none"/>
          <w:lang w:val="en-US" w:eastAsia="zh-CN"/>
        </w:rPr>
        <w:t>发生的费用自理。</w:t>
      </w:r>
    </w:p>
    <w:p w14:paraId="212AFF96">
      <w:pPr>
        <w:pStyle w:val="5"/>
        <w:bidi w:val="0"/>
        <w:rPr>
          <w:rFonts w:hint="eastAsia"/>
          <w:color w:val="auto"/>
          <w:highlight w:val="none"/>
          <w:lang w:val="en-US" w:eastAsia="zh-CN"/>
        </w:rPr>
      </w:pPr>
      <w:r>
        <w:rPr>
          <w:rFonts w:hint="eastAsia"/>
          <w:color w:val="auto"/>
          <w:highlight w:val="none"/>
          <w:lang w:val="en-US" w:eastAsia="zh-CN"/>
        </w:rPr>
        <w:t>1.5 语言文字</w:t>
      </w:r>
    </w:p>
    <w:p w14:paraId="027E8324">
      <w:pPr>
        <w:bidi w:val="0"/>
        <w:rPr>
          <w:rFonts w:hint="eastAsia"/>
          <w:color w:val="auto"/>
          <w:highlight w:val="none"/>
          <w:lang w:val="en-US" w:eastAsia="zh-CN"/>
        </w:rPr>
      </w:pPr>
      <w:r>
        <w:rPr>
          <w:rFonts w:hint="eastAsia"/>
          <w:color w:val="auto"/>
          <w:highlight w:val="none"/>
          <w:lang w:val="en-US" w:eastAsia="zh-CN"/>
        </w:rPr>
        <w:t>询比文件使用的语言文字为中文。专用术语使用外文的，应附有中文注释。</w:t>
      </w:r>
    </w:p>
    <w:p w14:paraId="24CB4A45">
      <w:pPr>
        <w:pStyle w:val="5"/>
        <w:bidi w:val="0"/>
        <w:rPr>
          <w:rFonts w:hint="eastAsia"/>
          <w:color w:val="auto"/>
          <w:highlight w:val="none"/>
          <w:lang w:val="en-US" w:eastAsia="zh-CN"/>
        </w:rPr>
      </w:pPr>
      <w:r>
        <w:rPr>
          <w:rFonts w:hint="eastAsia"/>
          <w:color w:val="auto"/>
          <w:highlight w:val="none"/>
          <w:lang w:val="en-US" w:eastAsia="zh-CN"/>
        </w:rPr>
        <w:t>1.6 计量单位</w:t>
      </w:r>
    </w:p>
    <w:p w14:paraId="37EB957F">
      <w:pPr>
        <w:bidi w:val="0"/>
        <w:rPr>
          <w:rFonts w:hint="eastAsia"/>
          <w:color w:val="auto"/>
          <w:highlight w:val="none"/>
          <w:lang w:val="en-US" w:eastAsia="zh-CN"/>
        </w:rPr>
      </w:pPr>
      <w:r>
        <w:rPr>
          <w:rFonts w:hint="eastAsia"/>
          <w:color w:val="auto"/>
          <w:highlight w:val="none"/>
          <w:lang w:val="en-US" w:eastAsia="zh-CN"/>
        </w:rPr>
        <w:t>所有计量均采用中华人民共和国法定计量单位。</w:t>
      </w:r>
    </w:p>
    <w:p w14:paraId="3AECD1C4">
      <w:pPr>
        <w:pStyle w:val="5"/>
        <w:bidi w:val="0"/>
        <w:rPr>
          <w:rFonts w:hint="eastAsia"/>
          <w:color w:val="auto"/>
          <w:highlight w:val="none"/>
          <w:lang w:val="en-US" w:eastAsia="zh-CN"/>
        </w:rPr>
      </w:pPr>
      <w:r>
        <w:rPr>
          <w:rFonts w:hint="eastAsia"/>
          <w:color w:val="auto"/>
          <w:highlight w:val="none"/>
          <w:lang w:val="en-US" w:eastAsia="zh-CN"/>
        </w:rPr>
        <w:t>1.7 踏勘现场</w:t>
      </w:r>
    </w:p>
    <w:p w14:paraId="376C63E5">
      <w:pPr>
        <w:bidi w:val="0"/>
        <w:rPr>
          <w:rFonts w:hint="eastAsia"/>
          <w:color w:val="auto"/>
          <w:highlight w:val="none"/>
          <w:lang w:val="en-US" w:eastAsia="zh-CN"/>
        </w:rPr>
      </w:pPr>
      <w:r>
        <w:rPr>
          <w:rFonts w:hint="eastAsia"/>
          <w:color w:val="auto"/>
          <w:highlight w:val="none"/>
          <w:lang w:val="en-US" w:eastAsia="zh-CN"/>
        </w:rPr>
        <w:t>详见第一章。</w:t>
      </w:r>
    </w:p>
    <w:p w14:paraId="0A07936F">
      <w:pPr>
        <w:pStyle w:val="5"/>
        <w:bidi w:val="0"/>
        <w:rPr>
          <w:rFonts w:hint="eastAsia"/>
          <w:color w:val="auto"/>
          <w:highlight w:val="none"/>
          <w:lang w:val="en-US" w:eastAsia="zh-CN"/>
        </w:rPr>
      </w:pPr>
      <w:r>
        <w:rPr>
          <w:rFonts w:hint="eastAsia"/>
          <w:color w:val="auto"/>
          <w:highlight w:val="none"/>
          <w:lang w:val="en-US" w:eastAsia="zh-CN"/>
        </w:rPr>
        <w:t>1.8 分包</w:t>
      </w:r>
    </w:p>
    <w:p w14:paraId="08F5A03B">
      <w:pPr>
        <w:bidi w:val="0"/>
        <w:rPr>
          <w:rFonts w:hint="eastAsia"/>
          <w:color w:val="auto"/>
          <w:highlight w:val="none"/>
          <w:lang w:val="en-US" w:eastAsia="zh-CN"/>
        </w:rPr>
      </w:pPr>
      <w:r>
        <w:rPr>
          <w:rFonts w:hint="eastAsia"/>
          <w:color w:val="auto"/>
          <w:highlight w:val="none"/>
          <w:lang w:val="en-US" w:eastAsia="zh-CN"/>
        </w:rPr>
        <w:t>详见第一章。</w:t>
      </w:r>
    </w:p>
    <w:p w14:paraId="3E48F230">
      <w:pPr>
        <w:pStyle w:val="5"/>
        <w:bidi w:val="0"/>
        <w:rPr>
          <w:rFonts w:hint="eastAsia"/>
          <w:color w:val="auto"/>
          <w:highlight w:val="none"/>
          <w:lang w:val="en-US" w:eastAsia="zh-CN"/>
        </w:rPr>
      </w:pPr>
      <w:r>
        <w:rPr>
          <w:rFonts w:hint="eastAsia"/>
          <w:color w:val="auto"/>
          <w:highlight w:val="none"/>
          <w:lang w:val="en-US" w:eastAsia="zh-CN"/>
        </w:rPr>
        <w:t>1.9 偏离</w:t>
      </w:r>
    </w:p>
    <w:p w14:paraId="2C856229">
      <w:pPr>
        <w:bidi w:val="0"/>
        <w:rPr>
          <w:rFonts w:hint="eastAsia"/>
          <w:color w:val="auto"/>
          <w:highlight w:val="none"/>
        </w:rPr>
      </w:pPr>
      <w:r>
        <w:rPr>
          <w:rFonts w:hint="eastAsia"/>
          <w:color w:val="auto"/>
          <w:highlight w:val="none"/>
        </w:rPr>
        <w:t>允许</w:t>
      </w:r>
      <w:r>
        <w:rPr>
          <w:rFonts w:hint="eastAsia"/>
          <w:color w:val="auto"/>
          <w:highlight w:val="none"/>
          <w:lang w:val="en-US" w:eastAsia="zh-CN"/>
        </w:rPr>
        <w:t>响应</w:t>
      </w:r>
      <w:r>
        <w:rPr>
          <w:rFonts w:hint="eastAsia"/>
          <w:color w:val="auto"/>
          <w:highlight w:val="none"/>
        </w:rPr>
        <w:t>文件偏离</w:t>
      </w:r>
      <w:r>
        <w:rPr>
          <w:rFonts w:hint="eastAsia"/>
          <w:color w:val="auto"/>
          <w:highlight w:val="none"/>
          <w:lang w:val="en-US" w:eastAsia="zh-CN"/>
        </w:rPr>
        <w:t>询比</w:t>
      </w:r>
      <w:r>
        <w:rPr>
          <w:rFonts w:hint="eastAsia"/>
          <w:color w:val="auto"/>
          <w:highlight w:val="none"/>
        </w:rPr>
        <w:t>文件某些要求的，偏离应当符合</w:t>
      </w:r>
      <w:r>
        <w:rPr>
          <w:rFonts w:hint="eastAsia"/>
          <w:color w:val="auto"/>
          <w:highlight w:val="none"/>
          <w:lang w:val="en-US" w:eastAsia="zh-CN"/>
        </w:rPr>
        <w:t>询比</w:t>
      </w:r>
      <w:r>
        <w:rPr>
          <w:rFonts w:hint="eastAsia"/>
          <w:color w:val="auto"/>
          <w:highlight w:val="none"/>
        </w:rPr>
        <w:t>文件规定的偏离范围和幅度。</w:t>
      </w:r>
    </w:p>
    <w:bookmarkEnd w:id="36"/>
    <w:p w14:paraId="2F2F0FB3">
      <w:pPr>
        <w:pStyle w:val="4"/>
        <w:bidi w:val="0"/>
        <w:rPr>
          <w:rFonts w:hint="eastAsia"/>
          <w:color w:val="auto"/>
          <w:highlight w:val="none"/>
          <w:lang w:eastAsia="zh-CN"/>
        </w:rPr>
      </w:pPr>
      <w:bookmarkStart w:id="37" w:name="_Toc89675161"/>
      <w:r>
        <w:rPr>
          <w:rFonts w:hint="eastAsia"/>
          <w:color w:val="auto"/>
          <w:highlight w:val="none"/>
          <w:lang w:val="en-US" w:eastAsia="zh-CN"/>
        </w:rPr>
        <w:t xml:space="preserve">2. </w:t>
      </w:r>
      <w:bookmarkEnd w:id="37"/>
      <w:r>
        <w:rPr>
          <w:rFonts w:hint="eastAsia"/>
          <w:color w:val="auto"/>
          <w:highlight w:val="none"/>
          <w:lang w:eastAsia="zh-CN"/>
        </w:rPr>
        <w:t>响应人</w:t>
      </w:r>
    </w:p>
    <w:p w14:paraId="016D5681">
      <w:pPr>
        <w:bidi w:val="0"/>
        <w:rPr>
          <w:color w:val="auto"/>
          <w:highlight w:val="none"/>
          <w:lang w:val="en-US" w:eastAsia="zh-CN"/>
        </w:rPr>
      </w:pPr>
      <w:r>
        <w:rPr>
          <w:rFonts w:hint="eastAsia"/>
          <w:color w:val="auto"/>
          <w:highlight w:val="none"/>
          <w:lang w:eastAsia="zh-CN"/>
        </w:rPr>
        <w:t>为采购人提供工程、货物和服务的承包商、供货商和服务商。</w:t>
      </w:r>
    </w:p>
    <w:p w14:paraId="618208F4">
      <w:pPr>
        <w:pStyle w:val="5"/>
        <w:bidi w:val="0"/>
        <w:rPr>
          <w:color w:val="auto"/>
          <w:highlight w:val="none"/>
        </w:rPr>
      </w:pPr>
      <w:r>
        <w:rPr>
          <w:rFonts w:hint="eastAsia"/>
          <w:color w:val="auto"/>
          <w:highlight w:val="none"/>
          <w:lang w:val="en-US" w:eastAsia="zh-CN"/>
        </w:rPr>
        <w:t xml:space="preserve">2.1 </w:t>
      </w:r>
      <w:r>
        <w:rPr>
          <w:rFonts w:hint="eastAsia"/>
          <w:color w:val="auto"/>
          <w:highlight w:val="none"/>
        </w:rPr>
        <w:t>合格</w:t>
      </w:r>
      <w:r>
        <w:rPr>
          <w:rFonts w:hint="eastAsia"/>
          <w:color w:val="auto"/>
          <w:highlight w:val="none"/>
          <w:lang w:eastAsia="zh-CN"/>
        </w:rPr>
        <w:t>响应人</w:t>
      </w:r>
      <w:r>
        <w:rPr>
          <w:rFonts w:hint="eastAsia"/>
          <w:color w:val="auto"/>
          <w:highlight w:val="none"/>
        </w:rPr>
        <w:t>条件</w:t>
      </w:r>
    </w:p>
    <w:p w14:paraId="71A3FE13">
      <w:pPr>
        <w:bidi w:val="0"/>
        <w:rPr>
          <w:rFonts w:hint="eastAsia"/>
          <w:color w:val="auto"/>
          <w:highlight w:val="none"/>
        </w:rPr>
      </w:pPr>
      <w:r>
        <w:rPr>
          <w:rFonts w:hint="eastAsia"/>
          <w:color w:val="auto"/>
          <w:highlight w:val="none"/>
          <w:lang w:val="en-US" w:eastAsia="zh-CN"/>
        </w:rPr>
        <w:t xml:space="preserve">2.1.1 </w:t>
      </w:r>
      <w:r>
        <w:rPr>
          <w:rFonts w:hint="eastAsia"/>
          <w:color w:val="auto"/>
          <w:highlight w:val="none"/>
        </w:rPr>
        <w:t>合格</w:t>
      </w:r>
      <w:r>
        <w:rPr>
          <w:rFonts w:hint="eastAsia"/>
          <w:color w:val="auto"/>
          <w:highlight w:val="none"/>
          <w:lang w:eastAsia="zh-CN"/>
        </w:rPr>
        <w:t>响应人</w:t>
      </w:r>
      <w:r>
        <w:rPr>
          <w:rFonts w:hint="eastAsia"/>
          <w:color w:val="auto"/>
          <w:highlight w:val="none"/>
        </w:rPr>
        <w:t>应完全符合</w:t>
      </w:r>
      <w:r>
        <w:rPr>
          <w:rFonts w:hint="eastAsia"/>
          <w:color w:val="auto"/>
          <w:highlight w:val="none"/>
          <w:lang w:eastAsia="zh-CN"/>
        </w:rPr>
        <w:t>询比文件</w:t>
      </w:r>
      <w:r>
        <w:rPr>
          <w:rFonts w:hint="eastAsia"/>
          <w:color w:val="auto"/>
          <w:highlight w:val="none"/>
        </w:rPr>
        <w:t>第一章中规定的</w:t>
      </w:r>
      <w:r>
        <w:rPr>
          <w:rFonts w:hint="eastAsia"/>
          <w:color w:val="auto"/>
          <w:highlight w:val="none"/>
          <w:lang w:eastAsia="zh-CN"/>
        </w:rPr>
        <w:t>响应人</w:t>
      </w:r>
      <w:r>
        <w:rPr>
          <w:rFonts w:hint="eastAsia"/>
          <w:color w:val="auto"/>
          <w:highlight w:val="none"/>
        </w:rPr>
        <w:t>资格条件，并对</w:t>
      </w:r>
      <w:r>
        <w:rPr>
          <w:rFonts w:hint="eastAsia"/>
          <w:color w:val="auto"/>
          <w:highlight w:val="none"/>
          <w:lang w:eastAsia="zh-CN"/>
        </w:rPr>
        <w:t>询比文件</w:t>
      </w:r>
      <w:r>
        <w:rPr>
          <w:rFonts w:hint="eastAsia"/>
          <w:color w:val="auto"/>
          <w:highlight w:val="none"/>
        </w:rPr>
        <w:t>作出实质性响应。</w:t>
      </w:r>
    </w:p>
    <w:p w14:paraId="71905DF9">
      <w:pPr>
        <w:bidi w:val="0"/>
        <w:rPr>
          <w:rFonts w:hint="eastAsia"/>
          <w:color w:val="auto"/>
          <w:highlight w:val="none"/>
          <w:lang w:val="en-US" w:eastAsia="zh-CN"/>
        </w:rPr>
      </w:pPr>
      <w:r>
        <w:rPr>
          <w:rFonts w:hint="eastAsia"/>
          <w:color w:val="auto"/>
          <w:highlight w:val="none"/>
          <w:lang w:val="en-US" w:eastAsia="zh-CN"/>
        </w:rPr>
        <w:t>2.1.2 联合体响应</w:t>
      </w:r>
    </w:p>
    <w:p w14:paraId="4F0B6C88">
      <w:pPr>
        <w:bidi w:val="0"/>
        <w:rPr>
          <w:rFonts w:hint="eastAsia"/>
          <w:color w:val="auto"/>
          <w:highlight w:val="none"/>
          <w:lang w:eastAsia="zh-CN"/>
        </w:rPr>
      </w:pPr>
      <w:r>
        <w:rPr>
          <w:rFonts w:hint="eastAsia"/>
          <w:color w:val="auto"/>
          <w:highlight w:val="none"/>
        </w:rPr>
        <w:t>符合</w:t>
      </w:r>
      <w:r>
        <w:rPr>
          <w:rFonts w:hint="eastAsia"/>
          <w:color w:val="auto"/>
          <w:highlight w:val="none"/>
          <w:lang w:eastAsia="zh-CN"/>
        </w:rPr>
        <w:t>询比文件</w:t>
      </w:r>
      <w:r>
        <w:rPr>
          <w:rFonts w:hint="eastAsia"/>
          <w:color w:val="auto"/>
          <w:highlight w:val="none"/>
        </w:rPr>
        <w:t>第一章中规定</w:t>
      </w:r>
      <w:r>
        <w:rPr>
          <w:rFonts w:hint="eastAsia"/>
          <w:color w:val="auto"/>
          <w:highlight w:val="none"/>
          <w:lang w:eastAsia="zh-CN"/>
        </w:rPr>
        <w:t>。</w:t>
      </w:r>
    </w:p>
    <w:p w14:paraId="119CD09D">
      <w:pPr>
        <w:pStyle w:val="5"/>
        <w:bidi w:val="0"/>
        <w:rPr>
          <w:color w:val="auto"/>
          <w:highlight w:val="none"/>
        </w:rPr>
      </w:pPr>
      <w:r>
        <w:rPr>
          <w:rFonts w:hint="eastAsia"/>
          <w:color w:val="auto"/>
          <w:highlight w:val="none"/>
          <w:lang w:val="en-US" w:eastAsia="zh-CN"/>
        </w:rPr>
        <w:t xml:space="preserve">2.2 </w:t>
      </w:r>
      <w:r>
        <w:rPr>
          <w:rFonts w:hint="eastAsia"/>
          <w:color w:val="auto"/>
          <w:highlight w:val="none"/>
          <w:lang w:eastAsia="zh-CN"/>
        </w:rPr>
        <w:t>响应人</w:t>
      </w:r>
      <w:r>
        <w:rPr>
          <w:rFonts w:hint="eastAsia"/>
          <w:color w:val="auto"/>
          <w:highlight w:val="none"/>
        </w:rPr>
        <w:t>的风险</w:t>
      </w:r>
    </w:p>
    <w:p w14:paraId="60516801">
      <w:pPr>
        <w:bidi w:val="0"/>
        <w:rPr>
          <w:rFonts w:hint="eastAsia"/>
          <w:color w:val="auto"/>
          <w:highlight w:val="none"/>
        </w:rPr>
      </w:pPr>
      <w:r>
        <w:rPr>
          <w:rFonts w:hint="eastAsia"/>
          <w:color w:val="auto"/>
          <w:highlight w:val="none"/>
          <w:lang w:eastAsia="zh-CN"/>
        </w:rPr>
        <w:t>响应人</w:t>
      </w:r>
      <w:r>
        <w:rPr>
          <w:rFonts w:hint="eastAsia"/>
          <w:color w:val="auto"/>
          <w:highlight w:val="none"/>
        </w:rPr>
        <w:t>没有按照</w:t>
      </w:r>
      <w:r>
        <w:rPr>
          <w:rFonts w:hint="eastAsia"/>
          <w:color w:val="auto"/>
          <w:highlight w:val="none"/>
          <w:lang w:eastAsia="zh-CN"/>
        </w:rPr>
        <w:t>询比文件</w:t>
      </w:r>
      <w:r>
        <w:rPr>
          <w:rFonts w:hint="eastAsia"/>
          <w:color w:val="auto"/>
          <w:highlight w:val="none"/>
        </w:rPr>
        <w:t>要求提供全部资料，或者</w:t>
      </w:r>
      <w:r>
        <w:rPr>
          <w:rFonts w:hint="eastAsia"/>
          <w:color w:val="auto"/>
          <w:highlight w:val="none"/>
          <w:lang w:eastAsia="zh-CN"/>
        </w:rPr>
        <w:t>响应人</w:t>
      </w:r>
      <w:r>
        <w:rPr>
          <w:rFonts w:hint="eastAsia"/>
          <w:color w:val="auto"/>
          <w:highlight w:val="none"/>
        </w:rPr>
        <w:t>没有对</w:t>
      </w:r>
      <w:r>
        <w:rPr>
          <w:rFonts w:hint="eastAsia"/>
          <w:color w:val="auto"/>
          <w:highlight w:val="none"/>
          <w:lang w:eastAsia="zh-CN"/>
        </w:rPr>
        <w:t>询比文件</w:t>
      </w:r>
      <w:r>
        <w:rPr>
          <w:rFonts w:hint="eastAsia"/>
          <w:color w:val="auto"/>
          <w:highlight w:val="none"/>
        </w:rPr>
        <w:t>在各方面作出实质性响应，可能导致</w:t>
      </w:r>
      <w:r>
        <w:rPr>
          <w:rFonts w:hint="eastAsia"/>
          <w:color w:val="auto"/>
          <w:highlight w:val="none"/>
          <w:lang w:val="en-US" w:eastAsia="zh-CN"/>
        </w:rPr>
        <w:t>响应</w:t>
      </w:r>
      <w:r>
        <w:rPr>
          <w:rFonts w:hint="eastAsia"/>
          <w:color w:val="auto"/>
          <w:highlight w:val="none"/>
        </w:rPr>
        <w:t>被拒绝或评定为</w:t>
      </w:r>
      <w:r>
        <w:rPr>
          <w:rFonts w:hint="eastAsia"/>
          <w:color w:val="auto"/>
          <w:highlight w:val="none"/>
          <w:lang w:eastAsia="zh-CN"/>
        </w:rPr>
        <w:t>无效响应</w:t>
      </w:r>
      <w:r>
        <w:rPr>
          <w:rFonts w:hint="eastAsia"/>
          <w:color w:val="auto"/>
          <w:highlight w:val="none"/>
        </w:rPr>
        <w:t>。</w:t>
      </w:r>
    </w:p>
    <w:p w14:paraId="02AA0A96">
      <w:pPr>
        <w:pStyle w:val="5"/>
        <w:bidi w:val="0"/>
        <w:rPr>
          <w:rFonts w:hint="eastAsia"/>
          <w:color w:val="auto"/>
          <w:highlight w:val="none"/>
          <w:lang w:val="en-US" w:eastAsia="zh-CN"/>
        </w:rPr>
      </w:pPr>
      <w:r>
        <w:rPr>
          <w:rFonts w:hint="eastAsia"/>
          <w:color w:val="auto"/>
          <w:highlight w:val="none"/>
          <w:lang w:val="en-US" w:eastAsia="zh-CN"/>
        </w:rPr>
        <w:t>2.3 响应人不得存在下列情形之一</w:t>
      </w:r>
    </w:p>
    <w:p w14:paraId="1EB4DE14">
      <w:pPr>
        <w:bidi w:val="0"/>
        <w:rPr>
          <w:color w:val="auto"/>
          <w:highlight w:val="none"/>
          <w:lang w:val="en-US" w:eastAsia="zh-CN"/>
        </w:rPr>
      </w:pPr>
      <w:r>
        <w:rPr>
          <w:color w:val="auto"/>
          <w:highlight w:val="none"/>
          <w:lang w:val="en-US" w:eastAsia="zh-CN"/>
        </w:rPr>
        <w:t>（1）与</w:t>
      </w:r>
      <w:r>
        <w:rPr>
          <w:rFonts w:hint="eastAsia"/>
          <w:color w:val="auto"/>
          <w:highlight w:val="none"/>
          <w:lang w:val="en-US" w:eastAsia="zh-CN"/>
        </w:rPr>
        <w:t>采购人</w:t>
      </w:r>
      <w:r>
        <w:rPr>
          <w:color w:val="auto"/>
          <w:highlight w:val="none"/>
          <w:lang w:val="en-US" w:eastAsia="zh-CN"/>
        </w:rPr>
        <w:t>存在利害关系且可能影响</w:t>
      </w:r>
      <w:r>
        <w:rPr>
          <w:rFonts w:hint="eastAsia"/>
          <w:color w:val="auto"/>
          <w:highlight w:val="none"/>
          <w:lang w:val="en-US" w:eastAsia="zh-CN"/>
        </w:rPr>
        <w:t>询比</w:t>
      </w:r>
      <w:r>
        <w:rPr>
          <w:color w:val="auto"/>
          <w:highlight w:val="none"/>
          <w:lang w:val="en-US" w:eastAsia="zh-CN"/>
        </w:rPr>
        <w:t>公正性；</w:t>
      </w:r>
    </w:p>
    <w:p w14:paraId="4A332BF6">
      <w:pPr>
        <w:bidi w:val="0"/>
        <w:rPr>
          <w:color w:val="auto"/>
          <w:highlight w:val="none"/>
          <w:lang w:val="en-US" w:eastAsia="zh-CN"/>
        </w:rPr>
      </w:pPr>
      <w:r>
        <w:rPr>
          <w:color w:val="auto"/>
          <w:highlight w:val="none"/>
          <w:lang w:val="en-US" w:eastAsia="zh-CN"/>
        </w:rPr>
        <w:t>（2）与本项目的其他</w:t>
      </w:r>
      <w:r>
        <w:rPr>
          <w:rFonts w:hint="eastAsia"/>
          <w:color w:val="auto"/>
          <w:highlight w:val="none"/>
          <w:lang w:eastAsia="zh-CN"/>
        </w:rPr>
        <w:t>响应</w:t>
      </w:r>
      <w:r>
        <w:rPr>
          <w:color w:val="auto"/>
          <w:highlight w:val="none"/>
          <w:lang w:val="en-US" w:eastAsia="zh-CN"/>
        </w:rPr>
        <w:t xml:space="preserve">人为同一个单位负责人； </w:t>
      </w:r>
    </w:p>
    <w:p w14:paraId="523E558E">
      <w:pPr>
        <w:bidi w:val="0"/>
        <w:rPr>
          <w:color w:val="auto"/>
          <w:highlight w:val="none"/>
          <w:lang w:val="en-US" w:eastAsia="zh-CN"/>
        </w:rPr>
      </w:pPr>
      <w:r>
        <w:rPr>
          <w:color w:val="auto"/>
          <w:highlight w:val="none"/>
          <w:lang w:val="en-US" w:eastAsia="zh-CN"/>
        </w:rPr>
        <w:t>（3）与本项目的其他</w:t>
      </w:r>
      <w:r>
        <w:rPr>
          <w:rFonts w:hint="eastAsia"/>
          <w:color w:val="auto"/>
          <w:highlight w:val="none"/>
          <w:lang w:val="en-US" w:eastAsia="zh-CN"/>
        </w:rPr>
        <w:t>响应</w:t>
      </w:r>
      <w:r>
        <w:rPr>
          <w:color w:val="auto"/>
          <w:highlight w:val="none"/>
          <w:lang w:val="en-US" w:eastAsia="zh-CN"/>
        </w:rPr>
        <w:t xml:space="preserve">人存在控股、管理关系； </w:t>
      </w:r>
    </w:p>
    <w:p w14:paraId="6FE3B73D">
      <w:pPr>
        <w:bidi w:val="0"/>
        <w:rPr>
          <w:color w:val="auto"/>
          <w:highlight w:val="none"/>
          <w:lang w:val="en-US" w:eastAsia="zh-CN"/>
        </w:rPr>
      </w:pPr>
      <w:r>
        <w:rPr>
          <w:color w:val="auto"/>
          <w:highlight w:val="none"/>
          <w:lang w:val="en-US" w:eastAsia="zh-CN"/>
        </w:rPr>
        <w:t>（4）与本项目其他</w:t>
      </w:r>
      <w:r>
        <w:rPr>
          <w:rFonts w:hint="eastAsia"/>
          <w:color w:val="auto"/>
          <w:highlight w:val="none"/>
          <w:lang w:val="en-US" w:eastAsia="zh-CN"/>
        </w:rPr>
        <w:t>响应</w:t>
      </w:r>
      <w:r>
        <w:rPr>
          <w:color w:val="auto"/>
          <w:highlight w:val="none"/>
          <w:lang w:val="en-US" w:eastAsia="zh-CN"/>
        </w:rPr>
        <w:t>人代理同一个制造商同一品牌同一型号的物资</w:t>
      </w:r>
      <w:r>
        <w:rPr>
          <w:rFonts w:hint="eastAsia"/>
          <w:color w:val="auto"/>
          <w:highlight w:val="none"/>
          <w:lang w:val="en-US" w:eastAsia="zh-CN"/>
        </w:rPr>
        <w:t>参与项目</w:t>
      </w:r>
      <w:r>
        <w:rPr>
          <w:color w:val="auto"/>
          <w:highlight w:val="none"/>
          <w:lang w:val="en-US" w:eastAsia="zh-CN"/>
        </w:rPr>
        <w:t>；</w:t>
      </w:r>
    </w:p>
    <w:p w14:paraId="3A85FF1A">
      <w:pPr>
        <w:bidi w:val="0"/>
        <w:rPr>
          <w:color w:val="auto"/>
          <w:highlight w:val="none"/>
          <w:lang w:val="en-US" w:eastAsia="zh-CN"/>
        </w:rPr>
      </w:pPr>
      <w:r>
        <w:rPr>
          <w:color w:val="auto"/>
          <w:highlight w:val="none"/>
          <w:lang w:val="en-US" w:eastAsia="zh-CN"/>
        </w:rPr>
        <w:t xml:space="preserve">（5）为本项目提供过设计、编制技术规范和其他文件的咨询服务； </w:t>
      </w:r>
    </w:p>
    <w:p w14:paraId="2EFB9EF1">
      <w:pPr>
        <w:bidi w:val="0"/>
        <w:rPr>
          <w:color w:val="auto"/>
          <w:highlight w:val="none"/>
          <w:lang w:val="en-US" w:eastAsia="zh-CN"/>
        </w:rPr>
      </w:pPr>
      <w:r>
        <w:rPr>
          <w:color w:val="auto"/>
          <w:highlight w:val="none"/>
          <w:lang w:val="en-US" w:eastAsia="zh-CN"/>
        </w:rPr>
        <w:t xml:space="preserve">（6）为本项目的相关监理人，或者与本项目的相关监理人存在隶属关系或者其他利害关系； </w:t>
      </w:r>
    </w:p>
    <w:p w14:paraId="3CB32F13">
      <w:pPr>
        <w:bidi w:val="0"/>
        <w:rPr>
          <w:color w:val="auto"/>
          <w:highlight w:val="none"/>
          <w:lang w:val="en-US" w:eastAsia="zh-CN"/>
        </w:rPr>
      </w:pPr>
      <w:r>
        <w:rPr>
          <w:color w:val="auto"/>
          <w:highlight w:val="none"/>
          <w:lang w:val="en-US" w:eastAsia="zh-CN"/>
        </w:rPr>
        <w:t xml:space="preserve">（7）为本项目的代建人； </w:t>
      </w:r>
    </w:p>
    <w:p w14:paraId="7AD9A668">
      <w:pPr>
        <w:bidi w:val="0"/>
        <w:rPr>
          <w:color w:val="auto"/>
          <w:highlight w:val="none"/>
          <w:lang w:val="en-US" w:eastAsia="zh-CN"/>
        </w:rPr>
      </w:pPr>
      <w:r>
        <w:rPr>
          <w:color w:val="auto"/>
          <w:highlight w:val="none"/>
          <w:lang w:val="en-US" w:eastAsia="zh-CN"/>
        </w:rPr>
        <w:t xml:space="preserve">（8）为本项目的招标代理机构； </w:t>
      </w:r>
    </w:p>
    <w:p w14:paraId="081A1D2E">
      <w:pPr>
        <w:bidi w:val="0"/>
        <w:rPr>
          <w:color w:val="auto"/>
          <w:highlight w:val="none"/>
          <w:lang w:val="en-US" w:eastAsia="zh-CN"/>
        </w:rPr>
      </w:pPr>
      <w:r>
        <w:rPr>
          <w:color w:val="auto"/>
          <w:highlight w:val="none"/>
          <w:lang w:val="en-US" w:eastAsia="zh-CN"/>
        </w:rPr>
        <w:t xml:space="preserve">（9）与本项目的监理人或代建人或招标代理机构同为一个法定代表人； </w:t>
      </w:r>
    </w:p>
    <w:p w14:paraId="74DD1B78">
      <w:pPr>
        <w:bidi w:val="0"/>
        <w:rPr>
          <w:color w:val="auto"/>
          <w:highlight w:val="none"/>
          <w:lang w:val="en-US" w:eastAsia="zh-CN"/>
        </w:rPr>
      </w:pPr>
      <w:r>
        <w:rPr>
          <w:color w:val="auto"/>
          <w:highlight w:val="none"/>
          <w:lang w:val="en-US" w:eastAsia="zh-CN"/>
        </w:rPr>
        <w:t>（10）与本项目的监理人或代建人或招标代理机构存在控股或参股关系；</w:t>
      </w:r>
    </w:p>
    <w:p w14:paraId="5386592F">
      <w:pPr>
        <w:bidi w:val="0"/>
        <w:rPr>
          <w:color w:val="auto"/>
          <w:highlight w:val="none"/>
          <w:lang w:val="en-US" w:eastAsia="zh-CN"/>
        </w:rPr>
      </w:pPr>
      <w:r>
        <w:rPr>
          <w:color w:val="auto"/>
          <w:highlight w:val="none"/>
          <w:lang w:val="en-US" w:eastAsia="zh-CN"/>
        </w:rPr>
        <w:t xml:space="preserve">（11）被依法暂停或者取消投标资格； </w:t>
      </w:r>
    </w:p>
    <w:p w14:paraId="041001FF">
      <w:pPr>
        <w:bidi w:val="0"/>
        <w:rPr>
          <w:color w:val="auto"/>
          <w:highlight w:val="none"/>
          <w:lang w:val="en-US" w:eastAsia="zh-CN"/>
        </w:rPr>
      </w:pPr>
      <w:r>
        <w:rPr>
          <w:color w:val="auto"/>
          <w:highlight w:val="none"/>
          <w:lang w:val="en-US" w:eastAsia="zh-CN"/>
        </w:rPr>
        <w:t xml:space="preserve">（12）被责令停产停业、暂扣或者吊销许可证、暂扣或者吊销执照； </w:t>
      </w:r>
    </w:p>
    <w:p w14:paraId="7CC6C18E">
      <w:pPr>
        <w:bidi w:val="0"/>
        <w:rPr>
          <w:color w:val="auto"/>
          <w:highlight w:val="none"/>
          <w:lang w:val="en-US" w:eastAsia="zh-CN"/>
        </w:rPr>
      </w:pPr>
      <w:r>
        <w:rPr>
          <w:color w:val="auto"/>
          <w:highlight w:val="none"/>
          <w:lang w:val="en-US" w:eastAsia="zh-CN"/>
        </w:rPr>
        <w:t>（13）进入清算程序，或被宣告破产，或其他丧失履约能力的情形；</w:t>
      </w:r>
    </w:p>
    <w:p w14:paraId="7101DAA8">
      <w:pPr>
        <w:bidi w:val="0"/>
        <w:rPr>
          <w:color w:val="auto"/>
          <w:highlight w:val="none"/>
          <w:lang w:val="en-US" w:eastAsia="zh-CN"/>
        </w:rPr>
      </w:pPr>
      <w:r>
        <w:rPr>
          <w:color w:val="auto"/>
          <w:highlight w:val="none"/>
          <w:lang w:val="en-US" w:eastAsia="zh-CN"/>
        </w:rPr>
        <w:t xml:space="preserve">（14）在最近三年内发生重大产品质量问题（以相关行业主管部门的行政处罚决定或司法机关出具的有关法律文书为准）； </w:t>
      </w:r>
    </w:p>
    <w:p w14:paraId="024BDF55">
      <w:pPr>
        <w:bidi w:val="0"/>
        <w:rPr>
          <w:color w:val="auto"/>
          <w:highlight w:val="none"/>
          <w:lang w:val="en-US" w:eastAsia="zh-CN"/>
        </w:rPr>
      </w:pPr>
      <w:r>
        <w:rPr>
          <w:color w:val="auto"/>
          <w:highlight w:val="none"/>
          <w:lang w:val="en-US" w:eastAsia="zh-CN"/>
        </w:rPr>
        <w:t>（15）被市场监督管理机关在全国企业信用信息公示系统中列入严重违法失信企业名单；</w:t>
      </w:r>
    </w:p>
    <w:p w14:paraId="7AEEBE24">
      <w:pPr>
        <w:bidi w:val="0"/>
        <w:rPr>
          <w:color w:val="auto"/>
          <w:highlight w:val="none"/>
          <w:lang w:val="en-US" w:eastAsia="zh-CN"/>
        </w:rPr>
      </w:pPr>
      <w:r>
        <w:rPr>
          <w:color w:val="auto"/>
          <w:highlight w:val="none"/>
          <w:lang w:val="en-US" w:eastAsia="zh-CN"/>
        </w:rPr>
        <w:t xml:space="preserve">（16）被最高人民法院在“信用中国”网站（www.creditchina.gov.cn）或各级信用信息共享平台中列入失信被执行人名单； </w:t>
      </w:r>
    </w:p>
    <w:p w14:paraId="7F01DB3A">
      <w:pPr>
        <w:bidi w:val="0"/>
        <w:rPr>
          <w:color w:val="auto"/>
          <w:highlight w:val="none"/>
          <w:lang w:val="en-US" w:eastAsia="zh-CN"/>
        </w:rPr>
      </w:pPr>
      <w:r>
        <w:rPr>
          <w:color w:val="auto"/>
          <w:highlight w:val="none"/>
          <w:lang w:val="en-US" w:eastAsia="zh-CN"/>
        </w:rPr>
        <w:t>（17）在近三年内</w:t>
      </w:r>
      <w:r>
        <w:rPr>
          <w:rFonts w:hint="eastAsia"/>
          <w:color w:val="auto"/>
          <w:highlight w:val="none"/>
          <w:lang w:val="en-US" w:eastAsia="zh-CN"/>
        </w:rPr>
        <w:t>响应</w:t>
      </w:r>
      <w:r>
        <w:rPr>
          <w:color w:val="auto"/>
          <w:highlight w:val="none"/>
          <w:lang w:val="en-US" w:eastAsia="zh-CN"/>
        </w:rPr>
        <w:t xml:space="preserve">人或其法定代表人、拟委任的项目负责人有行贿犯罪行为的（以检察机关职务犯罪预防部门出具的查询结果为准）； </w:t>
      </w:r>
    </w:p>
    <w:p w14:paraId="4654FDCA">
      <w:pPr>
        <w:bidi w:val="0"/>
        <w:rPr>
          <w:color w:val="auto"/>
          <w:highlight w:val="none"/>
          <w:lang w:val="en-US" w:eastAsia="zh-CN"/>
        </w:rPr>
      </w:pPr>
      <w:r>
        <w:rPr>
          <w:color w:val="auto"/>
          <w:highlight w:val="none"/>
          <w:lang w:val="en-US" w:eastAsia="zh-CN"/>
        </w:rPr>
        <w:t>（18）法律法规或</w:t>
      </w:r>
      <w:r>
        <w:rPr>
          <w:rFonts w:hint="eastAsia"/>
          <w:color w:val="auto"/>
          <w:highlight w:val="none"/>
          <w:lang w:val="en-US" w:eastAsia="zh-CN"/>
        </w:rPr>
        <w:t>响应</w:t>
      </w:r>
      <w:r>
        <w:rPr>
          <w:color w:val="auto"/>
          <w:highlight w:val="none"/>
          <w:lang w:val="en-US" w:eastAsia="zh-CN"/>
        </w:rPr>
        <w:t>人须知规定的其他情形。</w:t>
      </w:r>
    </w:p>
    <w:p w14:paraId="1036D5EE">
      <w:pPr>
        <w:pStyle w:val="4"/>
        <w:bidi w:val="0"/>
        <w:rPr>
          <w:rFonts w:hint="eastAsia"/>
          <w:color w:val="auto"/>
          <w:highlight w:val="none"/>
          <w:lang w:eastAsia="zh-CN"/>
        </w:rPr>
      </w:pPr>
      <w:bookmarkStart w:id="38" w:name="_Toc89675162"/>
      <w:r>
        <w:rPr>
          <w:rFonts w:hint="eastAsia"/>
          <w:color w:val="auto"/>
          <w:highlight w:val="none"/>
          <w:lang w:val="en-US" w:eastAsia="zh-CN"/>
        </w:rPr>
        <w:t xml:space="preserve">3. </w:t>
      </w:r>
      <w:bookmarkEnd w:id="38"/>
      <w:r>
        <w:rPr>
          <w:rFonts w:hint="eastAsia"/>
          <w:color w:val="auto"/>
          <w:highlight w:val="none"/>
          <w:lang w:eastAsia="zh-CN"/>
        </w:rPr>
        <w:t>询比文件</w:t>
      </w:r>
    </w:p>
    <w:p w14:paraId="6E8FCF53">
      <w:pPr>
        <w:bidi w:val="0"/>
        <w:rPr>
          <w:color w:val="auto"/>
          <w:highlight w:val="none"/>
          <w:lang w:val="en-US" w:eastAsia="zh-CN"/>
        </w:rPr>
      </w:pPr>
      <w:r>
        <w:rPr>
          <w:rFonts w:hint="eastAsia"/>
          <w:color w:val="auto"/>
          <w:highlight w:val="none"/>
          <w:lang w:val="en-US" w:eastAsia="zh-CN"/>
        </w:rPr>
        <w:t>3.1 采购人根据自身采购方案或需求编制的采购文件。</w:t>
      </w:r>
    </w:p>
    <w:p w14:paraId="41893B1C">
      <w:pPr>
        <w:bidi w:val="0"/>
        <w:rPr>
          <w:color w:val="auto"/>
          <w:highlight w:val="none"/>
        </w:rPr>
      </w:pPr>
      <w:r>
        <w:rPr>
          <w:rFonts w:hint="eastAsia"/>
          <w:color w:val="auto"/>
          <w:highlight w:val="none"/>
          <w:lang w:val="en-US" w:eastAsia="zh-CN"/>
        </w:rPr>
        <w:t xml:space="preserve">3.2 </w:t>
      </w:r>
      <w:r>
        <w:rPr>
          <w:rFonts w:hint="eastAsia"/>
          <w:color w:val="auto"/>
          <w:highlight w:val="none"/>
          <w:lang w:eastAsia="zh-CN"/>
        </w:rPr>
        <w:t>询比文件</w:t>
      </w:r>
      <w:r>
        <w:rPr>
          <w:rFonts w:hint="eastAsia"/>
          <w:color w:val="auto"/>
          <w:highlight w:val="none"/>
        </w:rPr>
        <w:t>是</w:t>
      </w:r>
      <w:r>
        <w:rPr>
          <w:rFonts w:hint="eastAsia"/>
          <w:color w:val="auto"/>
          <w:highlight w:val="none"/>
          <w:lang w:eastAsia="zh-CN"/>
        </w:rPr>
        <w:t>响应人</w:t>
      </w:r>
      <w:r>
        <w:rPr>
          <w:rFonts w:hint="eastAsia"/>
          <w:color w:val="auto"/>
          <w:highlight w:val="none"/>
        </w:rPr>
        <w:t>编制</w:t>
      </w:r>
      <w:r>
        <w:rPr>
          <w:rFonts w:hint="eastAsia"/>
          <w:color w:val="auto"/>
          <w:highlight w:val="none"/>
          <w:lang w:eastAsia="zh-CN"/>
        </w:rPr>
        <w:t>响应文件</w:t>
      </w:r>
      <w:r>
        <w:rPr>
          <w:rFonts w:hint="eastAsia"/>
          <w:color w:val="auto"/>
          <w:highlight w:val="none"/>
        </w:rPr>
        <w:t>的依据，是</w:t>
      </w:r>
      <w:r>
        <w:rPr>
          <w:rFonts w:hint="eastAsia"/>
          <w:color w:val="auto"/>
          <w:highlight w:val="none"/>
          <w:lang w:eastAsia="zh-CN"/>
        </w:rPr>
        <w:t>评审委员会</w:t>
      </w:r>
      <w:r>
        <w:rPr>
          <w:rFonts w:hint="eastAsia"/>
          <w:color w:val="auto"/>
          <w:highlight w:val="none"/>
        </w:rPr>
        <w:t>评判依据和标准。</w:t>
      </w:r>
      <w:r>
        <w:rPr>
          <w:rFonts w:hint="eastAsia"/>
          <w:color w:val="auto"/>
          <w:highlight w:val="none"/>
          <w:lang w:eastAsia="zh-CN"/>
        </w:rPr>
        <w:t>询比文件</w:t>
      </w:r>
      <w:r>
        <w:rPr>
          <w:rFonts w:hint="eastAsia"/>
          <w:color w:val="auto"/>
          <w:highlight w:val="none"/>
        </w:rPr>
        <w:t>也是</w:t>
      </w:r>
      <w:r>
        <w:rPr>
          <w:rFonts w:hint="eastAsia"/>
          <w:color w:val="auto"/>
          <w:highlight w:val="none"/>
          <w:lang w:eastAsia="zh-CN"/>
        </w:rPr>
        <w:t>采购人</w:t>
      </w:r>
      <w:r>
        <w:rPr>
          <w:rFonts w:hint="eastAsia"/>
          <w:color w:val="auto"/>
          <w:highlight w:val="none"/>
        </w:rPr>
        <w:t>与</w:t>
      </w:r>
      <w:r>
        <w:rPr>
          <w:rFonts w:hint="eastAsia"/>
          <w:color w:val="auto"/>
          <w:highlight w:val="none"/>
          <w:lang w:eastAsia="zh-CN"/>
        </w:rPr>
        <w:t>成交供应商</w:t>
      </w:r>
      <w:r>
        <w:rPr>
          <w:rFonts w:hint="eastAsia"/>
          <w:color w:val="auto"/>
          <w:highlight w:val="none"/>
        </w:rPr>
        <w:t>签订合同的基础。</w:t>
      </w:r>
    </w:p>
    <w:p w14:paraId="3061C859">
      <w:pPr>
        <w:bidi w:val="0"/>
        <w:rPr>
          <w:rFonts w:hint="eastAsia"/>
          <w:color w:val="auto"/>
          <w:highlight w:val="none"/>
        </w:rPr>
      </w:pPr>
      <w:r>
        <w:rPr>
          <w:rFonts w:hint="eastAsia"/>
          <w:color w:val="auto"/>
          <w:highlight w:val="none"/>
          <w:lang w:val="en-US" w:eastAsia="zh-CN"/>
        </w:rPr>
        <w:t>3.3 采购人</w:t>
      </w:r>
      <w:r>
        <w:rPr>
          <w:rFonts w:hint="eastAsia"/>
          <w:color w:val="auto"/>
          <w:highlight w:val="none"/>
        </w:rPr>
        <w:t>对</w:t>
      </w:r>
      <w:r>
        <w:rPr>
          <w:rFonts w:hint="eastAsia"/>
          <w:color w:val="auto"/>
          <w:highlight w:val="none"/>
          <w:lang w:eastAsia="zh-CN"/>
        </w:rPr>
        <w:t>询比文件</w:t>
      </w:r>
      <w:r>
        <w:rPr>
          <w:rFonts w:hint="eastAsia"/>
          <w:color w:val="auto"/>
          <w:highlight w:val="none"/>
        </w:rPr>
        <w:t>所作的一切有效的书面通知、修改及补充，都是</w:t>
      </w:r>
      <w:r>
        <w:rPr>
          <w:rFonts w:hint="eastAsia"/>
          <w:color w:val="auto"/>
          <w:highlight w:val="none"/>
          <w:lang w:eastAsia="zh-CN"/>
        </w:rPr>
        <w:t>询比文件</w:t>
      </w:r>
      <w:r>
        <w:rPr>
          <w:rFonts w:hint="eastAsia"/>
          <w:color w:val="auto"/>
          <w:highlight w:val="none"/>
        </w:rPr>
        <w:t>不可分割的部分。</w:t>
      </w:r>
    </w:p>
    <w:p w14:paraId="12B53AEB">
      <w:pPr>
        <w:bidi w:val="0"/>
        <w:rPr>
          <w:color w:val="auto"/>
          <w:highlight w:val="none"/>
          <w:lang w:val="en-US" w:eastAsia="zh-CN"/>
        </w:rPr>
      </w:pPr>
      <w:r>
        <w:rPr>
          <w:rFonts w:hint="eastAsia"/>
          <w:color w:val="auto"/>
          <w:highlight w:val="none"/>
          <w:lang w:val="en-US" w:eastAsia="zh-CN"/>
        </w:rPr>
        <w:t>3.4 提问及澄清修改</w:t>
      </w:r>
    </w:p>
    <w:p w14:paraId="1B83F843">
      <w:pPr>
        <w:bidi w:val="0"/>
        <w:rPr>
          <w:color w:val="auto"/>
          <w:highlight w:val="none"/>
          <w:lang w:val="en-US" w:eastAsia="zh-CN"/>
        </w:rPr>
      </w:pPr>
      <w:r>
        <w:rPr>
          <w:rFonts w:hint="eastAsia"/>
          <w:color w:val="auto"/>
          <w:highlight w:val="none"/>
          <w:lang w:val="en-US" w:eastAsia="zh-CN"/>
        </w:rPr>
        <w:t>详见第一章。</w:t>
      </w:r>
    </w:p>
    <w:p w14:paraId="1289D177">
      <w:pPr>
        <w:bidi w:val="0"/>
        <w:rPr>
          <w:rFonts w:hint="eastAsia"/>
          <w:color w:val="auto"/>
          <w:highlight w:val="none"/>
          <w:lang w:val="en-US" w:eastAsia="zh-CN"/>
        </w:rPr>
      </w:pPr>
      <w:r>
        <w:rPr>
          <w:rFonts w:hint="eastAsia"/>
          <w:color w:val="auto"/>
          <w:highlight w:val="none"/>
          <w:lang w:val="en-US" w:eastAsia="zh-CN"/>
        </w:rPr>
        <w:t>3.5 询比文件的修改</w:t>
      </w:r>
    </w:p>
    <w:p w14:paraId="19283DFD">
      <w:pPr>
        <w:bidi w:val="0"/>
        <w:rPr>
          <w:color w:val="auto"/>
          <w:highlight w:val="none"/>
          <w:lang w:val="en-US" w:eastAsia="zh-CN"/>
        </w:rPr>
      </w:pPr>
      <w:r>
        <w:rPr>
          <w:rFonts w:hint="eastAsia"/>
          <w:color w:val="auto"/>
          <w:highlight w:val="none"/>
          <w:lang w:eastAsia="zh-CN"/>
        </w:rPr>
        <w:t>按照</w:t>
      </w:r>
      <w:r>
        <w:rPr>
          <w:rFonts w:hint="eastAsia"/>
          <w:color w:val="auto"/>
          <w:highlight w:val="none"/>
          <w:lang w:val="en-US" w:eastAsia="zh-CN"/>
        </w:rPr>
        <w:t>本章第 3.4 条“提问及澄清修改”相关内容</w:t>
      </w:r>
      <w:r>
        <w:rPr>
          <w:rFonts w:hint="eastAsia"/>
          <w:color w:val="auto"/>
          <w:highlight w:val="none"/>
          <w:lang w:eastAsia="zh-CN"/>
        </w:rPr>
        <w:t>及方式执行。</w:t>
      </w:r>
    </w:p>
    <w:p w14:paraId="155911D5">
      <w:pPr>
        <w:pStyle w:val="4"/>
        <w:bidi w:val="0"/>
        <w:rPr>
          <w:rFonts w:hint="eastAsia"/>
          <w:color w:val="auto"/>
          <w:highlight w:val="none"/>
          <w:lang w:val="en-US" w:eastAsia="zh-CN"/>
        </w:rPr>
      </w:pPr>
      <w:bookmarkStart w:id="39" w:name="_Toc89675163"/>
      <w:r>
        <w:rPr>
          <w:rFonts w:hint="eastAsia"/>
          <w:color w:val="auto"/>
          <w:highlight w:val="none"/>
          <w:lang w:val="en-US" w:eastAsia="zh-CN"/>
        </w:rPr>
        <w:t>4. 响应文件</w:t>
      </w:r>
    </w:p>
    <w:p w14:paraId="730CF917">
      <w:pPr>
        <w:bidi w:val="0"/>
        <w:rPr>
          <w:color w:val="auto"/>
          <w:highlight w:val="none"/>
          <w:lang w:val="en-US" w:eastAsia="zh-CN"/>
        </w:rPr>
      </w:pPr>
      <w:r>
        <w:rPr>
          <w:rFonts w:hint="eastAsia"/>
          <w:color w:val="auto"/>
          <w:highlight w:val="none"/>
          <w:lang w:val="en-US" w:eastAsia="zh-CN"/>
        </w:rPr>
        <w:t>参与询比活动的响应人按照询比文件的要求编制提交的要约文件的统称。</w:t>
      </w:r>
    </w:p>
    <w:p w14:paraId="749BFD91">
      <w:pPr>
        <w:pStyle w:val="5"/>
        <w:bidi w:val="0"/>
        <w:rPr>
          <w:color w:val="auto"/>
          <w:highlight w:val="none"/>
        </w:rPr>
      </w:pPr>
      <w:r>
        <w:rPr>
          <w:rFonts w:hint="eastAsia"/>
          <w:color w:val="auto"/>
          <w:highlight w:val="none"/>
          <w:lang w:val="en-US" w:eastAsia="zh-CN"/>
        </w:rPr>
        <w:t xml:space="preserve">4.1 </w:t>
      </w:r>
      <w:r>
        <w:rPr>
          <w:rFonts w:hint="eastAsia"/>
          <w:color w:val="auto"/>
          <w:highlight w:val="none"/>
          <w:lang w:eastAsia="zh-CN"/>
        </w:rPr>
        <w:t>响应文件</w:t>
      </w:r>
      <w:r>
        <w:rPr>
          <w:rFonts w:hint="eastAsia"/>
          <w:color w:val="auto"/>
          <w:highlight w:val="none"/>
        </w:rPr>
        <w:t>组成</w:t>
      </w:r>
    </w:p>
    <w:p w14:paraId="49A874F4">
      <w:pPr>
        <w:bidi w:val="0"/>
        <w:rPr>
          <w:rFonts w:hint="eastAsia"/>
          <w:color w:val="auto"/>
          <w:highlight w:val="none"/>
        </w:rPr>
      </w:pPr>
      <w:r>
        <w:rPr>
          <w:rFonts w:hint="eastAsia"/>
          <w:color w:val="auto"/>
          <w:highlight w:val="none"/>
          <w:lang w:eastAsia="zh-CN"/>
        </w:rPr>
        <w:t>响应文件</w:t>
      </w:r>
      <w:r>
        <w:rPr>
          <w:rFonts w:hint="eastAsia"/>
          <w:color w:val="auto"/>
          <w:highlight w:val="none"/>
          <w:lang w:val="en-US" w:eastAsia="zh-CN"/>
        </w:rPr>
        <w:t>由</w:t>
      </w:r>
      <w:r>
        <w:rPr>
          <w:rFonts w:hint="eastAsia"/>
          <w:color w:val="auto"/>
          <w:highlight w:val="none"/>
          <w:lang w:eastAsia="zh-CN"/>
        </w:rPr>
        <w:t>响应人</w:t>
      </w:r>
      <w:r>
        <w:rPr>
          <w:rFonts w:hint="eastAsia"/>
          <w:color w:val="auto"/>
          <w:highlight w:val="none"/>
        </w:rPr>
        <w:t>所作的一切有效补充、修改和承诺等文件组成，</w:t>
      </w:r>
      <w:r>
        <w:rPr>
          <w:rFonts w:hint="eastAsia"/>
          <w:color w:val="auto"/>
          <w:highlight w:val="none"/>
          <w:lang w:eastAsia="zh-CN"/>
        </w:rPr>
        <w:t>响应人</w:t>
      </w:r>
      <w:r>
        <w:rPr>
          <w:rFonts w:hint="eastAsia"/>
          <w:color w:val="auto"/>
          <w:highlight w:val="none"/>
        </w:rPr>
        <w:t>应按照第</w:t>
      </w:r>
      <w:r>
        <w:rPr>
          <w:rFonts w:hint="eastAsia"/>
          <w:color w:val="auto"/>
          <w:highlight w:val="none"/>
          <w:lang w:val="en-US" w:eastAsia="zh-CN"/>
        </w:rPr>
        <w:t>六</w:t>
      </w:r>
      <w:r>
        <w:rPr>
          <w:rFonts w:hint="eastAsia"/>
          <w:color w:val="auto"/>
          <w:highlight w:val="none"/>
        </w:rPr>
        <w:t>章“</w:t>
      </w:r>
      <w:r>
        <w:rPr>
          <w:rFonts w:hint="eastAsia"/>
          <w:color w:val="auto"/>
          <w:highlight w:val="none"/>
          <w:lang w:eastAsia="zh-CN"/>
        </w:rPr>
        <w:t>响应文件</w:t>
      </w:r>
      <w:r>
        <w:rPr>
          <w:rFonts w:hint="eastAsia"/>
          <w:color w:val="auto"/>
          <w:highlight w:val="none"/>
        </w:rPr>
        <w:t>格式”规定的目录顺序组织编写和装订，否则有可能影响</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评审。</w:t>
      </w:r>
    </w:p>
    <w:p w14:paraId="4B6D302A">
      <w:pPr>
        <w:pStyle w:val="5"/>
        <w:bidi w:val="0"/>
        <w:rPr>
          <w:rFonts w:hint="eastAsia"/>
          <w:color w:val="auto"/>
          <w:highlight w:val="none"/>
          <w:lang w:val="en-US" w:eastAsia="zh-CN"/>
        </w:rPr>
      </w:pPr>
      <w:r>
        <w:rPr>
          <w:rFonts w:hint="eastAsia"/>
          <w:color w:val="auto"/>
          <w:highlight w:val="none"/>
          <w:lang w:val="en-US" w:eastAsia="zh-CN"/>
        </w:rPr>
        <w:t>4.2 响应报价</w:t>
      </w:r>
    </w:p>
    <w:p w14:paraId="68D127FE">
      <w:pPr>
        <w:rPr>
          <w:rFonts w:hint="eastAsia"/>
          <w:color w:val="auto"/>
          <w:highlight w:val="none"/>
          <w:lang w:val="en-US" w:eastAsia="zh-CN"/>
        </w:rPr>
      </w:pPr>
      <w:r>
        <w:rPr>
          <w:rFonts w:hint="eastAsia"/>
          <w:color w:val="auto"/>
          <w:highlight w:val="none"/>
          <w:lang w:val="en-US" w:eastAsia="zh-CN"/>
        </w:rPr>
        <w:t>详见第一章。</w:t>
      </w:r>
    </w:p>
    <w:p w14:paraId="3957E37F">
      <w:pPr>
        <w:pStyle w:val="5"/>
        <w:bidi w:val="0"/>
        <w:rPr>
          <w:rFonts w:hint="eastAsia"/>
          <w:color w:val="auto"/>
          <w:highlight w:val="none"/>
          <w:lang w:eastAsia="zh-CN"/>
        </w:rPr>
      </w:pPr>
      <w:r>
        <w:rPr>
          <w:rFonts w:hint="eastAsia"/>
          <w:color w:val="auto"/>
          <w:highlight w:val="none"/>
          <w:lang w:val="en-US" w:eastAsia="zh-CN"/>
        </w:rPr>
        <w:t xml:space="preserve">4.3 </w:t>
      </w:r>
      <w:r>
        <w:rPr>
          <w:rFonts w:hint="eastAsia"/>
          <w:color w:val="auto"/>
          <w:highlight w:val="none"/>
          <w:lang w:eastAsia="zh-CN"/>
        </w:rPr>
        <w:t>响应报价</w:t>
      </w:r>
    </w:p>
    <w:p w14:paraId="7021BF46">
      <w:pPr>
        <w:pStyle w:val="6"/>
        <w:bidi w:val="0"/>
        <w:rPr>
          <w:rFonts w:hint="eastAsia"/>
          <w:color w:val="auto"/>
          <w:highlight w:val="none"/>
          <w:lang w:val="en-US" w:eastAsia="zh-CN"/>
        </w:rPr>
      </w:pPr>
      <w:r>
        <w:rPr>
          <w:rFonts w:hint="eastAsia"/>
          <w:color w:val="auto"/>
          <w:highlight w:val="none"/>
          <w:lang w:val="en-US" w:eastAsia="zh-CN"/>
        </w:rPr>
        <w:t>4.3.1 最高限价</w:t>
      </w:r>
    </w:p>
    <w:p w14:paraId="6B5C3BC7">
      <w:pPr>
        <w:bidi w:val="0"/>
        <w:rPr>
          <w:color w:val="auto"/>
          <w:highlight w:val="none"/>
          <w:lang w:val="en-US" w:eastAsia="zh-CN"/>
        </w:rPr>
      </w:pPr>
      <w:r>
        <w:rPr>
          <w:rFonts w:hint="eastAsia"/>
          <w:color w:val="auto"/>
          <w:highlight w:val="none"/>
          <w:lang w:val="en-US" w:eastAsia="zh-CN"/>
        </w:rPr>
        <w:t>见第一章。</w:t>
      </w:r>
    </w:p>
    <w:p w14:paraId="52DE3276">
      <w:pPr>
        <w:pStyle w:val="6"/>
        <w:bidi w:val="0"/>
        <w:rPr>
          <w:color w:val="auto"/>
          <w:highlight w:val="none"/>
          <w:lang w:val="en-US" w:eastAsia="zh-CN"/>
        </w:rPr>
      </w:pPr>
      <w:r>
        <w:rPr>
          <w:rFonts w:hint="eastAsia"/>
          <w:color w:val="auto"/>
          <w:highlight w:val="none"/>
          <w:lang w:val="en-US" w:eastAsia="zh-CN"/>
        </w:rPr>
        <w:t>4.3.2 报价方式及要求</w:t>
      </w:r>
    </w:p>
    <w:p w14:paraId="742C9F8A">
      <w:pPr>
        <w:bidi w:val="0"/>
        <w:rPr>
          <w:color w:val="auto"/>
          <w:highlight w:val="none"/>
        </w:rPr>
      </w:pPr>
      <w:r>
        <w:rPr>
          <w:rFonts w:hint="eastAsia"/>
          <w:color w:val="auto"/>
          <w:highlight w:val="none"/>
          <w:lang w:val="en-US" w:eastAsia="zh-CN"/>
        </w:rPr>
        <w:t xml:space="preserve">4.3.2.1 </w:t>
      </w: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格式”填写报价。</w:t>
      </w:r>
    </w:p>
    <w:p w14:paraId="452B1A46">
      <w:pPr>
        <w:bidi w:val="0"/>
        <w:rPr>
          <w:color w:val="auto"/>
          <w:highlight w:val="none"/>
        </w:rPr>
      </w:pPr>
      <w:r>
        <w:rPr>
          <w:rFonts w:hint="eastAsia"/>
          <w:color w:val="auto"/>
          <w:highlight w:val="none"/>
          <w:lang w:val="en-US" w:eastAsia="zh-CN"/>
        </w:rPr>
        <w:t xml:space="preserve">4.3.2.2 </w:t>
      </w:r>
      <w:r>
        <w:rPr>
          <w:rFonts w:hint="eastAsia"/>
          <w:color w:val="auto"/>
          <w:highlight w:val="none"/>
          <w:lang w:eastAsia="zh-CN"/>
        </w:rPr>
        <w:t>响应人</w:t>
      </w:r>
      <w:r>
        <w:rPr>
          <w:rFonts w:hint="eastAsia"/>
          <w:color w:val="auto"/>
          <w:highlight w:val="none"/>
        </w:rPr>
        <w:t>的报价为一次性报价，即在</w:t>
      </w:r>
      <w:r>
        <w:rPr>
          <w:rFonts w:hint="eastAsia"/>
          <w:color w:val="auto"/>
          <w:highlight w:val="none"/>
          <w:lang w:eastAsia="zh-CN"/>
        </w:rPr>
        <w:t>响应有效期</w:t>
      </w:r>
      <w:r>
        <w:rPr>
          <w:rFonts w:hint="eastAsia"/>
          <w:color w:val="auto"/>
          <w:highlight w:val="none"/>
        </w:rPr>
        <w:t>内</w:t>
      </w:r>
      <w:r>
        <w:rPr>
          <w:rFonts w:hint="eastAsia"/>
          <w:color w:val="auto"/>
          <w:highlight w:val="none"/>
          <w:lang w:eastAsia="zh-CN"/>
        </w:rPr>
        <w:t>响应价格</w:t>
      </w:r>
      <w:r>
        <w:rPr>
          <w:rFonts w:hint="eastAsia"/>
          <w:color w:val="auto"/>
          <w:highlight w:val="none"/>
        </w:rPr>
        <w:t>固定不变。</w:t>
      </w:r>
    </w:p>
    <w:p w14:paraId="30975A28">
      <w:pPr>
        <w:bidi w:val="0"/>
        <w:rPr>
          <w:rFonts w:hint="eastAsia"/>
          <w:color w:val="auto"/>
          <w:highlight w:val="none"/>
        </w:rPr>
      </w:pPr>
      <w:r>
        <w:rPr>
          <w:rFonts w:hint="eastAsia"/>
          <w:color w:val="auto"/>
          <w:highlight w:val="none"/>
          <w:lang w:val="en-US" w:eastAsia="zh-CN"/>
        </w:rPr>
        <w:t xml:space="preserve">4.3.2.3 </w:t>
      </w:r>
      <w:r>
        <w:rPr>
          <w:rFonts w:hint="eastAsia"/>
          <w:color w:val="auto"/>
          <w:highlight w:val="none"/>
        </w:rPr>
        <w:t>本项目只接受一个</w:t>
      </w:r>
      <w:r>
        <w:rPr>
          <w:rFonts w:hint="eastAsia"/>
          <w:color w:val="auto"/>
          <w:highlight w:val="none"/>
          <w:lang w:eastAsia="zh-CN"/>
        </w:rPr>
        <w:t>响应报价</w:t>
      </w:r>
      <w:r>
        <w:rPr>
          <w:rFonts w:hint="eastAsia"/>
          <w:color w:val="auto"/>
          <w:highlight w:val="none"/>
        </w:rPr>
        <w:t>，有选择的或有条件的</w:t>
      </w:r>
      <w:r>
        <w:rPr>
          <w:rFonts w:hint="eastAsia"/>
          <w:color w:val="auto"/>
          <w:highlight w:val="none"/>
          <w:lang w:val="en-US" w:eastAsia="zh-CN"/>
        </w:rPr>
        <w:t>响应</w:t>
      </w:r>
      <w:r>
        <w:rPr>
          <w:rFonts w:hint="eastAsia"/>
          <w:color w:val="auto"/>
          <w:highlight w:val="none"/>
        </w:rPr>
        <w:t>将不予接受。</w:t>
      </w:r>
    </w:p>
    <w:p w14:paraId="74E14777">
      <w:pPr>
        <w:bidi w:val="0"/>
        <w:rPr>
          <w:rFonts w:hint="eastAsia"/>
          <w:color w:val="auto"/>
          <w:highlight w:val="none"/>
        </w:rPr>
      </w:pPr>
      <w:r>
        <w:rPr>
          <w:rFonts w:hint="eastAsia"/>
          <w:color w:val="auto"/>
          <w:highlight w:val="none"/>
          <w:lang w:val="en-US" w:eastAsia="zh-CN"/>
        </w:rPr>
        <w:t>4.3.2.</w:t>
      </w:r>
      <w:r>
        <w:rPr>
          <w:rFonts w:hint="eastAsia"/>
          <w:color w:val="auto"/>
          <w:highlight w:val="none"/>
        </w:rPr>
        <w:t xml:space="preserve">4 </w:t>
      </w:r>
      <w:r>
        <w:rPr>
          <w:rFonts w:hint="eastAsia"/>
          <w:color w:val="auto"/>
          <w:highlight w:val="none"/>
          <w:lang w:eastAsia="zh-CN"/>
        </w:rPr>
        <w:t>响应报价</w:t>
      </w:r>
      <w:r>
        <w:rPr>
          <w:rFonts w:hint="eastAsia"/>
          <w:color w:val="auto"/>
          <w:highlight w:val="none"/>
        </w:rPr>
        <w:t>不得高于最高限价。</w:t>
      </w:r>
    </w:p>
    <w:p w14:paraId="0DCE392D">
      <w:pPr>
        <w:rPr>
          <w:rFonts w:eastAsia="宋体"/>
          <w:color w:val="auto"/>
          <w:highlight w:val="none"/>
          <w:lang w:val="en-US" w:eastAsia="zh-CN"/>
        </w:rPr>
      </w:pPr>
      <w:r>
        <w:rPr>
          <w:rFonts w:hint="eastAsia"/>
          <w:color w:val="auto"/>
          <w:highlight w:val="none"/>
          <w:lang w:val="en-US" w:eastAsia="zh-CN"/>
        </w:rPr>
        <w:t>4.3.2.5 询比文件第一章第 1.2 条和第五章规定的其他内容。</w:t>
      </w:r>
    </w:p>
    <w:p w14:paraId="1825641A">
      <w:pPr>
        <w:pStyle w:val="5"/>
        <w:bidi w:val="0"/>
        <w:rPr>
          <w:rFonts w:hint="eastAsia"/>
          <w:color w:val="auto"/>
          <w:highlight w:val="none"/>
          <w:lang w:eastAsia="zh-CN"/>
        </w:rPr>
      </w:pPr>
      <w:r>
        <w:rPr>
          <w:rFonts w:hint="eastAsia"/>
          <w:color w:val="auto"/>
          <w:highlight w:val="none"/>
          <w:lang w:val="en-US" w:eastAsia="zh-CN"/>
        </w:rPr>
        <w:t xml:space="preserve">4.4 </w:t>
      </w:r>
      <w:r>
        <w:rPr>
          <w:rFonts w:hint="eastAsia"/>
          <w:color w:val="auto"/>
          <w:highlight w:val="none"/>
          <w:lang w:eastAsia="zh-CN"/>
        </w:rPr>
        <w:t>响应有效期</w:t>
      </w:r>
    </w:p>
    <w:p w14:paraId="347FDD4D">
      <w:pPr>
        <w:bidi w:val="0"/>
        <w:rPr>
          <w:rFonts w:hint="eastAsia"/>
          <w:color w:val="auto"/>
          <w:highlight w:val="none"/>
        </w:rPr>
      </w:pPr>
      <w:r>
        <w:rPr>
          <w:rFonts w:hint="eastAsia"/>
          <w:color w:val="auto"/>
          <w:highlight w:val="none"/>
          <w:lang w:val="en-US" w:eastAsia="zh-CN"/>
        </w:rPr>
        <w:t xml:space="preserve">4.4.1 </w:t>
      </w:r>
      <w:r>
        <w:rPr>
          <w:rFonts w:hint="eastAsia"/>
          <w:color w:val="auto"/>
          <w:highlight w:val="none"/>
          <w:lang w:eastAsia="zh-CN"/>
        </w:rPr>
        <w:t>响应有效期</w:t>
      </w:r>
      <w:r>
        <w:rPr>
          <w:rFonts w:hint="eastAsia"/>
          <w:color w:val="auto"/>
          <w:highlight w:val="none"/>
        </w:rPr>
        <w:t>为</w:t>
      </w:r>
      <w:r>
        <w:rPr>
          <w:rFonts w:hint="eastAsia"/>
          <w:color w:val="auto"/>
          <w:highlight w:val="none"/>
          <w:lang w:val="en-US" w:eastAsia="zh-CN"/>
        </w:rPr>
        <w:t>响应</w:t>
      </w:r>
      <w:r>
        <w:rPr>
          <w:rFonts w:hint="eastAsia"/>
          <w:color w:val="auto"/>
          <w:highlight w:val="none"/>
        </w:rPr>
        <w:t>截止</w:t>
      </w:r>
      <w:r>
        <w:rPr>
          <w:rFonts w:hint="eastAsia"/>
          <w:color w:val="auto"/>
          <w:highlight w:val="none"/>
          <w:lang w:val="en-US" w:eastAsia="zh-CN"/>
        </w:rPr>
        <w:t>时间</w:t>
      </w:r>
      <w:r>
        <w:rPr>
          <w:rFonts w:hint="eastAsia"/>
          <w:color w:val="auto"/>
          <w:highlight w:val="none"/>
        </w:rPr>
        <w:t>后90天内。</w:t>
      </w:r>
    </w:p>
    <w:p w14:paraId="71BF7198">
      <w:pPr>
        <w:bidi w:val="0"/>
        <w:rPr>
          <w:rFonts w:hint="eastAsia"/>
          <w:color w:val="auto"/>
          <w:highlight w:val="none"/>
        </w:rPr>
      </w:pPr>
      <w:r>
        <w:rPr>
          <w:rFonts w:hint="eastAsia"/>
          <w:color w:val="auto"/>
          <w:highlight w:val="none"/>
          <w:lang w:val="en-US" w:eastAsia="zh-CN"/>
        </w:rPr>
        <w:t>4.4.</w:t>
      </w:r>
      <w:r>
        <w:rPr>
          <w:rFonts w:hint="eastAsia"/>
          <w:color w:val="auto"/>
          <w:highlight w:val="none"/>
        </w:rPr>
        <w:t>2 在</w:t>
      </w:r>
      <w:r>
        <w:rPr>
          <w:rFonts w:hint="eastAsia"/>
          <w:color w:val="auto"/>
          <w:highlight w:val="none"/>
          <w:lang w:val="en-US" w:eastAsia="zh-CN"/>
        </w:rPr>
        <w:t>响应</w:t>
      </w:r>
      <w:r>
        <w:rPr>
          <w:rFonts w:hint="eastAsia"/>
          <w:color w:val="auto"/>
          <w:highlight w:val="none"/>
        </w:rPr>
        <w:t>有效期内，</w:t>
      </w:r>
      <w:r>
        <w:rPr>
          <w:rFonts w:hint="eastAsia"/>
          <w:color w:val="auto"/>
          <w:highlight w:val="none"/>
          <w:lang w:val="en-US" w:eastAsia="zh-CN"/>
        </w:rPr>
        <w:t>响应</w:t>
      </w:r>
      <w:r>
        <w:rPr>
          <w:rFonts w:hint="eastAsia"/>
          <w:color w:val="auto"/>
          <w:highlight w:val="none"/>
        </w:rPr>
        <w:t>人撤销或修改其</w:t>
      </w:r>
      <w:r>
        <w:rPr>
          <w:rFonts w:hint="eastAsia"/>
          <w:color w:val="auto"/>
          <w:highlight w:val="none"/>
          <w:lang w:val="en-US" w:eastAsia="zh-CN"/>
        </w:rPr>
        <w:t>响应</w:t>
      </w:r>
      <w:r>
        <w:rPr>
          <w:rFonts w:hint="eastAsia"/>
          <w:color w:val="auto"/>
          <w:highlight w:val="none"/>
        </w:rPr>
        <w:t>文件的，应承担</w:t>
      </w:r>
      <w:r>
        <w:rPr>
          <w:rFonts w:hint="eastAsia"/>
          <w:color w:val="auto"/>
          <w:highlight w:val="none"/>
          <w:lang w:val="en-US" w:eastAsia="zh-CN"/>
        </w:rPr>
        <w:t>询比</w:t>
      </w:r>
      <w:r>
        <w:rPr>
          <w:rFonts w:hint="eastAsia"/>
          <w:color w:val="auto"/>
          <w:highlight w:val="none"/>
        </w:rPr>
        <w:t>文件和法律规定的责任。</w:t>
      </w:r>
    </w:p>
    <w:p w14:paraId="716980CF">
      <w:pPr>
        <w:bidi w:val="0"/>
        <w:rPr>
          <w:rFonts w:hint="eastAsia"/>
          <w:color w:val="auto"/>
          <w:highlight w:val="none"/>
        </w:rPr>
      </w:pPr>
      <w:r>
        <w:rPr>
          <w:rFonts w:hint="eastAsia"/>
          <w:color w:val="auto"/>
          <w:highlight w:val="none"/>
          <w:lang w:val="en-US" w:eastAsia="zh-CN"/>
        </w:rPr>
        <w:t>4.4.</w:t>
      </w:r>
      <w:r>
        <w:rPr>
          <w:rFonts w:hint="eastAsia"/>
          <w:color w:val="auto"/>
          <w:highlight w:val="none"/>
        </w:rPr>
        <w:t>3 出现特殊情况需要延长</w:t>
      </w:r>
      <w:r>
        <w:rPr>
          <w:rFonts w:hint="eastAsia"/>
          <w:color w:val="auto"/>
          <w:highlight w:val="none"/>
          <w:lang w:val="en-US" w:eastAsia="zh-CN"/>
        </w:rPr>
        <w:t>响应</w:t>
      </w:r>
      <w:r>
        <w:rPr>
          <w:rFonts w:hint="eastAsia"/>
          <w:color w:val="auto"/>
          <w:highlight w:val="none"/>
        </w:rPr>
        <w:t>有效期的，</w:t>
      </w:r>
      <w:r>
        <w:rPr>
          <w:rFonts w:hint="eastAsia"/>
          <w:color w:val="auto"/>
          <w:highlight w:val="none"/>
          <w:lang w:val="en-US" w:eastAsia="zh-CN"/>
        </w:rPr>
        <w:t>采购</w:t>
      </w:r>
      <w:r>
        <w:rPr>
          <w:rFonts w:hint="eastAsia"/>
          <w:color w:val="auto"/>
          <w:highlight w:val="none"/>
        </w:rPr>
        <w:t>人以书面形式通知所有</w:t>
      </w:r>
      <w:r>
        <w:rPr>
          <w:rFonts w:hint="eastAsia"/>
          <w:color w:val="auto"/>
          <w:highlight w:val="none"/>
          <w:lang w:val="en-US" w:eastAsia="zh-CN"/>
        </w:rPr>
        <w:t>响应</w:t>
      </w:r>
      <w:r>
        <w:rPr>
          <w:rFonts w:hint="eastAsia"/>
          <w:color w:val="auto"/>
          <w:highlight w:val="none"/>
        </w:rPr>
        <w:t>人延长</w:t>
      </w:r>
      <w:r>
        <w:rPr>
          <w:rFonts w:hint="eastAsia"/>
          <w:color w:val="auto"/>
          <w:highlight w:val="none"/>
          <w:lang w:val="en-US" w:eastAsia="zh-CN"/>
        </w:rPr>
        <w:t>响应</w:t>
      </w:r>
      <w:r>
        <w:rPr>
          <w:rFonts w:hint="eastAsia"/>
          <w:color w:val="auto"/>
          <w:highlight w:val="none"/>
        </w:rPr>
        <w:t>有效期。</w:t>
      </w:r>
      <w:r>
        <w:rPr>
          <w:rFonts w:hint="eastAsia"/>
          <w:color w:val="auto"/>
          <w:highlight w:val="none"/>
          <w:lang w:val="en-US" w:eastAsia="zh-CN"/>
        </w:rPr>
        <w:t>响应</w:t>
      </w:r>
      <w:r>
        <w:rPr>
          <w:rFonts w:hint="eastAsia"/>
          <w:color w:val="auto"/>
          <w:highlight w:val="none"/>
        </w:rPr>
        <w:t>人应予以书面</w:t>
      </w:r>
      <w:r>
        <w:rPr>
          <w:rFonts w:hint="eastAsia"/>
          <w:color w:val="auto"/>
          <w:highlight w:val="none"/>
          <w:lang w:eastAsia="zh-CN"/>
        </w:rPr>
        <w:t>回复</w:t>
      </w:r>
      <w:r>
        <w:rPr>
          <w:rFonts w:hint="eastAsia"/>
          <w:color w:val="auto"/>
          <w:highlight w:val="none"/>
        </w:rPr>
        <w:t>，同意延长的，应相应延长其</w:t>
      </w:r>
      <w:r>
        <w:rPr>
          <w:rFonts w:hint="eastAsia"/>
          <w:color w:val="auto"/>
          <w:highlight w:val="none"/>
          <w:lang w:val="en-US" w:eastAsia="zh-CN"/>
        </w:rPr>
        <w:t>响应</w:t>
      </w:r>
      <w:r>
        <w:rPr>
          <w:rFonts w:hint="eastAsia"/>
          <w:color w:val="auto"/>
          <w:highlight w:val="none"/>
        </w:rPr>
        <w:t>保证金的有效期，但不得要求或被允许修改其</w:t>
      </w:r>
      <w:r>
        <w:rPr>
          <w:rFonts w:hint="eastAsia"/>
          <w:color w:val="auto"/>
          <w:highlight w:val="none"/>
          <w:lang w:val="en-US" w:eastAsia="zh-CN"/>
        </w:rPr>
        <w:t>响应</w:t>
      </w:r>
      <w:r>
        <w:rPr>
          <w:rFonts w:hint="eastAsia"/>
          <w:color w:val="auto"/>
          <w:highlight w:val="none"/>
        </w:rPr>
        <w:t>文件；</w:t>
      </w:r>
      <w:r>
        <w:rPr>
          <w:rFonts w:hint="eastAsia"/>
          <w:color w:val="auto"/>
          <w:highlight w:val="none"/>
          <w:lang w:val="en-US" w:eastAsia="zh-CN"/>
        </w:rPr>
        <w:t>响应</w:t>
      </w:r>
      <w:r>
        <w:rPr>
          <w:rFonts w:hint="eastAsia"/>
          <w:color w:val="auto"/>
          <w:highlight w:val="none"/>
        </w:rPr>
        <w:t>人拒绝延长的，其</w:t>
      </w:r>
      <w:r>
        <w:rPr>
          <w:rFonts w:hint="eastAsia"/>
          <w:color w:val="auto"/>
          <w:highlight w:val="none"/>
          <w:lang w:val="en-US" w:eastAsia="zh-CN"/>
        </w:rPr>
        <w:t>响应</w:t>
      </w:r>
      <w:r>
        <w:rPr>
          <w:rFonts w:hint="eastAsia"/>
          <w:color w:val="auto"/>
          <w:highlight w:val="none"/>
        </w:rPr>
        <w:t>失效，但</w:t>
      </w:r>
      <w:r>
        <w:rPr>
          <w:rFonts w:hint="eastAsia"/>
          <w:color w:val="auto"/>
          <w:highlight w:val="none"/>
          <w:lang w:val="en-US" w:eastAsia="zh-CN"/>
        </w:rPr>
        <w:t>响应</w:t>
      </w:r>
      <w:r>
        <w:rPr>
          <w:rFonts w:hint="eastAsia"/>
          <w:color w:val="auto"/>
          <w:highlight w:val="none"/>
        </w:rPr>
        <w:t>人有权收回其</w:t>
      </w:r>
      <w:r>
        <w:rPr>
          <w:rFonts w:hint="eastAsia"/>
          <w:color w:val="auto"/>
          <w:highlight w:val="none"/>
          <w:lang w:val="en-US" w:eastAsia="zh-CN"/>
        </w:rPr>
        <w:t>响应</w:t>
      </w:r>
      <w:r>
        <w:rPr>
          <w:rFonts w:hint="eastAsia"/>
          <w:color w:val="auto"/>
          <w:highlight w:val="none"/>
        </w:rPr>
        <w:t>保证金。</w:t>
      </w:r>
    </w:p>
    <w:p w14:paraId="6FA057B5">
      <w:pPr>
        <w:pStyle w:val="5"/>
        <w:bidi w:val="0"/>
        <w:rPr>
          <w:rFonts w:hint="eastAsia"/>
          <w:color w:val="auto"/>
          <w:highlight w:val="none"/>
          <w:lang w:eastAsia="zh-CN"/>
        </w:rPr>
      </w:pPr>
      <w:r>
        <w:rPr>
          <w:rFonts w:hint="eastAsia"/>
          <w:color w:val="auto"/>
          <w:highlight w:val="none"/>
          <w:lang w:val="en-US" w:eastAsia="zh-CN"/>
        </w:rPr>
        <w:t xml:space="preserve">4.5 </w:t>
      </w:r>
      <w:r>
        <w:rPr>
          <w:rFonts w:hint="eastAsia"/>
          <w:color w:val="auto"/>
          <w:highlight w:val="none"/>
          <w:lang w:eastAsia="zh-CN"/>
        </w:rPr>
        <w:t>响应保证金</w:t>
      </w:r>
    </w:p>
    <w:p w14:paraId="2C5FE529">
      <w:pPr>
        <w:bidi w:val="0"/>
        <w:rPr>
          <w:color w:val="auto"/>
          <w:highlight w:val="none"/>
        </w:rPr>
      </w:pPr>
      <w:r>
        <w:rPr>
          <w:rFonts w:hint="eastAsia"/>
          <w:color w:val="auto"/>
          <w:highlight w:val="none"/>
          <w:lang w:val="en-US" w:eastAsia="zh-CN"/>
        </w:rPr>
        <w:t xml:space="preserve">4.5.1 </w:t>
      </w:r>
      <w:r>
        <w:rPr>
          <w:rFonts w:hint="eastAsia"/>
          <w:color w:val="auto"/>
          <w:highlight w:val="none"/>
          <w:lang w:eastAsia="zh-CN"/>
        </w:rPr>
        <w:t>响应人</w:t>
      </w:r>
      <w:r>
        <w:rPr>
          <w:rFonts w:hint="eastAsia"/>
          <w:color w:val="auto"/>
          <w:highlight w:val="none"/>
        </w:rPr>
        <w:t>应在</w:t>
      </w:r>
      <w:r>
        <w:rPr>
          <w:rFonts w:hint="eastAsia"/>
          <w:color w:val="auto"/>
          <w:highlight w:val="none"/>
          <w:lang w:eastAsia="zh-CN"/>
        </w:rPr>
        <w:t>响应截止时间</w:t>
      </w:r>
      <w:r>
        <w:rPr>
          <w:rFonts w:hint="eastAsia"/>
          <w:color w:val="auto"/>
          <w:highlight w:val="none"/>
        </w:rPr>
        <w:t>前，按</w:t>
      </w:r>
      <w:r>
        <w:rPr>
          <w:rFonts w:hint="eastAsia"/>
          <w:color w:val="auto"/>
          <w:highlight w:val="none"/>
          <w:lang w:eastAsia="zh-CN"/>
        </w:rPr>
        <w:t>询比文件</w:t>
      </w:r>
      <w:r>
        <w:rPr>
          <w:rFonts w:hint="eastAsia"/>
          <w:color w:val="auto"/>
          <w:highlight w:val="none"/>
        </w:rPr>
        <w:t>第一章规定向</w:t>
      </w:r>
      <w:r>
        <w:rPr>
          <w:rFonts w:hint="eastAsia"/>
          <w:color w:val="auto"/>
          <w:highlight w:val="none"/>
          <w:lang w:eastAsia="zh-CN"/>
        </w:rPr>
        <w:t>采购人</w:t>
      </w:r>
      <w:r>
        <w:rPr>
          <w:rFonts w:hint="eastAsia"/>
          <w:color w:val="auto"/>
          <w:highlight w:val="none"/>
        </w:rPr>
        <w:t>缴纳</w:t>
      </w:r>
      <w:r>
        <w:rPr>
          <w:rFonts w:hint="eastAsia"/>
          <w:color w:val="auto"/>
          <w:highlight w:val="none"/>
          <w:lang w:eastAsia="zh-CN"/>
        </w:rPr>
        <w:t>响应保证金</w:t>
      </w:r>
      <w:r>
        <w:rPr>
          <w:rFonts w:hint="eastAsia"/>
          <w:color w:val="auto"/>
          <w:highlight w:val="none"/>
        </w:rPr>
        <w:t>。</w:t>
      </w:r>
    </w:p>
    <w:p w14:paraId="07E753AD">
      <w:pPr>
        <w:bidi w:val="0"/>
        <w:rPr>
          <w:color w:val="auto"/>
          <w:highlight w:val="none"/>
        </w:rPr>
      </w:pPr>
      <w:r>
        <w:rPr>
          <w:rFonts w:hint="eastAsia"/>
          <w:color w:val="auto"/>
          <w:highlight w:val="none"/>
          <w:lang w:val="en-US" w:eastAsia="zh-CN"/>
        </w:rPr>
        <w:t xml:space="preserve">4.5.2 </w:t>
      </w:r>
      <w:r>
        <w:rPr>
          <w:rFonts w:hint="eastAsia"/>
          <w:color w:val="auto"/>
          <w:highlight w:val="none"/>
          <w:lang w:eastAsia="zh-CN"/>
        </w:rPr>
        <w:t>响应保证金</w:t>
      </w:r>
      <w:r>
        <w:rPr>
          <w:rFonts w:hint="eastAsia"/>
          <w:color w:val="auto"/>
          <w:highlight w:val="none"/>
        </w:rPr>
        <w:t>为</w:t>
      </w:r>
      <w:r>
        <w:rPr>
          <w:rFonts w:hint="eastAsia"/>
          <w:color w:val="auto"/>
          <w:highlight w:val="none"/>
          <w:lang w:val="en-US" w:eastAsia="zh-CN"/>
        </w:rPr>
        <w:t>响应</w:t>
      </w:r>
      <w:r>
        <w:rPr>
          <w:rFonts w:hint="eastAsia"/>
          <w:color w:val="auto"/>
          <w:highlight w:val="none"/>
        </w:rPr>
        <w:t>的有效约束条件。</w:t>
      </w:r>
    </w:p>
    <w:p w14:paraId="4E56E28E">
      <w:pPr>
        <w:bidi w:val="0"/>
        <w:rPr>
          <w:color w:val="auto"/>
          <w:highlight w:val="none"/>
        </w:rPr>
      </w:pPr>
      <w:r>
        <w:rPr>
          <w:rFonts w:hint="eastAsia"/>
          <w:color w:val="auto"/>
          <w:highlight w:val="none"/>
          <w:lang w:val="en-US" w:eastAsia="zh-CN"/>
        </w:rPr>
        <w:t xml:space="preserve">4.5.3 </w:t>
      </w:r>
      <w:r>
        <w:rPr>
          <w:rFonts w:hint="eastAsia"/>
          <w:color w:val="auto"/>
          <w:highlight w:val="none"/>
          <w:lang w:eastAsia="zh-CN"/>
        </w:rPr>
        <w:t>响应保证金</w:t>
      </w:r>
      <w:r>
        <w:rPr>
          <w:rFonts w:hint="eastAsia"/>
          <w:color w:val="auto"/>
          <w:highlight w:val="none"/>
        </w:rPr>
        <w:t>有效期与</w:t>
      </w:r>
      <w:r>
        <w:rPr>
          <w:rFonts w:hint="eastAsia"/>
          <w:color w:val="auto"/>
          <w:highlight w:val="none"/>
          <w:lang w:eastAsia="zh-CN"/>
        </w:rPr>
        <w:t>响应文件</w:t>
      </w:r>
      <w:r>
        <w:rPr>
          <w:rFonts w:hint="eastAsia"/>
          <w:color w:val="auto"/>
          <w:highlight w:val="none"/>
        </w:rPr>
        <w:t>有效期一致。</w:t>
      </w:r>
    </w:p>
    <w:p w14:paraId="1EC85BBA">
      <w:pPr>
        <w:bidi w:val="0"/>
        <w:rPr>
          <w:color w:val="auto"/>
          <w:highlight w:val="none"/>
        </w:rPr>
      </w:pPr>
      <w:r>
        <w:rPr>
          <w:rFonts w:hint="eastAsia"/>
          <w:color w:val="auto"/>
          <w:highlight w:val="none"/>
          <w:lang w:val="en-US" w:eastAsia="zh-CN"/>
        </w:rPr>
        <w:t xml:space="preserve">4.5.4 </w:t>
      </w:r>
      <w:r>
        <w:rPr>
          <w:rFonts w:hint="eastAsia"/>
          <w:color w:val="auto"/>
          <w:highlight w:val="none"/>
          <w:lang w:eastAsia="zh-CN"/>
        </w:rPr>
        <w:t>响应保证金</w:t>
      </w:r>
      <w:r>
        <w:rPr>
          <w:rFonts w:hint="eastAsia"/>
          <w:color w:val="auto"/>
          <w:highlight w:val="none"/>
        </w:rPr>
        <w:t>币种应与</w:t>
      </w:r>
      <w:r>
        <w:rPr>
          <w:rFonts w:hint="eastAsia"/>
          <w:color w:val="auto"/>
          <w:highlight w:val="none"/>
          <w:lang w:eastAsia="zh-CN"/>
        </w:rPr>
        <w:t>响应报价</w:t>
      </w:r>
      <w:r>
        <w:rPr>
          <w:rFonts w:hint="eastAsia"/>
          <w:color w:val="auto"/>
          <w:highlight w:val="none"/>
        </w:rPr>
        <w:t>币种相同。</w:t>
      </w:r>
    </w:p>
    <w:p w14:paraId="110EC630">
      <w:pPr>
        <w:bidi w:val="0"/>
        <w:rPr>
          <w:rFonts w:hint="eastAsia"/>
          <w:color w:val="auto"/>
          <w:highlight w:val="none"/>
          <w:lang w:eastAsia="zh-CN"/>
        </w:rPr>
      </w:pPr>
      <w:r>
        <w:rPr>
          <w:rFonts w:hint="eastAsia"/>
          <w:color w:val="auto"/>
          <w:highlight w:val="none"/>
          <w:lang w:val="en-US" w:eastAsia="zh-CN"/>
        </w:rPr>
        <w:t xml:space="preserve">4.5.5 </w:t>
      </w:r>
      <w:r>
        <w:rPr>
          <w:rFonts w:hint="eastAsia"/>
          <w:color w:val="auto"/>
          <w:highlight w:val="none"/>
          <w:lang w:eastAsia="zh-CN"/>
        </w:rPr>
        <w:t>响应保证金</w:t>
      </w:r>
      <w:r>
        <w:rPr>
          <w:rFonts w:hint="eastAsia"/>
          <w:color w:val="auto"/>
          <w:highlight w:val="none"/>
        </w:rPr>
        <w:t>的退还</w:t>
      </w:r>
      <w:r>
        <w:rPr>
          <w:rFonts w:hint="eastAsia"/>
          <w:color w:val="auto"/>
          <w:highlight w:val="none"/>
          <w:lang w:eastAsia="zh-CN"/>
        </w:rPr>
        <w:t>：</w:t>
      </w:r>
    </w:p>
    <w:p w14:paraId="19A73C06">
      <w:pPr>
        <w:bidi w:val="0"/>
        <w:rPr>
          <w:color w:val="auto"/>
          <w:highlight w:val="none"/>
        </w:rPr>
      </w:pPr>
      <w:r>
        <w:rPr>
          <w:rFonts w:hint="eastAsia"/>
          <w:color w:val="auto"/>
          <w:highlight w:val="none"/>
          <w:lang w:eastAsia="zh-CN"/>
        </w:rPr>
        <w:t>采购人</w:t>
      </w:r>
      <w:r>
        <w:rPr>
          <w:rFonts w:hint="eastAsia"/>
          <w:color w:val="auto"/>
          <w:highlight w:val="none"/>
        </w:rPr>
        <w:t>在</w:t>
      </w:r>
      <w:r>
        <w:rPr>
          <w:rFonts w:hint="eastAsia"/>
          <w:color w:val="auto"/>
          <w:highlight w:val="none"/>
          <w:lang w:eastAsia="zh-CN"/>
        </w:rPr>
        <w:t>成交</w:t>
      </w:r>
      <w:r>
        <w:rPr>
          <w:rFonts w:hint="eastAsia"/>
          <w:color w:val="auto"/>
          <w:highlight w:val="none"/>
        </w:rPr>
        <w:t>通知书发出后2个工作日内将</w:t>
      </w:r>
      <w:r>
        <w:rPr>
          <w:rFonts w:hint="eastAsia"/>
          <w:color w:val="auto"/>
          <w:highlight w:val="none"/>
          <w:lang w:eastAsia="zh-CN"/>
        </w:rPr>
        <w:t>成交</w:t>
      </w:r>
      <w:r>
        <w:rPr>
          <w:rFonts w:hint="eastAsia"/>
          <w:color w:val="auto"/>
          <w:highlight w:val="none"/>
        </w:rPr>
        <w:t>通知书和保证金退还通知抄告重庆市公共资源交易中心，重庆市公共资源交易中心在收到保证金退还通知后2个工作日内，向除</w:t>
      </w:r>
      <w:r>
        <w:rPr>
          <w:rFonts w:hint="eastAsia"/>
          <w:color w:val="auto"/>
          <w:highlight w:val="none"/>
          <w:lang w:eastAsia="zh-CN"/>
        </w:rPr>
        <w:t>成交供应商</w:t>
      </w:r>
      <w:r>
        <w:rPr>
          <w:rFonts w:hint="eastAsia"/>
          <w:color w:val="auto"/>
          <w:highlight w:val="none"/>
        </w:rPr>
        <w:t>以外的</w:t>
      </w:r>
      <w:r>
        <w:rPr>
          <w:rFonts w:hint="eastAsia"/>
          <w:color w:val="auto"/>
          <w:highlight w:val="none"/>
          <w:lang w:eastAsia="zh-CN"/>
        </w:rPr>
        <w:t>响应人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785DB669">
      <w:pPr>
        <w:bidi w:val="0"/>
        <w:rPr>
          <w:color w:val="auto"/>
          <w:highlight w:val="none"/>
        </w:rPr>
      </w:pPr>
      <w:r>
        <w:rPr>
          <w:rFonts w:hint="eastAsia"/>
          <w:color w:val="auto"/>
          <w:highlight w:val="none"/>
          <w:lang w:eastAsia="zh-CN"/>
        </w:rPr>
        <w:t>采购人</w:t>
      </w:r>
      <w:r>
        <w:rPr>
          <w:rFonts w:hint="eastAsia"/>
          <w:color w:val="auto"/>
          <w:highlight w:val="none"/>
        </w:rPr>
        <w:t>在合同生效后2个工作日内将签订的合同和保证金退还通知抄告重庆市公共资源交易中心，重庆市公共资源交易中心在收到保证金退还通知后2个工作日内，向</w:t>
      </w:r>
      <w:r>
        <w:rPr>
          <w:rFonts w:hint="eastAsia"/>
          <w:color w:val="auto"/>
          <w:highlight w:val="none"/>
          <w:lang w:eastAsia="zh-CN"/>
        </w:rPr>
        <w:t>成交供应商</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7CDD8374">
      <w:pPr>
        <w:bidi w:val="0"/>
        <w:rPr>
          <w:color w:val="auto"/>
          <w:highlight w:val="none"/>
        </w:rPr>
      </w:pPr>
      <w:r>
        <w:rPr>
          <w:rFonts w:hint="eastAsia"/>
          <w:color w:val="auto"/>
          <w:highlight w:val="none"/>
          <w:lang w:eastAsia="zh-CN"/>
        </w:rPr>
        <w:t>响应保证金</w:t>
      </w:r>
      <w:r>
        <w:rPr>
          <w:rFonts w:hint="eastAsia"/>
          <w:color w:val="auto"/>
          <w:highlight w:val="none"/>
        </w:rPr>
        <w:t>专用账户由重庆市公共资源交易中心制定，关于保证金相关情况的问题请咨询重庆市公共资源交易中心。</w:t>
      </w:r>
    </w:p>
    <w:p w14:paraId="2965395B">
      <w:pPr>
        <w:bidi w:val="0"/>
        <w:rPr>
          <w:color w:val="auto"/>
          <w:highlight w:val="none"/>
        </w:rPr>
      </w:pPr>
      <w:r>
        <w:rPr>
          <w:rFonts w:hint="eastAsia"/>
          <w:color w:val="auto"/>
          <w:highlight w:val="none"/>
          <w:lang w:val="en-US" w:eastAsia="zh-CN"/>
        </w:rPr>
        <w:t xml:space="preserve">4.5.6 </w:t>
      </w:r>
      <w:r>
        <w:rPr>
          <w:rFonts w:hint="eastAsia"/>
          <w:color w:val="auto"/>
          <w:highlight w:val="none"/>
          <w:lang w:eastAsia="zh-CN"/>
        </w:rPr>
        <w:t>响应人</w:t>
      </w:r>
      <w:r>
        <w:rPr>
          <w:rFonts w:hint="eastAsia"/>
          <w:color w:val="auto"/>
          <w:highlight w:val="none"/>
        </w:rPr>
        <w:t>有下列情形之一的，</w:t>
      </w:r>
      <w:r>
        <w:rPr>
          <w:rFonts w:hint="eastAsia"/>
          <w:color w:val="auto"/>
          <w:highlight w:val="none"/>
          <w:lang w:eastAsia="zh-CN"/>
        </w:rPr>
        <w:t>响应保证金</w:t>
      </w:r>
      <w:r>
        <w:rPr>
          <w:rFonts w:hint="eastAsia"/>
          <w:color w:val="auto"/>
          <w:highlight w:val="none"/>
        </w:rPr>
        <w:t>将不予退还：</w:t>
      </w:r>
    </w:p>
    <w:p w14:paraId="3B6DD272">
      <w:pPr>
        <w:bidi w:val="0"/>
        <w:rPr>
          <w:color w:val="auto"/>
          <w:highlight w:val="none"/>
        </w:rPr>
      </w:pPr>
      <w:r>
        <w:rPr>
          <w:rFonts w:hint="eastAsia"/>
          <w:color w:val="auto"/>
          <w:highlight w:val="none"/>
          <w:lang w:val="en-US" w:eastAsia="zh-CN"/>
        </w:rPr>
        <w:t xml:space="preserve">4.5.6.1 </w:t>
      </w:r>
      <w:r>
        <w:rPr>
          <w:rFonts w:hint="eastAsia"/>
          <w:color w:val="auto"/>
          <w:highlight w:val="none"/>
          <w:lang w:eastAsia="zh-CN"/>
        </w:rPr>
        <w:t>响应人</w:t>
      </w:r>
      <w:r>
        <w:rPr>
          <w:rFonts w:hint="eastAsia"/>
          <w:color w:val="auto"/>
          <w:highlight w:val="none"/>
        </w:rPr>
        <w:t>在</w:t>
      </w:r>
      <w:r>
        <w:rPr>
          <w:rFonts w:hint="eastAsia"/>
          <w:color w:val="auto"/>
          <w:highlight w:val="none"/>
          <w:lang w:eastAsia="zh-CN"/>
        </w:rPr>
        <w:t>响应有效期</w:t>
      </w:r>
      <w:r>
        <w:rPr>
          <w:rFonts w:hint="eastAsia"/>
          <w:color w:val="auto"/>
          <w:highlight w:val="none"/>
        </w:rPr>
        <w:t>内</w:t>
      </w:r>
      <w:r>
        <w:rPr>
          <w:rFonts w:hint="eastAsia"/>
          <w:color w:val="auto"/>
          <w:highlight w:val="none"/>
          <w:lang w:val="en-US" w:eastAsia="zh-CN"/>
        </w:rPr>
        <w:t>撤销</w:t>
      </w:r>
      <w:r>
        <w:rPr>
          <w:rFonts w:hint="eastAsia"/>
          <w:color w:val="auto"/>
          <w:highlight w:val="none"/>
          <w:lang w:eastAsia="zh-CN"/>
        </w:rPr>
        <w:t>响应文件</w:t>
      </w:r>
      <w:r>
        <w:rPr>
          <w:rFonts w:hint="eastAsia"/>
          <w:color w:val="auto"/>
          <w:highlight w:val="none"/>
        </w:rPr>
        <w:t>的；</w:t>
      </w:r>
    </w:p>
    <w:p w14:paraId="08B81F97">
      <w:pPr>
        <w:bidi w:val="0"/>
        <w:rPr>
          <w:color w:val="auto"/>
          <w:highlight w:val="none"/>
        </w:rPr>
      </w:pPr>
      <w:r>
        <w:rPr>
          <w:rFonts w:hint="eastAsia"/>
          <w:color w:val="auto"/>
          <w:highlight w:val="none"/>
          <w:lang w:val="en-US" w:eastAsia="zh-CN"/>
        </w:rPr>
        <w:t xml:space="preserve">4.5.6.2 </w:t>
      </w:r>
      <w:r>
        <w:rPr>
          <w:rFonts w:hint="eastAsia"/>
          <w:color w:val="auto"/>
          <w:highlight w:val="none"/>
          <w:lang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过程中弄虚作假，提供虚假材料的；</w:t>
      </w:r>
    </w:p>
    <w:p w14:paraId="600E9E5A">
      <w:pPr>
        <w:bidi w:val="0"/>
        <w:rPr>
          <w:color w:val="auto"/>
          <w:highlight w:val="none"/>
        </w:rPr>
      </w:pPr>
      <w:r>
        <w:rPr>
          <w:rFonts w:hint="eastAsia"/>
          <w:color w:val="auto"/>
          <w:highlight w:val="none"/>
          <w:lang w:val="en-US" w:eastAsia="zh-CN"/>
        </w:rPr>
        <w:t xml:space="preserve">4.5.6.3 </w:t>
      </w:r>
      <w:r>
        <w:rPr>
          <w:rFonts w:hint="eastAsia"/>
          <w:color w:val="auto"/>
          <w:highlight w:val="none"/>
          <w:lang w:eastAsia="zh-CN"/>
        </w:rPr>
        <w:t>成交供应商</w:t>
      </w:r>
      <w:r>
        <w:rPr>
          <w:rFonts w:hint="eastAsia"/>
          <w:color w:val="auto"/>
          <w:highlight w:val="none"/>
        </w:rPr>
        <w:t>无故弃选</w:t>
      </w:r>
      <w:r>
        <w:rPr>
          <w:rFonts w:hint="eastAsia"/>
          <w:color w:val="auto"/>
          <w:highlight w:val="none"/>
          <w:lang w:val="en-US" w:eastAsia="zh-CN"/>
        </w:rPr>
        <w:t>或</w:t>
      </w:r>
      <w:r>
        <w:rPr>
          <w:rFonts w:hint="eastAsia"/>
          <w:color w:val="auto"/>
          <w:highlight w:val="none"/>
        </w:rPr>
        <w:t>无正当理由不与</w:t>
      </w:r>
      <w:r>
        <w:rPr>
          <w:rFonts w:hint="eastAsia"/>
          <w:color w:val="auto"/>
          <w:highlight w:val="none"/>
          <w:lang w:eastAsia="zh-CN"/>
        </w:rPr>
        <w:t>采购人</w:t>
      </w:r>
      <w:r>
        <w:rPr>
          <w:rFonts w:hint="eastAsia"/>
          <w:color w:val="auto"/>
          <w:highlight w:val="none"/>
        </w:rPr>
        <w:t>签订合同的；</w:t>
      </w:r>
    </w:p>
    <w:p w14:paraId="0BC58BC2">
      <w:pPr>
        <w:bidi w:val="0"/>
        <w:rPr>
          <w:color w:val="auto"/>
          <w:highlight w:val="none"/>
        </w:rPr>
      </w:pPr>
      <w:r>
        <w:rPr>
          <w:rFonts w:hint="eastAsia"/>
          <w:color w:val="auto"/>
          <w:highlight w:val="none"/>
          <w:lang w:val="en-US" w:eastAsia="zh-CN"/>
        </w:rPr>
        <w:t xml:space="preserve">4.5.6.4 </w:t>
      </w:r>
      <w:r>
        <w:rPr>
          <w:rFonts w:hint="eastAsia"/>
          <w:color w:val="auto"/>
          <w:highlight w:val="none"/>
          <w:lang w:eastAsia="zh-CN"/>
        </w:rPr>
        <w:t>成交供应商</w:t>
      </w:r>
      <w:r>
        <w:rPr>
          <w:rFonts w:hint="eastAsia"/>
          <w:color w:val="auto"/>
          <w:highlight w:val="none"/>
        </w:rPr>
        <w:t>将</w:t>
      </w:r>
      <w:r>
        <w:rPr>
          <w:rFonts w:hint="eastAsia"/>
          <w:color w:val="auto"/>
          <w:highlight w:val="none"/>
          <w:lang w:eastAsia="zh-CN"/>
        </w:rPr>
        <w:t>成交</w:t>
      </w:r>
      <w:r>
        <w:rPr>
          <w:rFonts w:hint="eastAsia"/>
          <w:color w:val="auto"/>
          <w:highlight w:val="none"/>
        </w:rPr>
        <w:t>项目转让给他人或者在</w:t>
      </w:r>
      <w:r>
        <w:rPr>
          <w:rFonts w:hint="eastAsia"/>
          <w:color w:val="auto"/>
          <w:highlight w:val="none"/>
          <w:lang w:eastAsia="zh-CN"/>
        </w:rPr>
        <w:t>响应文件</w:t>
      </w:r>
      <w:r>
        <w:rPr>
          <w:rFonts w:hint="eastAsia"/>
          <w:color w:val="auto"/>
          <w:highlight w:val="none"/>
        </w:rPr>
        <w:t>中未说明且未经</w:t>
      </w:r>
      <w:r>
        <w:rPr>
          <w:rFonts w:hint="eastAsia"/>
          <w:color w:val="auto"/>
          <w:highlight w:val="none"/>
          <w:lang w:eastAsia="zh-CN"/>
        </w:rPr>
        <w:t>询比</w:t>
      </w:r>
      <w:r>
        <w:rPr>
          <w:rFonts w:hint="eastAsia"/>
          <w:color w:val="auto"/>
          <w:highlight w:val="none"/>
        </w:rPr>
        <w:t>单位同意，将</w:t>
      </w:r>
      <w:r>
        <w:rPr>
          <w:rFonts w:hint="eastAsia"/>
          <w:color w:val="auto"/>
          <w:highlight w:val="none"/>
          <w:lang w:eastAsia="zh-CN"/>
        </w:rPr>
        <w:t>成交</w:t>
      </w:r>
      <w:r>
        <w:rPr>
          <w:rFonts w:hint="eastAsia"/>
          <w:color w:val="auto"/>
          <w:highlight w:val="none"/>
        </w:rPr>
        <w:t>项目分包给他人的；</w:t>
      </w:r>
    </w:p>
    <w:p w14:paraId="7A4B7C40">
      <w:pPr>
        <w:bidi w:val="0"/>
        <w:rPr>
          <w:color w:val="auto"/>
          <w:highlight w:val="none"/>
        </w:rPr>
      </w:pPr>
      <w:r>
        <w:rPr>
          <w:rFonts w:hint="eastAsia"/>
          <w:color w:val="auto"/>
          <w:highlight w:val="none"/>
          <w:lang w:val="en-US" w:eastAsia="zh-CN"/>
        </w:rPr>
        <w:t xml:space="preserve">4.5.6.5 </w:t>
      </w:r>
      <w:r>
        <w:rPr>
          <w:rFonts w:hint="eastAsia"/>
          <w:color w:val="auto"/>
          <w:highlight w:val="none"/>
          <w:lang w:eastAsia="zh-CN"/>
        </w:rPr>
        <w:t>成交供应商</w:t>
      </w:r>
      <w:r>
        <w:rPr>
          <w:rFonts w:hint="eastAsia"/>
          <w:color w:val="auto"/>
          <w:highlight w:val="none"/>
        </w:rPr>
        <w:t>拒绝履行合同义务的；</w:t>
      </w:r>
    </w:p>
    <w:p w14:paraId="57D18555">
      <w:pPr>
        <w:bidi w:val="0"/>
        <w:rPr>
          <w:rFonts w:hint="eastAsia"/>
          <w:color w:val="auto"/>
          <w:highlight w:val="none"/>
        </w:rPr>
      </w:pPr>
      <w:r>
        <w:rPr>
          <w:rFonts w:hint="eastAsia"/>
          <w:color w:val="auto"/>
          <w:highlight w:val="none"/>
          <w:lang w:val="en-US" w:eastAsia="zh-CN"/>
        </w:rPr>
        <w:t xml:space="preserve">4.5.6.6 </w:t>
      </w:r>
      <w:r>
        <w:rPr>
          <w:rFonts w:hint="eastAsia"/>
          <w:color w:val="auto"/>
          <w:highlight w:val="none"/>
        </w:rPr>
        <w:t>其他严重扰乱</w:t>
      </w:r>
      <w:r>
        <w:rPr>
          <w:rFonts w:hint="eastAsia"/>
          <w:color w:val="auto"/>
          <w:highlight w:val="none"/>
          <w:lang w:eastAsia="zh-CN"/>
        </w:rPr>
        <w:t>询比</w:t>
      </w:r>
      <w:r>
        <w:rPr>
          <w:rFonts w:hint="eastAsia"/>
          <w:color w:val="auto"/>
          <w:highlight w:val="none"/>
        </w:rPr>
        <w:t>程序的；</w:t>
      </w:r>
    </w:p>
    <w:p w14:paraId="143A4C4E">
      <w:pPr>
        <w:pStyle w:val="5"/>
        <w:bidi w:val="0"/>
        <w:rPr>
          <w:rFonts w:hint="eastAsia"/>
          <w:color w:val="auto"/>
          <w:highlight w:val="none"/>
          <w:lang w:val="en-US" w:eastAsia="zh-CN"/>
        </w:rPr>
      </w:pPr>
      <w:r>
        <w:rPr>
          <w:rFonts w:hint="eastAsia"/>
          <w:color w:val="auto"/>
          <w:highlight w:val="none"/>
          <w:lang w:val="en-US" w:eastAsia="zh-CN"/>
        </w:rPr>
        <w:t>4.6 资格审查资料</w:t>
      </w:r>
    </w:p>
    <w:p w14:paraId="6A64F780">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eastAsia="zh-CN"/>
        </w:rPr>
        <w:t>响应</w:t>
      </w:r>
      <w:r>
        <w:rPr>
          <w:rFonts w:hint="eastAsia" w:ascii="宋体" w:hAnsi="宋体" w:eastAsia="宋体" w:cs="宋体"/>
          <w:b w:val="0"/>
          <w:bCs w:val="0"/>
          <w:color w:val="auto"/>
          <w:sz w:val="21"/>
          <w:szCs w:val="21"/>
          <w:highlight w:val="none"/>
        </w:rPr>
        <w:t>人应附</w:t>
      </w:r>
      <w:r>
        <w:rPr>
          <w:rFonts w:hint="eastAsia" w:ascii="宋体" w:hAnsi="宋体" w:eastAsia="宋体" w:cs="宋体"/>
          <w:b w:val="0"/>
          <w:bCs w:val="0"/>
          <w:color w:val="auto"/>
          <w:sz w:val="21"/>
          <w:szCs w:val="21"/>
          <w:highlight w:val="none"/>
          <w:lang w:val="en-US" w:eastAsia="zh-CN"/>
        </w:rPr>
        <w:t>第一章第2条“响应人资格要求”</w:t>
      </w:r>
      <w:r>
        <w:rPr>
          <w:rFonts w:hint="eastAsia" w:ascii="宋体" w:hAnsi="宋体" w:eastAsia="宋体" w:cs="宋体"/>
          <w:b w:val="0"/>
          <w:bCs w:val="0"/>
          <w:color w:val="auto"/>
          <w:sz w:val="21"/>
          <w:szCs w:val="21"/>
          <w:highlight w:val="none"/>
        </w:rPr>
        <w:t>中要求的相关证明材料。</w:t>
      </w:r>
    </w:p>
    <w:p w14:paraId="7794E542">
      <w:pPr>
        <w:pStyle w:val="5"/>
        <w:bidi w:val="0"/>
        <w:rPr>
          <w:rFonts w:hint="eastAsia"/>
          <w:color w:val="auto"/>
          <w:highlight w:val="none"/>
          <w:lang w:val="en-US" w:eastAsia="zh-CN"/>
        </w:rPr>
      </w:pPr>
      <w:r>
        <w:rPr>
          <w:rFonts w:hint="eastAsia"/>
          <w:color w:val="auto"/>
          <w:highlight w:val="none"/>
          <w:lang w:val="en-US" w:eastAsia="zh-CN"/>
        </w:rPr>
        <w:t>4.7 备选</w:t>
      </w:r>
      <w:r>
        <w:rPr>
          <w:rFonts w:hint="eastAsia"/>
          <w:color w:val="auto"/>
          <w:highlight w:val="none"/>
          <w:lang w:eastAsia="zh-CN"/>
        </w:rPr>
        <w:t>响应</w:t>
      </w:r>
      <w:r>
        <w:rPr>
          <w:rFonts w:hint="eastAsia"/>
          <w:color w:val="auto"/>
          <w:highlight w:val="none"/>
          <w:lang w:val="en-US" w:eastAsia="zh-CN"/>
        </w:rPr>
        <w:t>方案</w:t>
      </w:r>
    </w:p>
    <w:p w14:paraId="31A20769">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eastAsia="zh-CN"/>
        </w:rPr>
        <w:t>响应</w:t>
      </w:r>
      <w:r>
        <w:rPr>
          <w:rFonts w:hint="eastAsia" w:ascii="宋体" w:hAnsi="宋体" w:eastAsia="宋体" w:cs="宋体"/>
          <w:b w:val="0"/>
          <w:bCs w:val="0"/>
          <w:color w:val="auto"/>
          <w:sz w:val="21"/>
          <w:szCs w:val="21"/>
          <w:highlight w:val="none"/>
        </w:rPr>
        <w:t>人不得递交备选</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方案。</w:t>
      </w:r>
    </w:p>
    <w:p w14:paraId="31D1D3D1">
      <w:pPr>
        <w:pStyle w:val="5"/>
        <w:bidi w:val="0"/>
        <w:rPr>
          <w:rFonts w:hint="eastAsia"/>
          <w:color w:val="auto"/>
          <w:highlight w:val="none"/>
          <w:lang w:val="en-US" w:eastAsia="zh-CN"/>
        </w:rPr>
      </w:pPr>
      <w:r>
        <w:rPr>
          <w:rFonts w:hint="eastAsia"/>
          <w:color w:val="auto"/>
          <w:highlight w:val="none"/>
          <w:lang w:val="en-US" w:eastAsia="zh-CN"/>
        </w:rPr>
        <w:t xml:space="preserve">4.8 </w:t>
      </w:r>
      <w:r>
        <w:rPr>
          <w:rFonts w:hint="eastAsia"/>
          <w:color w:val="auto"/>
          <w:highlight w:val="none"/>
          <w:lang w:eastAsia="zh-CN"/>
        </w:rPr>
        <w:t>响应</w:t>
      </w:r>
      <w:r>
        <w:rPr>
          <w:rFonts w:hint="eastAsia"/>
          <w:color w:val="auto"/>
          <w:highlight w:val="none"/>
          <w:lang w:val="en-US" w:eastAsia="zh-CN"/>
        </w:rPr>
        <w:t>文件的编制</w:t>
      </w:r>
    </w:p>
    <w:p w14:paraId="1778A4CE">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.1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文件应按第</w:t>
      </w:r>
      <w:r>
        <w:rPr>
          <w:rFonts w:hint="eastAsia" w:ascii="宋体" w:hAnsi="宋体" w:eastAsia="宋体" w:cs="宋体"/>
          <w:b w:val="0"/>
          <w:bCs w:val="0"/>
          <w:color w:val="auto"/>
          <w:sz w:val="21"/>
          <w:szCs w:val="21"/>
          <w:highlight w:val="none"/>
          <w:lang w:eastAsia="zh-CN"/>
        </w:rPr>
        <w:t>六</w:t>
      </w:r>
      <w:r>
        <w:rPr>
          <w:rFonts w:hint="eastAsia" w:ascii="宋体" w:hAnsi="宋体" w:eastAsia="宋体" w:cs="宋体"/>
          <w:b w:val="0"/>
          <w:bCs w:val="0"/>
          <w:color w:val="auto"/>
          <w:sz w:val="21"/>
          <w:szCs w:val="21"/>
          <w:highlight w:val="none"/>
        </w:rPr>
        <w:t>章“</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文件格式”进行编写，如有必要，可以增加附页，作为</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文件的组成部分。</w:t>
      </w:r>
    </w:p>
    <w:p w14:paraId="73539D67">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.2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文件应当对</w:t>
      </w:r>
      <w:r>
        <w:rPr>
          <w:rFonts w:hint="eastAsia" w:ascii="宋体" w:hAnsi="宋体" w:eastAsia="宋体" w:cs="宋体"/>
          <w:b w:val="0"/>
          <w:bCs w:val="0"/>
          <w:color w:val="auto"/>
          <w:sz w:val="21"/>
          <w:szCs w:val="21"/>
          <w:highlight w:val="none"/>
          <w:lang w:val="en-US" w:eastAsia="zh-CN"/>
        </w:rPr>
        <w:t>询比</w:t>
      </w:r>
      <w:r>
        <w:rPr>
          <w:rFonts w:hint="eastAsia" w:ascii="宋体" w:hAnsi="宋体" w:eastAsia="宋体" w:cs="宋体"/>
          <w:b w:val="0"/>
          <w:bCs w:val="0"/>
          <w:color w:val="auto"/>
          <w:sz w:val="21"/>
          <w:szCs w:val="21"/>
          <w:highlight w:val="none"/>
        </w:rPr>
        <w:t>文件有关</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、竞选有效期、</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范围等实质性内容做出响应。</w:t>
      </w:r>
    </w:p>
    <w:p w14:paraId="22F7D10D">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.3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文件的签名盖章要求：按本章</w:t>
      </w:r>
      <w:r>
        <w:rPr>
          <w:rFonts w:hint="eastAsia" w:ascii="宋体" w:hAnsi="宋体" w:eastAsia="宋体" w:cs="宋体"/>
          <w:b w:val="0"/>
          <w:bCs w:val="0"/>
          <w:color w:val="auto"/>
          <w:sz w:val="21"/>
          <w:szCs w:val="21"/>
          <w:highlight w:val="none"/>
          <w:lang w:val="en-US" w:eastAsia="zh-CN"/>
        </w:rPr>
        <w:t>第 5.1 条规定</w:t>
      </w:r>
      <w:r>
        <w:rPr>
          <w:rFonts w:hint="eastAsia" w:ascii="宋体" w:hAnsi="宋体" w:eastAsia="宋体" w:cs="宋体"/>
          <w:b w:val="0"/>
          <w:bCs w:val="0"/>
          <w:color w:val="auto"/>
          <w:sz w:val="21"/>
          <w:szCs w:val="21"/>
          <w:highlight w:val="none"/>
        </w:rPr>
        <w:t>执行。</w:t>
      </w:r>
    </w:p>
    <w:p w14:paraId="14D36943">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.4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文件份数：按本章</w:t>
      </w:r>
      <w:r>
        <w:rPr>
          <w:rFonts w:hint="eastAsia" w:ascii="宋体" w:hAnsi="宋体" w:eastAsia="宋体" w:cs="宋体"/>
          <w:b w:val="0"/>
          <w:bCs w:val="0"/>
          <w:color w:val="auto"/>
          <w:sz w:val="21"/>
          <w:szCs w:val="21"/>
          <w:highlight w:val="none"/>
          <w:lang w:val="en-US" w:eastAsia="zh-CN"/>
        </w:rPr>
        <w:t>第 5.1 条规定</w:t>
      </w:r>
      <w:r>
        <w:rPr>
          <w:rFonts w:hint="eastAsia" w:ascii="宋体" w:hAnsi="宋体" w:eastAsia="宋体" w:cs="宋体"/>
          <w:b w:val="0"/>
          <w:bCs w:val="0"/>
          <w:color w:val="auto"/>
          <w:sz w:val="21"/>
          <w:szCs w:val="21"/>
          <w:highlight w:val="none"/>
        </w:rPr>
        <w:t>执行。</w:t>
      </w:r>
    </w:p>
    <w:p w14:paraId="346BCE23">
      <w:pPr>
        <w:pStyle w:val="4"/>
        <w:bidi w:val="0"/>
        <w:rPr>
          <w:rFonts w:hint="eastAsia"/>
          <w:color w:val="auto"/>
          <w:highlight w:val="none"/>
          <w:lang w:eastAsia="zh-CN"/>
        </w:rPr>
      </w:pPr>
      <w:r>
        <w:rPr>
          <w:rFonts w:hint="eastAsia"/>
          <w:color w:val="auto"/>
          <w:highlight w:val="none"/>
          <w:lang w:val="en-US" w:eastAsia="zh-CN"/>
        </w:rPr>
        <w:t xml:space="preserve">5. </w:t>
      </w:r>
      <w:bookmarkEnd w:id="39"/>
      <w:r>
        <w:rPr>
          <w:rFonts w:hint="eastAsia"/>
          <w:color w:val="auto"/>
          <w:highlight w:val="none"/>
          <w:lang w:val="en-US" w:eastAsia="zh-CN"/>
        </w:rPr>
        <w:t>响应</w:t>
      </w:r>
    </w:p>
    <w:p w14:paraId="11F3CCD2">
      <w:pPr>
        <w:bidi w:val="0"/>
        <w:rPr>
          <w:rFonts w:hint="eastAsia"/>
          <w:color w:val="auto"/>
          <w:highlight w:val="none"/>
        </w:rPr>
      </w:pPr>
      <w:r>
        <w:rPr>
          <w:rFonts w:hint="eastAsia"/>
          <w:color w:val="auto"/>
          <w:highlight w:val="none"/>
          <w:lang w:eastAsia="zh-CN"/>
        </w:rPr>
        <w:t>响应人</w:t>
      </w:r>
      <w:r>
        <w:rPr>
          <w:rFonts w:hint="eastAsia"/>
          <w:color w:val="auto"/>
          <w:highlight w:val="none"/>
        </w:rPr>
        <w:t>应当按照</w:t>
      </w:r>
      <w:r>
        <w:rPr>
          <w:rFonts w:hint="eastAsia"/>
          <w:color w:val="auto"/>
          <w:highlight w:val="none"/>
          <w:lang w:eastAsia="zh-CN"/>
        </w:rPr>
        <w:t>询比文件</w:t>
      </w:r>
      <w:r>
        <w:rPr>
          <w:rFonts w:hint="eastAsia"/>
          <w:color w:val="auto"/>
          <w:highlight w:val="none"/>
        </w:rPr>
        <w:t>的要求编制</w:t>
      </w:r>
      <w:r>
        <w:rPr>
          <w:rFonts w:hint="eastAsia"/>
          <w:color w:val="auto"/>
          <w:highlight w:val="none"/>
          <w:lang w:eastAsia="zh-CN"/>
        </w:rPr>
        <w:t>响应文件</w:t>
      </w:r>
      <w:r>
        <w:rPr>
          <w:rFonts w:hint="eastAsia"/>
          <w:color w:val="auto"/>
          <w:highlight w:val="none"/>
        </w:rPr>
        <w:t>，并对</w:t>
      </w:r>
      <w:r>
        <w:rPr>
          <w:rFonts w:hint="eastAsia"/>
          <w:color w:val="auto"/>
          <w:highlight w:val="none"/>
          <w:lang w:eastAsia="zh-CN"/>
        </w:rPr>
        <w:t>询比文件</w:t>
      </w:r>
      <w:r>
        <w:rPr>
          <w:rFonts w:hint="eastAsia"/>
          <w:color w:val="auto"/>
          <w:highlight w:val="none"/>
        </w:rPr>
        <w:t>提出的要求和条件作出实质性响应。</w:t>
      </w:r>
    </w:p>
    <w:p w14:paraId="561B1F57">
      <w:pPr>
        <w:pStyle w:val="5"/>
        <w:bidi w:val="0"/>
        <w:rPr>
          <w:color w:val="auto"/>
          <w:highlight w:val="none"/>
        </w:rPr>
      </w:pPr>
      <w:r>
        <w:rPr>
          <w:rFonts w:hint="eastAsia"/>
          <w:color w:val="auto"/>
          <w:highlight w:val="none"/>
          <w:lang w:val="en-US" w:eastAsia="zh-CN"/>
        </w:rPr>
        <w:t xml:space="preserve">5.1 </w:t>
      </w:r>
      <w:r>
        <w:rPr>
          <w:rFonts w:hint="eastAsia"/>
          <w:color w:val="auto"/>
          <w:highlight w:val="none"/>
          <w:lang w:eastAsia="zh-CN"/>
        </w:rPr>
        <w:t>响应文件</w:t>
      </w:r>
      <w:r>
        <w:rPr>
          <w:rFonts w:hint="eastAsia"/>
          <w:color w:val="auto"/>
          <w:highlight w:val="none"/>
        </w:rPr>
        <w:t>的份数和签署</w:t>
      </w:r>
    </w:p>
    <w:p w14:paraId="7957B5E3">
      <w:pPr>
        <w:bidi w:val="0"/>
        <w:rPr>
          <w:rFonts w:hint="eastAsia"/>
          <w:color w:val="auto"/>
          <w:highlight w:val="none"/>
        </w:rPr>
      </w:pPr>
      <w:r>
        <w:rPr>
          <w:rFonts w:hint="eastAsia"/>
          <w:color w:val="auto"/>
          <w:highlight w:val="none"/>
          <w:lang w:val="en-US" w:eastAsia="zh-CN"/>
        </w:rPr>
        <w:t xml:space="preserve">5.1.1 </w:t>
      </w:r>
      <w:r>
        <w:rPr>
          <w:rFonts w:hint="eastAsia"/>
          <w:color w:val="auto"/>
          <w:highlight w:val="none"/>
          <w:lang w:eastAsia="zh-CN"/>
        </w:rPr>
        <w:t>响应文件</w:t>
      </w:r>
      <w:r>
        <w:rPr>
          <w:rFonts w:hint="eastAsia"/>
          <w:color w:val="auto"/>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color w:val="auto"/>
          <w:highlight w:val="none"/>
          <w:lang w:eastAsia="zh-CN"/>
        </w:rPr>
        <w:t>响应文件</w:t>
      </w:r>
      <w:r>
        <w:rPr>
          <w:rFonts w:hint="eastAsia"/>
          <w:color w:val="auto"/>
          <w:highlight w:val="none"/>
        </w:rPr>
        <w:t>盖章后的PDF格式扫描件，文件名为“</w:t>
      </w:r>
      <w:r>
        <w:rPr>
          <w:rFonts w:hint="eastAsia"/>
          <w:color w:val="auto"/>
          <w:highlight w:val="none"/>
          <w:lang w:eastAsia="zh-CN"/>
        </w:rPr>
        <w:t>响应人</w:t>
      </w:r>
      <w:r>
        <w:rPr>
          <w:rFonts w:hint="eastAsia"/>
          <w:color w:val="auto"/>
          <w:highlight w:val="none"/>
        </w:rPr>
        <w:t>单位名简称+项目名简称”。</w:t>
      </w:r>
    </w:p>
    <w:p w14:paraId="3126B08F">
      <w:pPr>
        <w:bidi w:val="0"/>
        <w:rPr>
          <w:color w:val="auto"/>
          <w:highlight w:val="none"/>
        </w:rPr>
      </w:pPr>
      <w:r>
        <w:rPr>
          <w:rFonts w:hint="eastAsia"/>
          <w:color w:val="auto"/>
          <w:highlight w:val="none"/>
          <w:lang w:val="en-US" w:eastAsia="zh-CN"/>
        </w:rPr>
        <w:t xml:space="preserve">5.1.2 </w:t>
      </w:r>
      <w:r>
        <w:rPr>
          <w:rFonts w:hint="eastAsia"/>
          <w:color w:val="auto"/>
          <w:highlight w:val="none"/>
          <w:lang w:eastAsia="zh-CN"/>
        </w:rPr>
        <w:t>响应文件</w:t>
      </w:r>
      <w:r>
        <w:rPr>
          <w:rFonts w:hint="eastAsia"/>
          <w:color w:val="auto"/>
          <w:highlight w:val="none"/>
        </w:rPr>
        <w:t>正本中，每一页均应由</w:t>
      </w:r>
      <w:r>
        <w:rPr>
          <w:rFonts w:hint="eastAsia"/>
          <w:color w:val="auto"/>
          <w:highlight w:val="none"/>
          <w:lang w:eastAsia="zh-CN"/>
        </w:rPr>
        <w:t>响应人</w:t>
      </w:r>
      <w:r>
        <w:rPr>
          <w:rFonts w:hint="eastAsia"/>
          <w:color w:val="auto"/>
          <w:highlight w:val="none"/>
        </w:rPr>
        <w:t>加盖公章，其中规定格式的文件应当按要求签名和加盖</w:t>
      </w:r>
      <w:r>
        <w:rPr>
          <w:rFonts w:hint="eastAsia"/>
          <w:color w:val="auto"/>
          <w:highlight w:val="none"/>
          <w:lang w:eastAsia="zh-CN"/>
        </w:rPr>
        <w:t>响应人</w:t>
      </w:r>
      <w:r>
        <w:rPr>
          <w:rFonts w:hint="eastAsia"/>
          <w:color w:val="auto"/>
          <w:highlight w:val="none"/>
        </w:rPr>
        <w:t>公章。</w:t>
      </w:r>
    </w:p>
    <w:p w14:paraId="741A0024">
      <w:pPr>
        <w:bidi w:val="0"/>
        <w:rPr>
          <w:color w:val="auto"/>
          <w:highlight w:val="none"/>
        </w:rPr>
      </w:pPr>
      <w:r>
        <w:rPr>
          <w:rFonts w:hint="eastAsia"/>
          <w:color w:val="auto"/>
          <w:highlight w:val="none"/>
          <w:lang w:val="en-US" w:eastAsia="zh-CN"/>
        </w:rPr>
        <w:t xml:space="preserve">5.1.3 </w:t>
      </w:r>
      <w:r>
        <w:rPr>
          <w:rFonts w:hint="eastAsia"/>
          <w:color w:val="auto"/>
          <w:highlight w:val="none"/>
        </w:rPr>
        <w:t>若</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响应文件</w:t>
      </w:r>
      <w:r>
        <w:rPr>
          <w:rFonts w:hint="eastAsia"/>
          <w:color w:val="auto"/>
          <w:highlight w:val="none"/>
        </w:rPr>
        <w:t>的错处作必要修改，则应在修改处加盖</w:t>
      </w:r>
      <w:r>
        <w:rPr>
          <w:rFonts w:hint="eastAsia"/>
          <w:color w:val="auto"/>
          <w:highlight w:val="none"/>
          <w:lang w:eastAsia="zh-CN"/>
        </w:rPr>
        <w:t>响应人</w:t>
      </w:r>
      <w:r>
        <w:rPr>
          <w:rFonts w:hint="eastAsia"/>
          <w:color w:val="auto"/>
          <w:highlight w:val="none"/>
        </w:rPr>
        <w:t>公章或由法人或委托代理人签字确认。</w:t>
      </w:r>
    </w:p>
    <w:p w14:paraId="08F95FED">
      <w:pPr>
        <w:bidi w:val="0"/>
        <w:rPr>
          <w:color w:val="auto"/>
          <w:highlight w:val="none"/>
        </w:rPr>
      </w:pPr>
      <w:r>
        <w:rPr>
          <w:rFonts w:hint="eastAsia"/>
          <w:color w:val="auto"/>
          <w:highlight w:val="none"/>
          <w:lang w:val="en-US" w:eastAsia="zh-CN"/>
        </w:rPr>
        <w:t xml:space="preserve">5.1.4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w:t>
      </w:r>
      <w:r>
        <w:rPr>
          <w:rFonts w:hint="eastAsia"/>
          <w:color w:val="auto"/>
          <w:highlight w:val="none"/>
          <w:lang w:eastAsia="zh-CN"/>
        </w:rPr>
        <w:t>响应文件</w:t>
      </w:r>
      <w:r>
        <w:rPr>
          <w:rFonts w:hint="eastAsia"/>
          <w:color w:val="auto"/>
          <w:highlight w:val="none"/>
        </w:rPr>
        <w:t>概不接受。</w:t>
      </w:r>
    </w:p>
    <w:p w14:paraId="64EFE955">
      <w:pPr>
        <w:pStyle w:val="5"/>
        <w:bidi w:val="0"/>
        <w:rPr>
          <w:color w:val="auto"/>
          <w:highlight w:val="none"/>
        </w:rPr>
      </w:pPr>
      <w:r>
        <w:rPr>
          <w:rFonts w:hint="eastAsia"/>
          <w:color w:val="auto"/>
          <w:highlight w:val="none"/>
          <w:lang w:val="en-US" w:eastAsia="zh-CN"/>
        </w:rPr>
        <w:t xml:space="preserve">5.2 </w:t>
      </w:r>
      <w:r>
        <w:rPr>
          <w:rFonts w:hint="eastAsia"/>
          <w:color w:val="auto"/>
          <w:highlight w:val="none"/>
          <w:lang w:eastAsia="zh-CN"/>
        </w:rPr>
        <w:t>响应文件</w:t>
      </w:r>
      <w:r>
        <w:rPr>
          <w:rFonts w:hint="eastAsia"/>
          <w:color w:val="auto"/>
          <w:highlight w:val="none"/>
        </w:rPr>
        <w:t>的密封与标记</w:t>
      </w:r>
    </w:p>
    <w:p w14:paraId="015F89AD">
      <w:pPr>
        <w:bidi w:val="0"/>
        <w:rPr>
          <w:color w:val="auto"/>
          <w:highlight w:val="none"/>
        </w:rPr>
      </w:pPr>
      <w:r>
        <w:rPr>
          <w:rFonts w:hint="eastAsia"/>
          <w:color w:val="auto"/>
          <w:highlight w:val="none"/>
          <w:lang w:eastAsia="zh-CN"/>
        </w:rPr>
        <w:t>响应文件</w:t>
      </w:r>
      <w:r>
        <w:rPr>
          <w:rFonts w:hint="eastAsia"/>
          <w:color w:val="auto"/>
          <w:highlight w:val="none"/>
        </w:rPr>
        <w:t>的正本、副本、电子文件装入一个文件大袋进行密封。密封袋上注明项目名称、</w:t>
      </w:r>
      <w:r>
        <w:rPr>
          <w:rFonts w:hint="eastAsia"/>
          <w:color w:val="auto"/>
          <w:highlight w:val="none"/>
          <w:lang w:eastAsia="zh-CN"/>
        </w:rPr>
        <w:t>响应人</w:t>
      </w:r>
      <w:r>
        <w:rPr>
          <w:rFonts w:hint="eastAsia"/>
          <w:color w:val="auto"/>
          <w:highlight w:val="none"/>
        </w:rPr>
        <w:t>名称及“不准提前启封”字样。信封的封口须加盖</w:t>
      </w:r>
      <w:r>
        <w:rPr>
          <w:rFonts w:hint="eastAsia"/>
          <w:color w:val="auto"/>
          <w:highlight w:val="none"/>
          <w:lang w:eastAsia="zh-CN"/>
        </w:rPr>
        <w:t>响应人</w:t>
      </w:r>
      <w:r>
        <w:rPr>
          <w:rFonts w:hint="eastAsia"/>
          <w:color w:val="auto"/>
          <w:highlight w:val="none"/>
        </w:rPr>
        <w:t>公章或授权代表签字。</w:t>
      </w:r>
    </w:p>
    <w:p w14:paraId="3EC00708">
      <w:pPr>
        <w:bidi w:val="0"/>
        <w:rPr>
          <w:rFonts w:hint="eastAsia"/>
          <w:color w:val="auto"/>
          <w:highlight w:val="none"/>
        </w:rPr>
      </w:pPr>
      <w:r>
        <w:rPr>
          <w:rFonts w:hint="eastAsia"/>
          <w:color w:val="auto"/>
          <w:highlight w:val="none"/>
        </w:rPr>
        <w:t>如果未按上述规定进行密封和标记，</w:t>
      </w:r>
      <w:r>
        <w:rPr>
          <w:rFonts w:hint="eastAsia"/>
          <w:color w:val="auto"/>
          <w:highlight w:val="none"/>
          <w:lang w:val="en-US" w:eastAsia="zh-CN"/>
        </w:rPr>
        <w:t>采购人将予以拒收</w:t>
      </w:r>
      <w:r>
        <w:rPr>
          <w:rFonts w:hint="eastAsia"/>
          <w:color w:val="auto"/>
          <w:highlight w:val="none"/>
        </w:rPr>
        <w:t>。</w:t>
      </w:r>
    </w:p>
    <w:p w14:paraId="58AD2C9D">
      <w:pPr>
        <w:pStyle w:val="5"/>
        <w:bidi w:val="0"/>
        <w:rPr>
          <w:rFonts w:hint="eastAsia"/>
          <w:color w:val="auto"/>
          <w:highlight w:val="none"/>
          <w:lang w:val="en-US" w:eastAsia="zh-CN"/>
        </w:rPr>
      </w:pPr>
      <w:r>
        <w:rPr>
          <w:rFonts w:hint="eastAsia"/>
          <w:color w:val="auto"/>
          <w:highlight w:val="none"/>
          <w:lang w:val="en-US" w:eastAsia="zh-CN"/>
        </w:rPr>
        <w:t xml:space="preserve">5.3 </w:t>
      </w:r>
      <w:r>
        <w:rPr>
          <w:rFonts w:hint="eastAsia"/>
          <w:color w:val="auto"/>
          <w:highlight w:val="none"/>
          <w:lang w:eastAsia="zh-CN"/>
        </w:rPr>
        <w:t>响应</w:t>
      </w:r>
      <w:r>
        <w:rPr>
          <w:rFonts w:hint="eastAsia"/>
          <w:color w:val="auto"/>
          <w:highlight w:val="none"/>
          <w:lang w:val="en-US" w:eastAsia="zh-CN"/>
        </w:rPr>
        <w:t>文件的递交</w:t>
      </w:r>
    </w:p>
    <w:p w14:paraId="136BE055">
      <w:pPr>
        <w:bidi w:val="0"/>
        <w:rPr>
          <w:rFonts w:hint="eastAsia"/>
          <w:color w:val="auto"/>
          <w:highlight w:val="none"/>
          <w:lang w:val="en-US" w:eastAsia="zh-CN"/>
        </w:rPr>
      </w:pPr>
      <w:r>
        <w:rPr>
          <w:rFonts w:hint="eastAsia"/>
          <w:color w:val="auto"/>
          <w:highlight w:val="none"/>
          <w:lang w:val="en-US" w:eastAsia="zh-CN"/>
        </w:rPr>
        <w:t xml:space="preserve">5.3.1 </w:t>
      </w:r>
      <w:r>
        <w:rPr>
          <w:rFonts w:hint="eastAsia"/>
          <w:color w:val="auto"/>
          <w:highlight w:val="none"/>
          <w:lang w:eastAsia="zh-CN"/>
        </w:rPr>
        <w:t>响应</w:t>
      </w:r>
      <w:r>
        <w:rPr>
          <w:rFonts w:hint="eastAsia"/>
          <w:color w:val="auto"/>
          <w:highlight w:val="none"/>
          <w:lang w:val="en-US" w:eastAsia="zh-CN"/>
        </w:rPr>
        <w:t>人应在第一章规定的</w:t>
      </w:r>
      <w:r>
        <w:rPr>
          <w:rFonts w:hint="eastAsia"/>
          <w:color w:val="auto"/>
          <w:highlight w:val="none"/>
          <w:lang w:eastAsia="zh-CN"/>
        </w:rPr>
        <w:t>响应</w:t>
      </w:r>
      <w:r>
        <w:rPr>
          <w:rFonts w:hint="eastAsia"/>
          <w:color w:val="auto"/>
          <w:highlight w:val="none"/>
          <w:lang w:val="en-US" w:eastAsia="zh-CN"/>
        </w:rPr>
        <w:t>截止时间前递交</w:t>
      </w:r>
      <w:r>
        <w:rPr>
          <w:rFonts w:hint="eastAsia"/>
          <w:color w:val="auto"/>
          <w:highlight w:val="none"/>
          <w:lang w:eastAsia="zh-CN"/>
        </w:rPr>
        <w:t>响应</w:t>
      </w:r>
      <w:r>
        <w:rPr>
          <w:rFonts w:hint="eastAsia"/>
          <w:color w:val="auto"/>
          <w:highlight w:val="none"/>
          <w:lang w:val="en-US" w:eastAsia="zh-CN"/>
        </w:rPr>
        <w:t>文件。</w:t>
      </w:r>
    </w:p>
    <w:p w14:paraId="6F21DDD3">
      <w:pPr>
        <w:bidi w:val="0"/>
        <w:rPr>
          <w:rFonts w:hint="eastAsia"/>
          <w:color w:val="auto"/>
          <w:highlight w:val="none"/>
          <w:lang w:val="en-US" w:eastAsia="zh-CN"/>
        </w:rPr>
      </w:pPr>
      <w:r>
        <w:rPr>
          <w:rFonts w:hint="eastAsia"/>
          <w:color w:val="auto"/>
          <w:highlight w:val="none"/>
          <w:lang w:val="en-US" w:eastAsia="zh-CN"/>
        </w:rPr>
        <w:t xml:space="preserve">5.3.2 </w:t>
      </w:r>
      <w:r>
        <w:rPr>
          <w:rFonts w:hint="eastAsia"/>
          <w:color w:val="auto"/>
          <w:highlight w:val="none"/>
          <w:lang w:eastAsia="zh-CN"/>
        </w:rPr>
        <w:t>响应</w:t>
      </w:r>
      <w:r>
        <w:rPr>
          <w:rFonts w:hint="eastAsia"/>
          <w:color w:val="auto"/>
          <w:highlight w:val="none"/>
        </w:rPr>
        <w:t>人递交</w:t>
      </w:r>
      <w:r>
        <w:rPr>
          <w:rFonts w:hint="eastAsia"/>
          <w:color w:val="auto"/>
          <w:highlight w:val="none"/>
          <w:lang w:eastAsia="zh-CN"/>
        </w:rPr>
        <w:t>响应</w:t>
      </w:r>
      <w:r>
        <w:rPr>
          <w:rFonts w:hint="eastAsia"/>
          <w:color w:val="auto"/>
          <w:highlight w:val="none"/>
        </w:rPr>
        <w:t>文件的地点：见</w:t>
      </w:r>
      <w:r>
        <w:rPr>
          <w:rFonts w:hint="eastAsia"/>
          <w:color w:val="auto"/>
          <w:highlight w:val="none"/>
          <w:lang w:val="en-US" w:eastAsia="zh-CN"/>
        </w:rPr>
        <w:t>第一章</w:t>
      </w:r>
      <w:r>
        <w:rPr>
          <w:rFonts w:hint="eastAsia"/>
          <w:color w:val="auto"/>
          <w:highlight w:val="none"/>
        </w:rPr>
        <w:t>。</w:t>
      </w:r>
    </w:p>
    <w:p w14:paraId="6A24750E">
      <w:pPr>
        <w:bidi w:val="0"/>
        <w:rPr>
          <w:rFonts w:hint="eastAsia"/>
          <w:color w:val="auto"/>
          <w:highlight w:val="none"/>
          <w:lang w:val="en-US" w:eastAsia="zh-CN"/>
        </w:rPr>
      </w:pPr>
      <w:r>
        <w:rPr>
          <w:rFonts w:hint="eastAsia"/>
          <w:color w:val="auto"/>
          <w:highlight w:val="none"/>
          <w:lang w:val="en-US" w:eastAsia="zh-CN"/>
        </w:rPr>
        <w:t>5.3.3 除询比文件另有规定外，</w:t>
      </w:r>
      <w:r>
        <w:rPr>
          <w:rFonts w:hint="eastAsia"/>
          <w:color w:val="auto"/>
          <w:highlight w:val="none"/>
          <w:lang w:eastAsia="zh-CN"/>
        </w:rPr>
        <w:t>响应</w:t>
      </w:r>
      <w:r>
        <w:rPr>
          <w:rFonts w:hint="eastAsia"/>
          <w:color w:val="auto"/>
          <w:highlight w:val="none"/>
          <w:lang w:val="en-US" w:eastAsia="zh-CN"/>
        </w:rPr>
        <w:t>人所递交的</w:t>
      </w:r>
      <w:r>
        <w:rPr>
          <w:rFonts w:hint="eastAsia"/>
          <w:color w:val="auto"/>
          <w:highlight w:val="none"/>
          <w:lang w:eastAsia="zh-CN"/>
        </w:rPr>
        <w:t>响应</w:t>
      </w:r>
      <w:r>
        <w:rPr>
          <w:rFonts w:hint="eastAsia"/>
          <w:color w:val="auto"/>
          <w:highlight w:val="none"/>
          <w:lang w:val="en-US" w:eastAsia="zh-CN"/>
        </w:rPr>
        <w:t>文件不予退还。</w:t>
      </w:r>
    </w:p>
    <w:p w14:paraId="332A468C">
      <w:pPr>
        <w:bidi w:val="0"/>
        <w:rPr>
          <w:rFonts w:hint="eastAsia"/>
          <w:color w:val="auto"/>
          <w:highlight w:val="none"/>
          <w:lang w:val="en-US" w:eastAsia="zh-CN"/>
        </w:rPr>
      </w:pPr>
      <w:r>
        <w:rPr>
          <w:rFonts w:hint="eastAsia"/>
          <w:color w:val="auto"/>
          <w:highlight w:val="none"/>
          <w:lang w:val="en-US" w:eastAsia="zh-CN"/>
        </w:rPr>
        <w:t>5.3.4 逾期送达的</w:t>
      </w:r>
      <w:r>
        <w:rPr>
          <w:rFonts w:hint="eastAsia"/>
          <w:color w:val="auto"/>
          <w:highlight w:val="none"/>
          <w:lang w:eastAsia="zh-CN"/>
        </w:rPr>
        <w:t>响应</w:t>
      </w:r>
      <w:r>
        <w:rPr>
          <w:rFonts w:hint="eastAsia"/>
          <w:color w:val="auto"/>
          <w:highlight w:val="none"/>
          <w:lang w:val="en-US" w:eastAsia="zh-CN"/>
        </w:rPr>
        <w:t>文件将予以拒收。</w:t>
      </w:r>
    </w:p>
    <w:p w14:paraId="00380BE2">
      <w:pPr>
        <w:pStyle w:val="5"/>
        <w:bidi w:val="0"/>
        <w:rPr>
          <w:rFonts w:hint="eastAsia"/>
          <w:color w:val="auto"/>
          <w:highlight w:val="none"/>
          <w:lang w:val="en-US" w:eastAsia="zh-CN"/>
        </w:rPr>
      </w:pPr>
      <w:r>
        <w:rPr>
          <w:rFonts w:hint="eastAsia"/>
          <w:color w:val="auto"/>
          <w:highlight w:val="none"/>
          <w:lang w:val="en-US" w:eastAsia="zh-CN"/>
        </w:rPr>
        <w:t xml:space="preserve">5.4 </w:t>
      </w:r>
      <w:r>
        <w:rPr>
          <w:rFonts w:hint="eastAsia"/>
          <w:color w:val="auto"/>
          <w:highlight w:val="none"/>
          <w:lang w:eastAsia="zh-CN"/>
        </w:rPr>
        <w:t>响应</w:t>
      </w:r>
      <w:r>
        <w:rPr>
          <w:rFonts w:hint="eastAsia"/>
          <w:color w:val="auto"/>
          <w:highlight w:val="none"/>
          <w:lang w:val="en-US" w:eastAsia="zh-CN"/>
        </w:rPr>
        <w:t>文件的修改与撤回</w:t>
      </w:r>
    </w:p>
    <w:p w14:paraId="6DD924F2">
      <w:pPr>
        <w:rPr>
          <w:rFonts w:hint="eastAsia"/>
          <w:color w:val="auto"/>
          <w:highlight w:val="none"/>
          <w:lang w:val="en-US" w:eastAsia="zh-CN"/>
        </w:rPr>
      </w:pPr>
      <w:r>
        <w:rPr>
          <w:rFonts w:hint="eastAsia" w:ascii="宋体" w:hAnsi="宋体" w:eastAsia="宋体" w:cs="宋体"/>
          <w:b w:val="0"/>
          <w:bCs w:val="0"/>
          <w:color w:val="auto"/>
          <w:sz w:val="21"/>
          <w:szCs w:val="21"/>
          <w:highlight w:val="none"/>
        </w:rPr>
        <w:t>在</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截止时间前，</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人可以修改或撤回已递交的</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人修改</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文件的，应按照本章第</w:t>
      </w:r>
      <w:r>
        <w:rPr>
          <w:rFonts w:hint="eastAsia" w:ascii="宋体" w:hAnsi="宋体" w:eastAsia="宋体" w:cs="宋体"/>
          <w:b w:val="0"/>
          <w:bCs w:val="0"/>
          <w:color w:val="auto"/>
          <w:sz w:val="21"/>
          <w:szCs w:val="21"/>
          <w:highlight w:val="none"/>
          <w:lang w:val="en-US" w:eastAsia="zh-CN"/>
        </w:rPr>
        <w:t xml:space="preserve"> 5.1 条</w:t>
      </w:r>
      <w:r>
        <w:rPr>
          <w:rFonts w:hint="eastAsia" w:ascii="宋体" w:hAnsi="宋体" w:eastAsia="宋体" w:cs="宋体"/>
          <w:b w:val="0"/>
          <w:bCs w:val="0"/>
          <w:color w:val="auto"/>
          <w:sz w:val="21"/>
          <w:szCs w:val="21"/>
          <w:highlight w:val="none"/>
        </w:rPr>
        <w:t>的要求重新对</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w:t>
      </w:r>
      <w:r>
        <w:rPr>
          <w:rFonts w:hint="eastAsia"/>
          <w:color w:val="auto"/>
          <w:highlight w:val="none"/>
        </w:rPr>
        <w:t>加盖</w:t>
      </w:r>
      <w:r>
        <w:rPr>
          <w:rFonts w:hint="eastAsia"/>
          <w:color w:val="auto"/>
          <w:highlight w:val="none"/>
          <w:lang w:eastAsia="zh-CN"/>
        </w:rPr>
        <w:t>响应人</w:t>
      </w:r>
      <w:r>
        <w:rPr>
          <w:rFonts w:hint="eastAsia"/>
          <w:color w:val="auto"/>
          <w:highlight w:val="none"/>
        </w:rPr>
        <w:t>公章或由法人或委托代理人签字确认</w:t>
      </w:r>
      <w:r>
        <w:rPr>
          <w:rFonts w:hint="eastAsia" w:ascii="宋体" w:hAnsi="宋体" w:eastAsia="宋体" w:cs="宋体"/>
          <w:b w:val="0"/>
          <w:bCs w:val="0"/>
          <w:color w:val="auto"/>
          <w:sz w:val="21"/>
          <w:szCs w:val="21"/>
          <w:highlight w:val="none"/>
        </w:rPr>
        <w:t xml:space="preserve">，再按照本章第 </w:t>
      </w:r>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响应文件的递交</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的要求提交。</w:t>
      </w:r>
    </w:p>
    <w:p w14:paraId="041140FB">
      <w:pPr>
        <w:pStyle w:val="4"/>
        <w:bidi w:val="0"/>
        <w:rPr>
          <w:color w:val="auto"/>
          <w:highlight w:val="none"/>
        </w:rPr>
      </w:pPr>
      <w:bookmarkStart w:id="40" w:name="_Toc89675166"/>
      <w:r>
        <w:rPr>
          <w:rFonts w:hint="eastAsia"/>
          <w:color w:val="auto"/>
          <w:highlight w:val="none"/>
          <w:lang w:val="en-US" w:eastAsia="zh-CN"/>
        </w:rPr>
        <w:t xml:space="preserve">6. </w:t>
      </w:r>
      <w:r>
        <w:rPr>
          <w:rFonts w:hint="eastAsia"/>
          <w:color w:val="auto"/>
          <w:highlight w:val="none"/>
          <w:lang w:eastAsia="zh-CN"/>
        </w:rPr>
        <w:t>询比</w:t>
      </w:r>
    </w:p>
    <w:p w14:paraId="73476B8F">
      <w:pPr>
        <w:pStyle w:val="5"/>
        <w:bidi w:val="0"/>
        <w:rPr>
          <w:rFonts w:hint="eastAsia"/>
          <w:color w:val="auto"/>
          <w:highlight w:val="none"/>
          <w:lang w:val="en-US" w:eastAsia="zh-CN"/>
        </w:rPr>
      </w:pPr>
      <w:r>
        <w:rPr>
          <w:rFonts w:hint="eastAsia"/>
          <w:color w:val="auto"/>
          <w:highlight w:val="none"/>
          <w:lang w:val="en-US" w:eastAsia="zh-CN"/>
        </w:rPr>
        <w:t>6.1 开标时间、地点</w:t>
      </w:r>
    </w:p>
    <w:p w14:paraId="613DA6B6">
      <w:pPr>
        <w:bidi w:val="0"/>
        <w:rPr>
          <w:rFonts w:hint="eastAsia"/>
          <w:color w:val="auto"/>
          <w:highlight w:val="none"/>
        </w:rPr>
      </w:pPr>
      <w:r>
        <w:rPr>
          <w:rFonts w:hint="eastAsia"/>
          <w:color w:val="auto"/>
          <w:highlight w:val="none"/>
          <w:lang w:val="en-US" w:eastAsia="zh-CN"/>
        </w:rPr>
        <w:t>见第一章。</w:t>
      </w:r>
    </w:p>
    <w:p w14:paraId="37318504">
      <w:pPr>
        <w:pStyle w:val="5"/>
        <w:bidi w:val="0"/>
        <w:rPr>
          <w:color w:val="auto"/>
          <w:highlight w:val="none"/>
          <w:lang w:val="en-US" w:eastAsia="zh-CN"/>
        </w:rPr>
      </w:pPr>
      <w:r>
        <w:rPr>
          <w:rFonts w:hint="eastAsia"/>
          <w:color w:val="auto"/>
          <w:highlight w:val="none"/>
          <w:lang w:val="en-US" w:eastAsia="zh-CN"/>
        </w:rPr>
        <w:t>6.2 开标程序</w:t>
      </w:r>
    </w:p>
    <w:p w14:paraId="4C7AD887">
      <w:pPr>
        <w:bidi w:val="0"/>
        <w:rPr>
          <w:color w:val="auto"/>
          <w:highlight w:val="none"/>
        </w:rPr>
      </w:pPr>
      <w:r>
        <w:rPr>
          <w:rFonts w:hint="eastAsia"/>
          <w:color w:val="auto"/>
          <w:highlight w:val="none"/>
        </w:rPr>
        <w:t>主持人按下列程序进行</w:t>
      </w:r>
      <w:r>
        <w:rPr>
          <w:rFonts w:hint="eastAsia"/>
          <w:color w:val="auto"/>
          <w:highlight w:val="none"/>
          <w:lang w:eastAsia="zh-CN"/>
        </w:rPr>
        <w:t>询比</w:t>
      </w:r>
      <w:r>
        <w:rPr>
          <w:rFonts w:hint="eastAsia"/>
          <w:color w:val="auto"/>
          <w:highlight w:val="none"/>
        </w:rPr>
        <w:t>：</w:t>
      </w:r>
    </w:p>
    <w:p w14:paraId="3E5EAEED">
      <w:pPr>
        <w:bidi w:val="0"/>
        <w:rPr>
          <w:color w:val="auto"/>
          <w:highlight w:val="none"/>
        </w:rPr>
      </w:pPr>
      <w:r>
        <w:rPr>
          <w:rFonts w:hint="eastAsia"/>
          <w:color w:val="auto"/>
          <w:highlight w:val="none"/>
          <w:lang w:val="en-US" w:eastAsia="zh-CN"/>
        </w:rPr>
        <w:t xml:space="preserve">6.1 </w:t>
      </w:r>
      <w:r>
        <w:rPr>
          <w:rFonts w:hint="eastAsia"/>
          <w:color w:val="auto"/>
          <w:highlight w:val="none"/>
        </w:rPr>
        <w:t>宣布</w:t>
      </w:r>
      <w:r>
        <w:rPr>
          <w:rFonts w:hint="eastAsia"/>
          <w:color w:val="auto"/>
          <w:highlight w:val="none"/>
          <w:lang w:eastAsia="zh-CN"/>
        </w:rPr>
        <w:t>询比</w:t>
      </w:r>
      <w:r>
        <w:rPr>
          <w:rFonts w:hint="eastAsia"/>
          <w:color w:val="auto"/>
          <w:highlight w:val="none"/>
        </w:rPr>
        <w:t>纪律；</w:t>
      </w:r>
    </w:p>
    <w:p w14:paraId="30624ED5">
      <w:pPr>
        <w:bidi w:val="0"/>
        <w:rPr>
          <w:color w:val="auto"/>
          <w:highlight w:val="none"/>
        </w:rPr>
      </w:pPr>
      <w:r>
        <w:rPr>
          <w:rFonts w:hint="eastAsia"/>
          <w:color w:val="auto"/>
          <w:highlight w:val="none"/>
          <w:lang w:val="en-US" w:eastAsia="zh-CN"/>
        </w:rPr>
        <w:t xml:space="preserve">6.2 </w:t>
      </w:r>
      <w:r>
        <w:rPr>
          <w:rFonts w:hint="eastAsia"/>
          <w:color w:val="auto"/>
          <w:highlight w:val="none"/>
        </w:rPr>
        <w:t>宣布</w:t>
      </w:r>
      <w:r>
        <w:rPr>
          <w:rFonts w:hint="eastAsia"/>
          <w:color w:val="auto"/>
          <w:highlight w:val="none"/>
          <w:lang w:eastAsia="zh-CN"/>
        </w:rPr>
        <w:t>采购人</w:t>
      </w:r>
      <w:r>
        <w:rPr>
          <w:rFonts w:hint="eastAsia"/>
          <w:color w:val="auto"/>
          <w:highlight w:val="none"/>
        </w:rPr>
        <w:t>、唱标人、记录人、监</w:t>
      </w:r>
      <w:r>
        <w:rPr>
          <w:rFonts w:hint="eastAsia"/>
          <w:color w:val="auto"/>
          <w:highlight w:val="none"/>
          <w:lang w:val="en-US" w:eastAsia="zh-CN"/>
        </w:rPr>
        <w:t>督</w:t>
      </w:r>
      <w:r>
        <w:rPr>
          <w:rFonts w:hint="eastAsia"/>
          <w:color w:val="auto"/>
          <w:highlight w:val="none"/>
        </w:rPr>
        <w:t>人等有关人员姓名；</w:t>
      </w:r>
    </w:p>
    <w:p w14:paraId="40D8294D">
      <w:pPr>
        <w:bidi w:val="0"/>
        <w:rPr>
          <w:color w:val="auto"/>
          <w:highlight w:val="none"/>
        </w:rPr>
      </w:pPr>
      <w:r>
        <w:rPr>
          <w:rFonts w:hint="eastAsia"/>
          <w:color w:val="auto"/>
          <w:highlight w:val="none"/>
          <w:lang w:val="en-US" w:eastAsia="zh-CN"/>
        </w:rPr>
        <w:t xml:space="preserve">6.3 </w:t>
      </w:r>
      <w:r>
        <w:rPr>
          <w:rFonts w:hint="eastAsia"/>
          <w:color w:val="auto"/>
          <w:highlight w:val="none"/>
        </w:rPr>
        <w:t>公布在</w:t>
      </w:r>
      <w:r>
        <w:rPr>
          <w:rFonts w:hint="eastAsia"/>
          <w:color w:val="auto"/>
          <w:highlight w:val="none"/>
          <w:lang w:eastAsia="zh-CN"/>
        </w:rPr>
        <w:t>响应截止时间</w:t>
      </w:r>
      <w:r>
        <w:rPr>
          <w:rFonts w:hint="eastAsia"/>
          <w:color w:val="auto"/>
          <w:highlight w:val="none"/>
        </w:rPr>
        <w:t>前递交</w:t>
      </w:r>
      <w:r>
        <w:rPr>
          <w:rFonts w:hint="eastAsia"/>
          <w:color w:val="auto"/>
          <w:highlight w:val="none"/>
          <w:lang w:eastAsia="zh-CN"/>
        </w:rPr>
        <w:t>响应文件</w:t>
      </w:r>
      <w:r>
        <w:rPr>
          <w:rFonts w:hint="eastAsia"/>
          <w:color w:val="auto"/>
          <w:highlight w:val="none"/>
        </w:rPr>
        <w:t>的</w:t>
      </w:r>
      <w:r>
        <w:rPr>
          <w:rFonts w:hint="eastAsia"/>
          <w:color w:val="auto"/>
          <w:highlight w:val="none"/>
          <w:lang w:eastAsia="zh-CN"/>
        </w:rPr>
        <w:t>响应人</w:t>
      </w:r>
      <w:r>
        <w:rPr>
          <w:rFonts w:hint="eastAsia"/>
          <w:color w:val="auto"/>
          <w:highlight w:val="none"/>
        </w:rPr>
        <w:t>名称；</w:t>
      </w:r>
    </w:p>
    <w:p w14:paraId="203854BD">
      <w:pPr>
        <w:bidi w:val="0"/>
        <w:rPr>
          <w:color w:val="auto"/>
          <w:highlight w:val="none"/>
        </w:rPr>
      </w:pPr>
      <w:r>
        <w:rPr>
          <w:rFonts w:hint="eastAsia"/>
          <w:color w:val="auto"/>
          <w:highlight w:val="none"/>
          <w:lang w:val="en-US" w:eastAsia="zh-CN"/>
        </w:rPr>
        <w:t xml:space="preserve">6.4 </w:t>
      </w:r>
      <w:r>
        <w:rPr>
          <w:rFonts w:hint="eastAsia"/>
          <w:color w:val="auto"/>
          <w:highlight w:val="none"/>
        </w:rPr>
        <w:t>展示</w:t>
      </w:r>
      <w:r>
        <w:rPr>
          <w:rFonts w:hint="eastAsia"/>
          <w:color w:val="auto"/>
          <w:highlight w:val="none"/>
          <w:lang w:eastAsia="zh-CN"/>
        </w:rPr>
        <w:t>响应保证金</w:t>
      </w:r>
      <w:r>
        <w:rPr>
          <w:rFonts w:hint="eastAsia"/>
          <w:color w:val="auto"/>
          <w:highlight w:val="none"/>
        </w:rPr>
        <w:t>，</w:t>
      </w:r>
      <w:r>
        <w:rPr>
          <w:rFonts w:hint="eastAsia"/>
          <w:color w:val="auto"/>
          <w:highlight w:val="none"/>
          <w:lang w:eastAsia="zh-CN"/>
        </w:rPr>
        <w:t>响应保证金</w:t>
      </w:r>
      <w:r>
        <w:rPr>
          <w:rFonts w:hint="eastAsia"/>
          <w:color w:val="auto"/>
          <w:highlight w:val="none"/>
        </w:rPr>
        <w:t>缴款不全或有误的，则记录在案交由</w:t>
      </w:r>
      <w:r>
        <w:rPr>
          <w:rFonts w:hint="eastAsia"/>
          <w:color w:val="auto"/>
          <w:highlight w:val="none"/>
          <w:lang w:eastAsia="zh-CN"/>
        </w:rPr>
        <w:t>评审委员会</w:t>
      </w:r>
      <w:r>
        <w:rPr>
          <w:rFonts w:hint="eastAsia"/>
          <w:color w:val="auto"/>
          <w:highlight w:val="none"/>
        </w:rPr>
        <w:t>评审；</w:t>
      </w:r>
    </w:p>
    <w:p w14:paraId="4CD49D06">
      <w:pPr>
        <w:bidi w:val="0"/>
        <w:rPr>
          <w:color w:val="auto"/>
          <w:highlight w:val="none"/>
        </w:rPr>
      </w:pPr>
      <w:r>
        <w:rPr>
          <w:rFonts w:hint="eastAsia"/>
          <w:color w:val="auto"/>
          <w:highlight w:val="none"/>
          <w:lang w:val="en-US" w:eastAsia="zh-CN"/>
        </w:rPr>
        <w:t xml:space="preserve">6.5 </w:t>
      </w:r>
      <w:r>
        <w:rPr>
          <w:rFonts w:hint="eastAsia"/>
          <w:color w:val="auto"/>
          <w:highlight w:val="none"/>
        </w:rPr>
        <w:t>封装情况检查：</w:t>
      </w:r>
      <w:r>
        <w:rPr>
          <w:rFonts w:hint="eastAsia"/>
          <w:color w:val="auto"/>
          <w:highlight w:val="none"/>
          <w:lang w:eastAsia="zh-CN"/>
        </w:rPr>
        <w:t>响应人</w:t>
      </w:r>
      <w:r>
        <w:rPr>
          <w:rFonts w:hint="eastAsia"/>
          <w:color w:val="auto"/>
          <w:highlight w:val="none"/>
        </w:rPr>
        <w:t>或者其推选的代表检查各</w:t>
      </w:r>
      <w:r>
        <w:rPr>
          <w:rFonts w:hint="eastAsia"/>
          <w:color w:val="auto"/>
          <w:highlight w:val="none"/>
          <w:lang w:eastAsia="zh-CN"/>
        </w:rPr>
        <w:t>响应文件</w:t>
      </w:r>
      <w:r>
        <w:rPr>
          <w:rFonts w:hint="eastAsia"/>
          <w:color w:val="auto"/>
          <w:highlight w:val="none"/>
        </w:rPr>
        <w:t>的封装情况并确认；</w:t>
      </w:r>
    </w:p>
    <w:p w14:paraId="4A9DC898">
      <w:pPr>
        <w:bidi w:val="0"/>
        <w:rPr>
          <w:color w:val="auto"/>
          <w:highlight w:val="none"/>
        </w:rPr>
      </w:pPr>
      <w:r>
        <w:rPr>
          <w:rFonts w:hint="eastAsia"/>
          <w:color w:val="auto"/>
          <w:highlight w:val="none"/>
          <w:lang w:val="en-US" w:eastAsia="zh-CN"/>
        </w:rPr>
        <w:t xml:space="preserve">6.6 </w:t>
      </w:r>
      <w:r>
        <w:rPr>
          <w:rFonts w:hint="eastAsia"/>
          <w:color w:val="auto"/>
          <w:highlight w:val="none"/>
        </w:rPr>
        <w:t>设有最高限价的，公布最高限价；</w:t>
      </w:r>
    </w:p>
    <w:p w14:paraId="016706A8">
      <w:pPr>
        <w:bidi w:val="0"/>
        <w:rPr>
          <w:color w:val="auto"/>
          <w:highlight w:val="none"/>
        </w:rPr>
      </w:pPr>
      <w:r>
        <w:rPr>
          <w:rFonts w:hint="eastAsia"/>
          <w:color w:val="auto"/>
          <w:highlight w:val="none"/>
          <w:lang w:val="en-US" w:eastAsia="zh-CN"/>
        </w:rPr>
        <w:t xml:space="preserve">6.7 </w:t>
      </w:r>
      <w:r>
        <w:rPr>
          <w:rFonts w:hint="eastAsia"/>
          <w:color w:val="auto"/>
          <w:highlight w:val="none"/>
        </w:rPr>
        <w:t>开启</w:t>
      </w:r>
      <w:r>
        <w:rPr>
          <w:rFonts w:hint="eastAsia"/>
          <w:color w:val="auto"/>
          <w:highlight w:val="none"/>
          <w:lang w:eastAsia="zh-CN"/>
        </w:rPr>
        <w:t>响应文件</w:t>
      </w:r>
      <w:r>
        <w:rPr>
          <w:rFonts w:hint="eastAsia"/>
          <w:color w:val="auto"/>
          <w:highlight w:val="none"/>
        </w:rPr>
        <w:t>；</w:t>
      </w:r>
    </w:p>
    <w:p w14:paraId="34E3D2BE">
      <w:pPr>
        <w:bidi w:val="0"/>
        <w:rPr>
          <w:color w:val="auto"/>
          <w:highlight w:val="none"/>
        </w:rPr>
      </w:pPr>
      <w:r>
        <w:rPr>
          <w:rFonts w:hint="eastAsia"/>
          <w:color w:val="auto"/>
          <w:highlight w:val="none"/>
          <w:lang w:val="en-US" w:eastAsia="zh-CN"/>
        </w:rPr>
        <w:t>6.8 采购人</w:t>
      </w:r>
      <w:r>
        <w:rPr>
          <w:rFonts w:hint="eastAsia"/>
          <w:color w:val="auto"/>
          <w:highlight w:val="none"/>
        </w:rPr>
        <w:t>代表、</w:t>
      </w:r>
      <w:r>
        <w:rPr>
          <w:rFonts w:hint="eastAsia"/>
          <w:color w:val="auto"/>
          <w:highlight w:val="none"/>
          <w:lang w:eastAsia="zh-CN"/>
        </w:rPr>
        <w:t>响应人</w:t>
      </w:r>
      <w:r>
        <w:rPr>
          <w:rFonts w:hint="eastAsia"/>
          <w:color w:val="auto"/>
          <w:highlight w:val="none"/>
        </w:rPr>
        <w:t>代表、监</w:t>
      </w:r>
      <w:r>
        <w:rPr>
          <w:rFonts w:hint="eastAsia"/>
          <w:color w:val="auto"/>
          <w:highlight w:val="none"/>
          <w:lang w:val="en-US" w:eastAsia="zh-CN"/>
        </w:rPr>
        <w:t>督</w:t>
      </w:r>
      <w:r>
        <w:rPr>
          <w:rFonts w:hint="eastAsia"/>
          <w:color w:val="auto"/>
          <w:highlight w:val="none"/>
        </w:rPr>
        <w:t>人、记录人等有关人员在</w:t>
      </w:r>
      <w:r>
        <w:rPr>
          <w:rFonts w:hint="eastAsia"/>
          <w:color w:val="auto"/>
          <w:highlight w:val="none"/>
          <w:lang w:eastAsia="zh-CN"/>
        </w:rPr>
        <w:t>询比</w:t>
      </w:r>
      <w:r>
        <w:rPr>
          <w:rFonts w:hint="eastAsia"/>
          <w:color w:val="auto"/>
          <w:highlight w:val="none"/>
        </w:rPr>
        <w:t>记录上签字确认；</w:t>
      </w:r>
    </w:p>
    <w:p w14:paraId="3179AA88">
      <w:pPr>
        <w:bidi w:val="0"/>
        <w:rPr>
          <w:color w:val="auto"/>
          <w:highlight w:val="none"/>
        </w:rPr>
      </w:pPr>
      <w:r>
        <w:rPr>
          <w:rFonts w:hint="eastAsia"/>
          <w:color w:val="auto"/>
          <w:highlight w:val="none"/>
          <w:lang w:val="en-US" w:eastAsia="zh-CN"/>
        </w:rPr>
        <w:t xml:space="preserve">6.9 </w:t>
      </w:r>
      <w:r>
        <w:rPr>
          <w:rFonts w:hint="eastAsia"/>
          <w:color w:val="auto"/>
          <w:highlight w:val="none"/>
          <w:lang w:eastAsia="zh-CN"/>
        </w:rPr>
        <w:t>询比</w:t>
      </w:r>
      <w:r>
        <w:rPr>
          <w:rFonts w:hint="eastAsia"/>
          <w:color w:val="auto"/>
          <w:highlight w:val="none"/>
        </w:rPr>
        <w:t>结束。</w:t>
      </w:r>
    </w:p>
    <w:p w14:paraId="019AC1C1">
      <w:pPr>
        <w:pStyle w:val="4"/>
        <w:bidi w:val="0"/>
        <w:rPr>
          <w:color w:val="auto"/>
          <w:highlight w:val="none"/>
        </w:rPr>
      </w:pPr>
      <w:r>
        <w:rPr>
          <w:rFonts w:hint="eastAsia"/>
          <w:color w:val="auto"/>
          <w:highlight w:val="none"/>
          <w:lang w:val="en-US" w:eastAsia="zh-CN"/>
        </w:rPr>
        <w:t xml:space="preserve">7. </w:t>
      </w:r>
      <w:r>
        <w:rPr>
          <w:rFonts w:hint="eastAsia"/>
          <w:color w:val="auto"/>
          <w:highlight w:val="none"/>
        </w:rPr>
        <w:t>评审</w:t>
      </w:r>
    </w:p>
    <w:p w14:paraId="00AFFDED">
      <w:pPr>
        <w:bidi w:val="0"/>
        <w:rPr>
          <w:rFonts w:hint="eastAsia"/>
          <w:color w:val="auto"/>
          <w:highlight w:val="none"/>
          <w:lang w:val="en-US" w:eastAsia="zh-CN"/>
        </w:rPr>
      </w:pPr>
      <w:r>
        <w:rPr>
          <w:rFonts w:hint="eastAsia"/>
          <w:color w:val="auto"/>
          <w:highlight w:val="none"/>
          <w:lang w:val="en-US" w:eastAsia="zh-CN"/>
        </w:rPr>
        <w:t>7.1 评审委员会的组建</w:t>
      </w:r>
    </w:p>
    <w:p w14:paraId="1C3F715B">
      <w:pPr>
        <w:bidi w:val="0"/>
        <w:rPr>
          <w:rFonts w:hint="eastAsia"/>
          <w:color w:val="auto"/>
          <w:highlight w:val="none"/>
          <w:lang w:val="en-US" w:eastAsia="zh-CN"/>
        </w:rPr>
      </w:pPr>
      <w:r>
        <w:rPr>
          <w:rFonts w:hint="eastAsia"/>
          <w:color w:val="auto"/>
          <w:highlight w:val="none"/>
        </w:rPr>
        <w:t>由</w:t>
      </w:r>
      <w:r>
        <w:rPr>
          <w:rFonts w:hint="eastAsia"/>
          <w:color w:val="auto"/>
          <w:highlight w:val="none"/>
          <w:lang w:val="en-US" w:eastAsia="zh-CN"/>
        </w:rPr>
        <w:t>采购人</w:t>
      </w:r>
      <w:r>
        <w:rPr>
          <w:rFonts w:hint="eastAsia"/>
          <w:color w:val="auto"/>
          <w:highlight w:val="none"/>
        </w:rPr>
        <w:t>按法律法规及相关规定依法组建评</w:t>
      </w:r>
      <w:r>
        <w:rPr>
          <w:rFonts w:hint="eastAsia"/>
          <w:color w:val="auto"/>
          <w:highlight w:val="none"/>
          <w:lang w:val="en-US" w:eastAsia="zh-CN"/>
        </w:rPr>
        <w:t>审</w:t>
      </w:r>
      <w:r>
        <w:rPr>
          <w:rFonts w:hint="eastAsia"/>
          <w:color w:val="auto"/>
          <w:highlight w:val="none"/>
        </w:rPr>
        <w:t>委员会。</w:t>
      </w:r>
    </w:p>
    <w:p w14:paraId="0D3E4624">
      <w:pPr>
        <w:bidi w:val="0"/>
        <w:rPr>
          <w:rFonts w:hint="eastAsia"/>
          <w:color w:val="auto"/>
          <w:highlight w:val="none"/>
          <w:lang w:val="en-US" w:eastAsia="zh-CN"/>
        </w:rPr>
      </w:pPr>
      <w:r>
        <w:rPr>
          <w:rFonts w:hint="eastAsia"/>
          <w:color w:val="auto"/>
          <w:highlight w:val="none"/>
          <w:lang w:val="en-US" w:eastAsia="zh-CN"/>
        </w:rPr>
        <w:t>7.2 评审由采购人依法组建的评审委员会负责。</w:t>
      </w:r>
    </w:p>
    <w:p w14:paraId="409C1376">
      <w:pPr>
        <w:bidi w:val="0"/>
        <w:rPr>
          <w:rFonts w:hint="eastAsia"/>
          <w:color w:val="auto"/>
          <w:highlight w:val="none"/>
          <w:lang w:val="en-US" w:eastAsia="zh-CN"/>
        </w:rPr>
      </w:pPr>
      <w:r>
        <w:rPr>
          <w:rFonts w:hint="eastAsia"/>
          <w:color w:val="auto"/>
          <w:highlight w:val="none"/>
          <w:lang w:val="en-US" w:eastAsia="zh-CN"/>
        </w:rPr>
        <w:t>7.3 评审委员会成员有下列情形之一的，应当回避：</w:t>
      </w:r>
    </w:p>
    <w:p w14:paraId="7D32CB6B">
      <w:pPr>
        <w:bidi w:val="0"/>
        <w:rPr>
          <w:rFonts w:hint="eastAsia"/>
          <w:color w:val="auto"/>
          <w:highlight w:val="none"/>
          <w:lang w:val="en-US" w:eastAsia="zh-CN"/>
        </w:rPr>
      </w:pPr>
      <w:r>
        <w:rPr>
          <w:rFonts w:hint="eastAsia"/>
          <w:color w:val="auto"/>
          <w:highlight w:val="none"/>
          <w:lang w:val="en-US" w:eastAsia="zh-CN"/>
        </w:rPr>
        <w:t>（1）响应人或响应人主要负责人的近亲属；</w:t>
      </w:r>
    </w:p>
    <w:p w14:paraId="27964F4A">
      <w:pPr>
        <w:bidi w:val="0"/>
        <w:rPr>
          <w:rFonts w:hint="eastAsia"/>
          <w:color w:val="auto"/>
          <w:highlight w:val="none"/>
          <w:lang w:val="en-US" w:eastAsia="zh-CN"/>
        </w:rPr>
      </w:pPr>
      <w:r>
        <w:rPr>
          <w:rFonts w:hint="eastAsia"/>
          <w:color w:val="auto"/>
          <w:highlight w:val="none"/>
          <w:lang w:val="en-US" w:eastAsia="zh-CN"/>
        </w:rPr>
        <w:t>（2）项目主管部门或者监督部门的人员；</w:t>
      </w:r>
    </w:p>
    <w:p w14:paraId="7C16EBF8">
      <w:pPr>
        <w:bidi w:val="0"/>
        <w:rPr>
          <w:rFonts w:hint="eastAsia"/>
          <w:color w:val="auto"/>
          <w:highlight w:val="none"/>
          <w:lang w:val="en-US" w:eastAsia="zh-CN"/>
        </w:rPr>
      </w:pPr>
      <w:r>
        <w:rPr>
          <w:rFonts w:hint="eastAsia"/>
          <w:color w:val="auto"/>
          <w:highlight w:val="none"/>
          <w:lang w:val="en-US" w:eastAsia="zh-CN"/>
        </w:rPr>
        <w:t>（3）与响应人有经济利益关系，可能影响公正评审的；</w:t>
      </w:r>
    </w:p>
    <w:p w14:paraId="02570F64">
      <w:pPr>
        <w:bidi w:val="0"/>
        <w:rPr>
          <w:rFonts w:hint="eastAsia"/>
          <w:color w:val="auto"/>
          <w:highlight w:val="none"/>
          <w:lang w:val="en-US" w:eastAsia="zh-CN"/>
        </w:rPr>
      </w:pPr>
      <w:r>
        <w:rPr>
          <w:rFonts w:hint="eastAsia"/>
          <w:color w:val="auto"/>
          <w:highlight w:val="none"/>
          <w:lang w:val="en-US" w:eastAsia="zh-CN"/>
        </w:rPr>
        <w:t>（4）曾因在</w:t>
      </w:r>
      <w:r>
        <w:rPr>
          <w:color w:val="auto"/>
          <w:highlight w:val="none"/>
        </w:rPr>
        <w:t>招标、</w:t>
      </w:r>
      <w:r>
        <w:rPr>
          <w:rFonts w:hint="eastAsia"/>
          <w:color w:val="auto"/>
          <w:highlight w:val="none"/>
          <w:lang w:eastAsia="zh-CN"/>
        </w:rPr>
        <w:t>评审</w:t>
      </w:r>
      <w:r>
        <w:rPr>
          <w:rFonts w:hint="eastAsia"/>
          <w:color w:val="auto"/>
          <w:highlight w:val="none"/>
          <w:lang w:val="en-US" w:eastAsia="zh-CN"/>
        </w:rPr>
        <w:t>以及其他与招标投标有关活动中从事违法行为而受过行政处罚或刑事处罚的；</w:t>
      </w:r>
    </w:p>
    <w:p w14:paraId="59AF2161">
      <w:pPr>
        <w:bidi w:val="0"/>
        <w:rPr>
          <w:rFonts w:hint="eastAsia"/>
          <w:color w:val="auto"/>
          <w:highlight w:val="none"/>
          <w:lang w:val="en-US" w:eastAsia="zh-CN"/>
        </w:rPr>
      </w:pPr>
      <w:r>
        <w:rPr>
          <w:rFonts w:hint="eastAsia"/>
          <w:color w:val="auto"/>
          <w:highlight w:val="none"/>
          <w:lang w:val="en-US" w:eastAsia="zh-CN"/>
        </w:rPr>
        <w:t>（5）与响应人有其他利害关系。</w:t>
      </w:r>
    </w:p>
    <w:p w14:paraId="7FFE870E">
      <w:pPr>
        <w:bidi w:val="0"/>
        <w:rPr>
          <w:rFonts w:hint="eastAsia"/>
          <w:color w:val="auto"/>
          <w:highlight w:val="none"/>
          <w:lang w:val="en-US" w:eastAsia="zh-CN"/>
        </w:rPr>
      </w:pPr>
      <w:r>
        <w:rPr>
          <w:rFonts w:hint="eastAsia"/>
          <w:color w:val="auto"/>
          <w:highlight w:val="none"/>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341F68EE">
      <w:pPr>
        <w:bidi w:val="0"/>
        <w:rPr>
          <w:color w:val="auto"/>
          <w:highlight w:val="none"/>
          <w:lang w:val="en-US" w:eastAsia="zh-CN"/>
        </w:rPr>
      </w:pPr>
      <w:bookmarkStart w:id="41" w:name="_Toc30222"/>
      <w:r>
        <w:rPr>
          <w:rFonts w:hint="eastAsia"/>
          <w:color w:val="auto"/>
          <w:highlight w:val="none"/>
          <w:lang w:val="en-US" w:eastAsia="zh-CN"/>
        </w:rPr>
        <w:t xml:space="preserve">7.5 </w:t>
      </w:r>
      <w:bookmarkEnd w:id="41"/>
      <w:r>
        <w:rPr>
          <w:rFonts w:hint="eastAsia"/>
          <w:color w:val="auto"/>
          <w:highlight w:val="none"/>
          <w:lang w:val="en-US" w:eastAsia="zh-CN"/>
        </w:rPr>
        <w:t>评审</w:t>
      </w:r>
    </w:p>
    <w:p w14:paraId="2F39CDED">
      <w:pPr>
        <w:bidi w:val="0"/>
        <w:rPr>
          <w:rFonts w:hint="eastAsia"/>
          <w:color w:val="auto"/>
          <w:highlight w:val="none"/>
          <w:lang w:val="en-US" w:eastAsia="zh-CN"/>
        </w:rPr>
      </w:pPr>
      <w:r>
        <w:rPr>
          <w:rFonts w:hint="eastAsia"/>
          <w:color w:val="auto"/>
          <w:highlight w:val="none"/>
          <w:lang w:val="en-US" w:eastAsia="zh-CN"/>
        </w:rPr>
        <w:t>评审委员会按照第三章“评审办法”规定的方法、评审因素、标准和程序对响应文件进行评审。第三章“评审办法”没有规定的方法、评审因素和标准，不作为评审依据。</w:t>
      </w:r>
    </w:p>
    <w:p w14:paraId="2AB1CBA0">
      <w:pPr>
        <w:bidi w:val="0"/>
        <w:rPr>
          <w:color w:val="auto"/>
          <w:highlight w:val="none"/>
        </w:rPr>
      </w:pPr>
      <w:r>
        <w:rPr>
          <w:rFonts w:hint="eastAsia"/>
          <w:color w:val="auto"/>
          <w:highlight w:val="none"/>
          <w:lang w:val="en-US" w:eastAsia="zh-CN"/>
        </w:rPr>
        <w:t xml:space="preserve">7.6 </w:t>
      </w:r>
      <w:r>
        <w:rPr>
          <w:rFonts w:hint="eastAsia"/>
          <w:color w:val="auto"/>
          <w:highlight w:val="none"/>
          <w:lang w:eastAsia="zh-CN"/>
        </w:rPr>
        <w:t>评</w:t>
      </w:r>
      <w:r>
        <w:rPr>
          <w:rFonts w:hint="eastAsia"/>
          <w:color w:val="auto"/>
          <w:highlight w:val="none"/>
          <w:lang w:val="en-US" w:eastAsia="zh-CN"/>
        </w:rPr>
        <w:t>审</w:t>
      </w:r>
      <w:r>
        <w:rPr>
          <w:rFonts w:hint="eastAsia"/>
          <w:color w:val="auto"/>
          <w:highlight w:val="none"/>
          <w:lang w:eastAsia="zh-CN"/>
        </w:rPr>
        <w:t>完成后，评</w:t>
      </w:r>
      <w:r>
        <w:rPr>
          <w:rFonts w:hint="eastAsia"/>
          <w:color w:val="auto"/>
          <w:highlight w:val="none"/>
          <w:lang w:val="en-US" w:eastAsia="zh-CN"/>
        </w:rPr>
        <w:t>审</w:t>
      </w:r>
      <w:r>
        <w:rPr>
          <w:rFonts w:hint="eastAsia"/>
          <w:color w:val="auto"/>
          <w:highlight w:val="none"/>
          <w:lang w:eastAsia="zh-CN"/>
        </w:rPr>
        <w:t>委员会应向</w:t>
      </w:r>
      <w:r>
        <w:rPr>
          <w:rFonts w:hint="eastAsia"/>
          <w:color w:val="auto"/>
          <w:highlight w:val="none"/>
          <w:lang w:val="en-US" w:eastAsia="zh-CN"/>
        </w:rPr>
        <w:t>采购</w:t>
      </w:r>
      <w:r>
        <w:rPr>
          <w:rFonts w:hint="eastAsia"/>
          <w:color w:val="auto"/>
          <w:highlight w:val="none"/>
          <w:lang w:eastAsia="zh-CN"/>
        </w:rPr>
        <w:t>人提交书面</w:t>
      </w:r>
      <w:r>
        <w:rPr>
          <w:rFonts w:hint="eastAsia"/>
          <w:color w:val="auto"/>
          <w:highlight w:val="none"/>
          <w:lang w:val="en-US" w:eastAsia="zh-CN"/>
        </w:rPr>
        <w:t>评审</w:t>
      </w:r>
      <w:r>
        <w:rPr>
          <w:rFonts w:hint="eastAsia"/>
          <w:color w:val="auto"/>
          <w:highlight w:val="none"/>
          <w:lang w:eastAsia="zh-CN"/>
        </w:rPr>
        <w:t>报告和</w:t>
      </w:r>
      <w:r>
        <w:rPr>
          <w:rFonts w:hint="eastAsia"/>
          <w:color w:val="auto"/>
          <w:highlight w:val="none"/>
          <w:lang w:val="en-US" w:eastAsia="zh-CN"/>
        </w:rPr>
        <w:t>排名</w:t>
      </w:r>
      <w:r>
        <w:rPr>
          <w:rFonts w:hint="eastAsia"/>
          <w:color w:val="auto"/>
          <w:highlight w:val="none"/>
          <w:lang w:eastAsia="zh-CN"/>
        </w:rPr>
        <w:t>名单。</w:t>
      </w:r>
    </w:p>
    <w:p w14:paraId="62314779">
      <w:pPr>
        <w:pStyle w:val="4"/>
        <w:bidi w:val="0"/>
        <w:rPr>
          <w:color w:val="auto"/>
          <w:highlight w:val="none"/>
          <w:lang w:val="en-US" w:eastAsia="zh-CN"/>
        </w:rPr>
      </w:pPr>
      <w:r>
        <w:rPr>
          <w:rFonts w:hint="eastAsia"/>
          <w:color w:val="auto"/>
          <w:highlight w:val="none"/>
          <w:lang w:val="en-US" w:eastAsia="zh-CN"/>
        </w:rPr>
        <w:t>8. 成交结果公示</w:t>
      </w:r>
    </w:p>
    <w:p w14:paraId="3EBB4171">
      <w:pPr>
        <w:rPr>
          <w:rFonts w:hint="eastAsia"/>
          <w:color w:val="auto"/>
          <w:highlight w:val="none"/>
          <w:lang w:val="en-US" w:eastAsia="zh-CN"/>
        </w:rPr>
      </w:pPr>
      <w:r>
        <w:rPr>
          <w:rFonts w:hint="eastAsia"/>
          <w:color w:val="auto"/>
          <w:highlight w:val="none"/>
          <w:lang w:val="en-US" w:eastAsia="zh-CN"/>
        </w:rPr>
        <w:t>公示媒介：重庆市公共资源交易网</w:t>
      </w:r>
    </w:p>
    <w:p w14:paraId="4B95C057">
      <w:pPr>
        <w:rPr>
          <w:rFonts w:hint="eastAsia"/>
          <w:color w:val="auto"/>
          <w:highlight w:val="none"/>
          <w:lang w:val="en-US" w:eastAsia="zh-CN"/>
        </w:rPr>
      </w:pPr>
      <w:r>
        <w:rPr>
          <w:rFonts w:hint="eastAsia"/>
          <w:color w:val="auto"/>
          <w:highlight w:val="none"/>
          <w:lang w:val="en-US" w:eastAsia="zh-CN"/>
        </w:rPr>
        <w:t>公示期限： 3 日</w:t>
      </w:r>
    </w:p>
    <w:p w14:paraId="72E1690C">
      <w:pPr>
        <w:pStyle w:val="4"/>
        <w:bidi w:val="0"/>
        <w:rPr>
          <w:rFonts w:hint="eastAsia"/>
          <w:color w:val="auto"/>
          <w:highlight w:val="none"/>
          <w:lang w:eastAsia="zh-CN"/>
        </w:rPr>
      </w:pPr>
      <w:r>
        <w:rPr>
          <w:rFonts w:hint="eastAsia"/>
          <w:color w:val="auto"/>
          <w:highlight w:val="none"/>
          <w:lang w:val="en-US" w:eastAsia="zh-CN"/>
        </w:rPr>
        <w:t xml:space="preserve">9. </w:t>
      </w:r>
      <w:bookmarkEnd w:id="40"/>
      <w:r>
        <w:rPr>
          <w:rFonts w:hint="eastAsia"/>
          <w:color w:val="auto"/>
          <w:highlight w:val="none"/>
          <w:lang w:eastAsia="zh-CN"/>
        </w:rPr>
        <w:t>确定成交供应商</w:t>
      </w:r>
    </w:p>
    <w:p w14:paraId="70FE3225">
      <w:pPr>
        <w:bidi w:val="0"/>
        <w:rPr>
          <w:color w:val="auto"/>
          <w:highlight w:val="none"/>
        </w:rPr>
      </w:pPr>
      <w:r>
        <w:rPr>
          <w:rFonts w:hint="eastAsia"/>
          <w:color w:val="auto"/>
          <w:highlight w:val="none"/>
          <w:lang w:val="en-US" w:eastAsia="zh-CN"/>
        </w:rPr>
        <w:t xml:space="preserve">9.1 </w:t>
      </w:r>
      <w:r>
        <w:rPr>
          <w:rFonts w:hint="eastAsia"/>
          <w:color w:val="auto"/>
          <w:highlight w:val="none"/>
          <w:lang w:eastAsia="zh-CN"/>
        </w:rPr>
        <w:t>确定成交供应商</w:t>
      </w:r>
      <w:r>
        <w:rPr>
          <w:rFonts w:hint="eastAsia"/>
          <w:color w:val="auto"/>
          <w:highlight w:val="none"/>
        </w:rPr>
        <w:t>原则</w:t>
      </w:r>
    </w:p>
    <w:p w14:paraId="26C514B4">
      <w:pPr>
        <w:bidi w:val="0"/>
        <w:rPr>
          <w:color w:val="auto"/>
          <w:highlight w:val="none"/>
        </w:rPr>
      </w:pPr>
      <w:r>
        <w:rPr>
          <w:rFonts w:hint="eastAsia"/>
          <w:color w:val="auto"/>
          <w:highlight w:val="none"/>
          <w:lang w:eastAsia="zh-CN"/>
        </w:rPr>
        <w:t>采购人</w:t>
      </w:r>
      <w:r>
        <w:rPr>
          <w:rFonts w:hint="eastAsia"/>
          <w:color w:val="auto"/>
          <w:highlight w:val="none"/>
        </w:rPr>
        <w:t>按照</w:t>
      </w:r>
      <w:r>
        <w:rPr>
          <w:rFonts w:hint="eastAsia"/>
          <w:color w:val="auto"/>
          <w:highlight w:val="none"/>
          <w:lang w:eastAsia="zh-CN"/>
        </w:rPr>
        <w:t>评审</w:t>
      </w:r>
      <w:r>
        <w:rPr>
          <w:rFonts w:hint="eastAsia"/>
          <w:color w:val="auto"/>
          <w:highlight w:val="none"/>
        </w:rPr>
        <w:t>报告中</w:t>
      </w:r>
      <w:r>
        <w:rPr>
          <w:rFonts w:hint="eastAsia"/>
          <w:color w:val="auto"/>
          <w:highlight w:val="none"/>
          <w:lang w:val="en-US" w:eastAsia="zh-CN"/>
        </w:rPr>
        <w:t>排名</w:t>
      </w:r>
      <w:r>
        <w:rPr>
          <w:rFonts w:hint="eastAsia"/>
          <w:color w:val="auto"/>
          <w:highlight w:val="none"/>
        </w:rPr>
        <w:t>顺序确定</w:t>
      </w:r>
      <w:r>
        <w:rPr>
          <w:rFonts w:hint="eastAsia"/>
          <w:color w:val="auto"/>
          <w:highlight w:val="none"/>
          <w:lang w:eastAsia="zh-CN"/>
        </w:rPr>
        <w:t>成交供应商</w:t>
      </w:r>
      <w:r>
        <w:rPr>
          <w:rFonts w:hint="eastAsia"/>
          <w:color w:val="auto"/>
          <w:highlight w:val="none"/>
        </w:rPr>
        <w:t>，如</w:t>
      </w:r>
      <w:r>
        <w:rPr>
          <w:rFonts w:hint="eastAsia"/>
          <w:color w:val="auto"/>
          <w:highlight w:val="none"/>
          <w:lang w:eastAsia="zh-CN"/>
        </w:rPr>
        <w:t>成交供应商</w:t>
      </w:r>
      <w:r>
        <w:rPr>
          <w:rFonts w:hint="eastAsia"/>
          <w:color w:val="auto"/>
          <w:highlight w:val="none"/>
        </w:rPr>
        <w:t>因自身原因不能履行合同的，由此带来的损失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r>
        <w:rPr>
          <w:rFonts w:hint="eastAsia"/>
          <w:color w:val="auto"/>
          <w:highlight w:val="none"/>
          <w:lang w:eastAsia="zh-CN"/>
        </w:rPr>
        <w:t>采购人</w:t>
      </w:r>
      <w:r>
        <w:rPr>
          <w:rFonts w:hint="eastAsia"/>
          <w:color w:val="auto"/>
          <w:highlight w:val="none"/>
        </w:rPr>
        <w:t>可以</w:t>
      </w:r>
      <w:r>
        <w:rPr>
          <w:rFonts w:hint="eastAsia"/>
          <w:color w:val="auto"/>
          <w:highlight w:val="none"/>
          <w:lang w:val="en-US" w:eastAsia="zh-CN"/>
        </w:rPr>
        <w:t>重新采购或</w:t>
      </w:r>
      <w:r>
        <w:rPr>
          <w:rFonts w:hint="eastAsia"/>
          <w:color w:val="auto"/>
          <w:highlight w:val="none"/>
        </w:rPr>
        <w:t>顺延下一</w:t>
      </w:r>
      <w:r>
        <w:rPr>
          <w:rFonts w:hint="eastAsia"/>
          <w:color w:val="auto"/>
          <w:highlight w:val="none"/>
          <w:lang w:val="en-US" w:eastAsia="zh-CN"/>
        </w:rPr>
        <w:t>排名成为成交供应商</w:t>
      </w:r>
      <w:r>
        <w:rPr>
          <w:rFonts w:hint="eastAsia"/>
          <w:color w:val="auto"/>
          <w:highlight w:val="none"/>
        </w:rPr>
        <w:t>。</w:t>
      </w:r>
    </w:p>
    <w:p w14:paraId="6C2459C6">
      <w:pPr>
        <w:bidi w:val="0"/>
        <w:rPr>
          <w:color w:val="auto"/>
          <w:highlight w:val="none"/>
        </w:rPr>
      </w:pPr>
      <w:r>
        <w:rPr>
          <w:rFonts w:hint="eastAsia"/>
          <w:color w:val="auto"/>
          <w:highlight w:val="none"/>
          <w:lang w:val="en-US" w:eastAsia="zh-CN"/>
        </w:rPr>
        <w:t xml:space="preserve">9.2 </w:t>
      </w:r>
      <w:r>
        <w:rPr>
          <w:rFonts w:hint="eastAsia"/>
          <w:color w:val="auto"/>
          <w:highlight w:val="none"/>
        </w:rPr>
        <w:t>不承诺最低价格</w:t>
      </w:r>
      <w:r>
        <w:rPr>
          <w:rFonts w:hint="eastAsia"/>
          <w:color w:val="auto"/>
          <w:highlight w:val="none"/>
          <w:lang w:eastAsia="zh-CN"/>
        </w:rPr>
        <w:t>成交</w:t>
      </w:r>
      <w:r>
        <w:rPr>
          <w:rFonts w:hint="eastAsia"/>
          <w:color w:val="auto"/>
          <w:highlight w:val="none"/>
        </w:rPr>
        <w:t>。</w:t>
      </w:r>
    </w:p>
    <w:p w14:paraId="224878CC">
      <w:pPr>
        <w:bidi w:val="0"/>
        <w:rPr>
          <w:color w:val="auto"/>
          <w:highlight w:val="none"/>
        </w:rPr>
      </w:pPr>
      <w:r>
        <w:rPr>
          <w:rFonts w:hint="eastAsia"/>
          <w:color w:val="auto"/>
          <w:highlight w:val="none"/>
          <w:lang w:val="en-US" w:eastAsia="zh-CN"/>
        </w:rPr>
        <w:t xml:space="preserve">9.3 </w:t>
      </w:r>
      <w:r>
        <w:rPr>
          <w:rFonts w:hint="eastAsia"/>
          <w:color w:val="auto"/>
          <w:highlight w:val="none"/>
        </w:rPr>
        <w:t>若</w:t>
      </w:r>
      <w:r>
        <w:rPr>
          <w:rFonts w:hint="eastAsia"/>
          <w:color w:val="auto"/>
          <w:highlight w:val="none"/>
          <w:lang w:eastAsia="zh-CN"/>
        </w:rPr>
        <w:t>成交供应商</w:t>
      </w:r>
      <w:r>
        <w:rPr>
          <w:rFonts w:hint="eastAsia"/>
          <w:color w:val="auto"/>
          <w:highlight w:val="none"/>
          <w:lang w:val="en-US" w:eastAsia="zh-CN"/>
        </w:rPr>
        <w:t>响应</w:t>
      </w:r>
      <w:r>
        <w:rPr>
          <w:rFonts w:hint="eastAsia"/>
          <w:color w:val="auto"/>
          <w:highlight w:val="none"/>
        </w:rPr>
        <w:t>材料出现造假、不实等与实际查询结果不符或无故弃选的情况，</w:t>
      </w:r>
      <w:r>
        <w:rPr>
          <w:rFonts w:hint="eastAsia"/>
          <w:color w:val="auto"/>
          <w:highlight w:val="none"/>
          <w:lang w:eastAsia="zh-CN"/>
        </w:rPr>
        <w:t>采购人</w:t>
      </w:r>
      <w:r>
        <w:rPr>
          <w:rFonts w:hint="eastAsia"/>
          <w:color w:val="auto"/>
          <w:highlight w:val="none"/>
        </w:rPr>
        <w:t>有权选择重新</w:t>
      </w:r>
      <w:r>
        <w:rPr>
          <w:rFonts w:hint="eastAsia"/>
          <w:color w:val="auto"/>
          <w:highlight w:val="none"/>
          <w:lang w:eastAsia="zh-CN"/>
        </w:rPr>
        <w:t>询比</w:t>
      </w:r>
      <w:r>
        <w:rPr>
          <w:rFonts w:hint="eastAsia"/>
          <w:color w:val="auto"/>
          <w:highlight w:val="none"/>
        </w:rPr>
        <w:t>或顺延下一</w:t>
      </w:r>
      <w:r>
        <w:rPr>
          <w:rFonts w:hint="eastAsia"/>
          <w:color w:val="auto"/>
          <w:highlight w:val="none"/>
          <w:lang w:val="en-US" w:eastAsia="zh-CN"/>
        </w:rPr>
        <w:t>排名成为成交供应商</w:t>
      </w:r>
      <w:r>
        <w:rPr>
          <w:rFonts w:hint="eastAsia"/>
          <w:color w:val="auto"/>
          <w:highlight w:val="none"/>
        </w:rPr>
        <w:t>，由此带来的损失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p>
    <w:p w14:paraId="4076481B">
      <w:pPr>
        <w:pStyle w:val="4"/>
        <w:bidi w:val="0"/>
        <w:rPr>
          <w:rFonts w:hint="eastAsia"/>
          <w:color w:val="auto"/>
          <w:highlight w:val="none"/>
        </w:rPr>
      </w:pPr>
      <w:bookmarkStart w:id="42" w:name="_Toc13998"/>
      <w:bookmarkStart w:id="43" w:name="_Toc57795906"/>
      <w:bookmarkStart w:id="44" w:name="_Toc12245"/>
      <w:bookmarkStart w:id="45" w:name="_Toc89675168"/>
      <w:r>
        <w:rPr>
          <w:rFonts w:hint="eastAsia"/>
          <w:color w:val="auto"/>
          <w:highlight w:val="none"/>
          <w:lang w:val="en-US" w:eastAsia="zh-CN"/>
        </w:rPr>
        <w:t>10.</w:t>
      </w:r>
      <w:r>
        <w:rPr>
          <w:rFonts w:hint="eastAsia"/>
          <w:color w:val="auto"/>
          <w:highlight w:val="none"/>
        </w:rPr>
        <w:t xml:space="preserve"> 履约保证金</w:t>
      </w:r>
      <w:bookmarkEnd w:id="42"/>
      <w:bookmarkEnd w:id="43"/>
    </w:p>
    <w:p w14:paraId="74527520">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.1 成交供应商应按第五章规定的时间、形式、金额和询比文件第四章“</w:t>
      </w:r>
      <w:r>
        <w:rPr>
          <w:rFonts w:hint="eastAsia"/>
          <w:color w:val="auto"/>
          <w:highlight w:val="none"/>
          <w:lang w:val="en-US" w:eastAsia="zh-CN"/>
        </w:rPr>
        <w:t>合同条款及格式</w:t>
      </w:r>
      <w:r>
        <w:rPr>
          <w:rFonts w:hint="eastAsia"/>
          <w:color w:val="auto"/>
          <w:highlight w:val="none"/>
          <w:lang w:eastAsia="zh-CN"/>
        </w:rPr>
        <w:t>”规定的或事先经过</w:t>
      </w:r>
      <w:r>
        <w:rPr>
          <w:rFonts w:hint="eastAsia"/>
          <w:color w:val="auto"/>
          <w:highlight w:val="none"/>
          <w:lang w:val="en-US" w:eastAsia="zh-CN"/>
        </w:rPr>
        <w:t>采购</w:t>
      </w:r>
      <w:r>
        <w:rPr>
          <w:rFonts w:hint="eastAsia"/>
          <w:color w:val="auto"/>
          <w:highlight w:val="none"/>
          <w:lang w:eastAsia="zh-CN"/>
        </w:rPr>
        <w:t>人书面认可的履约保证金格式向</w:t>
      </w:r>
      <w:r>
        <w:rPr>
          <w:rFonts w:hint="eastAsia"/>
          <w:color w:val="auto"/>
          <w:highlight w:val="none"/>
          <w:lang w:val="en-US" w:eastAsia="zh-CN"/>
        </w:rPr>
        <w:t>采购</w:t>
      </w:r>
      <w:r>
        <w:rPr>
          <w:rFonts w:hint="eastAsia"/>
          <w:color w:val="auto"/>
          <w:highlight w:val="none"/>
          <w:lang w:eastAsia="zh-CN"/>
        </w:rPr>
        <w:t>人提交履约保证金。</w:t>
      </w:r>
    </w:p>
    <w:p w14:paraId="48CA6BEE">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 xml:space="preserve">.2 成交供应商不能按本章第 </w:t>
      </w:r>
      <w:r>
        <w:rPr>
          <w:rFonts w:hint="eastAsia"/>
          <w:color w:val="auto"/>
          <w:highlight w:val="none"/>
          <w:lang w:val="en-US" w:eastAsia="zh-CN"/>
        </w:rPr>
        <w:t>10.1</w:t>
      </w:r>
      <w:r>
        <w:rPr>
          <w:rFonts w:hint="eastAsia"/>
          <w:color w:val="auto"/>
          <w:highlight w:val="none"/>
          <w:lang w:eastAsia="zh-CN"/>
        </w:rPr>
        <w:t xml:space="preserve"> </w:t>
      </w:r>
      <w:r>
        <w:rPr>
          <w:rFonts w:hint="eastAsia"/>
          <w:color w:val="auto"/>
          <w:highlight w:val="none"/>
          <w:lang w:val="en-US" w:eastAsia="zh-CN"/>
        </w:rPr>
        <w:t>条</w:t>
      </w:r>
      <w:r>
        <w:rPr>
          <w:rFonts w:hint="eastAsia"/>
          <w:color w:val="auto"/>
          <w:highlight w:val="none"/>
          <w:lang w:eastAsia="zh-CN"/>
        </w:rPr>
        <w:t>要求提交履约保证金的，视为放弃</w:t>
      </w:r>
      <w:r>
        <w:rPr>
          <w:rFonts w:hint="eastAsia"/>
          <w:color w:val="auto"/>
          <w:highlight w:val="none"/>
          <w:lang w:val="en-US" w:eastAsia="zh-CN"/>
        </w:rPr>
        <w:t>成交</w:t>
      </w:r>
      <w:r>
        <w:rPr>
          <w:rFonts w:hint="eastAsia"/>
          <w:color w:val="auto"/>
          <w:highlight w:val="none"/>
          <w:lang w:eastAsia="zh-CN"/>
        </w:rPr>
        <w:t>，其</w:t>
      </w:r>
      <w:r>
        <w:rPr>
          <w:rFonts w:hint="eastAsia"/>
          <w:color w:val="auto"/>
          <w:highlight w:val="none"/>
          <w:lang w:val="en-US" w:eastAsia="zh-CN"/>
        </w:rPr>
        <w:t>响应</w:t>
      </w:r>
      <w:r>
        <w:rPr>
          <w:rFonts w:hint="eastAsia"/>
          <w:color w:val="auto"/>
          <w:highlight w:val="none"/>
          <w:lang w:eastAsia="zh-CN"/>
        </w:rPr>
        <w:t>保证金以现金形式</w:t>
      </w:r>
      <w:r>
        <w:rPr>
          <w:rFonts w:hint="eastAsia"/>
          <w:color w:val="auto"/>
          <w:highlight w:val="none"/>
          <w:lang w:val="en-US" w:eastAsia="zh-CN"/>
        </w:rPr>
        <w:t>交纳</w:t>
      </w:r>
      <w:r>
        <w:rPr>
          <w:rFonts w:hint="eastAsia"/>
          <w:color w:val="auto"/>
          <w:highlight w:val="none"/>
          <w:lang w:eastAsia="zh-CN"/>
        </w:rPr>
        <w:t>的不予退还，以保函形式</w:t>
      </w:r>
      <w:r>
        <w:rPr>
          <w:rFonts w:hint="eastAsia"/>
          <w:color w:val="auto"/>
          <w:highlight w:val="none"/>
          <w:lang w:val="en-US" w:eastAsia="zh-CN"/>
        </w:rPr>
        <w:t>交纳</w:t>
      </w:r>
      <w:r>
        <w:rPr>
          <w:rFonts w:hint="eastAsia"/>
          <w:color w:val="auto"/>
          <w:highlight w:val="none"/>
          <w:lang w:eastAsia="zh-CN"/>
        </w:rPr>
        <w:t>的由保函开立人支付保函担保的与</w:t>
      </w:r>
      <w:r>
        <w:rPr>
          <w:rFonts w:hint="eastAsia"/>
          <w:color w:val="auto"/>
          <w:highlight w:val="none"/>
          <w:lang w:val="en-US" w:eastAsia="zh-CN"/>
        </w:rPr>
        <w:t>响应</w:t>
      </w:r>
      <w:r>
        <w:rPr>
          <w:rFonts w:hint="eastAsia"/>
          <w:color w:val="auto"/>
          <w:highlight w:val="none"/>
          <w:lang w:eastAsia="zh-CN"/>
        </w:rPr>
        <w:t>保证金等额的款项，给</w:t>
      </w:r>
      <w:r>
        <w:rPr>
          <w:rFonts w:hint="eastAsia"/>
          <w:color w:val="auto"/>
          <w:highlight w:val="none"/>
          <w:lang w:val="en-US" w:eastAsia="zh-CN"/>
        </w:rPr>
        <w:t>采购</w:t>
      </w:r>
      <w:r>
        <w:rPr>
          <w:rFonts w:hint="eastAsia"/>
          <w:color w:val="auto"/>
          <w:highlight w:val="none"/>
          <w:lang w:eastAsia="zh-CN"/>
        </w:rPr>
        <w:t>人造成的损失超过</w:t>
      </w:r>
      <w:r>
        <w:rPr>
          <w:rFonts w:hint="eastAsia"/>
          <w:color w:val="auto"/>
          <w:highlight w:val="none"/>
          <w:lang w:val="en-US" w:eastAsia="zh-CN"/>
        </w:rPr>
        <w:t>响应</w:t>
      </w:r>
      <w:r>
        <w:rPr>
          <w:rFonts w:hint="eastAsia"/>
          <w:color w:val="auto"/>
          <w:highlight w:val="none"/>
          <w:lang w:eastAsia="zh-CN"/>
        </w:rPr>
        <w:t>保证金数额的，成交供应商还应对超过部分予以赔偿。</w:t>
      </w:r>
    </w:p>
    <w:p w14:paraId="7B2A652F">
      <w:pPr>
        <w:pStyle w:val="4"/>
        <w:bidi w:val="0"/>
        <w:rPr>
          <w:color w:val="auto"/>
          <w:highlight w:val="none"/>
        </w:rPr>
      </w:pPr>
      <w:r>
        <w:rPr>
          <w:rFonts w:hint="eastAsia"/>
          <w:color w:val="auto"/>
          <w:highlight w:val="none"/>
          <w:lang w:val="en-US" w:eastAsia="zh-CN"/>
        </w:rPr>
        <w:t xml:space="preserve">11. </w:t>
      </w:r>
      <w:r>
        <w:rPr>
          <w:rFonts w:hint="eastAsia"/>
          <w:color w:val="auto"/>
          <w:highlight w:val="none"/>
        </w:rPr>
        <w:t>签订合同</w:t>
      </w:r>
      <w:bookmarkEnd w:id="44"/>
      <w:bookmarkEnd w:id="45"/>
    </w:p>
    <w:p w14:paraId="1A58DA74">
      <w:pPr>
        <w:bidi w:val="0"/>
        <w:rPr>
          <w:rFonts w:hint="eastAsia"/>
          <w:color w:val="auto"/>
          <w:highlight w:val="none"/>
        </w:rPr>
      </w:pPr>
      <w:r>
        <w:rPr>
          <w:rFonts w:hint="eastAsia"/>
          <w:color w:val="auto"/>
          <w:highlight w:val="none"/>
          <w:lang w:val="en-US" w:eastAsia="zh-CN"/>
        </w:rPr>
        <w:t xml:space="preserve">11.1 </w:t>
      </w:r>
      <w:r>
        <w:rPr>
          <w:rFonts w:hint="eastAsia"/>
          <w:color w:val="auto"/>
          <w:highlight w:val="none"/>
          <w:lang w:eastAsia="zh-CN"/>
        </w:rPr>
        <w:t>采购人</w:t>
      </w:r>
      <w:r>
        <w:rPr>
          <w:rFonts w:hint="eastAsia"/>
          <w:color w:val="auto"/>
          <w:highlight w:val="none"/>
        </w:rPr>
        <w:t>指定的使用单位将在自</w:t>
      </w:r>
      <w:r>
        <w:rPr>
          <w:rFonts w:hint="eastAsia"/>
          <w:color w:val="auto"/>
          <w:highlight w:val="none"/>
          <w:lang w:eastAsia="zh-CN"/>
        </w:rPr>
        <w:t>成交</w:t>
      </w:r>
      <w:r>
        <w:rPr>
          <w:rFonts w:hint="eastAsia"/>
          <w:color w:val="auto"/>
          <w:highlight w:val="none"/>
        </w:rPr>
        <w:t>通知发出之日起，依据</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的约定，按照</w:t>
      </w:r>
      <w:r>
        <w:rPr>
          <w:rFonts w:hint="eastAsia"/>
          <w:color w:val="auto"/>
          <w:highlight w:val="none"/>
          <w:lang w:eastAsia="zh-CN"/>
        </w:rPr>
        <w:t>采购人</w:t>
      </w:r>
      <w:r>
        <w:rPr>
          <w:rFonts w:hint="eastAsia"/>
          <w:color w:val="auto"/>
          <w:highlight w:val="none"/>
        </w:rPr>
        <w:t>内部流程与</w:t>
      </w:r>
      <w:r>
        <w:rPr>
          <w:rFonts w:hint="eastAsia"/>
          <w:color w:val="auto"/>
          <w:highlight w:val="none"/>
          <w:lang w:eastAsia="zh-CN"/>
        </w:rPr>
        <w:t>成交供应商</w:t>
      </w:r>
      <w:r>
        <w:rPr>
          <w:rFonts w:hint="eastAsia"/>
          <w:color w:val="auto"/>
          <w:highlight w:val="none"/>
        </w:rPr>
        <w:t>签订书面合同。所签订的合同不得对</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作实质性修改。</w:t>
      </w:r>
    </w:p>
    <w:p w14:paraId="5C6F4414">
      <w:pPr>
        <w:bidi w:val="0"/>
        <w:rPr>
          <w:rFonts w:hint="eastAsia"/>
          <w:color w:val="auto"/>
          <w:highlight w:val="none"/>
          <w:lang w:val="en-US" w:eastAsia="zh-CN"/>
        </w:rPr>
      </w:pPr>
      <w:r>
        <w:rPr>
          <w:rFonts w:hint="eastAsia"/>
          <w:color w:val="auto"/>
          <w:highlight w:val="none"/>
          <w:lang w:val="en-US" w:eastAsia="zh-CN"/>
        </w:rPr>
        <w:t>11.2 成交供应商在领取成交通知书后，应根据第一章中“联系方式”内容，及时与项目联系人对接，并按采购人要求在规定时间</w:t>
      </w:r>
      <w:r>
        <w:rPr>
          <w:color w:val="auto"/>
          <w:highlight w:val="none"/>
          <w:lang w:val="en-US" w:eastAsia="zh-CN"/>
        </w:rPr>
        <w:t>完</w:t>
      </w:r>
      <w:r>
        <w:rPr>
          <w:rFonts w:hint="eastAsia"/>
          <w:color w:val="auto"/>
          <w:highlight w:val="none"/>
          <w:lang w:val="en-US" w:eastAsia="zh-CN"/>
        </w:rPr>
        <w:t>成合同的签订。如未在规定时间内签订合同，且经采购人书面通知后仍不按照通知要求签订合同的，可视为成交供应商</w:t>
      </w:r>
      <w:r>
        <w:rPr>
          <w:rFonts w:hint="eastAsia"/>
          <w:color w:val="auto"/>
          <w:highlight w:val="none"/>
        </w:rPr>
        <w:t>无故弃选</w:t>
      </w:r>
      <w:r>
        <w:rPr>
          <w:rFonts w:hint="eastAsia"/>
          <w:color w:val="auto"/>
          <w:highlight w:val="none"/>
          <w:lang w:eastAsia="zh-CN"/>
        </w:rPr>
        <w:t>。</w:t>
      </w:r>
    </w:p>
    <w:p w14:paraId="4C7A3020">
      <w:pPr>
        <w:bidi w:val="0"/>
        <w:rPr>
          <w:color w:val="auto"/>
          <w:highlight w:val="none"/>
        </w:rPr>
      </w:pPr>
      <w:r>
        <w:rPr>
          <w:rFonts w:hint="eastAsia"/>
          <w:color w:val="auto"/>
          <w:highlight w:val="none"/>
          <w:lang w:val="en-US" w:eastAsia="zh-CN"/>
        </w:rPr>
        <w:t xml:space="preserve">11.3 </w:t>
      </w:r>
      <w:r>
        <w:rPr>
          <w:rFonts w:hint="eastAsia"/>
          <w:color w:val="auto"/>
          <w:highlight w:val="none"/>
          <w:lang w:eastAsia="zh-CN"/>
        </w:rPr>
        <w:t>询比文件</w:t>
      </w:r>
      <w:r>
        <w:rPr>
          <w:rFonts w:hint="eastAsia"/>
          <w:color w:val="auto"/>
          <w:highlight w:val="none"/>
        </w:rPr>
        <w:t>、</w:t>
      </w:r>
      <w:r>
        <w:rPr>
          <w:rFonts w:hint="eastAsia"/>
          <w:color w:val="auto"/>
          <w:highlight w:val="none"/>
          <w:lang w:eastAsia="zh-CN"/>
        </w:rPr>
        <w:t>成交供应商</w:t>
      </w:r>
      <w:r>
        <w:rPr>
          <w:rFonts w:hint="eastAsia"/>
          <w:color w:val="auto"/>
          <w:highlight w:val="none"/>
        </w:rPr>
        <w:t>的</w:t>
      </w:r>
      <w:r>
        <w:rPr>
          <w:rFonts w:hint="eastAsia"/>
          <w:color w:val="auto"/>
          <w:highlight w:val="none"/>
          <w:lang w:eastAsia="zh-CN"/>
        </w:rPr>
        <w:t>响应文件</w:t>
      </w:r>
      <w:r>
        <w:rPr>
          <w:rFonts w:hint="eastAsia"/>
          <w:color w:val="auto"/>
          <w:highlight w:val="none"/>
        </w:rPr>
        <w:t>及澄清文件等，均为签订合同的依据。</w:t>
      </w:r>
    </w:p>
    <w:p w14:paraId="5DE3477C">
      <w:pPr>
        <w:bidi w:val="0"/>
        <w:rPr>
          <w:color w:val="auto"/>
          <w:highlight w:val="none"/>
        </w:rPr>
      </w:pPr>
      <w:r>
        <w:rPr>
          <w:rFonts w:hint="eastAsia"/>
          <w:color w:val="auto"/>
          <w:highlight w:val="none"/>
          <w:lang w:val="en-US" w:eastAsia="zh-CN"/>
        </w:rPr>
        <w:t xml:space="preserve">11.4 </w:t>
      </w:r>
      <w:r>
        <w:rPr>
          <w:rFonts w:hint="eastAsia"/>
          <w:color w:val="auto"/>
          <w:highlight w:val="none"/>
        </w:rPr>
        <w:t>合同生效条款由供需双方约定，法律、行政法规规定应当办理批准、登记等手续后生效的合同，依照其规定。</w:t>
      </w:r>
    </w:p>
    <w:p w14:paraId="46A96015">
      <w:pPr>
        <w:bidi w:val="0"/>
        <w:rPr>
          <w:rFonts w:hint="eastAsia"/>
          <w:color w:val="auto"/>
          <w:highlight w:val="none"/>
          <w:lang w:val="en-US" w:eastAsia="zh-CN"/>
        </w:rPr>
      </w:pPr>
      <w:r>
        <w:rPr>
          <w:rFonts w:hint="eastAsia"/>
          <w:color w:val="auto"/>
          <w:highlight w:val="none"/>
          <w:lang w:val="en-US" w:eastAsia="zh-CN"/>
        </w:rPr>
        <w:t>11.5 若成交供应商无法按要求履约或成交单位提供的产品测试不合格或与响应文件中的产品不一致，采购人可以废除成交供应商资格，并可选择</w:t>
      </w:r>
      <w:r>
        <w:rPr>
          <w:rFonts w:hint="eastAsia"/>
          <w:color w:val="auto"/>
          <w:highlight w:val="none"/>
        </w:rPr>
        <w:t>按照</w:t>
      </w:r>
      <w:r>
        <w:rPr>
          <w:rFonts w:hint="eastAsia"/>
          <w:color w:val="auto"/>
          <w:highlight w:val="none"/>
          <w:lang w:val="en-US" w:eastAsia="zh-CN"/>
        </w:rPr>
        <w:t>排名顺序</w:t>
      </w:r>
      <w:r>
        <w:rPr>
          <w:rFonts w:hint="eastAsia"/>
          <w:color w:val="auto"/>
          <w:highlight w:val="none"/>
          <w:lang w:eastAsia="zh-CN"/>
        </w:rPr>
        <w:t>，</w:t>
      </w:r>
      <w:r>
        <w:rPr>
          <w:rFonts w:hint="eastAsia"/>
          <w:color w:val="auto"/>
          <w:highlight w:val="none"/>
          <w:lang w:val="en-US" w:eastAsia="zh-CN"/>
        </w:rPr>
        <w:t>确定下一排名成为成交供应商并</w:t>
      </w:r>
      <w:r>
        <w:rPr>
          <w:rFonts w:hint="eastAsia"/>
          <w:color w:val="auto"/>
          <w:highlight w:val="none"/>
        </w:rPr>
        <w:t>签订合同</w:t>
      </w:r>
      <w:r>
        <w:rPr>
          <w:rFonts w:hint="eastAsia"/>
          <w:color w:val="auto"/>
          <w:highlight w:val="none"/>
          <w:lang w:val="en-US" w:eastAsia="zh-CN"/>
        </w:rPr>
        <w:t>。</w:t>
      </w:r>
    </w:p>
    <w:p w14:paraId="2166B4C0">
      <w:pPr>
        <w:bidi w:val="0"/>
        <w:rPr>
          <w:rFonts w:hint="eastAsia"/>
          <w:color w:val="auto"/>
          <w:highlight w:val="none"/>
          <w:lang w:val="en-US" w:eastAsia="zh-CN"/>
        </w:rPr>
      </w:pPr>
      <w:r>
        <w:rPr>
          <w:rFonts w:hint="eastAsia"/>
          <w:color w:val="auto"/>
          <w:highlight w:val="none"/>
          <w:lang w:val="en-US" w:eastAsia="zh-CN"/>
        </w:rPr>
        <w:t>11.6 该项目不允许任何形式的转包。</w:t>
      </w:r>
    </w:p>
    <w:p w14:paraId="66E57182">
      <w:pPr>
        <w:pStyle w:val="4"/>
        <w:bidi w:val="0"/>
        <w:rPr>
          <w:color w:val="auto"/>
          <w:highlight w:val="none"/>
        </w:rPr>
      </w:pPr>
      <w:r>
        <w:rPr>
          <w:rFonts w:hint="eastAsia"/>
          <w:color w:val="auto"/>
          <w:highlight w:val="none"/>
          <w:lang w:val="en-US" w:eastAsia="zh-CN"/>
        </w:rPr>
        <w:t xml:space="preserve">12. </w:t>
      </w:r>
      <w:r>
        <w:rPr>
          <w:rFonts w:hint="eastAsia"/>
          <w:color w:val="auto"/>
          <w:highlight w:val="none"/>
        </w:rPr>
        <w:t>纪律与要求</w:t>
      </w:r>
    </w:p>
    <w:p w14:paraId="08E62898">
      <w:pPr>
        <w:bidi w:val="0"/>
        <w:rPr>
          <w:color w:val="auto"/>
          <w:highlight w:val="none"/>
        </w:rPr>
      </w:pPr>
      <w:r>
        <w:rPr>
          <w:rFonts w:hint="eastAsia"/>
          <w:color w:val="auto"/>
          <w:highlight w:val="none"/>
          <w:lang w:eastAsia="zh-CN"/>
        </w:rPr>
        <w:t>响应人</w:t>
      </w:r>
      <w:r>
        <w:rPr>
          <w:rFonts w:hint="eastAsia"/>
          <w:color w:val="auto"/>
          <w:highlight w:val="none"/>
        </w:rPr>
        <w:t>不得相互串通</w:t>
      </w:r>
      <w:r>
        <w:rPr>
          <w:rFonts w:hint="eastAsia"/>
          <w:color w:val="auto"/>
          <w:highlight w:val="none"/>
          <w:lang w:val="en-US" w:eastAsia="zh-CN"/>
        </w:rPr>
        <w:t>响应</w:t>
      </w:r>
      <w:r>
        <w:rPr>
          <w:rFonts w:hint="eastAsia"/>
          <w:color w:val="auto"/>
          <w:highlight w:val="none"/>
        </w:rPr>
        <w:t>或者与</w:t>
      </w:r>
      <w:r>
        <w:rPr>
          <w:rFonts w:hint="eastAsia"/>
          <w:color w:val="auto"/>
          <w:highlight w:val="none"/>
          <w:lang w:eastAsia="zh-CN"/>
        </w:rPr>
        <w:t>采购人</w:t>
      </w:r>
      <w:r>
        <w:rPr>
          <w:rFonts w:hint="eastAsia"/>
          <w:color w:val="auto"/>
          <w:highlight w:val="none"/>
        </w:rPr>
        <w:t>串通</w:t>
      </w:r>
      <w:r>
        <w:rPr>
          <w:rFonts w:hint="eastAsia"/>
          <w:color w:val="auto"/>
          <w:highlight w:val="none"/>
          <w:lang w:val="en-US" w:eastAsia="zh-CN"/>
        </w:rPr>
        <w:t>响应</w:t>
      </w:r>
      <w:r>
        <w:rPr>
          <w:rFonts w:hint="eastAsia"/>
          <w:color w:val="auto"/>
          <w:highlight w:val="none"/>
        </w:rPr>
        <w:t>，不得向</w:t>
      </w:r>
      <w:r>
        <w:rPr>
          <w:rFonts w:hint="eastAsia"/>
          <w:color w:val="auto"/>
          <w:highlight w:val="none"/>
          <w:lang w:eastAsia="zh-CN"/>
        </w:rPr>
        <w:t>采购人</w:t>
      </w:r>
      <w:r>
        <w:rPr>
          <w:rFonts w:hint="eastAsia"/>
          <w:color w:val="auto"/>
          <w:highlight w:val="none"/>
        </w:rPr>
        <w:t>行贿谋取</w:t>
      </w:r>
      <w:r>
        <w:rPr>
          <w:rFonts w:hint="eastAsia"/>
          <w:color w:val="auto"/>
          <w:highlight w:val="none"/>
          <w:lang w:eastAsia="zh-CN"/>
        </w:rPr>
        <w:t>成交</w:t>
      </w:r>
      <w:r>
        <w:rPr>
          <w:rFonts w:hint="eastAsia"/>
          <w:color w:val="auto"/>
          <w:highlight w:val="none"/>
        </w:rPr>
        <w:t>，不得以他人名义</w:t>
      </w:r>
      <w:r>
        <w:rPr>
          <w:rFonts w:hint="eastAsia"/>
          <w:color w:val="auto"/>
          <w:highlight w:val="none"/>
          <w:lang w:val="en-US" w:eastAsia="zh-CN"/>
        </w:rPr>
        <w:t>响应</w:t>
      </w:r>
      <w:r>
        <w:rPr>
          <w:rFonts w:hint="eastAsia"/>
          <w:color w:val="auto"/>
          <w:highlight w:val="none"/>
        </w:rPr>
        <w:t>或者以其他方式弄虚作假骗取</w:t>
      </w:r>
      <w:r>
        <w:rPr>
          <w:rFonts w:hint="eastAsia"/>
          <w:color w:val="auto"/>
          <w:highlight w:val="none"/>
          <w:lang w:eastAsia="zh-CN"/>
        </w:rPr>
        <w:t>成交</w:t>
      </w:r>
      <w:r>
        <w:rPr>
          <w:rFonts w:hint="eastAsia"/>
          <w:color w:val="auto"/>
          <w:highlight w:val="none"/>
        </w:rPr>
        <w:t>；</w:t>
      </w:r>
      <w:r>
        <w:rPr>
          <w:rFonts w:hint="eastAsia"/>
          <w:color w:val="auto"/>
          <w:highlight w:val="none"/>
          <w:lang w:eastAsia="zh-CN"/>
        </w:rPr>
        <w:t>响应人</w:t>
      </w:r>
      <w:r>
        <w:rPr>
          <w:rFonts w:hint="eastAsia"/>
          <w:color w:val="auto"/>
          <w:highlight w:val="none"/>
        </w:rPr>
        <w:t>不得以任何方式干扰、影响</w:t>
      </w:r>
      <w:r>
        <w:rPr>
          <w:rFonts w:hint="eastAsia"/>
          <w:color w:val="auto"/>
          <w:highlight w:val="none"/>
          <w:lang w:eastAsia="zh-CN"/>
        </w:rPr>
        <w:t>评审</w:t>
      </w:r>
      <w:r>
        <w:rPr>
          <w:rFonts w:hint="eastAsia"/>
          <w:color w:val="auto"/>
          <w:highlight w:val="none"/>
        </w:rPr>
        <w:t>工作。</w:t>
      </w:r>
    </w:p>
    <w:p w14:paraId="3AC786E5">
      <w:pPr>
        <w:bidi w:val="0"/>
        <w:rPr>
          <w:color w:val="auto"/>
          <w:highlight w:val="none"/>
        </w:rPr>
      </w:pPr>
      <w:r>
        <w:rPr>
          <w:rFonts w:hint="eastAsia"/>
          <w:color w:val="auto"/>
          <w:highlight w:val="none"/>
          <w:lang w:val="en-US" w:eastAsia="zh-CN"/>
        </w:rPr>
        <w:t xml:space="preserve">12.1 </w:t>
      </w:r>
      <w:r>
        <w:rPr>
          <w:rFonts w:hint="eastAsia"/>
          <w:color w:val="auto"/>
          <w:highlight w:val="none"/>
        </w:rPr>
        <w:t>有下列情形之一的，属于</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4386761A">
      <w:pPr>
        <w:tabs>
          <w:tab w:val="left" w:pos="464"/>
        </w:tabs>
        <w:bidi w:val="0"/>
        <w:rPr>
          <w:color w:val="auto"/>
          <w:highlight w:val="none"/>
        </w:rPr>
      </w:pPr>
      <w:r>
        <w:rPr>
          <w:rFonts w:hint="eastAsia"/>
          <w:color w:val="auto"/>
          <w:highlight w:val="none"/>
          <w:lang w:val="en-US" w:eastAsia="zh-CN"/>
        </w:rPr>
        <w:t xml:space="preserve">12.1.1 </w:t>
      </w:r>
      <w:r>
        <w:rPr>
          <w:rFonts w:hint="eastAsia"/>
          <w:color w:val="auto"/>
          <w:highlight w:val="none"/>
          <w:lang w:eastAsia="zh-CN"/>
        </w:rPr>
        <w:t>响应人</w:t>
      </w:r>
      <w:r>
        <w:rPr>
          <w:rFonts w:hint="eastAsia"/>
          <w:color w:val="auto"/>
          <w:highlight w:val="none"/>
        </w:rPr>
        <w:t>之间协商</w:t>
      </w:r>
      <w:r>
        <w:rPr>
          <w:rFonts w:hint="eastAsia"/>
          <w:color w:val="auto"/>
          <w:highlight w:val="none"/>
          <w:lang w:eastAsia="zh-CN"/>
        </w:rPr>
        <w:t>响应报价</w:t>
      </w:r>
      <w:r>
        <w:rPr>
          <w:rFonts w:hint="eastAsia"/>
          <w:color w:val="auto"/>
          <w:highlight w:val="none"/>
        </w:rPr>
        <w:t>等</w:t>
      </w:r>
      <w:r>
        <w:rPr>
          <w:rFonts w:hint="eastAsia"/>
          <w:color w:val="auto"/>
          <w:highlight w:val="none"/>
          <w:lang w:eastAsia="zh-CN"/>
        </w:rPr>
        <w:t>响应文件</w:t>
      </w:r>
      <w:r>
        <w:rPr>
          <w:rFonts w:hint="eastAsia"/>
          <w:color w:val="auto"/>
          <w:highlight w:val="none"/>
        </w:rPr>
        <w:t>的实质性内容；</w:t>
      </w:r>
    </w:p>
    <w:p w14:paraId="2C4A3840">
      <w:pPr>
        <w:bidi w:val="0"/>
        <w:rPr>
          <w:color w:val="auto"/>
          <w:highlight w:val="none"/>
        </w:rPr>
      </w:pPr>
      <w:r>
        <w:rPr>
          <w:rFonts w:hint="eastAsia"/>
          <w:color w:val="auto"/>
          <w:highlight w:val="none"/>
          <w:lang w:val="en-US" w:eastAsia="zh-CN"/>
        </w:rPr>
        <w:t xml:space="preserve">12.1.2 </w:t>
      </w:r>
      <w:r>
        <w:rPr>
          <w:rFonts w:hint="eastAsia"/>
          <w:color w:val="auto"/>
          <w:highlight w:val="none"/>
          <w:lang w:eastAsia="zh-CN"/>
        </w:rPr>
        <w:t>响应人</w:t>
      </w:r>
      <w:r>
        <w:rPr>
          <w:rFonts w:hint="eastAsia"/>
          <w:color w:val="auto"/>
          <w:highlight w:val="none"/>
        </w:rPr>
        <w:t>之间约定</w:t>
      </w:r>
      <w:r>
        <w:rPr>
          <w:rFonts w:hint="eastAsia"/>
          <w:color w:val="auto"/>
          <w:highlight w:val="none"/>
          <w:lang w:eastAsia="zh-CN"/>
        </w:rPr>
        <w:t>成交供应商</w:t>
      </w:r>
      <w:r>
        <w:rPr>
          <w:rFonts w:hint="eastAsia"/>
          <w:color w:val="auto"/>
          <w:highlight w:val="none"/>
        </w:rPr>
        <w:t>；</w:t>
      </w:r>
    </w:p>
    <w:p w14:paraId="6300D349">
      <w:pPr>
        <w:bidi w:val="0"/>
        <w:rPr>
          <w:color w:val="auto"/>
          <w:highlight w:val="none"/>
        </w:rPr>
      </w:pPr>
      <w:r>
        <w:rPr>
          <w:rFonts w:hint="eastAsia"/>
          <w:color w:val="auto"/>
          <w:highlight w:val="none"/>
          <w:lang w:val="en-US" w:eastAsia="zh-CN"/>
        </w:rPr>
        <w:t xml:space="preserve">12.1.3 </w:t>
      </w:r>
      <w:r>
        <w:rPr>
          <w:rFonts w:hint="eastAsia"/>
          <w:color w:val="auto"/>
          <w:highlight w:val="none"/>
          <w:lang w:eastAsia="zh-CN"/>
        </w:rPr>
        <w:t>响应人</w:t>
      </w:r>
      <w:r>
        <w:rPr>
          <w:rFonts w:hint="eastAsia"/>
          <w:color w:val="auto"/>
          <w:highlight w:val="none"/>
        </w:rPr>
        <w:t>之间约定部分</w:t>
      </w:r>
      <w:r>
        <w:rPr>
          <w:rFonts w:hint="eastAsia"/>
          <w:color w:val="auto"/>
          <w:highlight w:val="none"/>
          <w:lang w:eastAsia="zh-CN"/>
        </w:rPr>
        <w:t>响应人</w:t>
      </w:r>
      <w:r>
        <w:rPr>
          <w:rFonts w:hint="eastAsia"/>
          <w:color w:val="auto"/>
          <w:highlight w:val="none"/>
        </w:rPr>
        <w:t>放弃</w:t>
      </w:r>
      <w:r>
        <w:rPr>
          <w:rFonts w:hint="eastAsia"/>
          <w:color w:val="auto"/>
          <w:highlight w:val="none"/>
          <w:lang w:val="en-US" w:eastAsia="zh-CN"/>
        </w:rPr>
        <w:t>响应</w:t>
      </w:r>
      <w:r>
        <w:rPr>
          <w:rFonts w:hint="eastAsia"/>
          <w:color w:val="auto"/>
          <w:highlight w:val="none"/>
        </w:rPr>
        <w:t>或者</w:t>
      </w:r>
      <w:r>
        <w:rPr>
          <w:rFonts w:hint="eastAsia"/>
          <w:color w:val="auto"/>
          <w:highlight w:val="none"/>
          <w:lang w:eastAsia="zh-CN"/>
        </w:rPr>
        <w:t>成交</w:t>
      </w:r>
      <w:r>
        <w:rPr>
          <w:rFonts w:hint="eastAsia"/>
          <w:color w:val="auto"/>
          <w:highlight w:val="none"/>
        </w:rPr>
        <w:t>；</w:t>
      </w:r>
    </w:p>
    <w:p w14:paraId="269BC589">
      <w:pPr>
        <w:bidi w:val="0"/>
        <w:rPr>
          <w:color w:val="auto"/>
          <w:highlight w:val="none"/>
        </w:rPr>
      </w:pPr>
      <w:r>
        <w:rPr>
          <w:rFonts w:hint="eastAsia"/>
          <w:color w:val="auto"/>
          <w:highlight w:val="none"/>
          <w:lang w:val="en-US" w:eastAsia="zh-CN"/>
        </w:rPr>
        <w:t xml:space="preserve">12.1.4 </w:t>
      </w:r>
      <w:r>
        <w:rPr>
          <w:rFonts w:hint="eastAsia"/>
          <w:color w:val="auto"/>
          <w:highlight w:val="none"/>
        </w:rPr>
        <w:t>属于同一集团、协会、商会等组织成员的</w:t>
      </w:r>
      <w:r>
        <w:rPr>
          <w:rFonts w:hint="eastAsia"/>
          <w:color w:val="auto"/>
          <w:highlight w:val="none"/>
          <w:lang w:eastAsia="zh-CN"/>
        </w:rPr>
        <w:t>响应人</w:t>
      </w:r>
      <w:r>
        <w:rPr>
          <w:rFonts w:hint="eastAsia"/>
          <w:color w:val="auto"/>
          <w:highlight w:val="none"/>
        </w:rPr>
        <w:t>按照该组织要求协同</w:t>
      </w:r>
      <w:r>
        <w:rPr>
          <w:rFonts w:hint="eastAsia"/>
          <w:color w:val="auto"/>
          <w:highlight w:val="none"/>
          <w:lang w:val="en-US" w:eastAsia="zh-CN"/>
        </w:rPr>
        <w:t>响应</w:t>
      </w:r>
      <w:r>
        <w:rPr>
          <w:rFonts w:hint="eastAsia"/>
          <w:color w:val="auto"/>
          <w:highlight w:val="none"/>
        </w:rPr>
        <w:t>；</w:t>
      </w:r>
    </w:p>
    <w:p w14:paraId="0F003750">
      <w:pPr>
        <w:bidi w:val="0"/>
        <w:rPr>
          <w:color w:val="auto"/>
          <w:highlight w:val="none"/>
        </w:rPr>
      </w:pPr>
      <w:r>
        <w:rPr>
          <w:rFonts w:hint="eastAsia"/>
          <w:color w:val="auto"/>
          <w:highlight w:val="none"/>
          <w:lang w:val="en-US" w:eastAsia="zh-CN"/>
        </w:rPr>
        <w:t xml:space="preserve">12.1.5 </w:t>
      </w:r>
      <w:r>
        <w:rPr>
          <w:rFonts w:hint="eastAsia"/>
          <w:color w:val="auto"/>
          <w:highlight w:val="none"/>
          <w:lang w:eastAsia="zh-CN"/>
        </w:rPr>
        <w:t>响应人</w:t>
      </w:r>
      <w:r>
        <w:rPr>
          <w:rFonts w:hint="eastAsia"/>
          <w:color w:val="auto"/>
          <w:highlight w:val="none"/>
        </w:rPr>
        <w:t>之间为谋取</w:t>
      </w:r>
      <w:r>
        <w:rPr>
          <w:rFonts w:hint="eastAsia"/>
          <w:color w:val="auto"/>
          <w:highlight w:val="none"/>
          <w:lang w:eastAsia="zh-CN"/>
        </w:rPr>
        <w:t>成交</w:t>
      </w:r>
      <w:r>
        <w:rPr>
          <w:rFonts w:hint="eastAsia"/>
          <w:color w:val="auto"/>
          <w:highlight w:val="none"/>
        </w:rPr>
        <w:t>或者排斥特定</w:t>
      </w:r>
      <w:r>
        <w:rPr>
          <w:rFonts w:hint="eastAsia"/>
          <w:color w:val="auto"/>
          <w:highlight w:val="none"/>
          <w:lang w:eastAsia="zh-CN"/>
        </w:rPr>
        <w:t>响应人</w:t>
      </w:r>
      <w:r>
        <w:rPr>
          <w:rFonts w:hint="eastAsia"/>
          <w:color w:val="auto"/>
          <w:highlight w:val="none"/>
        </w:rPr>
        <w:t>而采取的其他联合行动。</w:t>
      </w:r>
    </w:p>
    <w:p w14:paraId="4C308451">
      <w:pPr>
        <w:bidi w:val="0"/>
        <w:rPr>
          <w:color w:val="auto"/>
          <w:highlight w:val="none"/>
        </w:rPr>
      </w:pPr>
      <w:r>
        <w:rPr>
          <w:rFonts w:hint="eastAsia"/>
          <w:color w:val="auto"/>
          <w:highlight w:val="none"/>
          <w:lang w:val="en-US" w:eastAsia="zh-CN"/>
        </w:rPr>
        <w:t xml:space="preserve">12.2 </w:t>
      </w:r>
      <w:r>
        <w:rPr>
          <w:rFonts w:hint="eastAsia"/>
          <w:color w:val="auto"/>
          <w:highlight w:val="none"/>
        </w:rPr>
        <w:t>有下列情形之一的，视为</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55AE855">
      <w:pPr>
        <w:bidi w:val="0"/>
        <w:rPr>
          <w:color w:val="auto"/>
          <w:highlight w:val="none"/>
        </w:rPr>
      </w:pPr>
      <w:r>
        <w:rPr>
          <w:rFonts w:hint="eastAsia"/>
          <w:color w:val="auto"/>
          <w:highlight w:val="none"/>
          <w:lang w:val="en-US" w:eastAsia="zh-CN"/>
        </w:rPr>
        <w:t xml:space="preserve">12.2.1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由同一单位或者个人编制；</w:t>
      </w:r>
    </w:p>
    <w:p w14:paraId="0A57DDD5">
      <w:pPr>
        <w:bidi w:val="0"/>
        <w:rPr>
          <w:color w:val="auto"/>
          <w:highlight w:val="none"/>
        </w:rPr>
      </w:pPr>
      <w:r>
        <w:rPr>
          <w:rFonts w:hint="eastAsia"/>
          <w:color w:val="auto"/>
          <w:highlight w:val="none"/>
          <w:lang w:val="en-US" w:eastAsia="zh-CN"/>
        </w:rPr>
        <w:t xml:space="preserve">12.2.2 </w:t>
      </w:r>
      <w:r>
        <w:rPr>
          <w:rFonts w:hint="eastAsia"/>
          <w:color w:val="auto"/>
          <w:highlight w:val="none"/>
        </w:rPr>
        <w:t>不同</w:t>
      </w:r>
      <w:r>
        <w:rPr>
          <w:rFonts w:hint="eastAsia"/>
          <w:color w:val="auto"/>
          <w:highlight w:val="none"/>
          <w:lang w:eastAsia="zh-CN"/>
        </w:rPr>
        <w:t>响应人</w:t>
      </w:r>
      <w:r>
        <w:rPr>
          <w:rFonts w:hint="eastAsia"/>
          <w:color w:val="auto"/>
          <w:highlight w:val="none"/>
        </w:rPr>
        <w:t>委托同一单位或者个人办理</w:t>
      </w:r>
      <w:r>
        <w:rPr>
          <w:rFonts w:hint="eastAsia"/>
          <w:color w:val="auto"/>
          <w:highlight w:val="none"/>
          <w:lang w:val="en-US" w:eastAsia="zh-CN"/>
        </w:rPr>
        <w:t>响应</w:t>
      </w:r>
      <w:r>
        <w:rPr>
          <w:rFonts w:hint="eastAsia"/>
          <w:color w:val="auto"/>
          <w:highlight w:val="none"/>
        </w:rPr>
        <w:t>事宜；</w:t>
      </w:r>
    </w:p>
    <w:p w14:paraId="3FD7816C">
      <w:pPr>
        <w:bidi w:val="0"/>
        <w:rPr>
          <w:color w:val="auto"/>
          <w:highlight w:val="none"/>
        </w:rPr>
      </w:pPr>
      <w:r>
        <w:rPr>
          <w:rFonts w:hint="eastAsia"/>
          <w:color w:val="auto"/>
          <w:highlight w:val="none"/>
          <w:lang w:val="en-US" w:eastAsia="zh-CN"/>
        </w:rPr>
        <w:t xml:space="preserve">12.2.3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载明的项目管理成员为同一人；</w:t>
      </w:r>
    </w:p>
    <w:p w14:paraId="359B5B73">
      <w:pPr>
        <w:bidi w:val="0"/>
        <w:rPr>
          <w:color w:val="auto"/>
          <w:highlight w:val="none"/>
        </w:rPr>
      </w:pPr>
      <w:r>
        <w:rPr>
          <w:rFonts w:hint="eastAsia"/>
          <w:color w:val="auto"/>
          <w:highlight w:val="none"/>
          <w:lang w:val="en-US" w:eastAsia="zh-CN"/>
        </w:rPr>
        <w:t xml:space="preserve">12.2.4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相互混装；</w:t>
      </w:r>
    </w:p>
    <w:p w14:paraId="0AF7A0CB">
      <w:pPr>
        <w:bidi w:val="0"/>
        <w:rPr>
          <w:color w:val="auto"/>
          <w:highlight w:val="none"/>
        </w:rPr>
      </w:pPr>
      <w:r>
        <w:rPr>
          <w:rFonts w:hint="eastAsia"/>
          <w:color w:val="auto"/>
          <w:highlight w:val="none"/>
          <w:lang w:val="en-US" w:eastAsia="zh-CN"/>
        </w:rPr>
        <w:t xml:space="preserve">12.2.5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从同一单位或者个人的账户转出。</w:t>
      </w:r>
    </w:p>
    <w:p w14:paraId="2017AFF9">
      <w:pPr>
        <w:bidi w:val="0"/>
        <w:rPr>
          <w:color w:val="auto"/>
          <w:highlight w:val="none"/>
        </w:rPr>
      </w:pPr>
      <w:r>
        <w:rPr>
          <w:rFonts w:hint="eastAsia"/>
          <w:color w:val="auto"/>
          <w:highlight w:val="none"/>
          <w:lang w:val="en-US" w:eastAsia="zh-CN"/>
        </w:rPr>
        <w:t xml:space="preserve">12.3 </w:t>
      </w:r>
      <w:r>
        <w:rPr>
          <w:rFonts w:hint="eastAsia"/>
          <w:color w:val="auto"/>
          <w:highlight w:val="none"/>
        </w:rPr>
        <w:t>使用通过受让或者租借等方式获取的资格、资质证书</w:t>
      </w:r>
      <w:r>
        <w:rPr>
          <w:rFonts w:hint="eastAsia"/>
          <w:color w:val="auto"/>
          <w:highlight w:val="none"/>
          <w:lang w:val="en-US" w:eastAsia="zh-CN"/>
        </w:rPr>
        <w:t>响应</w:t>
      </w:r>
      <w:r>
        <w:rPr>
          <w:rFonts w:hint="eastAsia"/>
          <w:color w:val="auto"/>
          <w:highlight w:val="none"/>
        </w:rPr>
        <w:t>的，属于以他人名义</w:t>
      </w:r>
      <w:r>
        <w:rPr>
          <w:rFonts w:hint="eastAsia"/>
          <w:color w:val="auto"/>
          <w:highlight w:val="none"/>
          <w:lang w:val="en-US" w:eastAsia="zh-CN"/>
        </w:rPr>
        <w:t>响应</w:t>
      </w:r>
      <w:r>
        <w:rPr>
          <w:rFonts w:hint="eastAsia"/>
          <w:color w:val="auto"/>
          <w:highlight w:val="none"/>
        </w:rPr>
        <w:t>。</w:t>
      </w:r>
    </w:p>
    <w:p w14:paraId="427296D2">
      <w:pPr>
        <w:bidi w:val="0"/>
        <w:rPr>
          <w:color w:val="auto"/>
          <w:highlight w:val="none"/>
        </w:rPr>
      </w:pPr>
      <w:r>
        <w:rPr>
          <w:rFonts w:hint="eastAsia"/>
          <w:color w:val="auto"/>
          <w:highlight w:val="none"/>
          <w:lang w:val="en-US" w:eastAsia="zh-CN"/>
        </w:rPr>
        <w:t xml:space="preserve">12.4 </w:t>
      </w:r>
      <w:r>
        <w:rPr>
          <w:rFonts w:hint="eastAsia"/>
          <w:color w:val="auto"/>
          <w:highlight w:val="none"/>
          <w:lang w:eastAsia="zh-CN"/>
        </w:rPr>
        <w:t>响应人</w:t>
      </w:r>
      <w:r>
        <w:rPr>
          <w:rFonts w:hint="eastAsia"/>
          <w:color w:val="auto"/>
          <w:highlight w:val="none"/>
        </w:rPr>
        <w:t>有下列情形之一的，属于弄虚作假的行为：</w:t>
      </w:r>
    </w:p>
    <w:p w14:paraId="14F4C1EC">
      <w:pPr>
        <w:bidi w:val="0"/>
        <w:rPr>
          <w:color w:val="auto"/>
          <w:highlight w:val="none"/>
        </w:rPr>
      </w:pPr>
      <w:r>
        <w:rPr>
          <w:rFonts w:hint="eastAsia"/>
          <w:color w:val="auto"/>
          <w:highlight w:val="none"/>
          <w:lang w:val="en-US" w:eastAsia="zh-CN"/>
        </w:rPr>
        <w:t xml:space="preserve">12.4.1 </w:t>
      </w:r>
      <w:r>
        <w:rPr>
          <w:rFonts w:hint="eastAsia"/>
          <w:color w:val="auto"/>
          <w:highlight w:val="none"/>
        </w:rPr>
        <w:t>使用伪造、变造的许可证件；</w:t>
      </w:r>
    </w:p>
    <w:p w14:paraId="3B75F2A2">
      <w:pPr>
        <w:bidi w:val="0"/>
        <w:rPr>
          <w:color w:val="auto"/>
          <w:highlight w:val="none"/>
        </w:rPr>
      </w:pPr>
      <w:r>
        <w:rPr>
          <w:rFonts w:hint="eastAsia"/>
          <w:color w:val="auto"/>
          <w:highlight w:val="none"/>
          <w:lang w:val="en-US" w:eastAsia="zh-CN"/>
        </w:rPr>
        <w:t xml:space="preserve">12.4.2 </w:t>
      </w:r>
      <w:r>
        <w:rPr>
          <w:rFonts w:hint="eastAsia"/>
          <w:color w:val="auto"/>
          <w:highlight w:val="none"/>
        </w:rPr>
        <w:t>提供虚假的财务状况或者虚假业绩；</w:t>
      </w:r>
    </w:p>
    <w:p w14:paraId="023ABD0B">
      <w:pPr>
        <w:bidi w:val="0"/>
        <w:rPr>
          <w:color w:val="auto"/>
          <w:highlight w:val="none"/>
        </w:rPr>
      </w:pPr>
      <w:r>
        <w:rPr>
          <w:rFonts w:hint="eastAsia"/>
          <w:color w:val="auto"/>
          <w:highlight w:val="none"/>
          <w:lang w:val="en-US" w:eastAsia="zh-CN"/>
        </w:rPr>
        <w:t xml:space="preserve">12.4.3 </w:t>
      </w:r>
      <w:r>
        <w:rPr>
          <w:rFonts w:hint="eastAsia"/>
          <w:color w:val="auto"/>
          <w:highlight w:val="none"/>
        </w:rPr>
        <w:t>提供虚假的项目负责人或者主要技术人员简历、劳动关系证明；</w:t>
      </w:r>
    </w:p>
    <w:p w14:paraId="5F6E36CE">
      <w:pPr>
        <w:bidi w:val="0"/>
        <w:rPr>
          <w:color w:val="auto"/>
          <w:highlight w:val="none"/>
        </w:rPr>
      </w:pPr>
      <w:r>
        <w:rPr>
          <w:rFonts w:hint="eastAsia"/>
          <w:color w:val="auto"/>
          <w:highlight w:val="none"/>
          <w:lang w:val="en-US" w:eastAsia="zh-CN"/>
        </w:rPr>
        <w:t xml:space="preserve">12.4.4 </w:t>
      </w:r>
      <w:r>
        <w:rPr>
          <w:rFonts w:hint="eastAsia"/>
          <w:color w:val="auto"/>
          <w:highlight w:val="none"/>
        </w:rPr>
        <w:t>提供虚假的信用状况；</w:t>
      </w:r>
    </w:p>
    <w:p w14:paraId="06656883">
      <w:pPr>
        <w:bidi w:val="0"/>
        <w:rPr>
          <w:color w:val="auto"/>
          <w:highlight w:val="none"/>
        </w:rPr>
      </w:pPr>
      <w:r>
        <w:rPr>
          <w:rFonts w:hint="eastAsia"/>
          <w:color w:val="auto"/>
          <w:highlight w:val="none"/>
          <w:lang w:val="en-US" w:eastAsia="zh-CN"/>
        </w:rPr>
        <w:t xml:space="preserve">12.4.5 </w:t>
      </w:r>
      <w:r>
        <w:rPr>
          <w:rFonts w:hint="eastAsia"/>
          <w:color w:val="auto"/>
          <w:highlight w:val="none"/>
        </w:rPr>
        <w:t>其它弄虚作假的行为。</w:t>
      </w:r>
    </w:p>
    <w:p w14:paraId="40EBE546">
      <w:pPr>
        <w:bidi w:val="0"/>
        <w:rPr>
          <w:color w:val="auto"/>
          <w:highlight w:val="none"/>
        </w:rPr>
      </w:pPr>
      <w:r>
        <w:rPr>
          <w:rFonts w:hint="eastAsia"/>
          <w:color w:val="auto"/>
          <w:highlight w:val="none"/>
        </w:rPr>
        <w:t>针对以上情况，</w:t>
      </w:r>
      <w:r>
        <w:rPr>
          <w:rFonts w:hint="eastAsia"/>
          <w:color w:val="auto"/>
          <w:highlight w:val="none"/>
          <w:lang w:eastAsia="zh-CN"/>
        </w:rPr>
        <w:t>采购人</w:t>
      </w:r>
      <w:r>
        <w:rPr>
          <w:rFonts w:hint="eastAsia"/>
          <w:color w:val="auto"/>
          <w:highlight w:val="none"/>
        </w:rPr>
        <w:t>有权没收</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，并保留进一步追究由此带来损失的权利。</w:t>
      </w:r>
    </w:p>
    <w:p w14:paraId="0B723045">
      <w:pPr>
        <w:pStyle w:val="4"/>
        <w:bidi w:val="0"/>
        <w:rPr>
          <w:color w:val="auto"/>
          <w:highlight w:val="none"/>
        </w:rPr>
      </w:pPr>
      <w:bookmarkStart w:id="46" w:name="_Toc89675169"/>
      <w:r>
        <w:rPr>
          <w:rFonts w:hint="eastAsia"/>
          <w:color w:val="auto"/>
          <w:highlight w:val="none"/>
          <w:lang w:val="en-US" w:eastAsia="zh-CN"/>
        </w:rPr>
        <w:t>13. 异议</w:t>
      </w:r>
      <w:r>
        <w:rPr>
          <w:rFonts w:hint="eastAsia"/>
          <w:color w:val="auto"/>
          <w:highlight w:val="none"/>
        </w:rPr>
        <w:t>、投诉</w:t>
      </w:r>
    </w:p>
    <w:p w14:paraId="74BC25F1">
      <w:pPr>
        <w:bidi w:val="0"/>
        <w:rPr>
          <w:color w:val="auto"/>
          <w:highlight w:val="none"/>
        </w:rPr>
      </w:pPr>
      <w:r>
        <w:rPr>
          <w:rFonts w:hint="eastAsia"/>
          <w:color w:val="auto"/>
          <w:highlight w:val="none"/>
          <w:lang w:val="en-US" w:eastAsia="zh-CN"/>
        </w:rPr>
        <w:t>13.1 澄清修改文件</w:t>
      </w:r>
      <w:r>
        <w:rPr>
          <w:rFonts w:hint="eastAsia"/>
          <w:color w:val="auto"/>
          <w:highlight w:val="none"/>
        </w:rPr>
        <w:t>内容可能影响</w:t>
      </w:r>
      <w:r>
        <w:rPr>
          <w:rFonts w:hint="eastAsia"/>
          <w:color w:val="auto"/>
          <w:highlight w:val="none"/>
          <w:lang w:eastAsia="zh-CN"/>
        </w:rPr>
        <w:t>响应文件</w:t>
      </w:r>
      <w:r>
        <w:rPr>
          <w:rFonts w:hint="eastAsia"/>
          <w:color w:val="auto"/>
          <w:highlight w:val="none"/>
        </w:rPr>
        <w:t>编制的，</w:t>
      </w:r>
      <w:r>
        <w:rPr>
          <w:rFonts w:hint="eastAsia"/>
          <w:color w:val="auto"/>
          <w:highlight w:val="none"/>
          <w:lang w:val="en-US" w:eastAsia="zh-CN"/>
        </w:rPr>
        <w:t>应</w:t>
      </w:r>
      <w:r>
        <w:rPr>
          <w:rFonts w:hint="eastAsia"/>
          <w:color w:val="auto"/>
          <w:highlight w:val="none"/>
        </w:rPr>
        <w:t>相应延后</w:t>
      </w:r>
      <w:r>
        <w:rPr>
          <w:rFonts w:hint="eastAsia"/>
          <w:color w:val="auto"/>
          <w:highlight w:val="none"/>
          <w:lang w:eastAsia="zh-CN"/>
        </w:rPr>
        <w:t>响应截止时间</w:t>
      </w:r>
      <w:r>
        <w:rPr>
          <w:rFonts w:hint="eastAsia"/>
          <w:color w:val="auto"/>
          <w:highlight w:val="none"/>
        </w:rPr>
        <w:t>。</w:t>
      </w:r>
    </w:p>
    <w:p w14:paraId="5BA0A0ED">
      <w:pPr>
        <w:bidi w:val="0"/>
        <w:rPr>
          <w:rFonts w:hint="eastAsia"/>
          <w:color w:val="auto"/>
          <w:highlight w:val="none"/>
        </w:rPr>
      </w:pPr>
      <w:r>
        <w:rPr>
          <w:rFonts w:hint="eastAsia"/>
          <w:color w:val="auto"/>
          <w:highlight w:val="none"/>
          <w:lang w:val="en-US" w:eastAsia="zh-CN"/>
        </w:rPr>
        <w:t xml:space="preserve">13.2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询比文件</w:t>
      </w:r>
      <w:r>
        <w:rPr>
          <w:rFonts w:hint="eastAsia"/>
          <w:color w:val="auto"/>
          <w:highlight w:val="none"/>
        </w:rPr>
        <w:t>和</w:t>
      </w:r>
      <w:r>
        <w:rPr>
          <w:rFonts w:hint="eastAsia"/>
          <w:color w:val="auto"/>
          <w:highlight w:val="none"/>
          <w:lang w:val="en-US" w:eastAsia="zh-CN"/>
        </w:rPr>
        <w:t>澄清修改文件</w:t>
      </w:r>
      <w:r>
        <w:rPr>
          <w:rFonts w:hint="eastAsia"/>
          <w:color w:val="auto"/>
          <w:highlight w:val="none"/>
        </w:rPr>
        <w:t>有</w:t>
      </w:r>
      <w:r>
        <w:rPr>
          <w:rFonts w:hint="eastAsia"/>
          <w:color w:val="auto"/>
          <w:highlight w:val="none"/>
          <w:lang w:val="en-US" w:eastAsia="zh-CN"/>
        </w:rPr>
        <w:t>异议</w:t>
      </w:r>
      <w:r>
        <w:rPr>
          <w:rFonts w:hint="eastAsia"/>
          <w:color w:val="auto"/>
          <w:highlight w:val="none"/>
        </w:rPr>
        <w:t>的，应当在</w:t>
      </w:r>
      <w:r>
        <w:rPr>
          <w:rFonts w:hint="eastAsia"/>
          <w:color w:val="auto"/>
          <w:highlight w:val="none"/>
          <w:lang w:eastAsia="zh-CN"/>
        </w:rPr>
        <w:t>响应截止时间</w:t>
      </w:r>
      <w:r>
        <w:rPr>
          <w:rFonts w:hint="eastAsia"/>
          <w:color w:val="auto"/>
          <w:highlight w:val="none"/>
        </w:rPr>
        <w:t>3日前，以书面形式通知</w:t>
      </w:r>
      <w:r>
        <w:rPr>
          <w:rFonts w:hint="eastAsia"/>
          <w:color w:val="auto"/>
          <w:highlight w:val="none"/>
          <w:lang w:eastAsia="zh-CN"/>
        </w:rPr>
        <w:t>采购人</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异议</w:t>
      </w:r>
      <w:r>
        <w:rPr>
          <w:rFonts w:hint="eastAsia"/>
          <w:color w:val="auto"/>
          <w:highlight w:val="none"/>
        </w:rPr>
        <w:t>进行</w:t>
      </w:r>
      <w:r>
        <w:rPr>
          <w:rFonts w:hint="eastAsia"/>
          <w:color w:val="auto"/>
          <w:highlight w:val="none"/>
          <w:lang w:val="en-US" w:eastAsia="zh-CN"/>
        </w:rPr>
        <w:t>回复时</w:t>
      </w:r>
      <w:r>
        <w:rPr>
          <w:rFonts w:hint="eastAsia"/>
          <w:color w:val="auto"/>
          <w:highlight w:val="none"/>
        </w:rPr>
        <w:t>，</w:t>
      </w:r>
      <w:r>
        <w:rPr>
          <w:rFonts w:hint="eastAsia" w:ascii="Times New Roman" w:hAnsi="Times New Roman" w:eastAsia="宋体"/>
          <w:color w:val="auto"/>
          <w:highlight w:val="none"/>
          <w:lang w:val="en-US" w:eastAsia="zh-CN"/>
        </w:rPr>
        <w:t>将以书面形式</w:t>
      </w:r>
      <w:r>
        <w:rPr>
          <w:rFonts w:hint="eastAsia"/>
          <w:color w:val="auto"/>
          <w:highlight w:val="none"/>
          <w:lang w:val="en-US" w:eastAsia="zh-CN"/>
        </w:rPr>
        <w:t>回复</w:t>
      </w:r>
      <w:r>
        <w:rPr>
          <w:rFonts w:hint="eastAsia"/>
          <w:color w:val="auto"/>
          <w:highlight w:val="none"/>
        </w:rPr>
        <w:t>。</w:t>
      </w:r>
    </w:p>
    <w:p w14:paraId="66F98739">
      <w:pPr>
        <w:bidi w:val="0"/>
        <w:rPr>
          <w:color w:val="auto"/>
          <w:highlight w:val="none"/>
        </w:rPr>
      </w:pPr>
      <w:r>
        <w:rPr>
          <w:rFonts w:hint="eastAsia"/>
          <w:color w:val="auto"/>
          <w:highlight w:val="none"/>
          <w:lang w:val="en-US" w:eastAsia="zh-CN"/>
        </w:rPr>
        <w:t xml:space="preserve">13.3 </w:t>
      </w:r>
      <w:r>
        <w:rPr>
          <w:rFonts w:hint="eastAsia"/>
          <w:color w:val="auto"/>
          <w:highlight w:val="none"/>
          <w:lang w:eastAsia="zh-CN"/>
        </w:rPr>
        <w:t>响应人</w:t>
      </w:r>
      <w:r>
        <w:rPr>
          <w:rFonts w:hint="eastAsia"/>
          <w:color w:val="auto"/>
          <w:highlight w:val="none"/>
        </w:rPr>
        <w:t>对公示的</w:t>
      </w:r>
      <w:r>
        <w:rPr>
          <w:rFonts w:hint="eastAsia"/>
          <w:color w:val="auto"/>
          <w:highlight w:val="none"/>
          <w:lang w:eastAsia="zh-CN"/>
        </w:rPr>
        <w:t>成交</w:t>
      </w:r>
      <w:r>
        <w:rPr>
          <w:rFonts w:hint="eastAsia"/>
          <w:color w:val="auto"/>
          <w:highlight w:val="none"/>
        </w:rPr>
        <w:t>结果有</w:t>
      </w:r>
      <w:r>
        <w:rPr>
          <w:rFonts w:hint="eastAsia"/>
          <w:color w:val="auto"/>
          <w:highlight w:val="none"/>
          <w:lang w:val="en-US" w:eastAsia="zh-CN"/>
        </w:rPr>
        <w:t>异议</w:t>
      </w:r>
      <w:r>
        <w:rPr>
          <w:rFonts w:hint="eastAsia"/>
          <w:color w:val="auto"/>
          <w:highlight w:val="none"/>
        </w:rPr>
        <w:t>，</w:t>
      </w:r>
      <w:r>
        <w:rPr>
          <w:rFonts w:hint="eastAsia"/>
          <w:color w:val="auto"/>
          <w:highlight w:val="none"/>
          <w:lang w:eastAsia="zh-CN"/>
        </w:rPr>
        <w:t>响应人</w:t>
      </w:r>
      <w:r>
        <w:rPr>
          <w:rFonts w:hint="eastAsia"/>
          <w:color w:val="auto"/>
          <w:highlight w:val="none"/>
        </w:rPr>
        <w:t>需在公示期内以书面形式向</w:t>
      </w:r>
      <w:r>
        <w:rPr>
          <w:rFonts w:hint="eastAsia"/>
          <w:color w:val="auto"/>
          <w:highlight w:val="none"/>
          <w:lang w:eastAsia="zh-CN"/>
        </w:rPr>
        <w:t>采购人</w:t>
      </w:r>
      <w:r>
        <w:rPr>
          <w:rFonts w:hint="eastAsia"/>
          <w:color w:val="auto"/>
          <w:highlight w:val="none"/>
        </w:rPr>
        <w:t>提出</w:t>
      </w:r>
      <w:r>
        <w:rPr>
          <w:rFonts w:hint="eastAsia"/>
          <w:color w:val="auto"/>
          <w:highlight w:val="none"/>
          <w:lang w:val="en-US" w:eastAsia="zh-CN"/>
        </w:rPr>
        <w:t>异议</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异议</w:t>
      </w:r>
      <w:r>
        <w:rPr>
          <w:rFonts w:hint="eastAsia"/>
          <w:color w:val="auto"/>
          <w:highlight w:val="none"/>
        </w:rPr>
        <w:t>进行</w:t>
      </w:r>
      <w:r>
        <w:rPr>
          <w:rFonts w:hint="eastAsia"/>
          <w:color w:val="auto"/>
          <w:highlight w:val="none"/>
          <w:lang w:val="en-US" w:eastAsia="zh-CN"/>
        </w:rPr>
        <w:t>回复</w:t>
      </w:r>
      <w:r>
        <w:rPr>
          <w:rFonts w:hint="eastAsia"/>
          <w:color w:val="auto"/>
          <w:highlight w:val="none"/>
        </w:rPr>
        <w:t>时，</w:t>
      </w:r>
      <w:r>
        <w:rPr>
          <w:rFonts w:hint="eastAsia"/>
          <w:color w:val="auto"/>
          <w:highlight w:val="none"/>
          <w:lang w:val="en-US" w:eastAsia="zh-CN"/>
        </w:rPr>
        <w:t>将以书面形式进行回复</w:t>
      </w:r>
      <w:r>
        <w:rPr>
          <w:rFonts w:hint="eastAsia"/>
          <w:color w:val="auto"/>
          <w:highlight w:val="none"/>
        </w:rPr>
        <w:t>。</w:t>
      </w:r>
    </w:p>
    <w:p w14:paraId="0120B323">
      <w:pPr>
        <w:bidi w:val="0"/>
        <w:rPr>
          <w:color w:val="auto"/>
          <w:highlight w:val="none"/>
        </w:rPr>
      </w:pPr>
      <w:r>
        <w:rPr>
          <w:rFonts w:hint="eastAsia"/>
          <w:color w:val="auto"/>
          <w:highlight w:val="none"/>
          <w:lang w:val="en-US" w:eastAsia="zh-CN"/>
        </w:rPr>
        <w:t xml:space="preserve">13.4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采购人</w:t>
      </w:r>
      <w:r>
        <w:rPr>
          <w:rFonts w:hint="eastAsia"/>
          <w:color w:val="auto"/>
          <w:highlight w:val="none"/>
        </w:rPr>
        <w:t>的</w:t>
      </w:r>
      <w:r>
        <w:rPr>
          <w:rFonts w:hint="eastAsia"/>
          <w:color w:val="auto"/>
          <w:highlight w:val="none"/>
          <w:lang w:val="en-US" w:eastAsia="zh-CN"/>
        </w:rPr>
        <w:t>澄清修改文件或回复</w:t>
      </w:r>
      <w:r>
        <w:rPr>
          <w:rFonts w:hint="eastAsia"/>
          <w:color w:val="auto"/>
          <w:highlight w:val="none"/>
        </w:rPr>
        <w:t>不满意或者有</w:t>
      </w:r>
      <w:r>
        <w:rPr>
          <w:rFonts w:hint="eastAsia"/>
          <w:color w:val="auto"/>
          <w:highlight w:val="none"/>
          <w:lang w:val="en-US" w:eastAsia="zh-CN"/>
        </w:rPr>
        <w:t>异议</w:t>
      </w:r>
      <w:r>
        <w:rPr>
          <w:rFonts w:hint="eastAsia"/>
          <w:color w:val="auto"/>
          <w:highlight w:val="none"/>
        </w:rPr>
        <w:t>，可向</w:t>
      </w:r>
      <w:r>
        <w:rPr>
          <w:rFonts w:hint="eastAsia"/>
          <w:color w:val="auto"/>
          <w:highlight w:val="none"/>
          <w:lang w:eastAsia="zh-CN"/>
        </w:rPr>
        <w:t>采购人</w:t>
      </w:r>
      <w:r>
        <w:rPr>
          <w:rFonts w:hint="eastAsia"/>
          <w:color w:val="auto"/>
          <w:highlight w:val="none"/>
        </w:rPr>
        <w:t>纪检监察部投诉。</w:t>
      </w:r>
    </w:p>
    <w:p w14:paraId="2D29E314">
      <w:pPr>
        <w:bidi w:val="0"/>
        <w:rPr>
          <w:color w:val="auto"/>
          <w:highlight w:val="none"/>
        </w:rPr>
      </w:pPr>
      <w:r>
        <w:rPr>
          <w:rFonts w:hint="eastAsia"/>
          <w:color w:val="auto"/>
          <w:highlight w:val="none"/>
        </w:rPr>
        <w:t>采购</w:t>
      </w:r>
      <w:r>
        <w:rPr>
          <w:rFonts w:hint="eastAsia"/>
          <w:color w:val="auto"/>
          <w:highlight w:val="none"/>
          <w:lang w:val="en-US" w:eastAsia="zh-CN"/>
        </w:rPr>
        <w:t>异议</w:t>
      </w:r>
      <w:r>
        <w:rPr>
          <w:rFonts w:hint="eastAsia"/>
          <w:color w:val="auto"/>
          <w:highlight w:val="none"/>
        </w:rPr>
        <w:t>邮箱：</w:t>
      </w:r>
      <w:r>
        <w:rPr>
          <w:color w:val="auto"/>
          <w:highlight w:val="none"/>
        </w:rPr>
        <w:t>sx.jcb@ccqtgb.com</w:t>
      </w:r>
    </w:p>
    <w:p w14:paraId="72DCBEA3">
      <w:pPr>
        <w:bidi w:val="0"/>
        <w:rPr>
          <w:rFonts w:hint="eastAsia"/>
          <w:color w:val="auto"/>
          <w:highlight w:val="none"/>
        </w:rPr>
      </w:pPr>
      <w:r>
        <w:rPr>
          <w:rFonts w:hint="eastAsia"/>
          <w:color w:val="auto"/>
          <w:highlight w:val="none"/>
        </w:rPr>
        <w:t>采购投诉邮箱：</w:t>
      </w:r>
      <w:bookmarkStart w:id="47" w:name="_Hlk74215856"/>
      <w:r>
        <w:rPr>
          <w:rFonts w:hint="eastAsia"/>
          <w:color w:val="auto"/>
          <w:highlight w:val="none"/>
        </w:rPr>
        <w:t>sxyhjjz@</w:t>
      </w:r>
      <w:r>
        <w:rPr>
          <w:color w:val="auto"/>
          <w:highlight w:val="none"/>
        </w:rPr>
        <w:t>ccqtgb</w:t>
      </w:r>
      <w:r>
        <w:rPr>
          <w:rFonts w:hint="eastAsia"/>
          <w:color w:val="auto"/>
          <w:highlight w:val="none"/>
        </w:rPr>
        <w:t>.com</w:t>
      </w:r>
      <w:bookmarkEnd w:id="47"/>
    </w:p>
    <w:p w14:paraId="10C1DA39">
      <w:pPr>
        <w:pStyle w:val="4"/>
        <w:bidi w:val="0"/>
        <w:rPr>
          <w:rFonts w:hint="eastAsia"/>
          <w:color w:val="auto"/>
          <w:highlight w:val="none"/>
        </w:rPr>
      </w:pPr>
      <w:bookmarkStart w:id="48" w:name="_Toc11439"/>
      <w:bookmarkStart w:id="49" w:name="_Toc15059431"/>
      <w:bookmarkStart w:id="50" w:name="_Toc440628924"/>
      <w:bookmarkStart w:id="51" w:name="_Toc275199618"/>
      <w:bookmarkStart w:id="52" w:name="_Toc89675157"/>
      <w:r>
        <w:rPr>
          <w:rFonts w:hint="eastAsia"/>
          <w:color w:val="auto"/>
          <w:highlight w:val="none"/>
          <w:lang w:val="en-US" w:eastAsia="zh-CN"/>
        </w:rPr>
        <w:t xml:space="preserve">14. </w:t>
      </w:r>
      <w:r>
        <w:rPr>
          <w:rFonts w:hint="eastAsia"/>
          <w:color w:val="auto"/>
          <w:highlight w:val="none"/>
          <w:lang w:eastAsia="zh-CN"/>
        </w:rPr>
        <w:t>无效响应</w:t>
      </w:r>
      <w:r>
        <w:rPr>
          <w:rFonts w:hint="eastAsia"/>
          <w:color w:val="auto"/>
          <w:highlight w:val="none"/>
        </w:rPr>
        <w:t>条款</w:t>
      </w:r>
      <w:bookmarkEnd w:id="48"/>
      <w:bookmarkEnd w:id="49"/>
      <w:bookmarkEnd w:id="50"/>
      <w:bookmarkEnd w:id="51"/>
      <w:bookmarkEnd w:id="52"/>
    </w:p>
    <w:p w14:paraId="38BACB62">
      <w:pPr>
        <w:bidi w:val="0"/>
        <w:rPr>
          <w:color w:val="auto"/>
          <w:highlight w:val="none"/>
        </w:rPr>
      </w:pPr>
      <w:r>
        <w:rPr>
          <w:rFonts w:hint="eastAsia"/>
          <w:color w:val="auto"/>
          <w:highlight w:val="none"/>
          <w:lang w:eastAsia="zh-CN"/>
        </w:rPr>
        <w:t>响应人</w:t>
      </w:r>
      <w:r>
        <w:rPr>
          <w:rFonts w:hint="eastAsia"/>
          <w:color w:val="auto"/>
          <w:highlight w:val="none"/>
        </w:rPr>
        <w:t>或其</w:t>
      </w:r>
      <w:r>
        <w:rPr>
          <w:rFonts w:hint="eastAsia"/>
          <w:color w:val="auto"/>
          <w:highlight w:val="none"/>
          <w:lang w:eastAsia="zh-CN"/>
        </w:rPr>
        <w:t>响应文件</w:t>
      </w:r>
      <w:r>
        <w:rPr>
          <w:rFonts w:hint="eastAsia"/>
          <w:color w:val="auto"/>
          <w:highlight w:val="none"/>
        </w:rPr>
        <w:t>出现下列情况之一者，应为</w:t>
      </w:r>
      <w:r>
        <w:rPr>
          <w:rFonts w:hint="eastAsia"/>
          <w:color w:val="auto"/>
          <w:highlight w:val="none"/>
          <w:lang w:eastAsia="zh-CN"/>
        </w:rPr>
        <w:t>无效响应</w:t>
      </w:r>
      <w:r>
        <w:rPr>
          <w:rFonts w:hint="eastAsia"/>
          <w:color w:val="auto"/>
          <w:highlight w:val="none"/>
        </w:rPr>
        <w:t>：</w:t>
      </w:r>
    </w:p>
    <w:p w14:paraId="37CF83BF">
      <w:pPr>
        <w:bidi w:val="0"/>
        <w:rPr>
          <w:color w:val="auto"/>
          <w:highlight w:val="none"/>
        </w:rPr>
      </w:pPr>
      <w:r>
        <w:rPr>
          <w:rFonts w:hint="eastAsia"/>
          <w:color w:val="auto"/>
          <w:highlight w:val="none"/>
          <w:lang w:val="en-US" w:eastAsia="zh-CN"/>
        </w:rPr>
        <w:t xml:space="preserve">14.1 </w:t>
      </w:r>
      <w:r>
        <w:rPr>
          <w:rFonts w:hint="eastAsia"/>
          <w:color w:val="auto"/>
          <w:highlight w:val="none"/>
          <w:lang w:eastAsia="zh-CN"/>
        </w:rPr>
        <w:t>响应人</w:t>
      </w:r>
      <w:r>
        <w:rPr>
          <w:color w:val="auto"/>
          <w:highlight w:val="none"/>
        </w:rPr>
        <w:t>未按</w:t>
      </w:r>
      <w:r>
        <w:rPr>
          <w:rFonts w:hint="eastAsia"/>
          <w:color w:val="auto"/>
          <w:highlight w:val="none"/>
          <w:lang w:eastAsia="zh-CN"/>
        </w:rPr>
        <w:t>询比文件</w:t>
      </w:r>
      <w:r>
        <w:rPr>
          <w:color w:val="auto"/>
          <w:highlight w:val="none"/>
        </w:rPr>
        <w:t>规定</w:t>
      </w:r>
      <w:r>
        <w:rPr>
          <w:rFonts w:hint="eastAsia"/>
          <w:color w:val="auto"/>
          <w:highlight w:val="none"/>
          <w:lang w:val="en-US" w:eastAsia="zh-CN"/>
        </w:rPr>
        <w:t>在</w:t>
      </w:r>
      <w:r>
        <w:rPr>
          <w:rFonts w:hint="eastAsia"/>
          <w:color w:val="auto"/>
          <w:highlight w:val="none"/>
          <w:lang w:eastAsia="zh-CN"/>
        </w:rPr>
        <w:t>响应保证金</w:t>
      </w:r>
      <w:r>
        <w:rPr>
          <w:rFonts w:hint="eastAsia"/>
          <w:color w:val="auto"/>
          <w:highlight w:val="none"/>
        </w:rPr>
        <w:t>递交截止时间</w:t>
      </w:r>
      <w:r>
        <w:rPr>
          <w:rFonts w:hint="eastAsia"/>
          <w:color w:val="auto"/>
          <w:highlight w:val="none"/>
          <w:lang w:val="en-US" w:eastAsia="zh-CN"/>
        </w:rPr>
        <w:t>内</w:t>
      </w:r>
      <w:r>
        <w:rPr>
          <w:color w:val="auto"/>
          <w:highlight w:val="none"/>
        </w:rPr>
        <w:t>提交足额</w:t>
      </w:r>
      <w:r>
        <w:rPr>
          <w:rFonts w:hint="eastAsia"/>
          <w:color w:val="auto"/>
          <w:highlight w:val="none"/>
          <w:lang w:eastAsia="zh-CN"/>
        </w:rPr>
        <w:t>响应保证金</w:t>
      </w:r>
      <w:r>
        <w:rPr>
          <w:color w:val="auto"/>
          <w:highlight w:val="none"/>
        </w:rPr>
        <w:t>的</w:t>
      </w:r>
      <w:r>
        <w:rPr>
          <w:rFonts w:hint="eastAsia"/>
          <w:color w:val="auto"/>
          <w:highlight w:val="none"/>
        </w:rPr>
        <w:t>。</w:t>
      </w:r>
    </w:p>
    <w:p w14:paraId="6E855A84">
      <w:pPr>
        <w:bidi w:val="0"/>
        <w:rPr>
          <w:color w:val="auto"/>
          <w:highlight w:val="none"/>
        </w:rPr>
      </w:pPr>
      <w:r>
        <w:rPr>
          <w:rFonts w:hint="eastAsia"/>
          <w:color w:val="auto"/>
          <w:highlight w:val="none"/>
          <w:lang w:val="en-US" w:eastAsia="zh-CN"/>
        </w:rPr>
        <w:t xml:space="preserve">14.2 </w:t>
      </w:r>
      <w:r>
        <w:rPr>
          <w:rFonts w:hint="eastAsia"/>
          <w:color w:val="auto"/>
          <w:highlight w:val="none"/>
          <w:lang w:eastAsia="zh-CN"/>
        </w:rPr>
        <w:t>响应人</w:t>
      </w:r>
      <w:r>
        <w:rPr>
          <w:color w:val="auto"/>
          <w:highlight w:val="none"/>
        </w:rPr>
        <w:t>未通过</w:t>
      </w:r>
      <w:r>
        <w:rPr>
          <w:rFonts w:hint="eastAsia"/>
          <w:color w:val="auto"/>
          <w:highlight w:val="none"/>
        </w:rPr>
        <w:t>资格评审</w:t>
      </w:r>
      <w:r>
        <w:rPr>
          <w:rFonts w:hint="eastAsia"/>
          <w:color w:val="auto"/>
          <w:highlight w:val="none"/>
          <w:lang w:eastAsia="zh-CN"/>
        </w:rPr>
        <w:t>、</w:t>
      </w:r>
      <w:r>
        <w:rPr>
          <w:rFonts w:hint="eastAsia"/>
          <w:color w:val="auto"/>
          <w:highlight w:val="none"/>
        </w:rPr>
        <w:t>形式评审</w:t>
      </w:r>
      <w:r>
        <w:rPr>
          <w:rFonts w:hint="eastAsia"/>
          <w:color w:val="auto"/>
          <w:highlight w:val="none"/>
          <w:lang w:eastAsia="zh-CN"/>
        </w:rPr>
        <w:t>、</w:t>
      </w:r>
      <w:r>
        <w:rPr>
          <w:rFonts w:hint="eastAsia"/>
          <w:color w:val="auto"/>
          <w:highlight w:val="none"/>
        </w:rPr>
        <w:t>响应性评审</w:t>
      </w:r>
      <w:r>
        <w:rPr>
          <w:color w:val="auto"/>
          <w:highlight w:val="none"/>
        </w:rPr>
        <w:t>或</w:t>
      </w:r>
      <w:r>
        <w:rPr>
          <w:rFonts w:hint="eastAsia"/>
          <w:color w:val="auto"/>
          <w:highlight w:val="none"/>
          <w:lang w:eastAsia="zh-CN"/>
        </w:rPr>
        <w:t>响应文件</w:t>
      </w:r>
      <w:r>
        <w:rPr>
          <w:color w:val="auto"/>
          <w:highlight w:val="none"/>
        </w:rPr>
        <w:t>经证实存在弄虚作假的</w:t>
      </w:r>
      <w:r>
        <w:rPr>
          <w:rFonts w:hint="eastAsia"/>
          <w:color w:val="auto"/>
          <w:highlight w:val="none"/>
        </w:rPr>
        <w:t>。</w:t>
      </w:r>
    </w:p>
    <w:p w14:paraId="0B6E9D6C">
      <w:pPr>
        <w:bidi w:val="0"/>
        <w:rPr>
          <w:color w:val="auto"/>
          <w:highlight w:val="none"/>
        </w:rPr>
      </w:pPr>
      <w:r>
        <w:rPr>
          <w:rFonts w:hint="eastAsia"/>
          <w:color w:val="auto"/>
          <w:highlight w:val="none"/>
          <w:lang w:val="en-US" w:eastAsia="zh-CN"/>
        </w:rPr>
        <w:t xml:space="preserve">14.3 </w:t>
      </w:r>
      <w:r>
        <w:rPr>
          <w:rFonts w:hint="eastAsia"/>
          <w:color w:val="auto"/>
          <w:highlight w:val="none"/>
          <w:lang w:eastAsia="zh-CN"/>
        </w:rPr>
        <w:t>响应人</w:t>
      </w:r>
      <w:r>
        <w:rPr>
          <w:rFonts w:hint="eastAsia"/>
          <w:color w:val="auto"/>
          <w:highlight w:val="none"/>
        </w:rPr>
        <w:t>超出其营业执照或事业单位法人证书上经营范围（业务范围）</w:t>
      </w:r>
      <w:r>
        <w:rPr>
          <w:rFonts w:hint="eastAsia"/>
          <w:color w:val="auto"/>
          <w:highlight w:val="none"/>
          <w:lang w:val="en-US" w:eastAsia="zh-CN"/>
        </w:rPr>
        <w:t>响应</w:t>
      </w:r>
      <w:r>
        <w:rPr>
          <w:rFonts w:hint="eastAsia"/>
          <w:color w:val="auto"/>
          <w:highlight w:val="none"/>
        </w:rPr>
        <w:t>的。</w:t>
      </w:r>
    </w:p>
    <w:p w14:paraId="3FED17E4">
      <w:pPr>
        <w:bidi w:val="0"/>
        <w:rPr>
          <w:color w:val="auto"/>
          <w:highlight w:val="none"/>
        </w:rPr>
      </w:pPr>
      <w:r>
        <w:rPr>
          <w:rFonts w:hint="eastAsia"/>
          <w:color w:val="auto"/>
          <w:highlight w:val="none"/>
          <w:lang w:val="en-US" w:eastAsia="zh-CN"/>
        </w:rPr>
        <w:t xml:space="preserve">14.4 </w:t>
      </w:r>
      <w:r>
        <w:rPr>
          <w:rFonts w:hint="eastAsia"/>
          <w:color w:val="auto"/>
          <w:highlight w:val="none"/>
        </w:rPr>
        <w:t>单位负责人为同一人或者存在直接控股、管理关系的不同</w:t>
      </w:r>
      <w:r>
        <w:rPr>
          <w:rFonts w:hint="eastAsia"/>
          <w:color w:val="auto"/>
          <w:highlight w:val="none"/>
          <w:lang w:eastAsia="zh-CN"/>
        </w:rPr>
        <w:t>响应人</w:t>
      </w:r>
      <w:r>
        <w:rPr>
          <w:rFonts w:hint="eastAsia"/>
          <w:color w:val="auto"/>
          <w:highlight w:val="none"/>
        </w:rPr>
        <w:t>，不得参加同一合同项下的采购活动。</w:t>
      </w:r>
    </w:p>
    <w:p w14:paraId="035AB2E8">
      <w:pPr>
        <w:bidi w:val="0"/>
        <w:rPr>
          <w:color w:val="auto"/>
          <w:highlight w:val="none"/>
        </w:rPr>
      </w:pPr>
      <w:r>
        <w:rPr>
          <w:rFonts w:hint="eastAsia"/>
          <w:color w:val="auto"/>
          <w:highlight w:val="none"/>
          <w:lang w:val="en-US" w:eastAsia="zh-CN"/>
        </w:rPr>
        <w:t xml:space="preserve">14.5 </w:t>
      </w:r>
      <w:r>
        <w:rPr>
          <w:color w:val="auto"/>
          <w:highlight w:val="none"/>
        </w:rPr>
        <w:t>同一分包的软件，制造商参与</w:t>
      </w:r>
      <w:r>
        <w:rPr>
          <w:rFonts w:hint="eastAsia"/>
          <w:color w:val="auto"/>
          <w:highlight w:val="none"/>
          <w:lang w:val="en-US" w:eastAsia="zh-CN"/>
        </w:rPr>
        <w:t>响应</w:t>
      </w:r>
      <w:r>
        <w:rPr>
          <w:color w:val="auto"/>
          <w:highlight w:val="none"/>
        </w:rPr>
        <w:t>，再委托代理商参与</w:t>
      </w:r>
      <w:r>
        <w:rPr>
          <w:rFonts w:hint="eastAsia"/>
          <w:color w:val="auto"/>
          <w:highlight w:val="none"/>
          <w:lang w:val="en-US" w:eastAsia="zh-CN"/>
        </w:rPr>
        <w:t>响应</w:t>
      </w:r>
      <w:r>
        <w:rPr>
          <w:color w:val="auto"/>
          <w:highlight w:val="none"/>
        </w:rPr>
        <w:t>的</w:t>
      </w:r>
      <w:r>
        <w:rPr>
          <w:rFonts w:hint="eastAsia"/>
          <w:color w:val="auto"/>
          <w:highlight w:val="none"/>
        </w:rPr>
        <w:t>。</w:t>
      </w:r>
    </w:p>
    <w:p w14:paraId="6B8A4891">
      <w:pPr>
        <w:bidi w:val="0"/>
        <w:rPr>
          <w:color w:val="auto"/>
          <w:highlight w:val="none"/>
        </w:rPr>
      </w:pPr>
      <w:r>
        <w:rPr>
          <w:rFonts w:hint="eastAsia"/>
          <w:color w:val="auto"/>
          <w:highlight w:val="none"/>
          <w:lang w:val="en-US" w:eastAsia="zh-CN"/>
        </w:rPr>
        <w:t xml:space="preserve">14.6 </w:t>
      </w:r>
      <w:r>
        <w:rPr>
          <w:rFonts w:hint="eastAsia"/>
          <w:color w:val="auto"/>
          <w:highlight w:val="none"/>
          <w:lang w:eastAsia="zh-CN"/>
        </w:rPr>
        <w:t>响应文件</w:t>
      </w:r>
      <w:r>
        <w:rPr>
          <w:color w:val="auto"/>
          <w:highlight w:val="none"/>
        </w:rPr>
        <w:t>不满足</w:t>
      </w:r>
      <w:r>
        <w:rPr>
          <w:rFonts w:hint="eastAsia"/>
          <w:color w:val="auto"/>
          <w:highlight w:val="none"/>
          <w:lang w:eastAsia="zh-CN"/>
        </w:rPr>
        <w:t>询比文件</w:t>
      </w:r>
      <w:r>
        <w:rPr>
          <w:color w:val="auto"/>
          <w:highlight w:val="none"/>
        </w:rPr>
        <w:t>第</w:t>
      </w:r>
      <w:r>
        <w:rPr>
          <w:rFonts w:hint="eastAsia"/>
          <w:color w:val="auto"/>
          <w:highlight w:val="none"/>
          <w:lang w:val="en-US" w:eastAsia="zh-CN"/>
        </w:rPr>
        <w:t>六</w:t>
      </w:r>
      <w:r>
        <w:rPr>
          <w:color w:val="auto"/>
          <w:highlight w:val="none"/>
        </w:rPr>
        <w:t>章</w:t>
      </w:r>
      <w:r>
        <w:rPr>
          <w:rFonts w:hint="eastAsia"/>
          <w:color w:val="auto"/>
          <w:highlight w:val="none"/>
          <w:lang w:eastAsia="zh-CN"/>
        </w:rPr>
        <w:t>响应文件</w:t>
      </w:r>
      <w:r>
        <w:rPr>
          <w:color w:val="auto"/>
          <w:highlight w:val="none"/>
        </w:rPr>
        <w:t>格式中所规定签字、盖章的</w:t>
      </w:r>
      <w:r>
        <w:rPr>
          <w:rFonts w:hint="eastAsia"/>
          <w:color w:val="auto"/>
          <w:highlight w:val="none"/>
        </w:rPr>
        <w:t>。</w:t>
      </w:r>
    </w:p>
    <w:p w14:paraId="35C9C5B6">
      <w:pPr>
        <w:bidi w:val="0"/>
        <w:rPr>
          <w:color w:val="auto"/>
          <w:highlight w:val="none"/>
        </w:rPr>
      </w:pPr>
      <w:r>
        <w:rPr>
          <w:rFonts w:hint="eastAsia"/>
          <w:color w:val="auto"/>
          <w:highlight w:val="none"/>
          <w:lang w:val="en-US" w:eastAsia="zh-CN"/>
        </w:rPr>
        <w:t xml:space="preserve">14.7 </w:t>
      </w:r>
      <w:r>
        <w:rPr>
          <w:rFonts w:hint="eastAsia"/>
          <w:color w:val="auto"/>
          <w:highlight w:val="none"/>
          <w:lang w:eastAsia="zh-CN"/>
        </w:rPr>
        <w:t>响应文件</w:t>
      </w:r>
      <w:r>
        <w:rPr>
          <w:color w:val="auto"/>
          <w:highlight w:val="none"/>
        </w:rPr>
        <w:t>出现多个</w:t>
      </w:r>
      <w:r>
        <w:rPr>
          <w:rFonts w:hint="eastAsia"/>
          <w:color w:val="auto"/>
          <w:highlight w:val="none"/>
          <w:lang w:val="en-US" w:eastAsia="zh-CN"/>
        </w:rPr>
        <w:t>响应</w:t>
      </w:r>
      <w:r>
        <w:rPr>
          <w:color w:val="auto"/>
          <w:highlight w:val="none"/>
        </w:rPr>
        <w:t>方案或</w:t>
      </w:r>
      <w:r>
        <w:rPr>
          <w:rFonts w:hint="eastAsia"/>
          <w:color w:val="auto"/>
          <w:highlight w:val="none"/>
          <w:lang w:eastAsia="zh-CN"/>
        </w:rPr>
        <w:t>响应报价</w:t>
      </w:r>
      <w:r>
        <w:rPr>
          <w:color w:val="auto"/>
          <w:highlight w:val="none"/>
        </w:rPr>
        <w:t>的</w:t>
      </w:r>
      <w:r>
        <w:rPr>
          <w:rFonts w:hint="eastAsia"/>
          <w:color w:val="auto"/>
          <w:highlight w:val="none"/>
        </w:rPr>
        <w:t>。</w:t>
      </w:r>
    </w:p>
    <w:p w14:paraId="6073FEF9">
      <w:pPr>
        <w:bidi w:val="0"/>
        <w:rPr>
          <w:color w:val="auto"/>
          <w:highlight w:val="none"/>
        </w:rPr>
      </w:pPr>
      <w:r>
        <w:rPr>
          <w:rFonts w:hint="eastAsia"/>
          <w:color w:val="auto"/>
          <w:highlight w:val="none"/>
          <w:lang w:val="en-US" w:eastAsia="zh-CN"/>
        </w:rPr>
        <w:t xml:space="preserve">14.8 </w:t>
      </w:r>
      <w:r>
        <w:rPr>
          <w:rFonts w:hint="eastAsia"/>
          <w:color w:val="auto"/>
          <w:highlight w:val="none"/>
          <w:lang w:eastAsia="zh-CN"/>
        </w:rPr>
        <w:t>响应报价</w:t>
      </w:r>
      <w:r>
        <w:rPr>
          <w:color w:val="auto"/>
          <w:highlight w:val="none"/>
        </w:rPr>
        <w:t>超出最高限价的</w:t>
      </w:r>
      <w:r>
        <w:rPr>
          <w:rFonts w:hint="eastAsia"/>
          <w:color w:val="auto"/>
          <w:highlight w:val="none"/>
        </w:rPr>
        <w:t>。</w:t>
      </w:r>
    </w:p>
    <w:p w14:paraId="7032F9C9">
      <w:pPr>
        <w:bidi w:val="0"/>
        <w:rPr>
          <w:color w:val="auto"/>
          <w:highlight w:val="none"/>
        </w:rPr>
      </w:pPr>
      <w:r>
        <w:rPr>
          <w:rFonts w:hint="eastAsia"/>
          <w:color w:val="auto"/>
          <w:highlight w:val="none"/>
          <w:lang w:val="en-US" w:eastAsia="zh-CN"/>
        </w:rPr>
        <w:t xml:space="preserve">14.9 </w:t>
      </w:r>
      <w:r>
        <w:rPr>
          <w:rFonts w:hint="eastAsia"/>
          <w:color w:val="auto"/>
          <w:highlight w:val="none"/>
          <w:lang w:eastAsia="zh-CN"/>
        </w:rPr>
        <w:t>响应文件</w:t>
      </w:r>
      <w:r>
        <w:rPr>
          <w:color w:val="auto"/>
          <w:highlight w:val="none"/>
        </w:rPr>
        <w:t>含有违反国家法律、法规的内容，或附有</w:t>
      </w:r>
      <w:r>
        <w:rPr>
          <w:rFonts w:hint="eastAsia"/>
          <w:color w:val="auto"/>
          <w:highlight w:val="none"/>
          <w:lang w:eastAsia="zh-CN"/>
        </w:rPr>
        <w:t>采购人</w:t>
      </w:r>
      <w:r>
        <w:rPr>
          <w:color w:val="auto"/>
          <w:highlight w:val="none"/>
        </w:rPr>
        <w:t>不能接受的条件的。</w:t>
      </w:r>
    </w:p>
    <w:p w14:paraId="3D2958CA">
      <w:pPr>
        <w:bidi w:val="0"/>
        <w:rPr>
          <w:color w:val="auto"/>
          <w:highlight w:val="none"/>
        </w:rPr>
      </w:pPr>
      <w:r>
        <w:rPr>
          <w:rFonts w:hint="eastAsia"/>
          <w:color w:val="auto"/>
          <w:highlight w:val="none"/>
          <w:lang w:val="en-US" w:eastAsia="zh-CN"/>
        </w:rPr>
        <w:t xml:space="preserve">14.10 </w:t>
      </w:r>
      <w:r>
        <w:rPr>
          <w:rFonts w:hint="eastAsia"/>
          <w:color w:val="auto"/>
          <w:highlight w:val="none"/>
        </w:rPr>
        <w:t>出现影响</w:t>
      </w:r>
      <w:r>
        <w:rPr>
          <w:rFonts w:hint="eastAsia"/>
          <w:color w:val="auto"/>
          <w:highlight w:val="none"/>
          <w:lang w:eastAsia="zh-CN"/>
        </w:rPr>
        <w:t>询比</w:t>
      </w:r>
      <w:r>
        <w:rPr>
          <w:rFonts w:hint="eastAsia"/>
          <w:color w:val="auto"/>
          <w:highlight w:val="none"/>
        </w:rPr>
        <w:t>公正的违法、违规行为的。</w:t>
      </w:r>
    </w:p>
    <w:p w14:paraId="6437777D">
      <w:pPr>
        <w:bidi w:val="0"/>
        <w:rPr>
          <w:color w:val="auto"/>
          <w:highlight w:val="none"/>
        </w:rPr>
      </w:pPr>
      <w:r>
        <w:rPr>
          <w:rFonts w:hint="eastAsia"/>
          <w:color w:val="auto"/>
          <w:highlight w:val="none"/>
          <w:lang w:val="en-US" w:eastAsia="zh-CN"/>
        </w:rPr>
        <w:t xml:space="preserve">14.11 </w:t>
      </w:r>
      <w:r>
        <w:rPr>
          <w:rFonts w:hint="eastAsia"/>
          <w:color w:val="auto"/>
          <w:highlight w:val="none"/>
        </w:rPr>
        <w:t>与</w:t>
      </w:r>
      <w:r>
        <w:rPr>
          <w:rFonts w:hint="eastAsia"/>
          <w:color w:val="auto"/>
          <w:highlight w:val="none"/>
          <w:lang w:eastAsia="zh-CN"/>
        </w:rPr>
        <w:t>采购人</w:t>
      </w:r>
      <w:r>
        <w:rPr>
          <w:rFonts w:hint="eastAsia"/>
          <w:color w:val="auto"/>
          <w:highlight w:val="none"/>
        </w:rPr>
        <w:t>、评审专家、其他</w:t>
      </w:r>
      <w:r>
        <w:rPr>
          <w:rFonts w:hint="eastAsia"/>
          <w:color w:val="auto"/>
          <w:highlight w:val="none"/>
          <w:lang w:eastAsia="zh-CN"/>
        </w:rPr>
        <w:t>响应人</w:t>
      </w:r>
      <w:r>
        <w:rPr>
          <w:rFonts w:hint="eastAsia"/>
          <w:color w:val="auto"/>
          <w:highlight w:val="none"/>
        </w:rPr>
        <w:t>恶意串通。</w:t>
      </w:r>
    </w:p>
    <w:p w14:paraId="0EEC85C6">
      <w:pPr>
        <w:bidi w:val="0"/>
        <w:rPr>
          <w:color w:val="auto"/>
          <w:highlight w:val="none"/>
        </w:rPr>
      </w:pPr>
      <w:r>
        <w:rPr>
          <w:rFonts w:hint="eastAsia"/>
          <w:color w:val="auto"/>
          <w:highlight w:val="none"/>
          <w:lang w:val="en-US" w:eastAsia="zh-CN"/>
        </w:rPr>
        <w:t>14.12 参与响应的</w:t>
      </w:r>
      <w:r>
        <w:rPr>
          <w:rFonts w:hint="eastAsia"/>
          <w:color w:val="auto"/>
          <w:highlight w:val="none"/>
        </w:rPr>
        <w:t>法人发生合并、分立、破产等重大变化后，不再具备</w:t>
      </w:r>
      <w:r>
        <w:rPr>
          <w:rFonts w:hint="eastAsia"/>
          <w:color w:val="auto"/>
          <w:highlight w:val="none"/>
          <w:lang w:eastAsia="zh-CN"/>
        </w:rPr>
        <w:t>询比</w:t>
      </w:r>
      <w:r>
        <w:rPr>
          <w:rFonts w:hint="eastAsia"/>
          <w:color w:val="auto"/>
          <w:highlight w:val="none"/>
        </w:rPr>
        <w:t>要求的资格条件的。</w:t>
      </w:r>
    </w:p>
    <w:p w14:paraId="6B7C82E6">
      <w:pPr>
        <w:bidi w:val="0"/>
        <w:rPr>
          <w:color w:val="auto"/>
          <w:highlight w:val="none"/>
        </w:rPr>
      </w:pPr>
      <w:r>
        <w:rPr>
          <w:rFonts w:hint="eastAsia"/>
          <w:color w:val="auto"/>
          <w:highlight w:val="none"/>
          <w:lang w:val="en-US" w:eastAsia="zh-CN"/>
        </w:rPr>
        <w:t xml:space="preserve">14.13 </w:t>
      </w:r>
      <w:r>
        <w:rPr>
          <w:rFonts w:hint="eastAsia"/>
          <w:color w:val="auto"/>
          <w:highlight w:val="none"/>
        </w:rPr>
        <w:t>提供虚假材料谋取</w:t>
      </w:r>
      <w:r>
        <w:rPr>
          <w:rFonts w:hint="eastAsia"/>
          <w:color w:val="auto"/>
          <w:highlight w:val="none"/>
          <w:lang w:eastAsia="zh-CN"/>
        </w:rPr>
        <w:t>成交</w:t>
      </w:r>
      <w:r>
        <w:rPr>
          <w:rFonts w:hint="eastAsia"/>
          <w:color w:val="auto"/>
          <w:highlight w:val="none"/>
        </w:rPr>
        <w:t>资格的。</w:t>
      </w:r>
    </w:p>
    <w:p w14:paraId="36BF04AC">
      <w:pPr>
        <w:bidi w:val="0"/>
        <w:rPr>
          <w:rFonts w:hint="eastAsia"/>
          <w:color w:val="auto"/>
          <w:highlight w:val="none"/>
          <w:lang w:val="en-US" w:eastAsia="zh-CN"/>
        </w:rPr>
      </w:pPr>
      <w:r>
        <w:rPr>
          <w:rFonts w:hint="eastAsia"/>
          <w:color w:val="auto"/>
          <w:highlight w:val="none"/>
          <w:lang w:val="en-US" w:eastAsia="zh-CN"/>
        </w:rPr>
        <w:t>14.14 响应文件含有采购人不能接受的附件条件的。</w:t>
      </w:r>
    </w:p>
    <w:p w14:paraId="214DF7B0">
      <w:pPr>
        <w:pStyle w:val="4"/>
        <w:bidi w:val="0"/>
        <w:rPr>
          <w:rFonts w:hint="eastAsia"/>
          <w:color w:val="auto"/>
          <w:highlight w:val="none"/>
          <w:lang w:val="en-US" w:eastAsia="zh-CN"/>
        </w:rPr>
      </w:pPr>
      <w:r>
        <w:rPr>
          <w:rFonts w:hint="eastAsia"/>
          <w:color w:val="auto"/>
          <w:highlight w:val="none"/>
          <w:lang w:val="en-US" w:eastAsia="zh-CN"/>
        </w:rPr>
        <w:t>15. 询比失败情形</w:t>
      </w:r>
    </w:p>
    <w:p w14:paraId="3A15C9D5">
      <w:pPr>
        <w:bidi w:val="0"/>
        <w:rPr>
          <w:rFonts w:hint="eastAsia"/>
          <w:color w:val="auto"/>
          <w:highlight w:val="none"/>
          <w:lang w:val="en-US" w:eastAsia="zh-CN"/>
        </w:rPr>
      </w:pPr>
      <w:r>
        <w:rPr>
          <w:rFonts w:hint="eastAsia"/>
          <w:color w:val="auto"/>
          <w:highlight w:val="none"/>
          <w:lang w:val="en-US" w:eastAsia="zh-CN"/>
        </w:rPr>
        <w:t>15.1 出现以下情形本次询比失败：</w:t>
      </w:r>
    </w:p>
    <w:p w14:paraId="7311378F">
      <w:pPr>
        <w:bidi w:val="0"/>
        <w:rPr>
          <w:rFonts w:hint="eastAsia"/>
          <w:color w:val="auto"/>
          <w:highlight w:val="none"/>
        </w:rPr>
      </w:pPr>
      <w:r>
        <w:rPr>
          <w:rFonts w:hint="eastAsia"/>
          <w:color w:val="auto"/>
          <w:highlight w:val="none"/>
          <w:lang w:val="en-US" w:eastAsia="zh-CN"/>
        </w:rPr>
        <w:t>15.</w:t>
      </w:r>
      <w:r>
        <w:rPr>
          <w:rFonts w:hint="eastAsia"/>
          <w:color w:val="auto"/>
          <w:highlight w:val="none"/>
        </w:rPr>
        <w:t>1</w:t>
      </w:r>
      <w:r>
        <w:rPr>
          <w:rFonts w:hint="eastAsia"/>
          <w:color w:val="auto"/>
          <w:highlight w:val="none"/>
          <w:lang w:val="en-US" w:eastAsia="zh-CN"/>
        </w:rPr>
        <w:t>.1</w:t>
      </w:r>
      <w:r>
        <w:rPr>
          <w:rFonts w:hint="eastAsia"/>
          <w:color w:val="auto"/>
          <w:highlight w:val="none"/>
          <w:lang w:eastAsia="zh-CN"/>
        </w:rPr>
        <w:t xml:space="preserve"> </w:t>
      </w:r>
      <w:r>
        <w:rPr>
          <w:rFonts w:hint="eastAsia"/>
          <w:color w:val="auto"/>
          <w:highlight w:val="none"/>
          <w:lang w:val="en-US" w:eastAsia="zh-CN"/>
        </w:rPr>
        <w:t>首次询比的项目，截至</w:t>
      </w:r>
      <w:r>
        <w:rPr>
          <w:rFonts w:hint="eastAsia"/>
          <w:color w:val="auto"/>
          <w:highlight w:val="none"/>
          <w:lang w:eastAsia="zh-CN"/>
        </w:rPr>
        <w:t>响应截止时间</w:t>
      </w:r>
      <w:r>
        <w:rPr>
          <w:rFonts w:hint="eastAsia"/>
          <w:color w:val="auto"/>
          <w:highlight w:val="none"/>
        </w:rPr>
        <w:t>，</w:t>
      </w:r>
      <w:r>
        <w:rPr>
          <w:rFonts w:hint="eastAsia"/>
          <w:color w:val="auto"/>
          <w:highlight w:val="none"/>
          <w:lang w:val="en-US" w:eastAsia="zh-CN"/>
        </w:rPr>
        <w:t>响应人</w:t>
      </w:r>
      <w:r>
        <w:rPr>
          <w:rFonts w:hint="eastAsia"/>
          <w:color w:val="auto"/>
          <w:highlight w:val="none"/>
        </w:rPr>
        <w:t>少于</w:t>
      </w:r>
      <w:r>
        <w:rPr>
          <w:rFonts w:hint="eastAsia"/>
          <w:color w:val="auto"/>
          <w:highlight w:val="none"/>
          <w:lang w:val="en-US" w:eastAsia="zh-CN"/>
        </w:rPr>
        <w:t>3</w:t>
      </w:r>
      <w:r>
        <w:rPr>
          <w:rFonts w:hint="eastAsia"/>
          <w:color w:val="auto"/>
          <w:highlight w:val="none"/>
        </w:rPr>
        <w:t>个的</w:t>
      </w:r>
      <w:r>
        <w:rPr>
          <w:rFonts w:hint="eastAsia"/>
          <w:color w:val="auto"/>
          <w:highlight w:val="none"/>
          <w:lang w:eastAsia="zh-CN"/>
        </w:rPr>
        <w:t>。</w:t>
      </w:r>
    </w:p>
    <w:p w14:paraId="384E816F">
      <w:pPr>
        <w:bidi w:val="0"/>
        <w:rPr>
          <w:rFonts w:hint="eastAsia"/>
          <w:color w:val="auto"/>
          <w:highlight w:val="none"/>
        </w:rPr>
      </w:pPr>
      <w:r>
        <w:rPr>
          <w:rFonts w:hint="eastAsia"/>
          <w:color w:val="auto"/>
          <w:highlight w:val="none"/>
          <w:lang w:val="en-US" w:eastAsia="zh-CN"/>
        </w:rPr>
        <w:t xml:space="preserve">15.1.2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响应</w:t>
      </w:r>
      <w:r>
        <w:rPr>
          <w:rFonts w:hint="eastAsia"/>
          <w:color w:val="auto"/>
          <w:highlight w:val="none"/>
        </w:rPr>
        <w:t>的。</w:t>
      </w:r>
    </w:p>
    <w:p w14:paraId="3AC7A9F4">
      <w:pPr>
        <w:bidi w:val="0"/>
        <w:rPr>
          <w:rFonts w:hint="eastAsia"/>
          <w:color w:val="auto"/>
          <w:highlight w:val="none"/>
          <w:lang w:val="en-US" w:eastAsia="zh-CN"/>
        </w:rPr>
      </w:pPr>
      <w:r>
        <w:rPr>
          <w:rFonts w:hint="eastAsia"/>
          <w:color w:val="auto"/>
          <w:highlight w:val="none"/>
          <w:lang w:val="en-US" w:eastAsia="zh-CN"/>
        </w:rPr>
        <w:t>15.1.3 法律法规规定的其他情形。</w:t>
      </w:r>
    </w:p>
    <w:p w14:paraId="39F10DAB">
      <w:pPr>
        <w:bidi w:val="0"/>
        <w:rPr>
          <w:rFonts w:hint="eastAsia"/>
          <w:color w:val="auto"/>
          <w:highlight w:val="none"/>
          <w:lang w:val="en-US" w:eastAsia="zh-CN"/>
        </w:rPr>
      </w:pPr>
      <w:r>
        <w:rPr>
          <w:rFonts w:hint="eastAsia"/>
          <w:color w:val="auto"/>
          <w:highlight w:val="none"/>
          <w:lang w:val="en-US" w:eastAsia="zh-CN"/>
        </w:rPr>
        <w:t>15.2 重新询比和不再询比</w:t>
      </w:r>
    </w:p>
    <w:p w14:paraId="5AE0BAAA">
      <w:pPr>
        <w:bidi w:val="0"/>
        <w:rPr>
          <w:color w:val="auto"/>
          <w:highlight w:val="none"/>
          <w:lang w:val="en-US" w:eastAsia="zh-CN"/>
        </w:rPr>
      </w:pPr>
      <w:r>
        <w:rPr>
          <w:color w:val="auto"/>
          <w:highlight w:val="none"/>
          <w:lang w:val="en-US" w:eastAsia="zh-CN"/>
        </w:rPr>
        <w:t>重新</w:t>
      </w:r>
      <w:r>
        <w:rPr>
          <w:rFonts w:hint="eastAsia"/>
          <w:color w:val="auto"/>
          <w:highlight w:val="none"/>
          <w:lang w:val="en-US" w:eastAsia="zh-CN"/>
        </w:rPr>
        <w:t>询比</w:t>
      </w:r>
      <w:r>
        <w:rPr>
          <w:color w:val="auto"/>
          <w:highlight w:val="none"/>
          <w:lang w:val="en-US" w:eastAsia="zh-CN"/>
        </w:rPr>
        <w:t>的</w:t>
      </w:r>
      <w:r>
        <w:rPr>
          <w:rFonts w:hint="eastAsia"/>
          <w:color w:val="auto"/>
          <w:highlight w:val="none"/>
          <w:lang w:val="en-US" w:eastAsia="zh-CN"/>
        </w:rPr>
        <w:t>响应人</w:t>
      </w:r>
      <w:r>
        <w:rPr>
          <w:color w:val="auto"/>
          <w:highlight w:val="none"/>
          <w:lang w:val="en-US" w:eastAsia="zh-CN"/>
        </w:rPr>
        <w:t>仍然少于三个的，按照有关规定的程序开标和评审。重新</w:t>
      </w:r>
      <w:r>
        <w:rPr>
          <w:rFonts w:hint="eastAsia"/>
          <w:color w:val="auto"/>
          <w:highlight w:val="none"/>
          <w:lang w:val="en-US" w:eastAsia="zh-CN"/>
        </w:rPr>
        <w:t>询比</w:t>
      </w:r>
      <w:r>
        <w:rPr>
          <w:color w:val="auto"/>
          <w:highlight w:val="none"/>
          <w:lang w:val="en-US" w:eastAsia="zh-CN"/>
        </w:rPr>
        <w:t>经评审有有效</w:t>
      </w:r>
      <w:r>
        <w:rPr>
          <w:rFonts w:hint="eastAsia"/>
          <w:color w:val="auto"/>
          <w:highlight w:val="none"/>
          <w:lang w:val="en-US" w:eastAsia="zh-CN"/>
        </w:rPr>
        <w:t>响应人</w:t>
      </w:r>
      <w:r>
        <w:rPr>
          <w:color w:val="auto"/>
          <w:highlight w:val="none"/>
          <w:lang w:val="en-US" w:eastAsia="zh-CN"/>
        </w:rPr>
        <w:t>的，应当确定</w:t>
      </w:r>
      <w:r>
        <w:rPr>
          <w:rFonts w:hint="eastAsia"/>
          <w:color w:val="auto"/>
          <w:highlight w:val="none"/>
          <w:lang w:val="en-US" w:eastAsia="zh-CN"/>
        </w:rPr>
        <w:t>排名与成交供应商</w:t>
      </w:r>
      <w:r>
        <w:rPr>
          <w:color w:val="auto"/>
          <w:highlight w:val="none"/>
          <w:lang w:val="en-US" w:eastAsia="zh-CN"/>
        </w:rPr>
        <w:t>；无有效</w:t>
      </w:r>
      <w:r>
        <w:rPr>
          <w:rFonts w:hint="eastAsia"/>
          <w:color w:val="auto"/>
          <w:highlight w:val="none"/>
          <w:lang w:val="en-US" w:eastAsia="zh-CN"/>
        </w:rPr>
        <w:t>响应人</w:t>
      </w:r>
      <w:r>
        <w:rPr>
          <w:color w:val="auto"/>
          <w:highlight w:val="none"/>
          <w:lang w:val="en-US" w:eastAsia="zh-CN"/>
        </w:rPr>
        <w:t>的，可以不再进行</w:t>
      </w:r>
      <w:r>
        <w:rPr>
          <w:rFonts w:hint="eastAsia"/>
          <w:color w:val="auto"/>
          <w:highlight w:val="none"/>
          <w:lang w:val="en-US" w:eastAsia="zh-CN"/>
        </w:rPr>
        <w:t>询比</w:t>
      </w:r>
      <w:r>
        <w:rPr>
          <w:color w:val="auto"/>
          <w:highlight w:val="none"/>
          <w:lang w:val="en-US" w:eastAsia="zh-CN"/>
        </w:rPr>
        <w:t>。</w:t>
      </w:r>
    </w:p>
    <w:p w14:paraId="1FF5FC89">
      <w:pPr>
        <w:pStyle w:val="4"/>
        <w:bidi w:val="0"/>
        <w:rPr>
          <w:rFonts w:hint="eastAsia"/>
          <w:color w:val="auto"/>
          <w:highlight w:val="none"/>
          <w:lang w:eastAsia="zh-CN"/>
        </w:rPr>
      </w:pPr>
      <w:r>
        <w:rPr>
          <w:rFonts w:hint="eastAsia"/>
          <w:color w:val="auto"/>
          <w:highlight w:val="none"/>
          <w:lang w:val="en-US" w:eastAsia="zh-CN"/>
        </w:rPr>
        <w:t xml:space="preserve">16. </w:t>
      </w:r>
      <w:r>
        <w:rPr>
          <w:rFonts w:hint="eastAsia"/>
          <w:color w:val="auto"/>
          <w:highlight w:val="none"/>
        </w:rPr>
        <w:t>终止</w:t>
      </w:r>
      <w:bookmarkEnd w:id="46"/>
      <w:r>
        <w:rPr>
          <w:rFonts w:hint="eastAsia"/>
          <w:color w:val="auto"/>
          <w:highlight w:val="none"/>
          <w:lang w:eastAsia="zh-CN"/>
        </w:rPr>
        <w:t>询比</w:t>
      </w:r>
    </w:p>
    <w:p w14:paraId="3A13D9C1">
      <w:pPr>
        <w:bidi w:val="0"/>
        <w:rPr>
          <w:color w:val="auto"/>
          <w:highlight w:val="none"/>
        </w:rPr>
      </w:pPr>
      <w:r>
        <w:rPr>
          <w:rFonts w:hint="eastAsia"/>
          <w:color w:val="auto"/>
          <w:highlight w:val="none"/>
          <w:lang w:val="en-US" w:eastAsia="zh-CN"/>
        </w:rPr>
        <w:t xml:space="preserve">16.1 </w:t>
      </w:r>
      <w:r>
        <w:rPr>
          <w:rFonts w:hint="eastAsia"/>
          <w:color w:val="auto"/>
          <w:highlight w:val="none"/>
        </w:rPr>
        <w:t>因情况发生变化或其他原因造成该项目取消的，本次</w:t>
      </w:r>
      <w:r>
        <w:rPr>
          <w:rFonts w:hint="eastAsia"/>
          <w:color w:val="auto"/>
          <w:highlight w:val="none"/>
          <w:lang w:eastAsia="zh-CN"/>
        </w:rPr>
        <w:t>询比</w:t>
      </w:r>
      <w:r>
        <w:rPr>
          <w:rFonts w:hint="eastAsia"/>
          <w:color w:val="auto"/>
          <w:highlight w:val="none"/>
        </w:rPr>
        <w:t>自动终止，双方互不承担责任，</w:t>
      </w:r>
      <w:r>
        <w:rPr>
          <w:rFonts w:hint="eastAsia"/>
          <w:color w:val="auto"/>
          <w:highlight w:val="none"/>
          <w:lang w:eastAsia="zh-CN"/>
        </w:rPr>
        <w:t>采购人</w:t>
      </w:r>
      <w:r>
        <w:rPr>
          <w:rFonts w:hint="eastAsia"/>
          <w:color w:val="auto"/>
          <w:highlight w:val="none"/>
          <w:lang w:val="en-US" w:eastAsia="zh-CN"/>
        </w:rPr>
        <w:t>有</w:t>
      </w:r>
      <w:r>
        <w:rPr>
          <w:rFonts w:hint="eastAsia"/>
          <w:color w:val="auto"/>
          <w:highlight w:val="none"/>
        </w:rPr>
        <w:t>息退还</w:t>
      </w:r>
      <w:r>
        <w:rPr>
          <w:rFonts w:hint="eastAsia"/>
          <w:color w:val="auto"/>
          <w:highlight w:val="none"/>
          <w:lang w:eastAsia="zh-CN"/>
        </w:rPr>
        <w:t>响应保证金</w:t>
      </w:r>
      <w:r>
        <w:rPr>
          <w:rFonts w:hint="eastAsia"/>
          <w:color w:val="auto"/>
          <w:highlight w:val="none"/>
        </w:rPr>
        <w:t>。</w:t>
      </w:r>
    </w:p>
    <w:p w14:paraId="28996977">
      <w:pPr>
        <w:bidi w:val="0"/>
        <w:rPr>
          <w:color w:val="auto"/>
          <w:highlight w:val="none"/>
        </w:rPr>
      </w:pPr>
      <w:r>
        <w:rPr>
          <w:rFonts w:hint="eastAsia"/>
          <w:color w:val="auto"/>
          <w:highlight w:val="none"/>
          <w:lang w:val="en-US" w:eastAsia="zh-CN"/>
        </w:rPr>
        <w:t xml:space="preserve">16.2 </w:t>
      </w:r>
      <w:r>
        <w:rPr>
          <w:rFonts w:hint="eastAsia"/>
          <w:color w:val="auto"/>
          <w:highlight w:val="none"/>
        </w:rPr>
        <w:t>签订合同之前，</w:t>
      </w:r>
      <w:r>
        <w:rPr>
          <w:rFonts w:hint="eastAsia"/>
          <w:color w:val="auto"/>
          <w:highlight w:val="none"/>
          <w:lang w:eastAsia="zh-CN"/>
        </w:rPr>
        <w:t>采购人</w:t>
      </w:r>
      <w:r>
        <w:rPr>
          <w:rFonts w:hint="eastAsia"/>
          <w:color w:val="auto"/>
          <w:highlight w:val="none"/>
        </w:rPr>
        <w:t>发现</w:t>
      </w:r>
      <w:r>
        <w:rPr>
          <w:rFonts w:hint="eastAsia"/>
          <w:color w:val="auto"/>
          <w:highlight w:val="none"/>
          <w:lang w:eastAsia="zh-CN"/>
        </w:rPr>
        <w:t>成交</w:t>
      </w:r>
      <w:r>
        <w:rPr>
          <w:rFonts w:hint="eastAsia"/>
          <w:color w:val="auto"/>
          <w:highlight w:val="none"/>
          <w:lang w:val="en-US" w:eastAsia="zh-CN"/>
        </w:rPr>
        <w:t>供应商</w:t>
      </w:r>
      <w:r>
        <w:rPr>
          <w:rFonts w:hint="eastAsia"/>
          <w:color w:val="auto"/>
          <w:highlight w:val="none"/>
        </w:rPr>
        <w:t>经营、财务状况发生较大变化或存在违法行为，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采购人</w:t>
      </w:r>
      <w:r>
        <w:rPr>
          <w:rFonts w:hint="eastAsia"/>
          <w:color w:val="auto"/>
          <w:highlight w:val="none"/>
        </w:rPr>
        <w:t>可废除</w:t>
      </w:r>
      <w:r>
        <w:rPr>
          <w:rFonts w:hint="eastAsia"/>
          <w:color w:val="auto"/>
          <w:highlight w:val="none"/>
          <w:lang w:eastAsia="zh-CN"/>
        </w:rPr>
        <w:t>成交供应商</w:t>
      </w:r>
      <w:r>
        <w:rPr>
          <w:rFonts w:hint="eastAsia"/>
          <w:color w:val="auto"/>
          <w:highlight w:val="none"/>
        </w:rPr>
        <w:t>资格。</w:t>
      </w:r>
    </w:p>
    <w:p w14:paraId="4CE8E743">
      <w:pPr>
        <w:pStyle w:val="4"/>
        <w:bidi w:val="0"/>
        <w:rPr>
          <w:color w:val="auto"/>
          <w:highlight w:val="none"/>
        </w:rPr>
      </w:pPr>
      <w:r>
        <w:rPr>
          <w:rFonts w:hint="eastAsia"/>
          <w:color w:val="auto"/>
          <w:highlight w:val="none"/>
          <w:lang w:val="en-US" w:eastAsia="zh-CN"/>
        </w:rPr>
        <w:t>17. 参与项目</w:t>
      </w:r>
      <w:r>
        <w:rPr>
          <w:rFonts w:hint="eastAsia"/>
          <w:color w:val="auto"/>
          <w:highlight w:val="none"/>
        </w:rPr>
        <w:t>费用</w:t>
      </w:r>
    </w:p>
    <w:p w14:paraId="66FD9763">
      <w:pPr>
        <w:bidi w:val="0"/>
        <w:rPr>
          <w:color w:val="auto"/>
          <w:highlight w:val="none"/>
        </w:rPr>
      </w:pPr>
      <w:r>
        <w:rPr>
          <w:rFonts w:hint="eastAsia"/>
          <w:color w:val="auto"/>
          <w:highlight w:val="none"/>
          <w:lang w:eastAsia="zh-CN"/>
        </w:rPr>
        <w:t>响应人</w:t>
      </w:r>
      <w:r>
        <w:rPr>
          <w:rFonts w:hint="eastAsia"/>
          <w:color w:val="auto"/>
          <w:highlight w:val="none"/>
        </w:rPr>
        <w:t>参与本</w:t>
      </w:r>
      <w:r>
        <w:rPr>
          <w:rFonts w:hint="eastAsia"/>
          <w:color w:val="auto"/>
          <w:highlight w:val="none"/>
          <w:lang w:eastAsia="zh-CN"/>
        </w:rPr>
        <w:t>询比</w:t>
      </w:r>
      <w:r>
        <w:rPr>
          <w:rFonts w:hint="eastAsia"/>
          <w:color w:val="auto"/>
          <w:highlight w:val="none"/>
        </w:rPr>
        <w:t>项目时，一切与</w:t>
      </w:r>
      <w:r>
        <w:rPr>
          <w:rFonts w:hint="eastAsia"/>
          <w:color w:val="auto"/>
          <w:highlight w:val="none"/>
          <w:lang w:val="en-US" w:eastAsia="zh-CN"/>
        </w:rPr>
        <w:t>响应</w:t>
      </w:r>
      <w:r>
        <w:rPr>
          <w:rFonts w:hint="eastAsia"/>
          <w:color w:val="auto"/>
          <w:highlight w:val="none"/>
        </w:rPr>
        <w:t>有关的费用均由</w:t>
      </w:r>
      <w:r>
        <w:rPr>
          <w:rFonts w:hint="eastAsia"/>
          <w:color w:val="auto"/>
          <w:highlight w:val="none"/>
          <w:lang w:eastAsia="zh-CN"/>
        </w:rPr>
        <w:t>响应人</w:t>
      </w:r>
      <w:r>
        <w:rPr>
          <w:rFonts w:hint="eastAsia"/>
          <w:color w:val="auto"/>
          <w:highlight w:val="none"/>
        </w:rPr>
        <w:t>自理。</w:t>
      </w:r>
    </w:p>
    <w:p w14:paraId="775FFC48">
      <w:pPr>
        <w:bidi w:val="0"/>
        <w:rPr>
          <w:rFonts w:eastAsia="宋体"/>
          <w:color w:val="auto"/>
          <w:highlight w:val="none"/>
          <w:lang w:val="en-US" w:eastAsia="zh-CN"/>
        </w:rPr>
      </w:pPr>
      <w:r>
        <w:rPr>
          <w:rFonts w:hint="eastAsia"/>
          <w:color w:val="auto"/>
          <w:highlight w:val="none"/>
        </w:rPr>
        <w:t>本项目</w:t>
      </w:r>
      <w:r>
        <w:rPr>
          <w:rFonts w:hint="eastAsia"/>
          <w:color w:val="auto"/>
          <w:highlight w:val="none"/>
          <w:lang w:val="en-US" w:eastAsia="zh-CN"/>
        </w:rPr>
        <w:t>交易</w:t>
      </w:r>
      <w:r>
        <w:rPr>
          <w:rFonts w:hint="eastAsia"/>
          <w:color w:val="auto"/>
          <w:highlight w:val="none"/>
        </w:rPr>
        <w:t>服务费</w:t>
      </w:r>
      <w:r>
        <w:rPr>
          <w:rFonts w:hint="eastAsia"/>
          <w:color w:val="auto"/>
          <w:highlight w:val="none"/>
          <w:lang w:val="en-US" w:eastAsia="zh-CN"/>
        </w:rPr>
        <w:t>按如下标准收取：</w:t>
      </w:r>
    </w:p>
    <w:p w14:paraId="6FC26DEE">
      <w:pPr>
        <w:bidi w:val="0"/>
        <w:rPr>
          <w:rFonts w:hint="eastAsia"/>
          <w:color w:val="auto"/>
          <w:highlight w:val="none"/>
        </w:rPr>
      </w:pPr>
      <w:r>
        <w:rPr>
          <w:color w:val="auto"/>
          <w:highlight w:val="none"/>
        </w:rPr>
        <w:t>每个标段（包）采购成交总金额≤50万元的，按0.8万元/标段（包）收取</w:t>
      </w:r>
      <w:r>
        <w:rPr>
          <w:rFonts w:hint="eastAsia"/>
          <w:color w:val="auto"/>
          <w:highlight w:val="none"/>
          <w:lang w:eastAsia="zh-CN"/>
        </w:rPr>
        <w:t>。</w:t>
      </w:r>
    </w:p>
    <w:p w14:paraId="579BD3A2">
      <w:pPr>
        <w:bidi w:val="0"/>
        <w:rPr>
          <w:color w:val="auto"/>
          <w:highlight w:val="none"/>
        </w:rPr>
      </w:pPr>
      <w:r>
        <w:rPr>
          <w:color w:val="auto"/>
          <w:highlight w:val="none"/>
        </w:rPr>
        <w:t>每个标段（包）采购成交总金额＞50万元的，按</w:t>
      </w:r>
      <w:r>
        <w:rPr>
          <w:rFonts w:hint="eastAsia"/>
          <w:color w:val="auto"/>
          <w:highlight w:val="none"/>
          <w:lang w:val="en-US" w:eastAsia="zh-CN"/>
        </w:rPr>
        <w:t>下表</w:t>
      </w:r>
      <w:r>
        <w:rPr>
          <w:color w:val="auto"/>
          <w:highlight w:val="none"/>
        </w:rPr>
        <w:t>比例（按差额定率累进计算方式）收取交易服务费，不足1.5万元的，按1.5万元收取：</w:t>
      </w:r>
    </w:p>
    <w:p w14:paraId="02FBC3C0">
      <w:pPr>
        <w:rPr>
          <w:rFonts w:ascii="Times New Roman" w:hAnsi="Times New Roman" w:cs="Times New Roman"/>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6170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8874FEF">
            <w:pPr>
              <w:pStyle w:val="36"/>
              <w:bidi w:val="0"/>
              <w:rPr>
                <w:highlight w:val="none"/>
              </w:rPr>
            </w:pPr>
            <w:r>
              <w:rPr>
                <w:highlight w:val="none"/>
              </w:rPr>
              <w:t>每个标段（包）采购成交总金额</w:t>
            </w:r>
          </w:p>
        </w:tc>
        <w:tc>
          <w:tcPr>
            <w:tcW w:w="3394" w:type="dxa"/>
            <w:vAlign w:val="center"/>
          </w:tcPr>
          <w:p w14:paraId="1E74E7A6">
            <w:pPr>
              <w:pStyle w:val="36"/>
              <w:bidi w:val="0"/>
              <w:rPr>
                <w:highlight w:val="none"/>
              </w:rPr>
            </w:pPr>
            <w:r>
              <w:rPr>
                <w:highlight w:val="none"/>
              </w:rPr>
              <w:t>收费比例</w:t>
            </w:r>
          </w:p>
        </w:tc>
      </w:tr>
      <w:tr w14:paraId="71DC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EE6CBBB">
            <w:pPr>
              <w:pStyle w:val="35"/>
              <w:bidi w:val="0"/>
              <w:jc w:val="center"/>
              <w:rPr>
                <w:highlight w:val="none"/>
              </w:rPr>
            </w:pPr>
            <w:r>
              <w:rPr>
                <w:highlight w:val="none"/>
              </w:rPr>
              <w:t>0-1000（含）万元</w:t>
            </w:r>
          </w:p>
        </w:tc>
        <w:tc>
          <w:tcPr>
            <w:tcW w:w="3394" w:type="dxa"/>
            <w:vAlign w:val="center"/>
          </w:tcPr>
          <w:p w14:paraId="24E6C51D">
            <w:pPr>
              <w:pStyle w:val="35"/>
              <w:bidi w:val="0"/>
              <w:jc w:val="center"/>
              <w:rPr>
                <w:highlight w:val="none"/>
              </w:rPr>
            </w:pPr>
            <w:r>
              <w:rPr>
                <w:highlight w:val="none"/>
              </w:rPr>
              <w:t>5‰</w:t>
            </w:r>
          </w:p>
        </w:tc>
      </w:tr>
      <w:tr w14:paraId="54F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DD99EA0">
            <w:pPr>
              <w:pStyle w:val="35"/>
              <w:bidi w:val="0"/>
              <w:jc w:val="center"/>
              <w:rPr>
                <w:highlight w:val="none"/>
              </w:rPr>
            </w:pPr>
            <w:r>
              <w:rPr>
                <w:highlight w:val="none"/>
              </w:rPr>
              <w:t>1000-3000（含）万元</w:t>
            </w:r>
          </w:p>
        </w:tc>
        <w:tc>
          <w:tcPr>
            <w:tcW w:w="3394" w:type="dxa"/>
            <w:vAlign w:val="center"/>
          </w:tcPr>
          <w:p w14:paraId="3C8F64FB">
            <w:pPr>
              <w:pStyle w:val="35"/>
              <w:bidi w:val="0"/>
              <w:jc w:val="center"/>
              <w:rPr>
                <w:highlight w:val="none"/>
              </w:rPr>
            </w:pPr>
            <w:r>
              <w:rPr>
                <w:highlight w:val="none"/>
              </w:rPr>
              <w:t>2.5‰</w:t>
            </w:r>
          </w:p>
        </w:tc>
      </w:tr>
      <w:tr w14:paraId="56D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ADD7409">
            <w:pPr>
              <w:pStyle w:val="35"/>
              <w:bidi w:val="0"/>
              <w:jc w:val="center"/>
              <w:rPr>
                <w:highlight w:val="none"/>
              </w:rPr>
            </w:pPr>
            <w:r>
              <w:rPr>
                <w:highlight w:val="none"/>
              </w:rPr>
              <w:t>3000-10000（含）万元</w:t>
            </w:r>
          </w:p>
        </w:tc>
        <w:tc>
          <w:tcPr>
            <w:tcW w:w="3394" w:type="dxa"/>
            <w:vAlign w:val="center"/>
          </w:tcPr>
          <w:p w14:paraId="60FA954A">
            <w:pPr>
              <w:pStyle w:val="35"/>
              <w:bidi w:val="0"/>
              <w:jc w:val="center"/>
              <w:rPr>
                <w:highlight w:val="none"/>
              </w:rPr>
            </w:pPr>
            <w:r>
              <w:rPr>
                <w:highlight w:val="none"/>
              </w:rPr>
              <w:t>1‰</w:t>
            </w:r>
          </w:p>
        </w:tc>
      </w:tr>
      <w:tr w14:paraId="5530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07A3988">
            <w:pPr>
              <w:pStyle w:val="35"/>
              <w:bidi w:val="0"/>
              <w:jc w:val="center"/>
              <w:rPr>
                <w:highlight w:val="none"/>
              </w:rPr>
            </w:pPr>
            <w:r>
              <w:rPr>
                <w:highlight w:val="none"/>
              </w:rPr>
              <w:t>10000万元以上</w:t>
            </w:r>
          </w:p>
        </w:tc>
        <w:tc>
          <w:tcPr>
            <w:tcW w:w="3394" w:type="dxa"/>
            <w:vAlign w:val="center"/>
          </w:tcPr>
          <w:p w14:paraId="1DED8D0A">
            <w:pPr>
              <w:pStyle w:val="35"/>
              <w:bidi w:val="0"/>
              <w:jc w:val="center"/>
              <w:rPr>
                <w:highlight w:val="none"/>
              </w:rPr>
            </w:pPr>
            <w:r>
              <w:rPr>
                <w:highlight w:val="none"/>
              </w:rPr>
              <w:t>0.5‰</w:t>
            </w:r>
          </w:p>
        </w:tc>
      </w:tr>
    </w:tbl>
    <w:p w14:paraId="00D9BF43">
      <w:pPr>
        <w:bidi w:val="0"/>
        <w:rPr>
          <w:color w:val="auto"/>
          <w:highlight w:val="none"/>
        </w:rPr>
      </w:pPr>
      <w:r>
        <w:rPr>
          <w:color w:val="auto"/>
          <w:highlight w:val="none"/>
        </w:rPr>
        <w:t>例如：某平台服务的某标段（包）采购成交总金额3200万元，计算</w:t>
      </w:r>
      <w:r>
        <w:rPr>
          <w:rFonts w:hint="eastAsia"/>
          <w:color w:val="auto"/>
          <w:highlight w:val="none"/>
          <w:lang w:eastAsia="zh-CN"/>
        </w:rPr>
        <w:t>交易服务费</w:t>
      </w:r>
      <w:r>
        <w:rPr>
          <w:color w:val="auto"/>
          <w:highlight w:val="none"/>
        </w:rPr>
        <w:t>收费额如下：</w:t>
      </w:r>
    </w:p>
    <w:p w14:paraId="0707BB15">
      <w:pPr>
        <w:bidi w:val="0"/>
        <w:rPr>
          <w:color w:val="auto"/>
          <w:highlight w:val="none"/>
        </w:rPr>
      </w:pPr>
      <w:r>
        <w:rPr>
          <w:color w:val="auto"/>
          <w:highlight w:val="none"/>
        </w:rPr>
        <w:t>1000万元×5‰=5万元</w:t>
      </w:r>
    </w:p>
    <w:p w14:paraId="531A860D">
      <w:pPr>
        <w:bidi w:val="0"/>
        <w:rPr>
          <w:color w:val="auto"/>
          <w:highlight w:val="none"/>
        </w:rPr>
      </w:pPr>
      <w:r>
        <w:rPr>
          <w:color w:val="auto"/>
          <w:highlight w:val="none"/>
        </w:rPr>
        <w:t>（3000-1000）万元×2.5‰=5万元</w:t>
      </w:r>
    </w:p>
    <w:p w14:paraId="537CBAD7">
      <w:pPr>
        <w:bidi w:val="0"/>
        <w:rPr>
          <w:color w:val="auto"/>
          <w:highlight w:val="none"/>
        </w:rPr>
      </w:pPr>
      <w:r>
        <w:rPr>
          <w:color w:val="auto"/>
          <w:highlight w:val="none"/>
        </w:rPr>
        <w:t>（3200-3000）万元×1‰=0.2万元</w:t>
      </w:r>
    </w:p>
    <w:p w14:paraId="57F530E2">
      <w:pPr>
        <w:bidi w:val="0"/>
        <w:rPr>
          <w:color w:val="auto"/>
          <w:highlight w:val="none"/>
        </w:rPr>
      </w:pPr>
      <w:r>
        <w:rPr>
          <w:color w:val="auto"/>
          <w:highlight w:val="none"/>
        </w:rPr>
        <w:t>合计收费：=5+5+0.2=10.2万元</w:t>
      </w:r>
    </w:p>
    <w:p w14:paraId="15186321">
      <w:pPr>
        <w:bidi w:val="0"/>
        <w:rPr>
          <w:rFonts w:hint="eastAsia"/>
          <w:color w:val="auto"/>
          <w:highlight w:val="none"/>
        </w:rPr>
      </w:pPr>
    </w:p>
    <w:p w14:paraId="3B149270">
      <w:pPr>
        <w:bidi w:val="0"/>
        <w:rPr>
          <w:rFonts w:hint="eastAsia"/>
          <w:color w:val="auto"/>
          <w:highlight w:val="none"/>
          <w:lang w:eastAsia="zh-CN"/>
        </w:rPr>
      </w:pPr>
      <w:r>
        <w:rPr>
          <w:rFonts w:hint="eastAsia"/>
          <w:color w:val="auto"/>
          <w:highlight w:val="none"/>
          <w:lang w:val="en-US" w:eastAsia="zh-CN"/>
        </w:rPr>
        <w:t>交服务费易</w:t>
      </w:r>
      <w:r>
        <w:rPr>
          <w:rFonts w:hint="eastAsia"/>
          <w:color w:val="auto"/>
          <w:highlight w:val="none"/>
        </w:rPr>
        <w:t>由</w:t>
      </w:r>
      <w:r>
        <w:rPr>
          <w:rFonts w:hint="eastAsia"/>
          <w:color w:val="auto"/>
          <w:highlight w:val="none"/>
          <w:lang w:eastAsia="zh-CN"/>
        </w:rPr>
        <w:t>成交供应商</w:t>
      </w:r>
      <w:r>
        <w:rPr>
          <w:rFonts w:hint="eastAsia"/>
          <w:color w:val="auto"/>
          <w:highlight w:val="none"/>
        </w:rPr>
        <w:t>向重庆联合产权交易所集团股份有限公司支付。</w:t>
      </w:r>
      <w:r>
        <w:rPr>
          <w:rFonts w:hint="eastAsia"/>
          <w:color w:val="auto"/>
          <w:highlight w:val="none"/>
          <w:lang w:eastAsia="zh-CN"/>
        </w:rPr>
        <w:t>成交供应商</w:t>
      </w:r>
      <w:r>
        <w:rPr>
          <w:rFonts w:hint="eastAsia"/>
          <w:color w:val="auto"/>
          <w:highlight w:val="none"/>
        </w:rPr>
        <w:t>应在领取</w:t>
      </w:r>
      <w:r>
        <w:rPr>
          <w:rFonts w:hint="eastAsia"/>
          <w:color w:val="auto"/>
          <w:highlight w:val="none"/>
          <w:lang w:eastAsia="zh-CN"/>
        </w:rPr>
        <w:t>成交</w:t>
      </w:r>
      <w:r>
        <w:rPr>
          <w:rFonts w:hint="eastAsia"/>
          <w:color w:val="auto"/>
          <w:highlight w:val="none"/>
        </w:rPr>
        <w:t>通知书时一次性缴纳</w:t>
      </w:r>
      <w:r>
        <w:rPr>
          <w:rFonts w:hint="eastAsia"/>
          <w:color w:val="auto"/>
          <w:highlight w:val="none"/>
          <w:lang w:eastAsia="zh-CN"/>
        </w:rPr>
        <w:t>，请各响应人综合考虑进行报价。</w:t>
      </w:r>
    </w:p>
    <w:p w14:paraId="2633AE31">
      <w:pPr>
        <w:rPr>
          <w:color w:val="auto"/>
          <w:highlight w:val="none"/>
        </w:rPr>
      </w:pPr>
      <w:r>
        <w:rPr>
          <w:rFonts w:hint="eastAsia"/>
          <w:color w:val="auto"/>
          <w:highlight w:val="none"/>
        </w:rPr>
        <w:t>本项目平台服务费为</w:t>
      </w:r>
      <w:r>
        <w:rPr>
          <w:rFonts w:hint="eastAsia"/>
          <w:color w:val="auto"/>
          <w:highlight w:val="none"/>
          <w:lang w:val="en-US" w:eastAsia="zh-CN"/>
        </w:rPr>
        <w:t>15000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65A8F3C4">
      <w:pPr>
        <w:rPr>
          <w:color w:val="auto"/>
          <w:highlight w:val="none"/>
        </w:rPr>
      </w:pPr>
    </w:p>
    <w:p w14:paraId="7AB40605">
      <w:pPr>
        <w:bidi w:val="0"/>
        <w:rPr>
          <w:color w:val="auto"/>
          <w:highlight w:val="none"/>
        </w:rPr>
      </w:pPr>
      <w:r>
        <w:rPr>
          <w:color w:val="auto"/>
          <w:highlight w:val="none"/>
        </w:rPr>
        <w:br w:type="page"/>
      </w:r>
    </w:p>
    <w:p w14:paraId="6EFC0D8A">
      <w:pPr>
        <w:pStyle w:val="3"/>
        <w:bidi w:val="0"/>
        <w:rPr>
          <w:rFonts w:hint="eastAsia"/>
          <w:color w:val="auto"/>
          <w:highlight w:val="none"/>
          <w:lang w:val="en-US" w:eastAsia="zh-CN"/>
        </w:rPr>
      </w:pPr>
      <w:bookmarkStart w:id="53" w:name="_Toc25543"/>
      <w:bookmarkStart w:id="54" w:name="_Toc29189"/>
      <w:bookmarkStart w:id="55" w:name="_Toc3142"/>
      <w:bookmarkStart w:id="56" w:name="_Toc7159"/>
      <w:r>
        <w:rPr>
          <w:rFonts w:hint="eastAsia"/>
          <w:color w:val="auto"/>
          <w:highlight w:val="none"/>
          <w:lang w:val="en-US" w:eastAsia="zh-CN"/>
        </w:rPr>
        <w:t>第三章 评审办法（综合评估法）</w:t>
      </w:r>
      <w:bookmarkEnd w:id="53"/>
      <w:bookmarkEnd w:id="54"/>
      <w:bookmarkEnd w:id="55"/>
      <w:bookmarkEnd w:id="56"/>
    </w:p>
    <w:p w14:paraId="34FD68B5">
      <w:pPr>
        <w:pStyle w:val="4"/>
        <w:bidi w:val="0"/>
        <w:rPr>
          <w:rFonts w:hint="eastAsia"/>
          <w:color w:val="auto"/>
          <w:highlight w:val="none"/>
        </w:rPr>
      </w:pPr>
      <w:bookmarkStart w:id="57" w:name="_Toc2028"/>
      <w:bookmarkStart w:id="58" w:name="_Toc14810"/>
      <w:bookmarkStart w:id="59" w:name="_Toc27076"/>
      <w:bookmarkStart w:id="60" w:name="_Toc11471"/>
      <w:r>
        <w:rPr>
          <w:rFonts w:hint="eastAsia"/>
          <w:color w:val="auto"/>
          <w:highlight w:val="none"/>
        </w:rPr>
        <w:t>评审办法前附表</w:t>
      </w:r>
      <w:bookmarkEnd w:id="57"/>
      <w:bookmarkEnd w:id="58"/>
      <w:bookmarkEnd w:id="59"/>
      <w:bookmarkEnd w:id="60"/>
    </w:p>
    <w:p w14:paraId="5FDEF0B9">
      <w:pPr>
        <w:bidi w:val="0"/>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669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0510D2F">
            <w:pPr>
              <w:pStyle w:val="36"/>
              <w:bidi w:val="0"/>
              <w:rPr>
                <w:highlight w:val="none"/>
              </w:rPr>
            </w:pPr>
            <w:bookmarkStart w:id="61" w:name="CQZH1_07"/>
            <w:r>
              <w:rPr>
                <w:rFonts w:hint="eastAsia"/>
                <w:highlight w:val="none"/>
              </w:rPr>
              <w:t>条款号</w:t>
            </w:r>
          </w:p>
        </w:tc>
        <w:tc>
          <w:tcPr>
            <w:tcW w:w="1482" w:type="dxa"/>
            <w:vAlign w:val="center"/>
          </w:tcPr>
          <w:p w14:paraId="284ECE99">
            <w:pPr>
              <w:pStyle w:val="36"/>
              <w:bidi w:val="0"/>
              <w:rPr>
                <w:highlight w:val="none"/>
              </w:rPr>
            </w:pPr>
            <w:r>
              <w:rPr>
                <w:rFonts w:hint="eastAsia"/>
                <w:highlight w:val="none"/>
              </w:rPr>
              <w:t>评审因素</w:t>
            </w:r>
          </w:p>
        </w:tc>
        <w:tc>
          <w:tcPr>
            <w:tcW w:w="7162" w:type="dxa"/>
            <w:gridSpan w:val="3"/>
            <w:vAlign w:val="center"/>
          </w:tcPr>
          <w:p w14:paraId="589BF730">
            <w:pPr>
              <w:pStyle w:val="36"/>
              <w:bidi w:val="0"/>
              <w:rPr>
                <w:highlight w:val="none"/>
              </w:rPr>
            </w:pPr>
            <w:r>
              <w:rPr>
                <w:rFonts w:hint="eastAsia"/>
                <w:highlight w:val="none"/>
              </w:rPr>
              <w:t>评审标准</w:t>
            </w:r>
          </w:p>
        </w:tc>
      </w:tr>
      <w:tr w14:paraId="1121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3BFB436">
            <w:pPr>
              <w:pStyle w:val="35"/>
              <w:bidi w:val="0"/>
              <w:rPr>
                <w:rFonts w:hint="eastAsia"/>
                <w:highlight w:val="none"/>
                <w:lang w:val="en-US" w:eastAsia="zh-CN"/>
              </w:rPr>
            </w:pPr>
            <w:r>
              <w:rPr>
                <w:rFonts w:hint="eastAsia"/>
                <w:highlight w:val="none"/>
                <w:lang w:val="en-US" w:eastAsia="zh-CN"/>
              </w:rPr>
              <w:t>1</w:t>
            </w:r>
          </w:p>
        </w:tc>
        <w:tc>
          <w:tcPr>
            <w:tcW w:w="1482" w:type="dxa"/>
            <w:vAlign w:val="center"/>
          </w:tcPr>
          <w:p w14:paraId="30839C2B">
            <w:pPr>
              <w:pStyle w:val="35"/>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7BDBA45E">
            <w:pPr>
              <w:pStyle w:val="35"/>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条规定的评分标准进行打分，按得分由高到低顺序排序，但响应报价低于其成本的除外。综合评分相等时，以响应报价（不含税）低的优先；响应报价也相等的，由评审委员会按照</w:t>
            </w:r>
            <w:r>
              <w:rPr>
                <w:highlight w:val="none"/>
              </w:rPr>
              <w:t>提供案例个数最多</w:t>
            </w:r>
            <w:r>
              <w:rPr>
                <w:rFonts w:hint="eastAsia"/>
                <w:highlight w:val="none"/>
                <w:lang w:val="en-US" w:eastAsia="zh-CN"/>
              </w:rPr>
              <w:t>优先原则确定排名。根据项目所需成交供应商数量，按照排名顺序确定成交供应商。</w:t>
            </w:r>
          </w:p>
        </w:tc>
      </w:tr>
      <w:tr w14:paraId="0BFC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1F50A47">
            <w:pPr>
              <w:pStyle w:val="35"/>
              <w:bidi w:val="0"/>
              <w:rPr>
                <w:rFonts w:hint="eastAsia"/>
                <w:highlight w:val="none"/>
                <w:lang w:val="en-US" w:eastAsia="zh-CN"/>
              </w:rPr>
            </w:pPr>
            <w:r>
              <w:rPr>
                <w:rFonts w:hint="eastAsia"/>
                <w:highlight w:val="none"/>
                <w:lang w:val="en-US" w:eastAsia="zh-CN"/>
              </w:rPr>
              <w:t>2.1</w:t>
            </w:r>
          </w:p>
        </w:tc>
        <w:tc>
          <w:tcPr>
            <w:tcW w:w="1482" w:type="dxa"/>
            <w:vAlign w:val="center"/>
          </w:tcPr>
          <w:p w14:paraId="1C6AE1F0">
            <w:pPr>
              <w:pStyle w:val="35"/>
              <w:bidi w:val="0"/>
              <w:rPr>
                <w:highlight w:val="none"/>
                <w:lang w:val="en-US" w:eastAsia="zh-CN"/>
              </w:rPr>
            </w:pPr>
            <w:r>
              <w:rPr>
                <w:rFonts w:hint="eastAsia"/>
                <w:highlight w:val="none"/>
                <w:lang w:val="en-US" w:eastAsia="zh-CN"/>
              </w:rPr>
              <w:t>初步评审标准</w:t>
            </w:r>
          </w:p>
        </w:tc>
        <w:tc>
          <w:tcPr>
            <w:tcW w:w="7162" w:type="dxa"/>
            <w:gridSpan w:val="3"/>
            <w:vAlign w:val="center"/>
          </w:tcPr>
          <w:p w14:paraId="53D902CD">
            <w:pPr>
              <w:pStyle w:val="35"/>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内容：形式评审、资格评审、响应性评审。</w:t>
            </w:r>
          </w:p>
        </w:tc>
      </w:tr>
      <w:tr w14:paraId="315D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7F0CB11">
            <w:pPr>
              <w:pStyle w:val="35"/>
              <w:bidi w:val="0"/>
              <w:rPr>
                <w:rFonts w:hint="eastAsia" w:eastAsia="宋体"/>
                <w:highlight w:val="none"/>
                <w:lang w:eastAsia="zh-CN"/>
              </w:rPr>
            </w:pPr>
            <w:r>
              <w:rPr>
                <w:rFonts w:hint="eastAsia"/>
                <w:highlight w:val="none"/>
              </w:rPr>
              <w:t>2.1.</w:t>
            </w:r>
            <w:r>
              <w:rPr>
                <w:rFonts w:hint="eastAsia"/>
                <w:highlight w:val="none"/>
                <w:lang w:val="en-US" w:eastAsia="zh-CN"/>
              </w:rPr>
              <w:t>1</w:t>
            </w:r>
          </w:p>
        </w:tc>
        <w:tc>
          <w:tcPr>
            <w:tcW w:w="1482" w:type="dxa"/>
            <w:vMerge w:val="restart"/>
            <w:vAlign w:val="center"/>
          </w:tcPr>
          <w:p w14:paraId="5500D151">
            <w:pPr>
              <w:pStyle w:val="35"/>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6A20B1CA">
            <w:pPr>
              <w:pStyle w:val="35"/>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5996317D">
            <w:pPr>
              <w:pStyle w:val="35"/>
              <w:bidi w:val="0"/>
              <w:rPr>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4095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50A6E22">
            <w:pPr>
              <w:rPr>
                <w:color w:val="auto"/>
                <w:highlight w:val="none"/>
              </w:rPr>
            </w:pPr>
          </w:p>
        </w:tc>
        <w:tc>
          <w:tcPr>
            <w:tcW w:w="1482" w:type="dxa"/>
            <w:vMerge w:val="continue"/>
            <w:textDirection w:val="tbRlV"/>
            <w:vAlign w:val="center"/>
          </w:tcPr>
          <w:p w14:paraId="2AADEB52">
            <w:pPr>
              <w:rPr>
                <w:color w:val="auto"/>
                <w:highlight w:val="none"/>
              </w:rPr>
            </w:pPr>
          </w:p>
        </w:tc>
        <w:tc>
          <w:tcPr>
            <w:tcW w:w="1686" w:type="dxa"/>
            <w:gridSpan w:val="2"/>
            <w:vAlign w:val="center"/>
          </w:tcPr>
          <w:p w14:paraId="7D75CD8A">
            <w:pPr>
              <w:pStyle w:val="35"/>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2714141F">
            <w:pPr>
              <w:pStyle w:val="35"/>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3931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CE1C86B">
            <w:pPr>
              <w:rPr>
                <w:color w:val="auto"/>
                <w:highlight w:val="none"/>
              </w:rPr>
            </w:pPr>
          </w:p>
        </w:tc>
        <w:tc>
          <w:tcPr>
            <w:tcW w:w="1482" w:type="dxa"/>
            <w:vMerge w:val="continue"/>
            <w:textDirection w:val="tbRlV"/>
            <w:vAlign w:val="center"/>
          </w:tcPr>
          <w:p w14:paraId="21AAD67B">
            <w:pPr>
              <w:rPr>
                <w:color w:val="auto"/>
                <w:highlight w:val="none"/>
              </w:rPr>
            </w:pPr>
          </w:p>
        </w:tc>
        <w:tc>
          <w:tcPr>
            <w:tcW w:w="1686" w:type="dxa"/>
            <w:gridSpan w:val="2"/>
            <w:vAlign w:val="center"/>
          </w:tcPr>
          <w:p w14:paraId="43D0682E">
            <w:pPr>
              <w:pStyle w:val="35"/>
              <w:bidi w:val="0"/>
              <w:rPr>
                <w:rFonts w:hint="eastAsia"/>
                <w:highlight w:val="none"/>
                <w:lang w:val="en-US" w:eastAsia="zh-CN"/>
              </w:rPr>
            </w:pPr>
            <w:r>
              <w:rPr>
                <w:rFonts w:hint="eastAsia"/>
                <w:highlight w:val="none"/>
                <w:lang w:eastAsia="zh-CN"/>
              </w:rPr>
              <w:t>响应文件的密封</w:t>
            </w:r>
          </w:p>
        </w:tc>
        <w:tc>
          <w:tcPr>
            <w:tcW w:w="5476" w:type="dxa"/>
            <w:vAlign w:val="center"/>
          </w:tcPr>
          <w:p w14:paraId="28E93687">
            <w:pPr>
              <w:pStyle w:val="35"/>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3AE7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02CE9CB">
            <w:pPr>
              <w:rPr>
                <w:color w:val="auto"/>
                <w:highlight w:val="none"/>
              </w:rPr>
            </w:pPr>
          </w:p>
        </w:tc>
        <w:tc>
          <w:tcPr>
            <w:tcW w:w="1482" w:type="dxa"/>
            <w:vMerge w:val="continue"/>
            <w:textDirection w:val="tbRlV"/>
            <w:vAlign w:val="center"/>
          </w:tcPr>
          <w:p w14:paraId="7B177DDF">
            <w:pPr>
              <w:rPr>
                <w:color w:val="auto"/>
                <w:highlight w:val="none"/>
              </w:rPr>
            </w:pPr>
          </w:p>
        </w:tc>
        <w:tc>
          <w:tcPr>
            <w:tcW w:w="1686" w:type="dxa"/>
            <w:gridSpan w:val="2"/>
            <w:vAlign w:val="center"/>
          </w:tcPr>
          <w:p w14:paraId="18732C79">
            <w:pPr>
              <w:pStyle w:val="35"/>
              <w:bidi w:val="0"/>
              <w:rPr>
                <w:rFonts w:hint="eastAsia"/>
                <w:highlight w:val="none"/>
                <w:lang w:val="en-US" w:eastAsia="zh-CN"/>
              </w:rPr>
            </w:pPr>
            <w:r>
              <w:rPr>
                <w:rFonts w:hint="eastAsia"/>
                <w:highlight w:val="none"/>
                <w:lang w:eastAsia="zh-CN"/>
              </w:rPr>
              <w:t>响应文件格式</w:t>
            </w:r>
          </w:p>
        </w:tc>
        <w:tc>
          <w:tcPr>
            <w:tcW w:w="5476" w:type="dxa"/>
            <w:vAlign w:val="center"/>
          </w:tcPr>
          <w:p w14:paraId="43601A34">
            <w:pPr>
              <w:pStyle w:val="35"/>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r>
              <w:rPr>
                <w:rFonts w:hint="eastAsia"/>
                <w:highlight w:val="none"/>
                <w:lang w:eastAsia="zh-CN"/>
              </w:rPr>
              <w:t>；</w:t>
            </w:r>
          </w:p>
        </w:tc>
      </w:tr>
      <w:tr w14:paraId="29D6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EF1DAEF">
            <w:pPr>
              <w:rPr>
                <w:color w:val="auto"/>
                <w:highlight w:val="none"/>
              </w:rPr>
            </w:pPr>
          </w:p>
        </w:tc>
        <w:tc>
          <w:tcPr>
            <w:tcW w:w="1482" w:type="dxa"/>
            <w:vMerge w:val="continue"/>
            <w:textDirection w:val="tbRlV"/>
            <w:vAlign w:val="center"/>
          </w:tcPr>
          <w:p w14:paraId="1EFF0E70">
            <w:pPr>
              <w:rPr>
                <w:color w:val="auto"/>
                <w:highlight w:val="none"/>
              </w:rPr>
            </w:pPr>
          </w:p>
        </w:tc>
        <w:tc>
          <w:tcPr>
            <w:tcW w:w="1686" w:type="dxa"/>
            <w:gridSpan w:val="2"/>
            <w:vAlign w:val="center"/>
          </w:tcPr>
          <w:p w14:paraId="2063E6F6">
            <w:pPr>
              <w:pStyle w:val="35"/>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776FDB64">
            <w:pPr>
              <w:pStyle w:val="35"/>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4A07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7D38FD1">
            <w:pPr>
              <w:rPr>
                <w:color w:val="auto"/>
                <w:highlight w:val="none"/>
              </w:rPr>
            </w:pPr>
          </w:p>
        </w:tc>
        <w:tc>
          <w:tcPr>
            <w:tcW w:w="1482" w:type="dxa"/>
            <w:vMerge w:val="continue"/>
            <w:textDirection w:val="tbRlV"/>
            <w:vAlign w:val="center"/>
          </w:tcPr>
          <w:p w14:paraId="742CCA32">
            <w:pPr>
              <w:rPr>
                <w:color w:val="auto"/>
                <w:highlight w:val="none"/>
              </w:rPr>
            </w:pPr>
          </w:p>
        </w:tc>
        <w:tc>
          <w:tcPr>
            <w:tcW w:w="1686" w:type="dxa"/>
            <w:gridSpan w:val="2"/>
            <w:vAlign w:val="center"/>
          </w:tcPr>
          <w:p w14:paraId="2BA6BA53">
            <w:pPr>
              <w:pStyle w:val="35"/>
              <w:bidi w:val="0"/>
              <w:rPr>
                <w:rFonts w:hint="eastAsia"/>
                <w:highlight w:val="none"/>
                <w:lang w:eastAsia="zh-CN"/>
              </w:rPr>
            </w:pPr>
            <w:r>
              <w:rPr>
                <w:rFonts w:hint="eastAsia"/>
                <w:highlight w:val="none"/>
                <w:lang w:val="en-US" w:eastAsia="zh-CN"/>
              </w:rPr>
              <w:t>联合体</w:t>
            </w:r>
            <w:r>
              <w:rPr>
                <w:rFonts w:hint="eastAsia"/>
                <w:highlight w:val="none"/>
                <w:lang w:eastAsia="zh-CN"/>
              </w:rPr>
              <w:t>响应</w:t>
            </w:r>
          </w:p>
        </w:tc>
        <w:tc>
          <w:tcPr>
            <w:tcW w:w="5476" w:type="dxa"/>
            <w:vAlign w:val="center"/>
          </w:tcPr>
          <w:p w14:paraId="15011C5E">
            <w:pPr>
              <w:pStyle w:val="35"/>
              <w:bidi w:val="0"/>
              <w:rPr>
                <w:highlight w:val="none"/>
              </w:rPr>
            </w:pPr>
            <w:r>
              <w:rPr>
                <w:rFonts w:hint="eastAsia"/>
                <w:highlight w:val="none"/>
                <w:lang w:val="en-US" w:eastAsia="zh-CN"/>
              </w:rPr>
              <w:t>符合第一章“2. 响应人资格要求” 2.1 条的要求</w:t>
            </w:r>
          </w:p>
        </w:tc>
      </w:tr>
      <w:tr w14:paraId="6E3F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5CFFC617">
            <w:pPr>
              <w:pStyle w:val="35"/>
              <w:bidi w:val="0"/>
              <w:ind w:firstLine="0"/>
              <w:rPr>
                <w:rFonts w:hint="eastAsia" w:eastAsia="宋体"/>
                <w:highlight w:val="none"/>
                <w:lang w:eastAsia="zh-CN"/>
              </w:rPr>
            </w:pPr>
            <w:r>
              <w:rPr>
                <w:rFonts w:hint="eastAsia"/>
                <w:highlight w:val="none"/>
              </w:rPr>
              <w:t>2.1.</w:t>
            </w:r>
            <w:r>
              <w:rPr>
                <w:rFonts w:hint="eastAsia"/>
                <w:highlight w:val="none"/>
                <w:lang w:val="en-US" w:eastAsia="zh-CN"/>
              </w:rPr>
              <w:t>2</w:t>
            </w:r>
          </w:p>
        </w:tc>
        <w:tc>
          <w:tcPr>
            <w:tcW w:w="1482" w:type="dxa"/>
            <w:vAlign w:val="center"/>
          </w:tcPr>
          <w:p w14:paraId="37E4B959">
            <w:pPr>
              <w:pStyle w:val="35"/>
              <w:bidi w:val="0"/>
              <w:ind w:firstLine="0"/>
              <w:rPr>
                <w:highlight w:val="none"/>
              </w:rPr>
            </w:pPr>
            <w:r>
              <w:rPr>
                <w:rFonts w:hint="eastAsia"/>
                <w:highlight w:val="none"/>
              </w:rPr>
              <w:t>资格评审标准</w:t>
            </w:r>
          </w:p>
        </w:tc>
        <w:tc>
          <w:tcPr>
            <w:tcW w:w="1686" w:type="dxa"/>
            <w:gridSpan w:val="2"/>
            <w:vAlign w:val="center"/>
          </w:tcPr>
          <w:p w14:paraId="5299B0D9">
            <w:pPr>
              <w:pStyle w:val="35"/>
              <w:bidi w:val="0"/>
              <w:ind w:firstLine="0"/>
              <w:rPr>
                <w:rFonts w:hint="eastAsia"/>
                <w:highlight w:val="none"/>
                <w:lang w:val="en-US" w:eastAsia="zh-CN"/>
              </w:rPr>
            </w:pPr>
            <w:r>
              <w:rPr>
                <w:rFonts w:hint="eastAsia"/>
                <w:highlight w:val="none"/>
                <w:lang w:val="en-US" w:eastAsia="zh-CN"/>
              </w:rPr>
              <w:t>资格条件要求</w:t>
            </w:r>
          </w:p>
        </w:tc>
        <w:tc>
          <w:tcPr>
            <w:tcW w:w="5476" w:type="dxa"/>
            <w:vAlign w:val="center"/>
          </w:tcPr>
          <w:p w14:paraId="14220C30">
            <w:pPr>
              <w:pStyle w:val="35"/>
              <w:bidi w:val="0"/>
              <w:ind w:firstLine="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0FD1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30B824D">
            <w:pPr>
              <w:pStyle w:val="35"/>
              <w:bidi w:val="0"/>
              <w:rPr>
                <w:highlight w:val="none"/>
              </w:rPr>
            </w:pPr>
            <w:r>
              <w:rPr>
                <w:rFonts w:hint="eastAsia"/>
                <w:highlight w:val="none"/>
              </w:rPr>
              <w:t>2.1.3</w:t>
            </w:r>
          </w:p>
        </w:tc>
        <w:tc>
          <w:tcPr>
            <w:tcW w:w="1482" w:type="dxa"/>
            <w:vMerge w:val="restart"/>
            <w:vAlign w:val="center"/>
          </w:tcPr>
          <w:p w14:paraId="74608954">
            <w:pPr>
              <w:pStyle w:val="35"/>
              <w:bidi w:val="0"/>
              <w:rPr>
                <w:highlight w:val="none"/>
              </w:rPr>
            </w:pPr>
            <w:r>
              <w:rPr>
                <w:rFonts w:hint="eastAsia"/>
                <w:highlight w:val="none"/>
              </w:rPr>
              <w:t>响应性评审标准</w:t>
            </w:r>
          </w:p>
        </w:tc>
        <w:tc>
          <w:tcPr>
            <w:tcW w:w="1686" w:type="dxa"/>
            <w:gridSpan w:val="2"/>
            <w:vAlign w:val="center"/>
          </w:tcPr>
          <w:p w14:paraId="3AC1869E">
            <w:pPr>
              <w:pStyle w:val="35"/>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31F8C432">
            <w:pPr>
              <w:pStyle w:val="35"/>
              <w:bidi w:val="0"/>
              <w:rPr>
                <w:highlight w:val="none"/>
                <w:lang w:val="en-US" w:eastAsia="zh-CN"/>
              </w:rPr>
            </w:pPr>
            <w:r>
              <w:rPr>
                <w:rFonts w:hint="eastAsia"/>
                <w:highlight w:val="none"/>
                <w:lang w:val="en-US" w:eastAsia="zh-CN"/>
              </w:rPr>
              <w:t>1. 在响应承诺函中对第五章“项目要求”内容做出整体承诺；</w:t>
            </w:r>
          </w:p>
          <w:p w14:paraId="14083311">
            <w:pPr>
              <w:pStyle w:val="35"/>
              <w:bidi w:val="0"/>
              <w:rPr>
                <w:rFonts w:hint="eastAsia"/>
                <w:highlight w:val="none"/>
                <w:lang w:val="en-US" w:eastAsia="zh-CN"/>
              </w:rPr>
            </w:pPr>
            <w:r>
              <w:rPr>
                <w:rFonts w:hint="eastAsia"/>
                <w:highlight w:val="none"/>
                <w:lang w:val="en-US" w:eastAsia="zh-CN"/>
              </w:rPr>
              <w:t>2. 根据第一章“2. 响应人</w:t>
            </w:r>
            <w:r>
              <w:rPr>
                <w:highlight w:val="none"/>
                <w:lang w:val="en-US" w:eastAsia="zh-CN"/>
              </w:rPr>
              <w:t>资格要求”和</w:t>
            </w:r>
            <w:r>
              <w:rPr>
                <w:rFonts w:hint="eastAsia"/>
                <w:highlight w:val="none"/>
                <w:lang w:val="en-US" w:eastAsia="zh-CN"/>
              </w:rPr>
              <w:t>第五章</w:t>
            </w:r>
            <w:r>
              <w:rPr>
                <w:highlight w:val="none"/>
                <w:lang w:val="en-US" w:eastAsia="zh-CN"/>
              </w:rPr>
              <w:t>“项目要求”的要求规定，提供对应</w:t>
            </w:r>
            <w:r>
              <w:rPr>
                <w:rFonts w:hint="eastAsia"/>
                <w:highlight w:val="none"/>
                <w:lang w:val="en-US" w:eastAsia="zh-CN"/>
              </w:rPr>
              <w:t>资料</w:t>
            </w:r>
            <w:r>
              <w:rPr>
                <w:highlight w:val="none"/>
                <w:lang w:val="en-US" w:eastAsia="zh-CN"/>
              </w:rPr>
              <w:t>，内容齐全、无遗漏。</w:t>
            </w:r>
          </w:p>
          <w:p w14:paraId="79C969B5">
            <w:pPr>
              <w:pStyle w:val="35"/>
              <w:bidi w:val="0"/>
              <w:rPr>
                <w:highlight w:val="none"/>
                <w:lang w:val="en-US" w:eastAsia="zh-CN"/>
              </w:rPr>
            </w:pPr>
            <w:r>
              <w:rPr>
                <w:rFonts w:hint="eastAsia"/>
                <w:highlight w:val="none"/>
                <w:lang w:val="en-US" w:eastAsia="zh-CN"/>
              </w:rPr>
              <w:t>3. 根据第五章“</w:t>
            </w:r>
            <w:r>
              <w:rPr>
                <w:highlight w:val="none"/>
                <w:lang w:val="en-US" w:eastAsia="zh-CN"/>
              </w:rPr>
              <w:t>第</w:t>
            </w:r>
            <w:r>
              <w:rPr>
                <w:rFonts w:hint="eastAsia"/>
                <w:highlight w:val="none"/>
                <w:lang w:val="en-US" w:eastAsia="zh-CN"/>
              </w:rPr>
              <w:t>3.1条”中</w:t>
            </w:r>
            <w:r>
              <w:rPr>
                <w:highlight w:val="none"/>
              </w:rPr>
              <w:t>业务需求</w:t>
            </w:r>
            <w:r>
              <w:rPr>
                <w:rFonts w:hint="eastAsia"/>
                <w:highlight w:val="none"/>
                <w:lang w:val="en-US" w:eastAsia="zh-CN"/>
              </w:rPr>
              <w:t>要求，提供</w:t>
            </w:r>
            <w:r>
              <w:rPr>
                <w:highlight w:val="none"/>
              </w:rPr>
              <w:t>业务需求</w:t>
            </w:r>
            <w:r>
              <w:rPr>
                <w:rFonts w:hint="eastAsia"/>
                <w:highlight w:val="none"/>
                <w:lang w:val="en-US" w:eastAsia="zh-CN"/>
              </w:rPr>
              <w:t>偏离表，内容齐全、无遗漏，无负偏差。</w:t>
            </w:r>
          </w:p>
        </w:tc>
      </w:tr>
      <w:tr w14:paraId="065F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9295E18">
            <w:pPr>
              <w:rPr>
                <w:color w:val="auto"/>
                <w:highlight w:val="none"/>
              </w:rPr>
            </w:pPr>
          </w:p>
        </w:tc>
        <w:tc>
          <w:tcPr>
            <w:tcW w:w="1482" w:type="dxa"/>
            <w:vMerge w:val="continue"/>
          </w:tcPr>
          <w:p w14:paraId="01ABF89A">
            <w:pPr>
              <w:rPr>
                <w:color w:val="auto"/>
                <w:highlight w:val="none"/>
              </w:rPr>
            </w:pPr>
          </w:p>
        </w:tc>
        <w:tc>
          <w:tcPr>
            <w:tcW w:w="1686" w:type="dxa"/>
            <w:gridSpan w:val="2"/>
            <w:vAlign w:val="center"/>
          </w:tcPr>
          <w:p w14:paraId="2BAE8472">
            <w:pPr>
              <w:pStyle w:val="35"/>
              <w:bidi w:val="0"/>
              <w:rPr>
                <w:rFonts w:hint="eastAsia"/>
                <w:highlight w:val="none"/>
                <w:lang w:val="en-US" w:eastAsia="zh-CN"/>
              </w:rPr>
            </w:pPr>
            <w:r>
              <w:rPr>
                <w:rFonts w:hint="eastAsia"/>
                <w:highlight w:val="none"/>
                <w:lang w:eastAsia="zh-CN"/>
              </w:rPr>
              <w:t>响应文件份数</w:t>
            </w:r>
          </w:p>
        </w:tc>
        <w:tc>
          <w:tcPr>
            <w:tcW w:w="5476" w:type="dxa"/>
            <w:vAlign w:val="center"/>
          </w:tcPr>
          <w:p w14:paraId="1330E193">
            <w:pPr>
              <w:pStyle w:val="35"/>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1F5B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32C78ED">
            <w:pPr>
              <w:rPr>
                <w:color w:val="auto"/>
                <w:highlight w:val="none"/>
              </w:rPr>
            </w:pPr>
          </w:p>
        </w:tc>
        <w:tc>
          <w:tcPr>
            <w:tcW w:w="1482" w:type="dxa"/>
            <w:vMerge w:val="continue"/>
          </w:tcPr>
          <w:p w14:paraId="1EA643D2">
            <w:pPr>
              <w:rPr>
                <w:color w:val="auto"/>
                <w:highlight w:val="none"/>
              </w:rPr>
            </w:pPr>
          </w:p>
        </w:tc>
        <w:tc>
          <w:tcPr>
            <w:tcW w:w="1686" w:type="dxa"/>
            <w:gridSpan w:val="2"/>
            <w:vAlign w:val="center"/>
          </w:tcPr>
          <w:p w14:paraId="3A180F88">
            <w:pPr>
              <w:pStyle w:val="35"/>
              <w:bidi w:val="0"/>
              <w:rPr>
                <w:rFonts w:hint="eastAsia"/>
                <w:highlight w:val="none"/>
                <w:lang w:val="en-US" w:eastAsia="zh-CN"/>
              </w:rPr>
            </w:pPr>
            <w:r>
              <w:rPr>
                <w:rFonts w:hint="eastAsia"/>
                <w:highlight w:val="none"/>
                <w:lang w:eastAsia="zh-CN"/>
              </w:rPr>
              <w:t>响应方案唯一</w:t>
            </w:r>
          </w:p>
        </w:tc>
        <w:tc>
          <w:tcPr>
            <w:tcW w:w="5476" w:type="dxa"/>
            <w:vAlign w:val="center"/>
          </w:tcPr>
          <w:p w14:paraId="1674FA60">
            <w:pPr>
              <w:pStyle w:val="35"/>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02FB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E1FF73D">
            <w:pPr>
              <w:rPr>
                <w:color w:val="auto"/>
                <w:highlight w:val="none"/>
              </w:rPr>
            </w:pPr>
          </w:p>
        </w:tc>
        <w:tc>
          <w:tcPr>
            <w:tcW w:w="1482" w:type="dxa"/>
            <w:vMerge w:val="continue"/>
          </w:tcPr>
          <w:p w14:paraId="621DF391">
            <w:pPr>
              <w:rPr>
                <w:color w:val="auto"/>
                <w:highlight w:val="none"/>
              </w:rPr>
            </w:pPr>
          </w:p>
        </w:tc>
        <w:tc>
          <w:tcPr>
            <w:tcW w:w="1686" w:type="dxa"/>
            <w:gridSpan w:val="2"/>
            <w:vAlign w:val="center"/>
          </w:tcPr>
          <w:p w14:paraId="656EAC27">
            <w:pPr>
              <w:pStyle w:val="35"/>
              <w:bidi w:val="0"/>
              <w:rPr>
                <w:rFonts w:hint="eastAsia"/>
                <w:highlight w:val="none"/>
              </w:rPr>
            </w:pPr>
            <w:r>
              <w:rPr>
                <w:rFonts w:hint="eastAsia"/>
                <w:highlight w:val="none"/>
                <w:lang w:eastAsia="zh-CN"/>
              </w:rPr>
              <w:t>响应报价</w:t>
            </w:r>
          </w:p>
        </w:tc>
        <w:tc>
          <w:tcPr>
            <w:tcW w:w="5476" w:type="dxa"/>
            <w:vAlign w:val="center"/>
          </w:tcPr>
          <w:p w14:paraId="1705A692">
            <w:pPr>
              <w:pStyle w:val="35"/>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5151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032699">
            <w:pPr>
              <w:rPr>
                <w:color w:val="auto"/>
                <w:highlight w:val="none"/>
              </w:rPr>
            </w:pPr>
          </w:p>
        </w:tc>
        <w:tc>
          <w:tcPr>
            <w:tcW w:w="1482" w:type="dxa"/>
            <w:vMerge w:val="continue"/>
          </w:tcPr>
          <w:p w14:paraId="10B6E09D">
            <w:pPr>
              <w:rPr>
                <w:color w:val="auto"/>
                <w:highlight w:val="none"/>
              </w:rPr>
            </w:pPr>
          </w:p>
        </w:tc>
        <w:tc>
          <w:tcPr>
            <w:tcW w:w="1686" w:type="dxa"/>
            <w:gridSpan w:val="2"/>
            <w:vAlign w:val="center"/>
          </w:tcPr>
          <w:p w14:paraId="16C5FA1B">
            <w:pPr>
              <w:pStyle w:val="35"/>
              <w:bidi w:val="0"/>
              <w:rPr>
                <w:rFonts w:hint="eastAsia"/>
                <w:highlight w:val="none"/>
              </w:rPr>
            </w:pPr>
            <w:r>
              <w:rPr>
                <w:rFonts w:hint="eastAsia"/>
                <w:highlight w:val="none"/>
                <w:lang w:eastAsia="zh-CN"/>
              </w:rPr>
              <w:t>响应有效期</w:t>
            </w:r>
          </w:p>
        </w:tc>
        <w:tc>
          <w:tcPr>
            <w:tcW w:w="5476" w:type="dxa"/>
          </w:tcPr>
          <w:p w14:paraId="6E5B6B70">
            <w:pPr>
              <w:pStyle w:val="35"/>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09B0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420C69F">
            <w:pPr>
              <w:rPr>
                <w:color w:val="auto"/>
                <w:highlight w:val="none"/>
              </w:rPr>
            </w:pPr>
          </w:p>
        </w:tc>
        <w:tc>
          <w:tcPr>
            <w:tcW w:w="1482" w:type="dxa"/>
            <w:vMerge w:val="continue"/>
          </w:tcPr>
          <w:p w14:paraId="0C90F286">
            <w:pPr>
              <w:rPr>
                <w:color w:val="auto"/>
                <w:highlight w:val="none"/>
              </w:rPr>
            </w:pPr>
          </w:p>
        </w:tc>
        <w:tc>
          <w:tcPr>
            <w:tcW w:w="1686" w:type="dxa"/>
            <w:gridSpan w:val="2"/>
            <w:vAlign w:val="center"/>
          </w:tcPr>
          <w:p w14:paraId="5F6DFCF5">
            <w:pPr>
              <w:pStyle w:val="35"/>
              <w:bidi w:val="0"/>
              <w:rPr>
                <w:rFonts w:hint="eastAsia"/>
                <w:highlight w:val="none"/>
              </w:rPr>
            </w:pPr>
            <w:r>
              <w:rPr>
                <w:rFonts w:hint="eastAsia"/>
                <w:highlight w:val="none"/>
                <w:lang w:val="en-US" w:eastAsia="zh-CN"/>
              </w:rPr>
              <w:t>响应保证金</w:t>
            </w:r>
          </w:p>
        </w:tc>
        <w:tc>
          <w:tcPr>
            <w:tcW w:w="5476" w:type="dxa"/>
          </w:tcPr>
          <w:p w14:paraId="43DDC692">
            <w:pPr>
              <w:pStyle w:val="35"/>
              <w:bidi w:val="0"/>
              <w:rPr>
                <w:rFonts w:hint="eastAsia"/>
                <w:highlight w:val="none"/>
              </w:rPr>
            </w:pPr>
            <w:r>
              <w:rPr>
                <w:rFonts w:hint="eastAsia"/>
                <w:highlight w:val="none"/>
              </w:rPr>
              <w:t>按时足额缴纳响应保证金，以重庆市公共资源交易中心《投标保证金交纳情况一览表》为准。</w:t>
            </w:r>
          </w:p>
        </w:tc>
      </w:tr>
      <w:tr w14:paraId="510D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jc w:val="center"/>
        </w:trPr>
        <w:tc>
          <w:tcPr>
            <w:tcW w:w="820" w:type="dxa"/>
            <w:vMerge w:val="restart"/>
            <w:vAlign w:val="center"/>
          </w:tcPr>
          <w:p w14:paraId="61ECD049">
            <w:pPr>
              <w:pStyle w:val="35"/>
              <w:rPr>
                <w:highlight w:val="none"/>
              </w:rPr>
            </w:pPr>
            <w:r>
              <w:rPr>
                <w:rFonts w:hint="eastAsia"/>
                <w:highlight w:val="none"/>
              </w:rPr>
              <w:t>2.2</w:t>
            </w:r>
          </w:p>
        </w:tc>
        <w:tc>
          <w:tcPr>
            <w:tcW w:w="1482" w:type="dxa"/>
            <w:vMerge w:val="restart"/>
            <w:vAlign w:val="center"/>
          </w:tcPr>
          <w:p w14:paraId="0F35D295">
            <w:pPr>
              <w:pStyle w:val="35"/>
              <w:rPr>
                <w:highlight w:val="none"/>
                <w:lang w:val="en-US" w:eastAsia="zh-CN"/>
              </w:rPr>
            </w:pPr>
            <w:r>
              <w:rPr>
                <w:rFonts w:hint="eastAsia"/>
                <w:highlight w:val="none"/>
                <w:lang w:val="en-US" w:eastAsia="zh-CN"/>
              </w:rPr>
              <w:t>详细评审</w:t>
            </w:r>
          </w:p>
        </w:tc>
        <w:tc>
          <w:tcPr>
            <w:tcW w:w="1686" w:type="dxa"/>
            <w:gridSpan w:val="2"/>
            <w:vMerge w:val="restart"/>
            <w:vAlign w:val="center"/>
          </w:tcPr>
          <w:p w14:paraId="1D74ABF5">
            <w:pPr>
              <w:pStyle w:val="35"/>
              <w:rPr>
                <w:highlight w:val="none"/>
              </w:rPr>
            </w:pPr>
            <w:r>
              <w:rPr>
                <w:rFonts w:hint="eastAsia"/>
                <w:highlight w:val="none"/>
              </w:rPr>
              <w:t>分值构成与评分标准</w:t>
            </w:r>
          </w:p>
          <w:p w14:paraId="6B209AE7">
            <w:pPr>
              <w:pStyle w:val="35"/>
              <w:rPr>
                <w:rFonts w:hint="eastAsia"/>
                <w:highlight w:val="none"/>
              </w:rPr>
            </w:pPr>
            <w:r>
              <w:rPr>
                <w:rFonts w:hint="eastAsia"/>
                <w:highlight w:val="none"/>
              </w:rPr>
              <w:t>(总分1OO分)</w:t>
            </w:r>
          </w:p>
        </w:tc>
        <w:tc>
          <w:tcPr>
            <w:tcW w:w="5476" w:type="dxa"/>
            <w:vAlign w:val="center"/>
          </w:tcPr>
          <w:p w14:paraId="04ECF6F7">
            <w:pPr>
              <w:pStyle w:val="35"/>
              <w:bidi w:val="0"/>
              <w:rPr>
                <w:highlight w:val="none"/>
                <w:lang w:val="en-US" w:eastAsia="zh-CN"/>
              </w:rPr>
            </w:pPr>
            <w:r>
              <w:rPr>
                <w:rFonts w:hint="eastAsia"/>
                <w:highlight w:val="none"/>
                <w:lang w:val="en-US" w:eastAsia="zh-CN"/>
              </w:rPr>
              <w:t>一、响应报价评分规则</w:t>
            </w:r>
            <w:r>
              <w:rPr>
                <w:highlight w:val="none"/>
                <w:lang w:val="en-US" w:eastAsia="zh-CN"/>
              </w:rPr>
              <w:t>（分值：50分）</w:t>
            </w:r>
          </w:p>
          <w:p w14:paraId="611B53BE">
            <w:pPr>
              <w:pStyle w:val="35"/>
              <w:bidi w:val="0"/>
              <w:rPr>
                <w:highlight w:val="none"/>
                <w:lang w:val="en-US" w:eastAsia="zh-CN"/>
              </w:rPr>
            </w:pPr>
            <w:r>
              <w:rPr>
                <w:highlight w:val="none"/>
                <w:lang w:val="en-US" w:eastAsia="zh-CN"/>
              </w:rPr>
              <w:t>1.以</w:t>
            </w:r>
            <w:r>
              <w:rPr>
                <w:rFonts w:hint="eastAsia"/>
                <w:highlight w:val="none"/>
                <w:lang w:val="en-US" w:eastAsia="zh-CN"/>
              </w:rPr>
              <w:t>报价之和</w:t>
            </w:r>
            <w:r>
              <w:rPr>
                <w:rFonts w:hint="eastAsia"/>
                <w:highlight w:val="none"/>
              </w:rPr>
              <w:t>（不含税报价）</w:t>
            </w:r>
            <w:r>
              <w:rPr>
                <w:rFonts w:hint="eastAsia"/>
                <w:highlight w:val="none"/>
                <w:lang w:val="en-US" w:eastAsia="zh-CN"/>
              </w:rPr>
              <w:t>的平均价格</w:t>
            </w:r>
            <w:r>
              <w:rPr>
                <w:highlight w:val="none"/>
                <w:lang w:val="en-US" w:eastAsia="zh-CN"/>
              </w:rPr>
              <w:t>作为</w:t>
            </w:r>
            <w:r>
              <w:rPr>
                <w:rFonts w:hint="eastAsia"/>
                <w:highlight w:val="none"/>
                <w:lang w:val="en-US" w:eastAsia="zh-CN"/>
              </w:rPr>
              <w:t>评审</w:t>
            </w:r>
            <w:r>
              <w:rPr>
                <w:highlight w:val="none"/>
                <w:lang w:val="en-US" w:eastAsia="zh-CN"/>
              </w:rPr>
              <w:t>基准价，基准分为50分；</w:t>
            </w:r>
          </w:p>
          <w:p w14:paraId="6F3621CA">
            <w:pPr>
              <w:pStyle w:val="35"/>
              <w:bidi w:val="0"/>
              <w:rPr>
                <w:highlight w:val="none"/>
                <w:lang w:val="en-US" w:eastAsia="zh-CN"/>
              </w:rPr>
            </w:pPr>
            <w:r>
              <w:rPr>
                <w:highlight w:val="none"/>
                <w:lang w:val="en-US" w:eastAsia="zh-CN"/>
              </w:rPr>
              <w:t>2.计算各有效报价与</w:t>
            </w:r>
            <w:r>
              <w:rPr>
                <w:rFonts w:hint="eastAsia"/>
                <w:highlight w:val="none"/>
                <w:lang w:val="en-US" w:eastAsia="zh-CN"/>
              </w:rPr>
              <w:t>评审</w:t>
            </w:r>
            <w:r>
              <w:rPr>
                <w:highlight w:val="none"/>
                <w:lang w:val="en-US" w:eastAsia="zh-CN"/>
              </w:rPr>
              <w:t>基准价的偏离度。偏离度=（有效报价/</w:t>
            </w:r>
            <w:r>
              <w:rPr>
                <w:rFonts w:hint="eastAsia"/>
                <w:highlight w:val="none"/>
                <w:lang w:val="en-US" w:eastAsia="zh-CN"/>
              </w:rPr>
              <w:t>评审</w:t>
            </w:r>
            <w:r>
              <w:rPr>
                <w:highlight w:val="none"/>
                <w:lang w:val="en-US" w:eastAsia="zh-CN"/>
              </w:rPr>
              <w:t>基准价-1）*100%；</w:t>
            </w:r>
          </w:p>
          <w:p w14:paraId="09A185C2">
            <w:pPr>
              <w:pStyle w:val="35"/>
              <w:bidi w:val="0"/>
              <w:rPr>
                <w:highlight w:val="none"/>
                <w:lang w:val="en-US" w:eastAsia="zh-CN"/>
              </w:rPr>
            </w:pPr>
            <w:r>
              <w:rPr>
                <w:highlight w:val="none"/>
                <w:lang w:val="en-US" w:eastAsia="zh-CN"/>
              </w:rPr>
              <w:t>3.报价向上每偏离基准价的1%扣1分；扣完为止，不足1%的不予扣减；</w:t>
            </w:r>
          </w:p>
          <w:p w14:paraId="6FA93B4B">
            <w:pPr>
              <w:pStyle w:val="35"/>
              <w:bidi w:val="0"/>
              <w:rPr>
                <w:highlight w:val="none"/>
                <w:lang w:val="en-US" w:eastAsia="zh-CN"/>
              </w:rPr>
            </w:pPr>
            <w:r>
              <w:rPr>
                <w:rFonts w:hint="eastAsia"/>
                <w:highlight w:val="none"/>
                <w:lang w:val="en-US" w:eastAsia="zh-CN"/>
              </w:rPr>
              <w:t>4.</w:t>
            </w:r>
            <w:r>
              <w:rPr>
                <w:highlight w:val="none"/>
                <w:lang w:val="en-US" w:eastAsia="zh-CN"/>
              </w:rPr>
              <w:t>向下偏离基准价10%以内的，不扣分；向下偏离基准价超过10%的，在向下偏离基准价10%的基础上，向下偏离每多超过1%扣0.5分，扣完为止，不足1%的不予扣减。</w:t>
            </w:r>
          </w:p>
        </w:tc>
      </w:tr>
      <w:tr w14:paraId="3BB8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2C2A663F">
            <w:pPr>
              <w:rPr>
                <w:color w:val="auto"/>
                <w:highlight w:val="none"/>
              </w:rPr>
            </w:pPr>
          </w:p>
        </w:tc>
        <w:tc>
          <w:tcPr>
            <w:tcW w:w="1482" w:type="dxa"/>
            <w:vMerge w:val="continue"/>
            <w:vAlign w:val="center"/>
          </w:tcPr>
          <w:p w14:paraId="486B7FA6">
            <w:pPr>
              <w:rPr>
                <w:color w:val="auto"/>
                <w:highlight w:val="none"/>
              </w:rPr>
            </w:pPr>
          </w:p>
        </w:tc>
        <w:tc>
          <w:tcPr>
            <w:tcW w:w="1686" w:type="dxa"/>
            <w:gridSpan w:val="2"/>
            <w:vMerge w:val="continue"/>
            <w:vAlign w:val="center"/>
          </w:tcPr>
          <w:p w14:paraId="4A8068A2">
            <w:pPr>
              <w:rPr>
                <w:color w:val="auto"/>
                <w:highlight w:val="none"/>
              </w:rPr>
            </w:pPr>
          </w:p>
        </w:tc>
        <w:tc>
          <w:tcPr>
            <w:tcW w:w="5476" w:type="dxa"/>
            <w:vAlign w:val="center"/>
          </w:tcPr>
          <w:p w14:paraId="716C42AF">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二、商务部分评分规则（分值：45分）</w:t>
            </w:r>
          </w:p>
          <w:p w14:paraId="463320C5">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1.企业资质评分规则（分值：6分）</w:t>
            </w:r>
          </w:p>
          <w:p w14:paraId="3503C217">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（1）取得软件能力成熟度CMMI3级及以上证书得2分</w:t>
            </w:r>
            <w:r>
              <w:rPr>
                <w:rFonts w:cs="Times New Roman"/>
                <w:bCs w:val="0"/>
                <w:color w:val="auto"/>
                <w:highlight w:val="none"/>
                <w:lang w:eastAsia="zh-CN"/>
              </w:rPr>
              <w:t>（</w:t>
            </w:r>
            <w:r>
              <w:rPr>
                <w:rFonts w:cs="Times New Roman"/>
                <w:bCs w:val="0"/>
                <w:color w:val="auto"/>
                <w:highlight w:val="none"/>
                <w:lang w:val="en-US" w:eastAsia="zh-CN"/>
              </w:rPr>
              <w:t>提供证书复印件</w:t>
            </w:r>
            <w:r>
              <w:rPr>
                <w:rFonts w:cs="Times New Roman"/>
                <w:bCs w:val="0"/>
                <w:color w:val="auto"/>
                <w:highlight w:val="none"/>
                <w:lang w:eastAsia="zh-CN"/>
              </w:rPr>
              <w:t>）</w:t>
            </w:r>
            <w:r>
              <w:rPr>
                <w:rFonts w:cs="Times New Roman"/>
                <w:bCs w:val="0"/>
                <w:color w:val="auto"/>
                <w:highlight w:val="none"/>
              </w:rPr>
              <w:t>；</w:t>
            </w:r>
          </w:p>
          <w:p w14:paraId="47F4E013">
            <w:pPr>
              <w:pStyle w:val="44"/>
              <w:spacing w:beforeAutospacing="0" w:after="0" w:afterAutospacing="0" w:line="240" w:lineRule="auto"/>
              <w:ind w:firstLine="0" w:firstLineChars="0"/>
              <w:rPr>
                <w:rFonts w:cs="Times New Roman"/>
                <w:bCs w:val="0"/>
                <w:color w:val="auto"/>
                <w:highlight w:val="none"/>
                <w:lang w:eastAsia="zh-CN"/>
              </w:rPr>
            </w:pPr>
            <w:r>
              <w:rPr>
                <w:rFonts w:cs="Times New Roman"/>
                <w:bCs w:val="0"/>
                <w:color w:val="auto"/>
                <w:highlight w:val="none"/>
              </w:rPr>
              <w:t>（2）</w:t>
            </w:r>
            <w:r>
              <w:rPr>
                <w:rFonts w:cs="Times New Roman"/>
                <w:color w:val="auto"/>
                <w:highlight w:val="none"/>
              </w:rPr>
              <w:t>ISO22301业务连续性管理体系认证</w:t>
            </w:r>
            <w:r>
              <w:rPr>
                <w:rFonts w:cs="Times New Roman"/>
                <w:bCs w:val="0"/>
                <w:color w:val="auto"/>
                <w:highlight w:val="none"/>
              </w:rPr>
              <w:t>得2分</w:t>
            </w:r>
            <w:r>
              <w:rPr>
                <w:rFonts w:cs="Times New Roman"/>
                <w:bCs w:val="0"/>
                <w:color w:val="auto"/>
                <w:highlight w:val="none"/>
                <w:lang w:eastAsia="zh-CN"/>
              </w:rPr>
              <w:t>（</w:t>
            </w:r>
            <w:r>
              <w:rPr>
                <w:rFonts w:cs="Times New Roman"/>
                <w:bCs w:val="0"/>
                <w:color w:val="auto"/>
                <w:highlight w:val="none"/>
                <w:lang w:val="en-US" w:eastAsia="zh-CN"/>
              </w:rPr>
              <w:t>提供证书复印件</w:t>
            </w:r>
            <w:r>
              <w:rPr>
                <w:rFonts w:cs="Times New Roman"/>
                <w:bCs w:val="0"/>
                <w:color w:val="auto"/>
                <w:highlight w:val="none"/>
                <w:lang w:eastAsia="zh-CN"/>
              </w:rPr>
              <w:t>）；</w:t>
            </w:r>
          </w:p>
          <w:p w14:paraId="3C016848">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lang w:eastAsia="zh-CN"/>
              </w:rPr>
              <w:t>（3</w:t>
            </w:r>
            <w:r>
              <w:rPr>
                <w:rFonts w:cs="Times New Roman"/>
                <w:color w:val="auto"/>
                <w:highlight w:val="none"/>
                <w:lang w:eastAsia="zh-CN"/>
              </w:rPr>
              <w:t>）</w:t>
            </w:r>
            <w:r>
              <w:rPr>
                <w:rFonts w:cs="Times New Roman"/>
                <w:color w:val="auto"/>
                <w:highlight w:val="none"/>
              </w:rPr>
              <w:t>取得</w:t>
            </w:r>
            <w:r>
              <w:rPr>
                <w:rFonts w:hint="eastAsia" w:cs="Times New Roman"/>
                <w:color w:val="auto"/>
                <w:highlight w:val="none"/>
              </w:rPr>
              <w:t>业务连续性管理软件相关的软件著作权登记证书</w:t>
            </w:r>
            <w:r>
              <w:rPr>
                <w:rFonts w:hint="eastAsia" w:cs="Times New Roman"/>
                <w:color w:val="auto"/>
                <w:highlight w:val="none"/>
                <w:lang w:eastAsia="zh-CN"/>
              </w:rPr>
              <w:t>（</w:t>
            </w:r>
            <w:r>
              <w:rPr>
                <w:rFonts w:hint="eastAsia" w:cs="Times New Roman"/>
                <w:color w:val="auto"/>
                <w:highlight w:val="none"/>
                <w:lang w:val="en-US" w:eastAsia="zh-CN"/>
              </w:rPr>
              <w:t>软件名称需明确包含“业务连续性管理”等字样</w:t>
            </w:r>
            <w:r>
              <w:rPr>
                <w:rFonts w:hint="eastAsia" w:cs="Times New Roman"/>
                <w:color w:val="auto"/>
                <w:highlight w:val="none"/>
                <w:lang w:eastAsia="zh-CN"/>
              </w:rPr>
              <w:t>）</w:t>
            </w:r>
            <w:r>
              <w:rPr>
                <w:rFonts w:hint="eastAsia" w:cs="Times New Roman"/>
                <w:color w:val="auto"/>
                <w:highlight w:val="none"/>
              </w:rPr>
              <w:t>得</w:t>
            </w:r>
            <w:r>
              <w:rPr>
                <w:rFonts w:cs="Times New Roman"/>
                <w:color w:val="auto"/>
                <w:highlight w:val="none"/>
              </w:rPr>
              <w:t>2</w:t>
            </w:r>
            <w:r>
              <w:rPr>
                <w:rFonts w:hint="eastAsia" w:cs="Times New Roman"/>
                <w:color w:val="auto"/>
                <w:highlight w:val="none"/>
              </w:rPr>
              <w:t>分（提供证书复印件）</w:t>
            </w:r>
            <w:r>
              <w:rPr>
                <w:rFonts w:cs="Times New Roman"/>
                <w:color w:val="auto"/>
                <w:highlight w:val="none"/>
              </w:rPr>
              <w:t>。</w:t>
            </w:r>
          </w:p>
          <w:p w14:paraId="7AED0FA7">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2.项目成功案例评分规则（分值：20分）</w:t>
            </w:r>
          </w:p>
          <w:p w14:paraId="6CC1FC2A">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提供2022年1月1日起至本询比文件发出之日止，</w:t>
            </w:r>
            <w:r>
              <w:rPr>
                <w:rFonts w:cs="Times New Roman"/>
                <w:color w:val="auto"/>
                <w:highlight w:val="none"/>
              </w:rPr>
              <w:t>政策性银行、商业银行总行级</w:t>
            </w:r>
            <w:r>
              <w:rPr>
                <w:rFonts w:cs="Times New Roman"/>
                <w:bCs w:val="0"/>
                <w:color w:val="auto"/>
                <w:highlight w:val="none"/>
              </w:rPr>
              <w:t xml:space="preserve">业务连续性咨询+系统建设项目成功案例，只有1个案例的，得0分。每多一个案例得2.5分，最多得20分。 </w:t>
            </w:r>
          </w:p>
          <w:p w14:paraId="181D28CD">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 xml:space="preserve">【认定标准】 </w:t>
            </w:r>
          </w:p>
          <w:p w14:paraId="35ABE1FE">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（1）提供合同复印件并加盖响应人人公章，应至少包含合同首页、服务或产品内容页、甲乙方盖章页</w:t>
            </w:r>
            <w:r>
              <w:rPr>
                <w:rFonts w:cs="Times New Roman"/>
                <w:color w:val="auto"/>
                <w:highlight w:val="none"/>
              </w:rPr>
              <w:t>；合同对应的发票之一（网上税务系统查询（https://inv-veri.chinatax.gov.cn/）该发票的截图，发票开具日期须晚于合同签订日期、发票购买方须与合同买方一致、发票销售方须与合同卖方（响应人）一致）；</w:t>
            </w:r>
          </w:p>
          <w:p w14:paraId="30E907F3">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（2）案例时间以合同签订时间为准；</w:t>
            </w:r>
          </w:p>
          <w:p w14:paraId="4E1320CF">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 xml:space="preserve">（3）案例以合同个数为准，如同一家银行多个合同应算作同一案例。 </w:t>
            </w:r>
          </w:p>
          <w:p w14:paraId="073ADE89">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（4）商业银行总行级机构是指国内六大国有银行（工、农、中、建、交、邮）总行级别，或全国性股份制商业银行总行级别，或城商行总行级、农村商业银行总行级或省农信社总行级。</w:t>
            </w:r>
          </w:p>
          <w:p w14:paraId="33BC44EB">
            <w:pPr>
              <w:pStyle w:val="44"/>
              <w:spacing w:beforeAutospacing="0" w:after="0" w:afterAutospacing="0" w:line="240" w:lineRule="auto"/>
              <w:ind w:firstLine="0" w:firstLineChars="0"/>
              <w:rPr>
                <w:rFonts w:cs="Times New Roman"/>
                <w:bCs w:val="0"/>
                <w:color w:val="auto"/>
                <w:highlight w:val="none"/>
              </w:rPr>
            </w:pPr>
            <w:r>
              <w:rPr>
                <w:rFonts w:cs="Times New Roman"/>
                <w:bCs w:val="0"/>
                <w:color w:val="auto"/>
                <w:highlight w:val="none"/>
              </w:rPr>
              <w:t>（5）单个案例需同时包含业务连续性咨询和系统建设（证明材料须体现“业务连续性管理平台”、“业务连续性管理系统”、或合同中内容经评标委员会认定其实质性工作内容与“业务连续性管理平台”工作内容相符），只包含一项的案例不得分，无法有效识别是否都包含以上两项的案例，不得分。</w:t>
            </w:r>
          </w:p>
          <w:p w14:paraId="0FD97704">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3.实施团队评分规则（分值：10分）</w:t>
            </w:r>
          </w:p>
          <w:p w14:paraId="582E5502">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响应人实施团队人数共计不得少于7人，需配备项目经理、业务连续性管理咨询专家、开发（或技术）经理、业务（或需求）分析经理、测试经理等项目重要实施人员。人员具体要求如下：</w:t>
            </w:r>
          </w:p>
          <w:p w14:paraId="115482AB">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（1）项目经理</w:t>
            </w:r>
            <w:r>
              <w:rPr>
                <w:rFonts w:cs="Times New Roman"/>
                <w:bCs w:val="0"/>
                <w:color w:val="auto"/>
                <w:szCs w:val="21"/>
                <w:highlight w:val="none"/>
                <w:lang w:eastAsia="zh-CN"/>
              </w:rPr>
              <w:t>（</w:t>
            </w:r>
            <w:r>
              <w:rPr>
                <w:rFonts w:cs="Times New Roman"/>
                <w:bCs w:val="0"/>
                <w:color w:val="auto"/>
                <w:szCs w:val="21"/>
                <w:highlight w:val="none"/>
                <w:lang w:val="en-US" w:eastAsia="zh-CN"/>
              </w:rPr>
              <w:t>3分</w:t>
            </w:r>
            <w:r>
              <w:rPr>
                <w:rFonts w:cs="Times New Roman"/>
                <w:bCs w:val="0"/>
                <w:color w:val="auto"/>
                <w:szCs w:val="21"/>
                <w:highlight w:val="none"/>
                <w:lang w:eastAsia="zh-CN"/>
              </w:rPr>
              <w:t>）：</w:t>
            </w:r>
            <w:r>
              <w:rPr>
                <w:rFonts w:cs="Times New Roman"/>
                <w:bCs w:val="0"/>
                <w:color w:val="auto"/>
                <w:szCs w:val="21"/>
                <w:highlight w:val="none"/>
              </w:rPr>
              <w:t>须具备5年以上软件项目管理经验，其中近三年至少</w:t>
            </w:r>
            <w:r>
              <w:rPr>
                <w:rFonts w:cs="Times New Roman"/>
                <w:bCs w:val="0"/>
                <w:color w:val="auto"/>
                <w:szCs w:val="21"/>
                <w:highlight w:val="none"/>
                <w:lang w:val="en-US" w:eastAsia="zh-CN"/>
              </w:rPr>
              <w:t>具备</w:t>
            </w:r>
            <w:r>
              <w:rPr>
                <w:rFonts w:cs="Times New Roman"/>
                <w:bCs w:val="0"/>
                <w:color w:val="auto"/>
                <w:szCs w:val="21"/>
                <w:highlight w:val="none"/>
              </w:rPr>
              <w:t>2个及以上总行级银行业务连续性管理项目成功实施经验，管理过8人及以上项目团队，获得PMP证书或信息系统项目管理师证书（高级）</w:t>
            </w:r>
            <w:r>
              <w:rPr>
                <w:rFonts w:cs="Times New Roman"/>
                <w:bCs w:val="0"/>
                <w:color w:val="auto"/>
                <w:szCs w:val="21"/>
                <w:highlight w:val="none"/>
                <w:lang w:eastAsia="zh-CN"/>
              </w:rPr>
              <w:t>，</w:t>
            </w:r>
            <w:r>
              <w:rPr>
                <w:rFonts w:cs="Times New Roman"/>
                <w:bCs w:val="0"/>
                <w:color w:val="auto"/>
                <w:szCs w:val="21"/>
                <w:highlight w:val="none"/>
              </w:rPr>
              <w:t>得分1分</w:t>
            </w:r>
            <w:r>
              <w:rPr>
                <w:rFonts w:cs="Times New Roman"/>
                <w:bCs w:val="0"/>
                <w:color w:val="auto"/>
                <w:szCs w:val="21"/>
                <w:highlight w:val="none"/>
                <w:lang w:eastAsia="zh-CN"/>
              </w:rPr>
              <w:t>，</w:t>
            </w:r>
            <w:r>
              <w:rPr>
                <w:rFonts w:cs="Times New Roman"/>
                <w:color w:val="auto"/>
                <w:szCs w:val="21"/>
                <w:highlight w:val="none"/>
              </w:rPr>
              <w:t>实施案例每增加1个，得0.5分。总分最多得3分</w:t>
            </w:r>
            <w:r>
              <w:rPr>
                <w:rFonts w:cs="Times New Roman"/>
                <w:bCs w:val="0"/>
                <w:color w:val="auto"/>
                <w:szCs w:val="21"/>
                <w:highlight w:val="none"/>
              </w:rPr>
              <w:t>。</w:t>
            </w:r>
          </w:p>
          <w:p w14:paraId="04FD8DDE">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（2）咨询专家</w:t>
            </w:r>
            <w:r>
              <w:rPr>
                <w:rFonts w:cs="Times New Roman"/>
                <w:bCs w:val="0"/>
                <w:color w:val="auto"/>
                <w:szCs w:val="21"/>
                <w:highlight w:val="none"/>
                <w:lang w:eastAsia="zh-CN"/>
              </w:rPr>
              <w:t>（</w:t>
            </w:r>
            <w:r>
              <w:rPr>
                <w:rFonts w:cs="Times New Roman"/>
                <w:bCs w:val="0"/>
                <w:color w:val="auto"/>
                <w:szCs w:val="21"/>
                <w:highlight w:val="none"/>
                <w:lang w:val="en-US" w:eastAsia="zh-CN"/>
              </w:rPr>
              <w:t>3分</w:t>
            </w:r>
            <w:r>
              <w:rPr>
                <w:rFonts w:cs="Times New Roman"/>
                <w:bCs w:val="0"/>
                <w:color w:val="auto"/>
                <w:szCs w:val="21"/>
                <w:highlight w:val="none"/>
                <w:lang w:eastAsia="zh-CN"/>
              </w:rPr>
              <w:t>）：</w:t>
            </w:r>
            <w:r>
              <w:rPr>
                <w:rFonts w:cs="Times New Roman"/>
                <w:bCs w:val="0"/>
                <w:color w:val="auto"/>
                <w:szCs w:val="21"/>
                <w:highlight w:val="none"/>
              </w:rPr>
              <w:t>须具备5年以上银行业务连续性咨询服务经验，其中近三年至少参与过2个及以上总行级银行业务连续性管理咨询项目，且至少一人需取得国际灾难恢复协会DRII颁发的CBCP证书</w:t>
            </w:r>
            <w:r>
              <w:rPr>
                <w:rFonts w:cs="Times New Roman"/>
                <w:bCs w:val="0"/>
                <w:color w:val="auto"/>
                <w:szCs w:val="21"/>
                <w:highlight w:val="none"/>
                <w:lang w:eastAsia="zh-CN"/>
              </w:rPr>
              <w:t>，</w:t>
            </w:r>
            <w:r>
              <w:rPr>
                <w:rFonts w:cs="Times New Roman"/>
                <w:bCs w:val="0"/>
                <w:color w:val="auto"/>
                <w:szCs w:val="21"/>
                <w:highlight w:val="none"/>
              </w:rPr>
              <w:t>得分1分，咨询团队CBCP证书增加1个，得1分，总分最多3分。</w:t>
            </w:r>
          </w:p>
          <w:p w14:paraId="115137D2">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（3）业务（或需求）分析经理</w:t>
            </w:r>
            <w:r>
              <w:rPr>
                <w:rFonts w:cs="Times New Roman"/>
                <w:bCs w:val="0"/>
                <w:color w:val="auto"/>
                <w:szCs w:val="21"/>
                <w:highlight w:val="none"/>
                <w:lang w:eastAsia="zh-CN"/>
              </w:rPr>
              <w:t>（</w:t>
            </w:r>
            <w:r>
              <w:rPr>
                <w:rFonts w:cs="Times New Roman"/>
                <w:bCs w:val="0"/>
                <w:color w:val="auto"/>
                <w:szCs w:val="21"/>
                <w:highlight w:val="none"/>
                <w:lang w:val="en-US" w:eastAsia="zh-CN"/>
              </w:rPr>
              <w:t>2分</w:t>
            </w:r>
            <w:r>
              <w:rPr>
                <w:rFonts w:cs="Times New Roman"/>
                <w:bCs w:val="0"/>
                <w:color w:val="auto"/>
                <w:szCs w:val="21"/>
                <w:highlight w:val="none"/>
                <w:lang w:eastAsia="zh-CN"/>
              </w:rPr>
              <w:t>）：</w:t>
            </w:r>
            <w:r>
              <w:rPr>
                <w:rFonts w:cs="Times New Roman"/>
                <w:bCs w:val="0"/>
                <w:color w:val="auto"/>
                <w:szCs w:val="21"/>
                <w:highlight w:val="none"/>
              </w:rPr>
              <w:t>须具备5年以上软件系统整体设计及优化经验，其中近三年至少担任过2个及以上总行级银行业务连续性管理项目的业务专家工作</w:t>
            </w:r>
            <w:r>
              <w:rPr>
                <w:rFonts w:cs="Times New Roman"/>
                <w:bCs w:val="0"/>
                <w:color w:val="auto"/>
                <w:szCs w:val="21"/>
                <w:highlight w:val="none"/>
                <w:lang w:eastAsia="zh-CN"/>
              </w:rPr>
              <w:t>，</w:t>
            </w:r>
            <w:r>
              <w:rPr>
                <w:rFonts w:cs="Times New Roman"/>
                <w:bCs w:val="0"/>
                <w:color w:val="auto"/>
                <w:szCs w:val="21"/>
                <w:highlight w:val="none"/>
              </w:rPr>
              <w:t>得分1分，实施案例每增加1个，得0.5分，总分最多得2分。</w:t>
            </w:r>
          </w:p>
          <w:p w14:paraId="746261CD">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（4）开发（或技术）经理</w:t>
            </w:r>
            <w:r>
              <w:rPr>
                <w:rFonts w:cs="Times New Roman"/>
                <w:bCs w:val="0"/>
                <w:color w:val="auto"/>
                <w:szCs w:val="21"/>
                <w:highlight w:val="none"/>
                <w:lang w:eastAsia="zh-CN"/>
              </w:rPr>
              <w:t>（</w:t>
            </w:r>
            <w:r>
              <w:rPr>
                <w:rFonts w:cs="Times New Roman"/>
                <w:bCs w:val="0"/>
                <w:color w:val="auto"/>
                <w:szCs w:val="21"/>
                <w:highlight w:val="none"/>
                <w:lang w:val="en-US" w:eastAsia="zh-CN"/>
              </w:rPr>
              <w:t>2分</w:t>
            </w:r>
            <w:r>
              <w:rPr>
                <w:rFonts w:cs="Times New Roman"/>
                <w:bCs w:val="0"/>
                <w:color w:val="auto"/>
                <w:szCs w:val="21"/>
                <w:highlight w:val="none"/>
                <w:lang w:eastAsia="zh-CN"/>
              </w:rPr>
              <w:t>）：</w:t>
            </w:r>
            <w:r>
              <w:rPr>
                <w:rFonts w:cs="Times New Roman"/>
                <w:bCs w:val="0"/>
                <w:color w:val="auto"/>
                <w:szCs w:val="21"/>
                <w:highlight w:val="none"/>
              </w:rPr>
              <w:t>须具备5年以上软件开发经验，其中近三年至少担任过2个及以上总行级银行业务连续性管理项目开发经验</w:t>
            </w:r>
            <w:r>
              <w:rPr>
                <w:rFonts w:cs="Times New Roman"/>
                <w:bCs w:val="0"/>
                <w:color w:val="auto"/>
                <w:szCs w:val="21"/>
                <w:highlight w:val="none"/>
                <w:lang w:eastAsia="zh-CN"/>
              </w:rPr>
              <w:t>，</w:t>
            </w:r>
            <w:r>
              <w:rPr>
                <w:rFonts w:cs="Times New Roman"/>
                <w:bCs w:val="0"/>
                <w:color w:val="auto"/>
                <w:szCs w:val="21"/>
                <w:highlight w:val="none"/>
              </w:rPr>
              <w:t xml:space="preserve">得1分，实施案例每增加1个，得0.5分，总分最多得2分。 </w:t>
            </w:r>
          </w:p>
          <w:p w14:paraId="5B8BE9A2">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 xml:space="preserve">【特别说明】 </w:t>
            </w:r>
          </w:p>
          <w:p w14:paraId="6F97C42C">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 xml:space="preserve">近三年指2022年1月1日起至本询比文件发出日期间。 </w:t>
            </w:r>
          </w:p>
          <w:p w14:paraId="2157A603">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 xml:space="preserve">【证明材料】 </w:t>
            </w:r>
          </w:p>
          <w:p w14:paraId="5548F292">
            <w:pPr>
              <w:pStyle w:val="44"/>
              <w:spacing w:beforeAutospacing="0" w:after="0" w:afterAutospacing="0" w:line="240" w:lineRule="auto"/>
              <w:ind w:firstLine="0" w:firstLineChars="0"/>
              <w:rPr>
                <w:rFonts w:cs="Times New Roman"/>
                <w:bCs w:val="0"/>
                <w:color w:val="auto"/>
                <w:szCs w:val="21"/>
                <w:highlight w:val="none"/>
              </w:rPr>
            </w:pPr>
            <w:r>
              <w:rPr>
                <w:rFonts w:hint="eastAsia" w:cs="Times New Roman"/>
                <w:bCs w:val="0"/>
                <w:color w:val="auto"/>
                <w:szCs w:val="21"/>
                <w:highlight w:val="none"/>
                <w:lang w:eastAsia="zh-CN"/>
              </w:rPr>
              <w:t>①</w:t>
            </w:r>
            <w:r>
              <w:rPr>
                <w:rFonts w:cs="Times New Roman"/>
                <w:bCs w:val="0"/>
                <w:color w:val="auto"/>
                <w:szCs w:val="21"/>
                <w:highlight w:val="none"/>
              </w:rPr>
              <w:t>提供参与本项的实施团队人员名单及对应的个人简历（格式自拟）、个人专业资质证书复印件并加盖响应人公章；</w:t>
            </w:r>
            <w:r>
              <w:rPr>
                <w:rFonts w:cs="Times New Roman"/>
                <w:color w:val="auto"/>
                <w:szCs w:val="21"/>
                <w:highlight w:val="none"/>
              </w:rPr>
              <w:t>实施团队人员的项目经验证明须提供项目合同扫描件或有甲方盖章的其他证明材料</w:t>
            </w:r>
            <w:r>
              <w:rPr>
                <w:rFonts w:cs="Times New Roman"/>
                <w:bCs w:val="0"/>
                <w:color w:val="auto"/>
                <w:szCs w:val="21"/>
                <w:highlight w:val="none"/>
              </w:rPr>
              <w:t>。</w:t>
            </w:r>
          </w:p>
          <w:p w14:paraId="05A453FE">
            <w:pPr>
              <w:pStyle w:val="44"/>
              <w:spacing w:beforeAutospacing="0" w:after="0" w:afterAutospacing="0" w:line="240" w:lineRule="auto"/>
              <w:ind w:firstLine="0" w:firstLineChars="0"/>
              <w:rPr>
                <w:rFonts w:cs="Times New Roman"/>
                <w:bCs w:val="0"/>
                <w:color w:val="auto"/>
                <w:szCs w:val="21"/>
                <w:highlight w:val="none"/>
              </w:rPr>
            </w:pPr>
            <w:r>
              <w:rPr>
                <w:rFonts w:hint="eastAsia" w:cs="Times New Roman"/>
                <w:bCs w:val="0"/>
                <w:color w:val="auto"/>
                <w:szCs w:val="21"/>
                <w:highlight w:val="none"/>
                <w:lang w:eastAsia="zh-CN"/>
              </w:rPr>
              <w:t>②</w:t>
            </w:r>
            <w:r>
              <w:rPr>
                <w:rFonts w:cs="Times New Roman"/>
                <w:bCs w:val="0"/>
                <w:color w:val="auto"/>
                <w:szCs w:val="21"/>
                <w:highlight w:val="none"/>
              </w:rPr>
              <w:t>提供响应人为上述团队人员名单中全部人员缴纳近6个月</w:t>
            </w: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2025年4月至2025年9月</w:t>
            </w:r>
            <w:r>
              <w:rPr>
                <w:rFonts w:hint="eastAsia" w:cs="Times New Roman"/>
                <w:bCs w:val="0"/>
                <w:color w:val="auto"/>
                <w:szCs w:val="21"/>
                <w:highlight w:val="none"/>
                <w:lang w:eastAsia="zh-CN"/>
              </w:rPr>
              <w:t>）</w:t>
            </w:r>
            <w:r>
              <w:rPr>
                <w:rFonts w:cs="Times New Roman"/>
                <w:bCs w:val="0"/>
                <w:color w:val="auto"/>
                <w:szCs w:val="21"/>
                <w:highlight w:val="none"/>
              </w:rPr>
              <w:t xml:space="preserve">的养老保险缴费证明（若委托第三方人力外包服务公司代为缴纳的，还需同时提供相关关系证明）。 </w:t>
            </w:r>
          </w:p>
          <w:p w14:paraId="3928B73F">
            <w:pPr>
              <w:pStyle w:val="44"/>
              <w:spacing w:beforeAutospacing="0" w:after="0" w:afterAutospacing="0" w:line="240" w:lineRule="auto"/>
              <w:ind w:firstLine="0" w:firstLineChars="0"/>
              <w:rPr>
                <w:rFonts w:cs="Times New Roman"/>
                <w:bCs w:val="0"/>
                <w:color w:val="auto"/>
                <w:szCs w:val="21"/>
                <w:highlight w:val="none"/>
              </w:rPr>
            </w:pPr>
            <w:r>
              <w:rPr>
                <w:rFonts w:hint="eastAsia" w:cs="Times New Roman"/>
                <w:bCs w:val="0"/>
                <w:color w:val="auto"/>
                <w:szCs w:val="21"/>
                <w:highlight w:val="none"/>
                <w:lang w:val="en-US" w:eastAsia="zh-CN"/>
              </w:rPr>
              <w:t>③</w:t>
            </w:r>
            <w:r>
              <w:rPr>
                <w:rFonts w:cs="Times New Roman"/>
                <w:bCs w:val="0"/>
                <w:color w:val="auto"/>
                <w:szCs w:val="21"/>
                <w:highlight w:val="none"/>
              </w:rPr>
              <w:t>响应人须承诺成交后以上提供人员全程参与本项目实施，未经我行允许不得更换</w:t>
            </w: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提供承诺函格式自拟</w:t>
            </w:r>
            <w:r>
              <w:rPr>
                <w:rFonts w:cs="Times New Roman"/>
                <w:bCs w:val="0"/>
                <w:color w:val="auto"/>
                <w:szCs w:val="21"/>
                <w:highlight w:val="none"/>
              </w:rPr>
              <w:t>。</w:t>
            </w:r>
          </w:p>
          <w:p w14:paraId="6FC078AA">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4.服务承诺评分规则（分值4分）</w:t>
            </w:r>
          </w:p>
          <w:p w14:paraId="75610734">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本项目应至少包含2年免费维保服务（维保服务期起始日为本项目最终验收后次日，维保服务期结束日需延期至到期当年的6月30日或12月31日中较近日期）</w:t>
            </w:r>
            <w:r>
              <w:rPr>
                <w:rFonts w:hint="eastAsia" w:cs="Times New Roman"/>
                <w:bCs w:val="0"/>
                <w:color w:val="auto"/>
                <w:szCs w:val="21"/>
                <w:highlight w:val="none"/>
                <w:lang w:eastAsia="zh-CN"/>
              </w:rPr>
              <w:t>，维保服务期内每年系统升级改造工作量2个人月内不收费</w:t>
            </w:r>
            <w:r>
              <w:rPr>
                <w:rFonts w:cs="Times New Roman"/>
                <w:bCs w:val="0"/>
                <w:color w:val="auto"/>
                <w:szCs w:val="21"/>
                <w:highlight w:val="none"/>
              </w:rPr>
              <w:t>。维保服务到期后每年维护费用不高于合同价的8%。</w:t>
            </w:r>
          </w:p>
          <w:p w14:paraId="4AAF0CD0">
            <w:pPr>
              <w:pStyle w:val="14"/>
              <w:spacing w:beforeAutospacing="0" w:after="0" w:afterAutospacing="0" w:line="240" w:lineRule="auto"/>
              <w:ind w:left="0" w:firstLine="0" w:firstLineChars="0"/>
              <w:rPr>
                <w:rFonts w:hAnsi="Times New Roman" w:cs="Times New Roman"/>
                <w:color w:val="auto"/>
                <w:szCs w:val="21"/>
                <w:highlight w:val="none"/>
              </w:rPr>
            </w:pPr>
            <w:r>
              <w:rPr>
                <w:rFonts w:hAnsi="Times New Roman" w:cs="Times New Roman"/>
                <w:color w:val="auto"/>
                <w:szCs w:val="21"/>
                <w:highlight w:val="none"/>
              </w:rPr>
              <w:t>（1）维保服务期2年且维保服务到期后每年维护费用降至不高于合同价的8%，且维保服务期内每年系统升级改造工作量3个人月内不收费，得2分；</w:t>
            </w:r>
          </w:p>
          <w:p w14:paraId="5F3E548B">
            <w:pPr>
              <w:spacing w:beforeAutospacing="0" w:after="0" w:afterAutospacing="0"/>
              <w:ind w:left="0" w:firstLine="360" w:firstLineChars="0"/>
              <w:rPr>
                <w:rFonts w:hAnsi="Times New Roman" w:cs="Times New Roman"/>
                <w:color w:val="auto"/>
                <w:szCs w:val="21"/>
                <w:highlight w:val="none"/>
              </w:rPr>
            </w:pPr>
            <w:r>
              <w:rPr>
                <w:rFonts w:hAnsi="Times New Roman" w:cs="Times New Roman"/>
                <w:color w:val="auto"/>
                <w:szCs w:val="21"/>
                <w:highlight w:val="none"/>
              </w:rPr>
              <w:t>（2）维保服务期2年且维保服务到期后每年维护费用降至不高于合同价的7%，且维保服务期内每年系统升级改造工作量3个人月内不收费，得4分。</w:t>
            </w:r>
          </w:p>
          <w:p w14:paraId="55381B60">
            <w:pPr>
              <w:spacing w:beforeAutospacing="0" w:after="0" w:afterAutospacing="0"/>
              <w:ind w:left="0" w:firstLine="360" w:firstLineChars="0"/>
              <w:rPr>
                <w:rFonts w:hAnsi="Times New Roman" w:cs="Times New Roman"/>
                <w:color w:val="auto"/>
                <w:szCs w:val="21"/>
                <w:highlight w:val="none"/>
              </w:rPr>
            </w:pPr>
            <w:r>
              <w:rPr>
                <w:rFonts w:hint="eastAsia" w:cs="Cambria Math"/>
                <w:bCs w:val="0"/>
                <w:color w:val="auto"/>
                <w:highlight w:val="none"/>
                <w:lang w:eastAsia="zh-CN"/>
              </w:rPr>
              <w:t>【</w:t>
            </w:r>
            <w:r>
              <w:rPr>
                <w:rFonts w:hint="eastAsia" w:cs="Cambria Math"/>
                <w:bCs w:val="0"/>
                <w:color w:val="auto"/>
                <w:highlight w:val="none"/>
                <w:lang w:val="en-US" w:eastAsia="zh-CN"/>
              </w:rPr>
              <w:t>需提供加盖公章的承诺函，格式自拟</w:t>
            </w:r>
            <w:r>
              <w:rPr>
                <w:rFonts w:hint="eastAsia" w:cs="Cambria Math"/>
                <w:bCs w:val="0"/>
                <w:color w:val="auto"/>
                <w:highlight w:val="none"/>
                <w:lang w:eastAsia="zh-CN"/>
              </w:rPr>
              <w:t>】</w:t>
            </w:r>
          </w:p>
          <w:p w14:paraId="76ADC742">
            <w:pPr>
              <w:pStyle w:val="44"/>
              <w:spacing w:beforeAutospacing="0" w:after="0" w:afterAutospacing="0" w:line="240" w:lineRule="auto"/>
              <w:ind w:firstLine="0" w:firstLineChars="0"/>
              <w:rPr>
                <w:rFonts w:cs="Times New Roman"/>
                <w:bCs w:val="0"/>
                <w:color w:val="auto"/>
                <w:szCs w:val="21"/>
                <w:highlight w:val="none"/>
              </w:rPr>
            </w:pPr>
            <w:r>
              <w:rPr>
                <w:rFonts w:cs="Times New Roman"/>
                <w:bCs w:val="0"/>
                <w:color w:val="auto"/>
                <w:szCs w:val="21"/>
                <w:highlight w:val="none"/>
              </w:rPr>
              <w:t>5.后续人力成本评分规则（分值：5分）</w:t>
            </w:r>
          </w:p>
          <w:p w14:paraId="503E8459">
            <w:pPr>
              <w:pStyle w:val="44"/>
              <w:spacing w:beforeAutospacing="0" w:after="0" w:afterAutospacing="0" w:line="240" w:lineRule="auto"/>
              <w:ind w:firstLine="0" w:firstLineChars="0"/>
              <w:rPr>
                <w:rFonts w:cs="Times New Roman"/>
                <w:color w:val="auto"/>
                <w:szCs w:val="21"/>
                <w:highlight w:val="none"/>
              </w:rPr>
            </w:pPr>
            <w:r>
              <w:rPr>
                <w:rFonts w:cs="Times New Roman"/>
                <w:color w:val="auto"/>
                <w:szCs w:val="21"/>
                <w:highlight w:val="none"/>
              </w:rPr>
              <w:t>满足以下人力外包单价的得5分，否则得0分：</w:t>
            </w:r>
          </w:p>
          <w:p w14:paraId="3FD76AE5">
            <w:pPr>
              <w:pStyle w:val="44"/>
              <w:spacing w:beforeAutospacing="0" w:after="0" w:afterAutospacing="0" w:line="240" w:lineRule="auto"/>
              <w:ind w:firstLine="0" w:firstLineChars="0"/>
              <w:rPr>
                <w:rFonts w:cs="Times New Roman"/>
                <w:color w:val="auto"/>
                <w:szCs w:val="21"/>
                <w:highlight w:val="none"/>
              </w:rPr>
            </w:pPr>
            <w:r>
              <w:rPr>
                <w:rFonts w:cs="Times New Roman"/>
                <w:color w:val="auto"/>
                <w:szCs w:val="21"/>
                <w:highlight w:val="none"/>
              </w:rPr>
              <w:t>高级人员，7年及以上银行重要业务系统研发或需求分析工作经验，单价不高于28,600元/人月；</w:t>
            </w:r>
          </w:p>
          <w:p w14:paraId="5B18AAD6">
            <w:pPr>
              <w:pStyle w:val="44"/>
              <w:spacing w:beforeAutospacing="0" w:after="0" w:afterAutospacing="0" w:line="240" w:lineRule="auto"/>
              <w:ind w:firstLine="0" w:firstLineChars="0"/>
              <w:rPr>
                <w:rFonts w:cs="Times New Roman"/>
                <w:color w:val="auto"/>
                <w:szCs w:val="21"/>
                <w:highlight w:val="none"/>
              </w:rPr>
            </w:pPr>
            <w:r>
              <w:rPr>
                <w:rFonts w:cs="Times New Roman"/>
                <w:color w:val="auto"/>
                <w:szCs w:val="21"/>
                <w:highlight w:val="none"/>
              </w:rPr>
              <w:t>中级人员，4-6年（含）银行重要业务系统研发或需求分析工作经验，单价不高于24,200元/人月；</w:t>
            </w:r>
          </w:p>
          <w:p w14:paraId="75FADE75">
            <w:pPr>
              <w:pStyle w:val="44"/>
              <w:bidi w:val="0"/>
              <w:spacing w:beforeAutospacing="0" w:after="0" w:afterAutospacing="0" w:line="240" w:lineRule="auto"/>
              <w:ind w:firstLine="0" w:firstLineChars="0"/>
              <w:rPr>
                <w:rFonts w:cs="Times New Roman"/>
                <w:color w:val="auto"/>
                <w:szCs w:val="21"/>
                <w:highlight w:val="none"/>
              </w:rPr>
            </w:pPr>
            <w:r>
              <w:rPr>
                <w:rFonts w:cs="Times New Roman"/>
                <w:color w:val="auto"/>
                <w:szCs w:val="21"/>
                <w:highlight w:val="none"/>
              </w:rPr>
              <w:t>初级人员，1-3年（含）银行重要业务系统研发或需求分析工作经验，单价不高于17,600元/人月。</w:t>
            </w:r>
          </w:p>
          <w:p w14:paraId="5D741CED">
            <w:pPr>
              <w:pStyle w:val="44"/>
              <w:bidi w:val="0"/>
              <w:spacing w:beforeAutospacing="0" w:after="0" w:afterAutospacing="0" w:line="240" w:lineRule="auto"/>
              <w:ind w:firstLine="0" w:firstLineChars="0"/>
              <w:rPr>
                <w:color w:val="auto"/>
                <w:highlight w:val="none"/>
                <w:lang w:val="en-US"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需提供加盖公章的承诺函</w:t>
            </w:r>
            <w:r>
              <w:rPr>
                <w:rFonts w:hint="eastAsia" w:cs="Cambria Math"/>
                <w:bCs w:val="0"/>
                <w:color w:val="auto"/>
                <w:highlight w:val="none"/>
                <w:lang w:val="en-US" w:eastAsia="zh-CN"/>
              </w:rPr>
              <w:t>，格式自拟</w:t>
            </w:r>
            <w:r>
              <w:rPr>
                <w:rFonts w:hint="eastAsia" w:cs="Times New Roman"/>
                <w:color w:val="auto"/>
                <w:szCs w:val="21"/>
                <w:highlight w:val="none"/>
                <w:lang w:eastAsia="zh-CN"/>
              </w:rPr>
              <w:t>】</w:t>
            </w:r>
          </w:p>
        </w:tc>
      </w:tr>
      <w:tr w14:paraId="5E5D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27B36587">
            <w:pPr>
              <w:rPr>
                <w:color w:val="auto"/>
                <w:highlight w:val="none"/>
              </w:rPr>
            </w:pPr>
          </w:p>
        </w:tc>
        <w:tc>
          <w:tcPr>
            <w:tcW w:w="1482" w:type="dxa"/>
            <w:vMerge w:val="continue"/>
            <w:vAlign w:val="center"/>
          </w:tcPr>
          <w:p w14:paraId="323E1E2A">
            <w:pPr>
              <w:rPr>
                <w:color w:val="auto"/>
                <w:highlight w:val="none"/>
              </w:rPr>
            </w:pPr>
          </w:p>
        </w:tc>
        <w:tc>
          <w:tcPr>
            <w:tcW w:w="1686" w:type="dxa"/>
            <w:gridSpan w:val="2"/>
            <w:vMerge w:val="continue"/>
            <w:vAlign w:val="center"/>
          </w:tcPr>
          <w:p w14:paraId="2E772756">
            <w:pPr>
              <w:rPr>
                <w:color w:val="auto"/>
                <w:highlight w:val="none"/>
              </w:rPr>
            </w:pPr>
          </w:p>
        </w:tc>
        <w:tc>
          <w:tcPr>
            <w:tcW w:w="5476" w:type="dxa"/>
            <w:vAlign w:val="center"/>
          </w:tcPr>
          <w:p w14:paraId="0FCFBB83">
            <w:pPr>
              <w:pStyle w:val="19"/>
              <w:ind w:left="0" w:firstLine="0" w:firstLineChars="0"/>
              <w:rPr>
                <w:color w:val="auto"/>
                <w:highlight w:val="none"/>
              </w:rPr>
            </w:pPr>
            <w:r>
              <w:rPr>
                <w:rFonts w:hint="eastAsia"/>
                <w:color w:val="auto"/>
                <w:highlight w:val="none"/>
              </w:rPr>
              <w:t>三、</w:t>
            </w:r>
            <w:r>
              <w:rPr>
                <w:rFonts w:hint="eastAsia"/>
                <w:color w:val="auto"/>
                <w:highlight w:val="none"/>
                <w:lang w:val="en-US" w:eastAsia="zh-CN"/>
              </w:rPr>
              <w:t>技术部分</w:t>
            </w:r>
            <w:r>
              <w:rPr>
                <w:rFonts w:hint="eastAsia"/>
                <w:color w:val="auto"/>
                <w:highlight w:val="none"/>
              </w:rPr>
              <w:t>评分规则（分值：</w:t>
            </w:r>
            <w:r>
              <w:rPr>
                <w:color w:val="auto"/>
                <w:highlight w:val="none"/>
              </w:rPr>
              <w:t>5</w:t>
            </w:r>
            <w:r>
              <w:rPr>
                <w:rFonts w:hint="eastAsia"/>
                <w:color w:val="auto"/>
                <w:highlight w:val="none"/>
              </w:rPr>
              <w:t>分）</w:t>
            </w:r>
          </w:p>
          <w:p w14:paraId="24496399">
            <w:pPr>
              <w:pStyle w:val="35"/>
              <w:rPr>
                <w:highlight w:val="none"/>
                <w:lang w:val="en-US" w:eastAsia="zh-CN"/>
              </w:rPr>
            </w:pPr>
            <w:r>
              <w:rPr>
                <w:highlight w:val="none"/>
              </w:rPr>
              <w:t>响应人针对本项目提供完善的项目实施方案，包含但不限于组织体系、工程进度安排、需求理解、质量管理、培训等内容，根据方案的优劣情况，由评审委员会横向对比，酌情给分，优秀得(4-5]分，良好得(3-4]分，一般得[1-3]分，差或不提供得0分。</w:t>
            </w:r>
          </w:p>
        </w:tc>
      </w:tr>
      <w:tr w14:paraId="49A2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7CB29606">
            <w:pPr>
              <w:pStyle w:val="35"/>
              <w:bidi w:val="0"/>
              <w:rPr>
                <w:highlight w:val="none"/>
              </w:rPr>
            </w:pPr>
            <w:r>
              <w:rPr>
                <w:rFonts w:hint="eastAsia"/>
                <w:highlight w:val="none"/>
              </w:rPr>
              <w:t>3</w:t>
            </w:r>
          </w:p>
        </w:tc>
        <w:tc>
          <w:tcPr>
            <w:tcW w:w="1482" w:type="dxa"/>
            <w:vAlign w:val="center"/>
          </w:tcPr>
          <w:p w14:paraId="1C6AFDF3">
            <w:pPr>
              <w:pStyle w:val="35"/>
              <w:bidi w:val="0"/>
              <w:rPr>
                <w:highlight w:val="none"/>
              </w:rPr>
            </w:pPr>
            <w:r>
              <w:rPr>
                <w:rFonts w:hint="eastAsia"/>
                <w:highlight w:val="none"/>
              </w:rPr>
              <w:t>评审程序</w:t>
            </w:r>
          </w:p>
        </w:tc>
        <w:tc>
          <w:tcPr>
            <w:tcW w:w="7162" w:type="dxa"/>
            <w:gridSpan w:val="3"/>
          </w:tcPr>
          <w:p w14:paraId="0F66AB23">
            <w:pPr>
              <w:pStyle w:val="35"/>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1336863F">
            <w:pPr>
              <w:pStyle w:val="35"/>
              <w:bidi w:val="0"/>
              <w:rPr>
                <w:rFonts w:hint="eastAsia"/>
                <w:highlight w:val="none"/>
              </w:rPr>
            </w:pPr>
            <w:r>
              <w:rPr>
                <w:rFonts w:hint="eastAsia"/>
                <w:highlight w:val="none"/>
              </w:rPr>
              <w:t>2.</w:t>
            </w:r>
            <w:r>
              <w:rPr>
                <w:rFonts w:hint="eastAsia"/>
                <w:highlight w:val="none"/>
                <w:lang w:eastAsia="zh-CN"/>
              </w:rPr>
              <w:t>评审委员会</w:t>
            </w:r>
            <w:r>
              <w:rPr>
                <w:rFonts w:hint="eastAsia"/>
                <w:highlight w:val="none"/>
              </w:rPr>
              <w:t>对</w:t>
            </w:r>
            <w:r>
              <w:rPr>
                <w:rFonts w:hint="eastAsia"/>
                <w:highlight w:val="none"/>
                <w:lang w:eastAsia="zh-CN"/>
              </w:rPr>
              <w:t>响应文件</w:t>
            </w:r>
            <w:r>
              <w:rPr>
                <w:rFonts w:hint="eastAsia"/>
                <w:highlight w:val="none"/>
              </w:rPr>
              <w:t>进行初步评审。</w:t>
            </w:r>
          </w:p>
          <w:p w14:paraId="785540B2">
            <w:pPr>
              <w:pStyle w:val="35"/>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7EC980E1">
            <w:pPr>
              <w:pStyle w:val="35"/>
              <w:bidi w:val="0"/>
              <w:rPr>
                <w:highlight w:val="none"/>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1D84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7E500612">
            <w:pPr>
              <w:pStyle w:val="35"/>
              <w:bidi w:val="0"/>
              <w:rPr>
                <w:highlight w:val="none"/>
              </w:rPr>
            </w:pPr>
            <w:r>
              <w:rPr>
                <w:rFonts w:hint="eastAsia"/>
                <w:highlight w:val="none"/>
              </w:rPr>
              <w:t>3.2.3</w:t>
            </w:r>
          </w:p>
        </w:tc>
        <w:tc>
          <w:tcPr>
            <w:tcW w:w="1511" w:type="dxa"/>
            <w:vAlign w:val="center"/>
          </w:tcPr>
          <w:p w14:paraId="1A45E7C7">
            <w:pPr>
              <w:pStyle w:val="35"/>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6830CBF3">
            <w:pPr>
              <w:pStyle w:val="35"/>
              <w:bidi w:val="0"/>
              <w:rPr>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+技术部分部分得分</w:t>
            </w:r>
          </w:p>
        </w:tc>
      </w:tr>
      <w:bookmarkEnd w:id="61"/>
    </w:tbl>
    <w:p w14:paraId="0AA3AC0A">
      <w:pPr>
        <w:ind w:firstLine="0" w:firstLineChars="0"/>
        <w:rPr>
          <w:rFonts w:hint="eastAsia" w:ascii="宋体" w:hAnsi="宋体" w:cs="宋体"/>
          <w:snapToGrid w:val="0"/>
          <w:color w:val="auto"/>
          <w:sz w:val="21"/>
          <w:szCs w:val="21"/>
          <w:highlight w:val="none"/>
        </w:rPr>
      </w:pPr>
      <w:bookmarkStart w:id="62" w:name="_Toc21111"/>
      <w:bookmarkStart w:id="63" w:name="_Toc636"/>
    </w:p>
    <w:p w14:paraId="1967533B">
      <w:pPr>
        <w:ind w:firstLine="0" w:firstLineChars="0"/>
        <w:rPr>
          <w:rFonts w:hint="eastAsia" w:ascii="宋体" w:hAnsi="宋体" w:cs="宋体"/>
          <w:snapToGrid w:val="0"/>
          <w:color w:val="auto"/>
          <w:sz w:val="21"/>
          <w:szCs w:val="21"/>
          <w:highlight w:val="none"/>
        </w:rPr>
      </w:pPr>
    </w:p>
    <w:p w14:paraId="44C80590">
      <w:pPr>
        <w:ind w:firstLine="0" w:firstLineChars="0"/>
        <w:rPr>
          <w:rFonts w:hint="eastAsia" w:ascii="宋体" w:hAns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0D381AD2">
      <w:pPr>
        <w:pStyle w:val="4"/>
        <w:bidi w:val="0"/>
        <w:rPr>
          <w:color w:val="auto"/>
          <w:highlight w:val="none"/>
          <w:lang w:val="en-US" w:eastAsia="zh-CN"/>
        </w:rPr>
      </w:pPr>
      <w:bookmarkStart w:id="64" w:name="_Toc27234"/>
      <w:bookmarkStart w:id="65" w:name="_Toc18283"/>
      <w:bookmarkStart w:id="66" w:name="_Toc28684"/>
      <w:r>
        <w:rPr>
          <w:rFonts w:hint="eastAsia"/>
          <w:color w:val="auto"/>
          <w:highlight w:val="none"/>
          <w:lang w:val="en-US" w:eastAsia="zh-CN"/>
        </w:rPr>
        <w:t>1. 评审方法</w:t>
      </w:r>
      <w:bookmarkEnd w:id="62"/>
      <w:bookmarkEnd w:id="63"/>
      <w:bookmarkEnd w:id="64"/>
      <w:bookmarkEnd w:id="65"/>
      <w:bookmarkEnd w:id="66"/>
    </w:p>
    <w:p w14:paraId="2CCA8760">
      <w:pPr>
        <w:bidi w:val="0"/>
        <w:rPr>
          <w:color w:val="auto"/>
          <w:highlight w:val="none"/>
        </w:rPr>
      </w:pPr>
      <w:bookmarkStart w:id="67" w:name="_Toc407195379"/>
      <w:bookmarkStart w:id="68" w:name="_Toc377115419"/>
      <w:bookmarkStart w:id="69" w:name="_Toc287607813"/>
      <w:bookmarkStart w:id="70" w:name="_Toc440022827"/>
      <w:bookmarkStart w:id="71" w:name="_Toc287620752"/>
      <w:bookmarkStart w:id="72" w:name="_Toc376114120"/>
      <w:bookmarkStart w:id="73" w:name="_Toc377067339"/>
      <w:bookmarkStart w:id="74" w:name="_Toc200513199"/>
      <w:bookmarkStart w:id="75" w:name="_Toc277082619"/>
      <w:bookmarkStart w:id="76" w:name="_Toc224103385"/>
      <w:bookmarkStart w:id="77" w:name="_Toc330569206"/>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w:t>
      </w:r>
      <w:r>
        <w:rPr>
          <w:rFonts w:hint="eastAsia"/>
          <w:color w:val="auto"/>
          <w:highlight w:val="none"/>
          <w:lang w:val="en-US" w:eastAsia="zh-CN"/>
        </w:rPr>
        <w:t>排序</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响应报价</w:t>
      </w:r>
      <w:r>
        <w:rPr>
          <w:rFonts w:hint="eastAsia"/>
          <w:color w:val="auto"/>
          <w:highlight w:val="none"/>
        </w:rPr>
        <w:t>低于其成本的除外。综合评分相等时，以</w:t>
      </w:r>
      <w:r>
        <w:rPr>
          <w:rFonts w:hint="eastAsia"/>
          <w:color w:val="auto"/>
          <w:highlight w:val="none"/>
          <w:lang w:eastAsia="zh-CN"/>
        </w:rPr>
        <w:t>响应报价</w:t>
      </w:r>
      <w:r>
        <w:rPr>
          <w:rFonts w:hint="eastAsia"/>
          <w:color w:val="auto"/>
          <w:highlight w:val="none"/>
        </w:rPr>
        <w:t>低的优先；</w:t>
      </w:r>
      <w:r>
        <w:rPr>
          <w:rFonts w:hint="eastAsia"/>
          <w:color w:val="auto"/>
          <w:highlight w:val="none"/>
          <w:lang w:eastAsia="zh-CN"/>
        </w:rPr>
        <w:t>响应报价</w:t>
      </w:r>
      <w:r>
        <w:rPr>
          <w:rFonts w:hint="eastAsia"/>
          <w:color w:val="auto"/>
          <w:highlight w:val="none"/>
        </w:rPr>
        <w:t>也相等的，由</w:t>
      </w:r>
      <w:r>
        <w:rPr>
          <w:rFonts w:hint="eastAsia"/>
          <w:color w:val="auto"/>
          <w:highlight w:val="none"/>
          <w:lang w:eastAsia="zh-CN"/>
        </w:rPr>
        <w:t>评审委员会</w:t>
      </w:r>
      <w:r>
        <w:rPr>
          <w:rFonts w:hint="eastAsia"/>
          <w:color w:val="auto"/>
          <w:highlight w:val="none"/>
        </w:rPr>
        <w:t>随机抽取确定。</w:t>
      </w:r>
    </w:p>
    <w:p w14:paraId="3486D6AF">
      <w:pPr>
        <w:pStyle w:val="4"/>
        <w:bidi w:val="0"/>
        <w:rPr>
          <w:color w:val="auto"/>
          <w:highlight w:val="none"/>
          <w:lang w:val="en-US" w:eastAsia="zh-CN"/>
        </w:rPr>
      </w:pPr>
      <w:bookmarkStart w:id="78" w:name="_Toc765"/>
      <w:bookmarkStart w:id="79" w:name="_Toc23969"/>
      <w:bookmarkStart w:id="80" w:name="_Toc16716"/>
      <w:bookmarkStart w:id="81" w:name="_Toc5950"/>
      <w:bookmarkStart w:id="82" w:name="_Toc27931"/>
      <w:bookmarkStart w:id="83" w:name="_Toc2274"/>
      <w:bookmarkStart w:id="84" w:name="_Toc27406"/>
      <w:bookmarkStart w:id="85" w:name="_Toc31615"/>
      <w:bookmarkStart w:id="86" w:name="_Toc444155968"/>
      <w:r>
        <w:rPr>
          <w:rFonts w:hint="eastAsia"/>
          <w:color w:val="auto"/>
          <w:highlight w:val="none"/>
          <w:lang w:val="en-US" w:eastAsia="zh-CN"/>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78D6109">
      <w:pPr>
        <w:pStyle w:val="5"/>
        <w:bidi w:val="0"/>
        <w:rPr>
          <w:color w:val="auto"/>
          <w:highlight w:val="none"/>
          <w:lang w:val="en-US" w:eastAsia="zh-CN"/>
        </w:rPr>
      </w:pPr>
      <w:bookmarkStart w:id="87" w:name="_Toc287620753"/>
      <w:bookmarkStart w:id="88" w:name="_Toc330569207"/>
      <w:bookmarkStart w:id="89" w:name="_Toc1358"/>
      <w:bookmarkStart w:id="90" w:name="_Toc377067340"/>
      <w:bookmarkStart w:id="91" w:name="_Toc11839"/>
      <w:bookmarkStart w:id="92" w:name="_Toc444155969"/>
      <w:bookmarkStart w:id="93" w:name="_Toc200513200"/>
      <w:bookmarkStart w:id="94" w:name="_Toc23425"/>
      <w:bookmarkStart w:id="95" w:name="_Toc277082620"/>
      <w:bookmarkStart w:id="96" w:name="_Toc21593"/>
      <w:bookmarkStart w:id="97" w:name="_Toc377115420"/>
      <w:bookmarkStart w:id="98" w:name="_Toc407195380"/>
      <w:bookmarkStart w:id="99" w:name="_Toc224103386"/>
      <w:bookmarkStart w:id="100" w:name="_Toc16537"/>
      <w:bookmarkStart w:id="101" w:name="_Toc376114121"/>
      <w:bookmarkStart w:id="102" w:name="_Toc10533"/>
      <w:bookmarkStart w:id="103" w:name="_Toc440022828"/>
      <w:bookmarkStart w:id="104" w:name="_Toc287607814"/>
      <w:bookmarkStart w:id="105" w:name="_Toc7584"/>
      <w:r>
        <w:rPr>
          <w:rFonts w:hint="eastAsia"/>
          <w:color w:val="auto"/>
          <w:highlight w:val="none"/>
          <w:lang w:val="en-US" w:eastAsia="zh-CN"/>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9757E58">
      <w:pPr>
        <w:bidi w:val="0"/>
        <w:rPr>
          <w:rFonts w:hint="eastAsia"/>
          <w:color w:val="auto"/>
          <w:highlight w:val="none"/>
        </w:rPr>
      </w:pPr>
      <w:r>
        <w:rPr>
          <w:rFonts w:hint="eastAsia"/>
          <w:color w:val="auto"/>
          <w:highlight w:val="none"/>
        </w:rPr>
        <w:t>2.1.</w:t>
      </w:r>
      <w:r>
        <w:rPr>
          <w:rFonts w:hint="eastAsia"/>
          <w:color w:val="auto"/>
          <w:highlight w:val="none"/>
          <w:lang w:val="en-US" w:eastAsia="zh-CN"/>
        </w:rPr>
        <w:t>1</w:t>
      </w:r>
      <w:r>
        <w:rPr>
          <w:rFonts w:hint="eastAsia"/>
          <w:color w:val="auto"/>
          <w:highlight w:val="none"/>
        </w:rPr>
        <w:t xml:space="preserve"> </w:t>
      </w:r>
      <w:r>
        <w:rPr>
          <w:rFonts w:hint="eastAsia"/>
          <w:color w:val="auto"/>
          <w:highlight w:val="none"/>
          <w:lang w:val="en-US" w:eastAsia="zh-CN"/>
        </w:rPr>
        <w:t>形式</w:t>
      </w:r>
      <w:r>
        <w:rPr>
          <w:rFonts w:hint="eastAsia"/>
          <w:color w:val="auto"/>
          <w:highlight w:val="none"/>
        </w:rPr>
        <w:t>评审标准：见评审办法前附表。</w:t>
      </w:r>
    </w:p>
    <w:p w14:paraId="250FFCB5">
      <w:pPr>
        <w:bidi w:val="0"/>
        <w:rPr>
          <w:color w:val="auto"/>
          <w:highlight w:val="none"/>
        </w:rPr>
      </w:pPr>
      <w:r>
        <w:rPr>
          <w:rFonts w:hint="eastAsia"/>
          <w:color w:val="auto"/>
          <w:highlight w:val="none"/>
        </w:rPr>
        <w:t>2.1.</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资格</w:t>
      </w:r>
      <w:r>
        <w:rPr>
          <w:rFonts w:hint="eastAsia"/>
          <w:color w:val="auto"/>
          <w:highlight w:val="none"/>
        </w:rPr>
        <w:t>评审标准：见评审办法前附表。</w:t>
      </w:r>
    </w:p>
    <w:p w14:paraId="2E9DD756">
      <w:pPr>
        <w:bidi w:val="0"/>
        <w:rPr>
          <w:color w:val="auto"/>
          <w:highlight w:val="none"/>
        </w:rPr>
      </w:pPr>
      <w:r>
        <w:rPr>
          <w:rFonts w:hint="eastAsia"/>
          <w:color w:val="auto"/>
          <w:highlight w:val="none"/>
        </w:rPr>
        <w:t>2.1.3 响应性评审标准：见评审办法前附表。</w:t>
      </w:r>
    </w:p>
    <w:p w14:paraId="58563FE4">
      <w:pPr>
        <w:pStyle w:val="5"/>
        <w:bidi w:val="0"/>
        <w:rPr>
          <w:color w:val="auto"/>
          <w:highlight w:val="none"/>
          <w:lang w:val="en-US" w:eastAsia="zh-CN"/>
        </w:rPr>
      </w:pPr>
      <w:bookmarkStart w:id="106" w:name="_Toc277082621"/>
      <w:bookmarkStart w:id="107" w:name="_Toc25129"/>
      <w:bookmarkStart w:id="108" w:name="_Toc377067341"/>
      <w:bookmarkStart w:id="109" w:name="_Toc444155970"/>
      <w:bookmarkStart w:id="110" w:name="_Toc6503"/>
      <w:bookmarkStart w:id="111" w:name="_Toc200513201"/>
      <w:bookmarkStart w:id="112" w:name="_Toc287620754"/>
      <w:bookmarkStart w:id="113" w:name="_Toc9090"/>
      <w:bookmarkStart w:id="114" w:name="_Toc440022829"/>
      <w:bookmarkStart w:id="115" w:name="_Toc376114122"/>
      <w:bookmarkStart w:id="116" w:name="_Toc224103387"/>
      <w:bookmarkStart w:id="117" w:name="_Toc377115421"/>
      <w:bookmarkStart w:id="118" w:name="_Toc23296"/>
      <w:bookmarkStart w:id="119" w:name="_Toc2340"/>
      <w:bookmarkStart w:id="120" w:name="_Toc330569208"/>
      <w:bookmarkStart w:id="121" w:name="_Toc1387"/>
      <w:bookmarkStart w:id="122" w:name="_Toc287607815"/>
      <w:bookmarkStart w:id="123" w:name="_Toc407195381"/>
      <w:bookmarkStart w:id="124" w:name="_Toc20840"/>
      <w:r>
        <w:rPr>
          <w:rFonts w:hint="eastAsia"/>
          <w:color w:val="auto"/>
          <w:highlight w:val="none"/>
          <w:lang w:val="en-US" w:eastAsia="zh-CN"/>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3953F3D">
      <w:pPr>
        <w:bidi w:val="0"/>
        <w:rPr>
          <w:color w:val="auto"/>
          <w:highlight w:val="none"/>
        </w:rPr>
      </w:pPr>
      <w:r>
        <w:rPr>
          <w:rFonts w:hint="eastAsia"/>
          <w:color w:val="auto"/>
          <w:highlight w:val="none"/>
        </w:rPr>
        <w:t xml:space="preserve">2.2.1 分值构成：见评审办法前附表。 </w:t>
      </w:r>
    </w:p>
    <w:p w14:paraId="0DB401B4">
      <w:pPr>
        <w:bidi w:val="0"/>
        <w:rPr>
          <w:color w:val="auto"/>
          <w:highlight w:val="none"/>
        </w:rPr>
      </w:pPr>
      <w:r>
        <w:rPr>
          <w:rFonts w:hint="eastAsia"/>
          <w:color w:val="auto"/>
          <w:highlight w:val="none"/>
        </w:rPr>
        <w:t>2.2.2 评审基准价计算方法：见评审办法前附表。</w:t>
      </w:r>
    </w:p>
    <w:p w14:paraId="154234F0">
      <w:pPr>
        <w:bidi w:val="0"/>
        <w:rPr>
          <w:color w:val="auto"/>
          <w:highlight w:val="none"/>
        </w:rPr>
      </w:pPr>
      <w:r>
        <w:rPr>
          <w:rFonts w:hint="eastAsia"/>
          <w:color w:val="auto"/>
          <w:highlight w:val="none"/>
        </w:rPr>
        <w:t>2.2.3 评分标准：</w:t>
      </w:r>
      <w:r>
        <w:rPr>
          <w:rFonts w:hint="eastAsia"/>
          <w:color w:val="auto"/>
          <w:highlight w:val="none"/>
          <w:lang w:val="en-US" w:eastAsia="zh-CN"/>
        </w:rPr>
        <w:t xml:space="preserve"> </w:t>
      </w:r>
      <w:r>
        <w:rPr>
          <w:rFonts w:hint="eastAsia"/>
          <w:color w:val="auto"/>
          <w:highlight w:val="none"/>
        </w:rPr>
        <w:t>（1）</w:t>
      </w:r>
      <w:r>
        <w:rPr>
          <w:rFonts w:hint="eastAsia"/>
          <w:color w:val="auto"/>
          <w:highlight w:val="none"/>
          <w:lang w:eastAsia="zh-CN"/>
        </w:rPr>
        <w:t>响应报价</w:t>
      </w:r>
      <w:r>
        <w:rPr>
          <w:rFonts w:hint="eastAsia"/>
          <w:color w:val="auto"/>
          <w:highlight w:val="none"/>
        </w:rPr>
        <w:t>评分标准：见评审办法前附表；</w:t>
      </w:r>
    </w:p>
    <w:p w14:paraId="652B78EE">
      <w:pPr>
        <w:bidi w:val="0"/>
        <w:ind w:firstLine="1800" w:firstLineChars="1000"/>
        <w:rPr>
          <w:rFonts w:hint="eastAsia"/>
          <w:color w:val="auto"/>
          <w:highlight w:val="none"/>
        </w:rPr>
      </w:pPr>
      <w:r>
        <w:rPr>
          <w:rFonts w:hint="eastAsia"/>
          <w:color w:val="auto"/>
          <w:highlight w:val="none"/>
        </w:rPr>
        <w:t>（2）商务部分评分标准：见评审办法前附表；</w:t>
      </w:r>
    </w:p>
    <w:p w14:paraId="63E43247">
      <w:pPr>
        <w:bidi w:val="0"/>
        <w:ind w:firstLine="1800" w:firstLineChars="1000"/>
        <w:rPr>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3CCCB5E3">
      <w:pPr>
        <w:pStyle w:val="4"/>
        <w:bidi w:val="0"/>
        <w:rPr>
          <w:color w:val="auto"/>
          <w:highlight w:val="none"/>
          <w:lang w:val="en-US" w:eastAsia="zh-CN"/>
        </w:rPr>
      </w:pPr>
      <w:bookmarkStart w:id="125" w:name="_Toc376114123"/>
      <w:bookmarkStart w:id="126" w:name="_Toc287607816"/>
      <w:bookmarkStart w:id="127" w:name="_Toc5546"/>
      <w:bookmarkStart w:id="128" w:name="_Toc407195382"/>
      <w:bookmarkStart w:id="129" w:name="_Toc8004"/>
      <w:bookmarkStart w:id="130" w:name="_Toc277082622"/>
      <w:bookmarkStart w:id="131" w:name="_Toc2982"/>
      <w:bookmarkStart w:id="132" w:name="_Toc9488"/>
      <w:bookmarkStart w:id="133" w:name="_Toc377115422"/>
      <w:bookmarkStart w:id="134" w:name="_Toc330569209"/>
      <w:bookmarkStart w:id="135" w:name="_Toc377067342"/>
      <w:bookmarkStart w:id="136" w:name="_Toc224103388"/>
      <w:bookmarkStart w:id="137" w:name="_Toc23633"/>
      <w:bookmarkStart w:id="138" w:name="_Toc440022830"/>
      <w:bookmarkStart w:id="139" w:name="_Toc15132"/>
      <w:bookmarkStart w:id="140" w:name="_Toc444155971"/>
      <w:bookmarkStart w:id="141" w:name="_Toc200513202"/>
      <w:bookmarkStart w:id="142" w:name="_Toc12538"/>
      <w:bookmarkStart w:id="143" w:name="_Toc14353"/>
      <w:bookmarkStart w:id="144" w:name="_Toc287620755"/>
      <w:r>
        <w:rPr>
          <w:rFonts w:hint="eastAsia"/>
          <w:color w:val="auto"/>
          <w:highlight w:val="none"/>
          <w:lang w:val="en-US" w:eastAsia="zh-CN"/>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8F252DA">
      <w:pPr>
        <w:pStyle w:val="5"/>
        <w:bidi w:val="0"/>
        <w:rPr>
          <w:color w:val="auto"/>
          <w:highlight w:val="none"/>
          <w:lang w:val="en-US" w:eastAsia="zh-CN"/>
        </w:rPr>
      </w:pPr>
      <w:bookmarkStart w:id="145" w:name="_Toc377115423"/>
      <w:bookmarkStart w:id="146" w:name="_Toc22279"/>
      <w:bookmarkStart w:id="147" w:name="_Toc444155972"/>
      <w:bookmarkStart w:id="148" w:name="_Toc5462"/>
      <w:bookmarkStart w:id="149" w:name="_Toc9683"/>
      <w:bookmarkStart w:id="150" w:name="_Toc377067343"/>
      <w:bookmarkStart w:id="151" w:name="_Toc277082623"/>
      <w:bookmarkStart w:id="152" w:name="_Toc330569210"/>
      <w:bookmarkStart w:id="153" w:name="_Toc224103389"/>
      <w:bookmarkStart w:id="154" w:name="_Toc287607817"/>
      <w:bookmarkStart w:id="155" w:name="_Toc440022831"/>
      <w:bookmarkStart w:id="156" w:name="_Toc13851"/>
      <w:bookmarkStart w:id="157" w:name="_Toc19840"/>
      <w:bookmarkStart w:id="158" w:name="_Toc6448"/>
      <w:bookmarkStart w:id="159" w:name="_Toc407195383"/>
      <w:bookmarkStart w:id="160" w:name="_Toc200513203"/>
      <w:bookmarkStart w:id="161" w:name="_Toc287620756"/>
      <w:bookmarkStart w:id="162" w:name="_Toc376114124"/>
      <w:bookmarkStart w:id="163" w:name="_Toc32002"/>
      <w:r>
        <w:rPr>
          <w:rFonts w:hint="eastAsia"/>
          <w:color w:val="auto"/>
          <w:highlight w:val="none"/>
          <w:lang w:val="en-US" w:eastAsia="zh-CN"/>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C9663F0">
      <w:pPr>
        <w:bidi w:val="0"/>
        <w:rPr>
          <w:color w:val="auto"/>
          <w:highlight w:val="none"/>
        </w:rPr>
      </w:pPr>
      <w:bookmarkStart w:id="164" w:name="_Toc377115424"/>
      <w:bookmarkStart w:id="165" w:name="_Toc373264792"/>
      <w:bookmarkStart w:id="166" w:name="_Toc331232467"/>
      <w:bookmarkStart w:id="167" w:name="_Toc444155973"/>
      <w:bookmarkStart w:id="168" w:name="_Toc330569211"/>
      <w:bookmarkStart w:id="169" w:name="_Toc27164"/>
      <w:bookmarkStart w:id="170" w:name="_Toc377067344"/>
      <w:bookmarkStart w:id="171" w:name="_Toc356243677"/>
      <w:bookmarkStart w:id="172" w:name="_Toc356484119"/>
      <w:bookmarkStart w:id="173" w:name="_Toc376114125"/>
      <w:bookmarkStart w:id="174" w:name="_Toc332028970"/>
      <w:bookmarkStart w:id="175" w:name="_Toc373172234"/>
      <w:bookmarkStart w:id="176" w:name="_Toc407195384"/>
      <w:bookmarkStart w:id="177" w:name="_Toc331232649"/>
      <w:bookmarkStart w:id="178" w:name="_Toc354387014"/>
      <w:bookmarkStart w:id="179" w:name="_Toc332015984"/>
      <w:bookmarkStart w:id="180" w:name="_Toc440022832"/>
      <w:bookmarkStart w:id="181" w:name="_Toc334002333"/>
      <w:bookmarkStart w:id="182" w:name="_Toc332380970"/>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响应文件</w:t>
      </w:r>
      <w:r>
        <w:rPr>
          <w:rFonts w:hint="eastAsia"/>
          <w:color w:val="auto"/>
          <w:highlight w:val="none"/>
        </w:rPr>
        <w:t>进行初步评审。有一项不符合评审标准的，作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20ECF81">
      <w:pPr>
        <w:bidi w:val="0"/>
        <w:rPr>
          <w:color w:val="auto"/>
          <w:highlight w:val="none"/>
        </w:rPr>
      </w:pPr>
      <w:r>
        <w:rPr>
          <w:rFonts w:hint="eastAsia"/>
          <w:color w:val="auto"/>
          <w:highlight w:val="none"/>
        </w:rPr>
        <w:t xml:space="preserve">3.1.2 </w:t>
      </w:r>
      <w:r>
        <w:rPr>
          <w:rFonts w:hint="eastAsia"/>
          <w:color w:val="auto"/>
          <w:highlight w:val="none"/>
          <w:lang w:eastAsia="zh-CN"/>
        </w:rPr>
        <w:t>响应人</w:t>
      </w:r>
      <w:r>
        <w:rPr>
          <w:rFonts w:hint="eastAsia"/>
          <w:color w:val="auto"/>
          <w:highlight w:val="none"/>
        </w:rPr>
        <w:t>有以下情形之一的，其</w:t>
      </w:r>
      <w:r>
        <w:rPr>
          <w:rFonts w:hint="eastAsia"/>
          <w:color w:val="auto"/>
          <w:highlight w:val="none"/>
          <w:lang w:val="en-US" w:eastAsia="zh-CN"/>
        </w:rPr>
        <w:t>响应</w:t>
      </w:r>
      <w:r>
        <w:rPr>
          <w:rFonts w:hint="eastAsia"/>
          <w:color w:val="auto"/>
          <w:highlight w:val="none"/>
        </w:rPr>
        <w:t>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p>
    <w:p w14:paraId="4DBF42F1">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响应人</w:t>
      </w:r>
      <w:r>
        <w:rPr>
          <w:rFonts w:hint="eastAsia"/>
          <w:color w:val="auto"/>
          <w:highlight w:val="none"/>
        </w:rPr>
        <w:t>须知”第</w:t>
      </w:r>
      <w:r>
        <w:rPr>
          <w:rFonts w:hint="eastAsia"/>
          <w:color w:val="auto"/>
          <w:highlight w:val="none"/>
          <w:lang w:val="en-US" w:eastAsia="zh-CN"/>
        </w:rPr>
        <w:t xml:space="preserve"> 12. 条以及第 14. 条</w:t>
      </w:r>
      <w:r>
        <w:rPr>
          <w:rFonts w:hint="eastAsia"/>
          <w:color w:val="auto"/>
          <w:highlight w:val="none"/>
        </w:rPr>
        <w:t>规定的任何一种情形的；</w:t>
      </w:r>
    </w:p>
    <w:p w14:paraId="3E10695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val="en-US" w:eastAsia="zh-CN"/>
        </w:rPr>
        <w:t>响应</w:t>
      </w:r>
      <w:r>
        <w:rPr>
          <w:rFonts w:hint="eastAsia"/>
          <w:color w:val="auto"/>
          <w:highlight w:val="none"/>
        </w:rPr>
        <w:t>、弄虚作假等其他违反相关法律、法规行为的；</w:t>
      </w:r>
    </w:p>
    <w:p w14:paraId="5F99C84E">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25A9BD3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响应文件</w:t>
      </w:r>
      <w:r>
        <w:rPr>
          <w:rFonts w:hint="eastAsia"/>
          <w:color w:val="auto"/>
          <w:highlight w:val="none"/>
        </w:rPr>
        <w:t>约定的其它情形。</w:t>
      </w:r>
    </w:p>
    <w:p w14:paraId="4E55054C">
      <w:pPr>
        <w:bidi w:val="0"/>
        <w:rPr>
          <w:rFonts w:hint="eastAsia"/>
          <w:color w:val="auto"/>
          <w:highlight w:val="none"/>
        </w:rPr>
      </w:pPr>
      <w:r>
        <w:rPr>
          <w:rFonts w:hint="eastAsia"/>
          <w:color w:val="auto"/>
          <w:highlight w:val="none"/>
        </w:rPr>
        <w:t xml:space="preserve">3.1.3 </w:t>
      </w:r>
      <w:r>
        <w:rPr>
          <w:rFonts w:hint="eastAsia"/>
          <w:color w:val="auto"/>
          <w:highlight w:val="none"/>
          <w:lang w:eastAsia="zh-CN"/>
        </w:rPr>
        <w:t>响应报价</w:t>
      </w:r>
      <w:r>
        <w:rPr>
          <w:rFonts w:hint="eastAsia"/>
          <w:color w:val="auto"/>
          <w:highlight w:val="none"/>
        </w:rPr>
        <w:t>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响应报价</w:t>
      </w:r>
      <w:r>
        <w:rPr>
          <w:rFonts w:hint="eastAsia"/>
          <w:color w:val="auto"/>
          <w:highlight w:val="none"/>
        </w:rPr>
        <w:t>进行修正，修正的价格经</w:t>
      </w:r>
      <w:r>
        <w:rPr>
          <w:rFonts w:hint="eastAsia"/>
          <w:color w:val="auto"/>
          <w:highlight w:val="none"/>
          <w:lang w:eastAsia="zh-CN"/>
        </w:rPr>
        <w:t>响应人</w:t>
      </w:r>
      <w:r>
        <w:rPr>
          <w:rFonts w:hint="eastAsia"/>
          <w:color w:val="auto"/>
          <w:highlight w:val="none"/>
        </w:rPr>
        <w:t>书面确认后具有约束力。</w:t>
      </w:r>
      <w:r>
        <w:rPr>
          <w:rFonts w:hint="eastAsia"/>
          <w:color w:val="auto"/>
          <w:highlight w:val="none"/>
          <w:lang w:eastAsia="zh-CN"/>
        </w:rPr>
        <w:t>响应人</w:t>
      </w:r>
      <w:r>
        <w:rPr>
          <w:rFonts w:hint="eastAsia"/>
          <w:color w:val="auto"/>
          <w:highlight w:val="none"/>
        </w:rPr>
        <w:t>不接受修正价格的，其</w:t>
      </w:r>
      <w:r>
        <w:rPr>
          <w:rFonts w:hint="eastAsia"/>
          <w:color w:val="auto"/>
          <w:highlight w:val="none"/>
          <w:lang w:val="en-US" w:eastAsia="zh-CN"/>
        </w:rPr>
        <w:t>响应</w:t>
      </w:r>
      <w:r>
        <w:rPr>
          <w:rFonts w:hint="eastAsia"/>
          <w:color w:val="auto"/>
          <w:highlight w:val="none"/>
        </w:rPr>
        <w:t>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p>
    <w:p w14:paraId="2E2116AD">
      <w:pPr>
        <w:pStyle w:val="5"/>
        <w:bidi w:val="0"/>
        <w:rPr>
          <w:color w:val="auto"/>
          <w:highlight w:val="none"/>
        </w:rPr>
      </w:pPr>
      <w:r>
        <w:rPr>
          <w:rFonts w:hint="eastAsia"/>
          <w:color w:val="auto"/>
          <w:highlight w:val="none"/>
          <w:lang w:val="en-US" w:eastAsia="zh-CN"/>
        </w:rPr>
        <w:t xml:space="preserve">3.2 </w:t>
      </w:r>
      <w:r>
        <w:rPr>
          <w:rFonts w:hint="eastAsia"/>
          <w:color w:val="auto"/>
          <w:highlight w:val="none"/>
        </w:rPr>
        <w:t>修正错误</w:t>
      </w:r>
    </w:p>
    <w:p w14:paraId="139FA49F">
      <w:pPr>
        <w:bidi w:val="0"/>
        <w:rPr>
          <w:color w:val="auto"/>
          <w:highlight w:val="none"/>
        </w:rPr>
      </w:pPr>
      <w:r>
        <w:rPr>
          <w:rFonts w:hint="eastAsia"/>
          <w:color w:val="auto"/>
          <w:highlight w:val="none"/>
        </w:rPr>
        <w:t>若</w:t>
      </w:r>
      <w:r>
        <w:rPr>
          <w:rFonts w:hint="eastAsia"/>
          <w:color w:val="auto"/>
          <w:highlight w:val="none"/>
          <w:lang w:eastAsia="zh-CN"/>
        </w:rPr>
        <w:t>响应文件</w:t>
      </w:r>
      <w:r>
        <w:rPr>
          <w:rFonts w:hint="eastAsia"/>
          <w:color w:val="auto"/>
          <w:highlight w:val="none"/>
        </w:rPr>
        <w:t>出现计算或表达上的错误，修正错误的原则如下：</w:t>
      </w:r>
    </w:p>
    <w:p w14:paraId="4B68D3A8">
      <w:pPr>
        <w:bidi w:val="0"/>
        <w:rPr>
          <w:color w:val="auto"/>
          <w:highlight w:val="none"/>
        </w:rPr>
      </w:pPr>
      <w:r>
        <w:rPr>
          <w:rFonts w:hint="eastAsia"/>
          <w:color w:val="auto"/>
          <w:highlight w:val="none"/>
          <w:lang w:val="en-US" w:eastAsia="zh-CN"/>
        </w:rPr>
        <w:t xml:space="preserve">3.2.1 </w:t>
      </w:r>
      <w:r>
        <w:rPr>
          <w:rFonts w:hint="eastAsia"/>
          <w:color w:val="auto"/>
          <w:highlight w:val="none"/>
          <w:lang w:eastAsia="zh-CN"/>
        </w:rPr>
        <w:t>响应文件</w:t>
      </w:r>
      <w:r>
        <w:rPr>
          <w:rFonts w:hint="eastAsia"/>
          <w:color w:val="auto"/>
          <w:highlight w:val="none"/>
        </w:rPr>
        <w:t>的大写金额和小写金额不一致的，以大写金额为准；</w:t>
      </w:r>
    </w:p>
    <w:p w14:paraId="4CA8A504">
      <w:pPr>
        <w:bidi w:val="0"/>
        <w:rPr>
          <w:color w:val="auto"/>
          <w:highlight w:val="none"/>
        </w:rPr>
      </w:pPr>
      <w:r>
        <w:rPr>
          <w:rFonts w:hint="eastAsia"/>
          <w:color w:val="auto"/>
          <w:highlight w:val="none"/>
          <w:lang w:val="en-US" w:eastAsia="zh-CN"/>
        </w:rPr>
        <w:t xml:space="preserve">3.2.2 </w:t>
      </w:r>
      <w:r>
        <w:rPr>
          <w:rFonts w:hint="eastAsia"/>
          <w:color w:val="auto"/>
          <w:highlight w:val="none"/>
        </w:rPr>
        <w:t>总价金额与按单价汇总金额不一致的，以单价金额计算结果为准；</w:t>
      </w:r>
    </w:p>
    <w:p w14:paraId="01ED4E52">
      <w:pPr>
        <w:bidi w:val="0"/>
        <w:rPr>
          <w:color w:val="auto"/>
          <w:highlight w:val="none"/>
        </w:rPr>
      </w:pPr>
      <w:r>
        <w:rPr>
          <w:rFonts w:hint="eastAsia"/>
          <w:color w:val="auto"/>
          <w:highlight w:val="none"/>
          <w:lang w:val="en-US" w:eastAsia="zh-CN"/>
        </w:rPr>
        <w:t xml:space="preserve">3.2.3 </w:t>
      </w:r>
      <w:r>
        <w:rPr>
          <w:rFonts w:hint="eastAsia"/>
          <w:color w:val="auto"/>
          <w:highlight w:val="none"/>
        </w:rPr>
        <w:t>单价金额小数点有明显错位的，应以总价为准，并修正单价；</w:t>
      </w:r>
    </w:p>
    <w:p w14:paraId="24B7886C">
      <w:pPr>
        <w:bidi w:val="0"/>
        <w:rPr>
          <w:rFonts w:hint="eastAsia"/>
          <w:color w:val="auto"/>
          <w:highlight w:val="none"/>
        </w:rPr>
      </w:pPr>
      <w:r>
        <w:rPr>
          <w:rFonts w:hint="eastAsia"/>
          <w:color w:val="auto"/>
          <w:highlight w:val="none"/>
          <w:lang w:val="en-US" w:eastAsia="zh-CN"/>
        </w:rPr>
        <w:t xml:space="preserve">3.2.4 </w:t>
      </w:r>
      <w:r>
        <w:rPr>
          <w:rFonts w:hint="eastAsia"/>
          <w:color w:val="auto"/>
          <w:highlight w:val="none"/>
        </w:rPr>
        <w:t>对不同文字文本</w:t>
      </w:r>
      <w:r>
        <w:rPr>
          <w:rFonts w:hint="eastAsia"/>
          <w:color w:val="auto"/>
          <w:highlight w:val="none"/>
          <w:lang w:eastAsia="zh-CN"/>
        </w:rPr>
        <w:t>响应文件</w:t>
      </w:r>
      <w:r>
        <w:rPr>
          <w:rFonts w:hint="eastAsia"/>
          <w:color w:val="auto"/>
          <w:highlight w:val="none"/>
        </w:rPr>
        <w:t>的解释发生异议的，以中文文本为准。</w:t>
      </w:r>
    </w:p>
    <w:p w14:paraId="76304F63">
      <w:pPr>
        <w:bidi w:val="0"/>
        <w:rPr>
          <w:rFonts w:hint="eastAsia"/>
          <w:color w:val="auto"/>
          <w:highlight w:val="none"/>
        </w:rPr>
      </w:pPr>
      <w:r>
        <w:rPr>
          <w:rFonts w:hint="eastAsia"/>
          <w:color w:val="auto"/>
          <w:highlight w:val="none"/>
          <w:lang w:val="en-US" w:eastAsia="zh-CN"/>
        </w:rPr>
        <w:t>3.2.5 含税金额与不含税金额不一致的，以含税金额为准。</w:t>
      </w:r>
    </w:p>
    <w:p w14:paraId="5D7F735C">
      <w:pPr>
        <w:bidi w:val="0"/>
        <w:rPr>
          <w:color w:val="auto"/>
          <w:highlight w:val="none"/>
        </w:rPr>
      </w:pPr>
      <w:r>
        <w:rPr>
          <w:rFonts w:hint="eastAsia"/>
          <w:color w:val="auto"/>
          <w:highlight w:val="none"/>
          <w:lang w:eastAsia="zh-CN"/>
        </w:rPr>
        <w:t>评审委员会</w:t>
      </w:r>
      <w:r>
        <w:rPr>
          <w:rFonts w:hint="eastAsia"/>
          <w:color w:val="auto"/>
          <w:highlight w:val="none"/>
        </w:rPr>
        <w:t>按上述修正错误的原则及方法调整或修正</w:t>
      </w:r>
      <w:r>
        <w:rPr>
          <w:rFonts w:hint="eastAsia"/>
          <w:color w:val="auto"/>
          <w:highlight w:val="none"/>
          <w:lang w:eastAsia="zh-CN"/>
        </w:rPr>
        <w:t>响应人响应报价</w:t>
      </w:r>
      <w:r>
        <w:rPr>
          <w:rFonts w:hint="eastAsia"/>
          <w:color w:val="auto"/>
          <w:highlight w:val="none"/>
        </w:rPr>
        <w:t>，</w:t>
      </w:r>
      <w:r>
        <w:rPr>
          <w:rFonts w:hint="eastAsia"/>
          <w:color w:val="auto"/>
          <w:highlight w:val="none"/>
          <w:lang w:val="en-US" w:eastAsia="zh-CN"/>
        </w:rPr>
        <w:t>如涉及多次修正，则按上述原则的顺序进行修正。</w:t>
      </w:r>
      <w:r>
        <w:rPr>
          <w:rFonts w:hint="eastAsia"/>
          <w:color w:val="auto"/>
          <w:highlight w:val="none"/>
          <w:lang w:eastAsia="zh-CN"/>
        </w:rPr>
        <w:t>响应人</w:t>
      </w:r>
      <w:r>
        <w:rPr>
          <w:rFonts w:hint="eastAsia"/>
          <w:color w:val="auto"/>
          <w:highlight w:val="none"/>
          <w:lang w:val="en-US" w:eastAsia="zh-CN"/>
        </w:rPr>
        <w:t>授权代表</w:t>
      </w:r>
      <w:r>
        <w:rPr>
          <w:rFonts w:hint="eastAsia"/>
          <w:color w:val="auto"/>
          <w:highlight w:val="none"/>
        </w:rPr>
        <w:t>同意并签字确认后，调整后的</w:t>
      </w:r>
      <w:r>
        <w:rPr>
          <w:rFonts w:hint="eastAsia"/>
          <w:color w:val="auto"/>
          <w:highlight w:val="none"/>
          <w:lang w:eastAsia="zh-CN"/>
        </w:rPr>
        <w:t>响应报价</w:t>
      </w:r>
      <w:r>
        <w:rPr>
          <w:rFonts w:hint="eastAsia"/>
          <w:color w:val="auto"/>
          <w:highlight w:val="none"/>
        </w:rPr>
        <w:t>对</w:t>
      </w:r>
      <w:r>
        <w:rPr>
          <w:rFonts w:hint="eastAsia"/>
          <w:color w:val="auto"/>
          <w:highlight w:val="none"/>
          <w:lang w:eastAsia="zh-CN"/>
        </w:rPr>
        <w:t>响应人</w:t>
      </w:r>
      <w:r>
        <w:rPr>
          <w:rFonts w:hint="eastAsia"/>
          <w:color w:val="auto"/>
          <w:highlight w:val="none"/>
        </w:rPr>
        <w:t>具有约束作用。如果</w:t>
      </w:r>
      <w:r>
        <w:rPr>
          <w:rFonts w:hint="eastAsia"/>
          <w:color w:val="auto"/>
          <w:highlight w:val="none"/>
          <w:lang w:eastAsia="zh-CN"/>
        </w:rPr>
        <w:t>响应人</w:t>
      </w:r>
      <w:r>
        <w:rPr>
          <w:rFonts w:hint="eastAsia"/>
          <w:color w:val="auto"/>
          <w:highlight w:val="none"/>
        </w:rPr>
        <w:t>不接受修正后的报价，则其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7E9631D9">
      <w:pPr>
        <w:pStyle w:val="5"/>
        <w:bidi w:val="0"/>
        <w:rPr>
          <w:color w:val="auto"/>
          <w:highlight w:val="none"/>
          <w:lang w:val="en-US" w:eastAsia="zh-CN"/>
        </w:rPr>
      </w:pPr>
      <w:bookmarkStart w:id="183" w:name="_Toc200513204"/>
      <w:bookmarkStart w:id="184" w:name="_Toc11246"/>
      <w:bookmarkStart w:id="185" w:name="_Toc29925"/>
      <w:bookmarkStart w:id="186" w:name="_Toc440022833"/>
      <w:bookmarkStart w:id="187" w:name="_Toc22246"/>
      <w:bookmarkStart w:id="188" w:name="_Toc19604"/>
      <w:bookmarkStart w:id="189" w:name="_Toc7832"/>
      <w:bookmarkStart w:id="190" w:name="_Toc407195385"/>
      <w:bookmarkStart w:id="191" w:name="_Toc377067345"/>
      <w:bookmarkStart w:id="192" w:name="_Toc330569212"/>
      <w:bookmarkStart w:id="193" w:name="_Toc287620757"/>
      <w:bookmarkStart w:id="194" w:name="_Toc287607818"/>
      <w:bookmarkStart w:id="195" w:name="_Toc22848"/>
      <w:bookmarkStart w:id="196" w:name="_Toc444155974"/>
      <w:bookmarkStart w:id="197" w:name="_Toc224103390"/>
      <w:bookmarkStart w:id="198" w:name="_Toc277082624"/>
      <w:bookmarkStart w:id="199" w:name="_Toc10847"/>
      <w:bookmarkStart w:id="200" w:name="_Toc376114126"/>
      <w:bookmarkStart w:id="201" w:name="_Toc377115425"/>
      <w:r>
        <w:rPr>
          <w:rFonts w:hint="eastAsia"/>
          <w:color w:val="auto"/>
          <w:highlight w:val="none"/>
          <w:lang w:val="en-US" w:eastAsia="zh-CN"/>
        </w:rPr>
        <w:t>3.3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7527AA7">
      <w:pPr>
        <w:bidi w:val="0"/>
        <w:rPr>
          <w:color w:val="auto"/>
          <w:highlight w:val="none"/>
        </w:rPr>
      </w:pPr>
      <w:r>
        <w:rPr>
          <w:rFonts w:hint="eastAsia"/>
          <w:color w:val="auto"/>
          <w:highlight w:val="none"/>
          <w:lang w:val="en-US" w:eastAsia="zh-CN"/>
        </w:rPr>
        <w:t>3.3</w:t>
      </w:r>
      <w:r>
        <w:rPr>
          <w:rFonts w:hint="eastAsia"/>
          <w:color w:val="auto"/>
          <w:highlight w:val="none"/>
        </w:rPr>
        <w:t xml:space="preserve">.1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06F30CCB">
      <w:pPr>
        <w:bidi w:val="0"/>
        <w:rPr>
          <w:color w:val="auto"/>
          <w:highlight w:val="none"/>
        </w:rPr>
      </w:pPr>
      <w:r>
        <w:rPr>
          <w:rFonts w:hint="eastAsia"/>
          <w:color w:val="auto"/>
          <w:highlight w:val="none"/>
          <w:lang w:val="en-US" w:eastAsia="zh-CN"/>
        </w:rPr>
        <w:t xml:space="preserve">3.3.1.1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响应报价</w:t>
      </w:r>
      <w:r>
        <w:rPr>
          <w:rFonts w:hint="eastAsia"/>
          <w:color w:val="auto"/>
          <w:highlight w:val="none"/>
        </w:rPr>
        <w:t>计算出得分；</w:t>
      </w:r>
    </w:p>
    <w:p w14:paraId="07306FC6">
      <w:pPr>
        <w:bidi w:val="0"/>
        <w:rPr>
          <w:color w:val="auto"/>
          <w:highlight w:val="none"/>
        </w:rPr>
      </w:pPr>
      <w:r>
        <w:rPr>
          <w:rFonts w:hint="eastAsia"/>
          <w:color w:val="auto"/>
          <w:highlight w:val="none"/>
          <w:lang w:val="en-US" w:eastAsia="zh-CN"/>
        </w:rPr>
        <w:t xml:space="preserve">3.3.1.2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4F0CDC6C">
      <w:pPr>
        <w:bidi w:val="0"/>
        <w:rPr>
          <w:color w:val="auto"/>
          <w:highlight w:val="none"/>
        </w:rPr>
      </w:pPr>
      <w:r>
        <w:rPr>
          <w:rFonts w:hint="eastAsia"/>
          <w:color w:val="auto"/>
          <w:highlight w:val="none"/>
          <w:lang w:val="en-US" w:eastAsia="zh-CN"/>
        </w:rPr>
        <w:t>3.3</w:t>
      </w:r>
      <w:r>
        <w:rPr>
          <w:rFonts w:hint="eastAsia"/>
          <w:color w:val="auto"/>
          <w:highlight w:val="none"/>
        </w:rPr>
        <w:t>.2 评分分值计算保留小数点后两位，小数点后第三位“四舍五入”。</w:t>
      </w:r>
    </w:p>
    <w:p w14:paraId="05BE67F1">
      <w:pPr>
        <w:bidi w:val="0"/>
        <w:rPr>
          <w:color w:val="auto"/>
          <w:highlight w:val="none"/>
        </w:rPr>
      </w:pPr>
      <w:r>
        <w:rPr>
          <w:rFonts w:hint="eastAsia"/>
          <w:color w:val="auto"/>
          <w:highlight w:val="none"/>
          <w:lang w:val="en-US" w:eastAsia="zh-CN"/>
        </w:rPr>
        <w:t>3.3</w:t>
      </w:r>
      <w:r>
        <w:rPr>
          <w:rFonts w:hint="eastAsia"/>
          <w:color w:val="auto"/>
          <w:highlight w:val="none"/>
        </w:rPr>
        <w:t xml:space="preserve">.3 </w:t>
      </w:r>
      <w:r>
        <w:rPr>
          <w:rFonts w:hint="eastAsia"/>
          <w:color w:val="auto"/>
          <w:highlight w:val="none"/>
          <w:lang w:eastAsia="zh-CN"/>
        </w:rPr>
        <w:t>响应人</w:t>
      </w:r>
      <w:r>
        <w:rPr>
          <w:rFonts w:hint="eastAsia"/>
          <w:color w:val="auto"/>
          <w:highlight w:val="none"/>
        </w:rPr>
        <w:t>得分=</w:t>
      </w:r>
      <w:r>
        <w:rPr>
          <w:rFonts w:hint="eastAsia"/>
          <w:color w:val="auto"/>
          <w:highlight w:val="none"/>
          <w:lang w:eastAsia="zh-CN"/>
        </w:rPr>
        <w:t>响应报价</w:t>
      </w:r>
      <w:r>
        <w:rPr>
          <w:rFonts w:hint="eastAsia"/>
          <w:color w:val="auto"/>
          <w:highlight w:val="none"/>
        </w:rPr>
        <w:t>得分+商务部分得分</w:t>
      </w:r>
      <w:r>
        <w:rPr>
          <w:rFonts w:hint="eastAsia"/>
          <w:color w:val="auto"/>
          <w:highlight w:val="none"/>
          <w:lang w:val="en-US" w:eastAsia="zh-CN"/>
        </w:rPr>
        <w:t>+技术部分得分</w:t>
      </w:r>
      <w:r>
        <w:rPr>
          <w:rFonts w:hint="eastAsia"/>
          <w:color w:val="auto"/>
          <w:highlight w:val="none"/>
        </w:rPr>
        <w:t>。</w:t>
      </w:r>
    </w:p>
    <w:p w14:paraId="1D187C2A">
      <w:pPr>
        <w:pStyle w:val="5"/>
        <w:bidi w:val="0"/>
        <w:rPr>
          <w:color w:val="auto"/>
          <w:highlight w:val="none"/>
          <w:lang w:val="en-US" w:eastAsia="zh-CN"/>
        </w:rPr>
      </w:pPr>
      <w:bookmarkStart w:id="202" w:name="_Toc20948"/>
      <w:bookmarkStart w:id="203" w:name="_Toc330569213"/>
      <w:bookmarkStart w:id="204" w:name="_Toc18708"/>
      <w:bookmarkStart w:id="205" w:name="_Toc287620758"/>
      <w:bookmarkStart w:id="206" w:name="_Toc440022834"/>
      <w:bookmarkStart w:id="207" w:name="_Toc7176"/>
      <w:bookmarkStart w:id="208" w:name="_Toc377115426"/>
      <w:bookmarkStart w:id="209" w:name="_Toc32039"/>
      <w:bookmarkStart w:id="210" w:name="_Toc277082625"/>
      <w:bookmarkStart w:id="211" w:name="_Toc444155975"/>
      <w:bookmarkStart w:id="212" w:name="_Toc200513205"/>
      <w:bookmarkStart w:id="213" w:name="_Toc224103391"/>
      <w:bookmarkStart w:id="214" w:name="_Toc287607819"/>
      <w:bookmarkStart w:id="215" w:name="_Toc376114127"/>
      <w:bookmarkStart w:id="216" w:name="_Toc29261"/>
      <w:bookmarkStart w:id="217" w:name="_Toc2542"/>
      <w:bookmarkStart w:id="218" w:name="_Toc407195386"/>
      <w:bookmarkStart w:id="219" w:name="_Toc377067346"/>
      <w:bookmarkStart w:id="220" w:name="_Toc1080"/>
      <w:r>
        <w:rPr>
          <w:rFonts w:hint="eastAsia"/>
          <w:color w:val="auto"/>
          <w:highlight w:val="none"/>
          <w:lang w:val="en-US" w:eastAsia="zh-CN"/>
        </w:rPr>
        <w:t>3.4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50919D7">
      <w:pPr>
        <w:bidi w:val="0"/>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响应人</w:t>
      </w:r>
      <w:r>
        <w:rPr>
          <w:rFonts w:hint="eastAsia"/>
          <w:color w:val="auto"/>
          <w:highlight w:val="none"/>
        </w:rPr>
        <w:t>对所提交</w:t>
      </w:r>
      <w:r>
        <w:rPr>
          <w:rFonts w:hint="eastAsia"/>
          <w:color w:val="auto"/>
          <w:highlight w:val="none"/>
          <w:lang w:eastAsia="zh-CN"/>
        </w:rPr>
        <w:t>响应文件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响应人</w:t>
      </w:r>
      <w:r>
        <w:rPr>
          <w:rFonts w:hint="eastAsia"/>
          <w:color w:val="auto"/>
          <w:highlight w:val="none"/>
        </w:rPr>
        <w:t>主动提出的澄清、说明或补正。</w:t>
      </w:r>
    </w:p>
    <w:p w14:paraId="5C67B2D4">
      <w:pPr>
        <w:bidi w:val="0"/>
        <w:rPr>
          <w:rFonts w:hint="eastAsia"/>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.2 澄清、说明和补正不得改变</w:t>
      </w:r>
      <w:r>
        <w:rPr>
          <w:rFonts w:hint="eastAsia"/>
          <w:color w:val="auto"/>
          <w:highlight w:val="none"/>
          <w:lang w:eastAsia="zh-CN"/>
        </w:rPr>
        <w:t>响应文件</w:t>
      </w:r>
      <w:r>
        <w:rPr>
          <w:rFonts w:hint="eastAsia"/>
          <w:color w:val="auto"/>
          <w:highlight w:val="none"/>
        </w:rPr>
        <w:t>的实质性内容（算术性错误修正的除外）。</w:t>
      </w:r>
      <w:r>
        <w:rPr>
          <w:rFonts w:hint="eastAsia"/>
          <w:color w:val="auto"/>
          <w:highlight w:val="none"/>
          <w:lang w:eastAsia="zh-CN"/>
        </w:rPr>
        <w:t>响应人</w:t>
      </w:r>
      <w:r>
        <w:rPr>
          <w:rFonts w:hint="eastAsia"/>
          <w:color w:val="auto"/>
          <w:highlight w:val="none"/>
        </w:rPr>
        <w:t>的书面澄清、说明和补正属于</w:t>
      </w:r>
      <w:r>
        <w:rPr>
          <w:rFonts w:hint="eastAsia"/>
          <w:color w:val="auto"/>
          <w:highlight w:val="none"/>
          <w:lang w:eastAsia="zh-CN"/>
        </w:rPr>
        <w:t>响应文件</w:t>
      </w:r>
      <w:r>
        <w:rPr>
          <w:rFonts w:hint="eastAsia"/>
          <w:color w:val="auto"/>
          <w:highlight w:val="none"/>
        </w:rPr>
        <w:t>的组成部分。</w:t>
      </w:r>
    </w:p>
    <w:p w14:paraId="4E2EA4E6">
      <w:pPr>
        <w:bidi w:val="0"/>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响应人</w:t>
      </w:r>
      <w:r>
        <w:rPr>
          <w:rFonts w:hint="eastAsia"/>
          <w:color w:val="auto"/>
          <w:highlight w:val="none"/>
        </w:rPr>
        <w:t>提交的澄清、说明或补正有疑问的，可以要求</w:t>
      </w:r>
      <w:r>
        <w:rPr>
          <w:rFonts w:hint="eastAsia"/>
          <w:color w:val="auto"/>
          <w:highlight w:val="none"/>
          <w:lang w:eastAsia="zh-CN"/>
        </w:rPr>
        <w:t>响应人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482FA73A">
      <w:pPr>
        <w:pStyle w:val="5"/>
        <w:bidi w:val="0"/>
        <w:rPr>
          <w:color w:val="auto"/>
          <w:highlight w:val="none"/>
          <w:lang w:val="en-US" w:eastAsia="zh-CN"/>
        </w:rPr>
      </w:pPr>
      <w:bookmarkStart w:id="221" w:name="_Toc30672"/>
      <w:bookmarkStart w:id="222" w:name="_Toc6310"/>
      <w:bookmarkStart w:id="223" w:name="_Toc376114128"/>
      <w:bookmarkStart w:id="224" w:name="_Toc224103392"/>
      <w:bookmarkStart w:id="225" w:name="_Toc377067347"/>
      <w:bookmarkStart w:id="226" w:name="_Toc277082626"/>
      <w:bookmarkStart w:id="227" w:name="_Toc4814"/>
      <w:bookmarkStart w:id="228" w:name="_Toc407195387"/>
      <w:bookmarkStart w:id="229" w:name="_Toc200513206"/>
      <w:bookmarkStart w:id="230" w:name="_Toc287620759"/>
      <w:bookmarkStart w:id="231" w:name="_Toc31270"/>
      <w:bookmarkStart w:id="232" w:name="_Toc377115427"/>
      <w:bookmarkStart w:id="233" w:name="_Toc19054"/>
      <w:bookmarkStart w:id="234" w:name="_Toc330569214"/>
      <w:bookmarkStart w:id="235" w:name="_Toc287607820"/>
      <w:bookmarkStart w:id="236" w:name="_Toc21450"/>
      <w:bookmarkStart w:id="237" w:name="_Toc14840"/>
      <w:bookmarkStart w:id="238" w:name="_Toc444155976"/>
      <w:bookmarkStart w:id="239" w:name="_Toc440022835"/>
      <w:r>
        <w:rPr>
          <w:rFonts w:hint="eastAsia"/>
          <w:color w:val="auto"/>
          <w:highlight w:val="none"/>
          <w:lang w:val="en-US" w:eastAsia="zh-CN"/>
        </w:rPr>
        <w:t>3.5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1F5D89D">
      <w:pPr>
        <w:bidi w:val="0"/>
        <w:rPr>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 xml:space="preserve">.1 </w:t>
      </w:r>
      <w:r>
        <w:rPr>
          <w:rFonts w:hint="eastAsia"/>
          <w:color w:val="auto"/>
          <w:highlight w:val="none"/>
          <w:lang w:eastAsia="zh-CN"/>
        </w:rPr>
        <w:t>评审委员会</w:t>
      </w:r>
      <w:r>
        <w:rPr>
          <w:rFonts w:hint="eastAsia"/>
          <w:color w:val="auto"/>
          <w:highlight w:val="none"/>
        </w:rPr>
        <w:t>按照得分由高到低的顺序</w:t>
      </w:r>
      <w:r>
        <w:rPr>
          <w:rFonts w:hint="eastAsia"/>
          <w:color w:val="auto"/>
          <w:highlight w:val="none"/>
          <w:lang w:val="en-US" w:eastAsia="zh-CN"/>
        </w:rPr>
        <w:t>排序并确定排名</w:t>
      </w:r>
      <w:r>
        <w:rPr>
          <w:rFonts w:hint="eastAsia"/>
          <w:color w:val="auto"/>
          <w:highlight w:val="none"/>
        </w:rPr>
        <w:t>。</w:t>
      </w:r>
    </w:p>
    <w:p w14:paraId="5BDE248C">
      <w:pPr>
        <w:bidi w:val="0"/>
        <w:rPr>
          <w:rFonts w:hint="eastAsia"/>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 xml:space="preserve">.2 </w:t>
      </w:r>
      <w:r>
        <w:rPr>
          <w:rFonts w:hint="eastAsia"/>
          <w:color w:val="auto"/>
          <w:highlight w:val="none"/>
          <w:lang w:eastAsia="zh-CN"/>
        </w:rPr>
        <w:t>评审委员会</w:t>
      </w:r>
      <w:r>
        <w:rPr>
          <w:rFonts w:hint="eastAsia"/>
          <w:color w:val="auto"/>
          <w:highlight w:val="none"/>
        </w:rPr>
        <w:t>完成评审后，应当向</w:t>
      </w:r>
      <w:r>
        <w:rPr>
          <w:rFonts w:hint="eastAsia"/>
          <w:color w:val="auto"/>
          <w:highlight w:val="none"/>
          <w:lang w:eastAsia="zh-CN"/>
        </w:rPr>
        <w:t>采购人</w:t>
      </w:r>
      <w:r>
        <w:rPr>
          <w:rFonts w:hint="eastAsia"/>
          <w:color w:val="auto"/>
          <w:highlight w:val="none"/>
        </w:rPr>
        <w:t>提交书面评审报告。</w:t>
      </w:r>
    </w:p>
    <w:p w14:paraId="3A293187">
      <w:pPr>
        <w:bidi w:val="0"/>
        <w:rPr>
          <w:rFonts w:hint="eastAsia"/>
          <w:color w:val="auto"/>
          <w:highlight w:val="none"/>
          <w:lang w:val="en-US" w:eastAsia="zh-CN"/>
        </w:rPr>
      </w:pPr>
      <w:r>
        <w:rPr>
          <w:rFonts w:hint="eastAsia"/>
          <w:color w:val="auto"/>
          <w:highlight w:val="none"/>
          <w:lang w:val="en-US" w:eastAsia="zh-CN"/>
        </w:rPr>
        <w:t>3.5.3 有</w:t>
      </w:r>
      <w:r>
        <w:rPr>
          <w:rFonts w:hint="eastAsia" w:ascii="宋体" w:hAnsi="宋体" w:eastAsia="宋体" w:cs="宋体"/>
          <w:color w:val="auto"/>
          <w:highlight w:val="none"/>
          <w:lang w:val="en-US" w:eastAsia="zh-CN"/>
        </w:rPr>
        <w:t>效</w:t>
      </w:r>
      <w:r>
        <w:rPr>
          <w:rFonts w:hint="eastAsia" w:ascii="宋体" w:hAnsi="宋体" w:cs="宋体"/>
          <w:color w:val="auto"/>
          <w:highlight w:val="none"/>
          <w:lang w:val="en-US" w:eastAsia="zh-CN"/>
        </w:rPr>
        <w:t>响应人</w:t>
      </w:r>
      <w:r>
        <w:rPr>
          <w:rFonts w:hint="eastAsia" w:ascii="宋体" w:hAnsi="宋体" w:eastAsia="宋体" w:cs="宋体"/>
          <w:color w:val="auto"/>
          <w:highlight w:val="none"/>
          <w:lang w:val="en-US" w:eastAsia="zh-CN"/>
        </w:rPr>
        <w:t>不足三个的，评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委员会应当对有效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人是否仍具有竞争性进行论证。评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委员会认为有效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人的经济、技术等指标仍然具有市场竞争力，能够满足</w:t>
      </w:r>
      <w:r>
        <w:rPr>
          <w:rFonts w:hint="eastAsia" w:ascii="宋体" w:hAnsi="宋体" w:cs="宋体"/>
          <w:color w:val="auto"/>
          <w:highlight w:val="none"/>
          <w:lang w:val="en-US" w:eastAsia="zh-CN"/>
        </w:rPr>
        <w:t>询比</w:t>
      </w:r>
      <w:r>
        <w:rPr>
          <w:rFonts w:hint="eastAsia" w:ascii="宋体" w:hAnsi="宋体" w:eastAsia="宋体" w:cs="宋体"/>
          <w:color w:val="auto"/>
          <w:highlight w:val="none"/>
          <w:lang w:val="en-US" w:eastAsia="zh-CN"/>
        </w:rPr>
        <w:t>文件要求的，可以继续</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并确定</w:t>
      </w:r>
      <w:r>
        <w:rPr>
          <w:rFonts w:hint="eastAsia" w:ascii="宋体" w:hAnsi="宋体" w:cs="宋体"/>
          <w:color w:val="auto"/>
          <w:highlight w:val="none"/>
          <w:lang w:val="en-US" w:eastAsia="zh-CN"/>
        </w:rPr>
        <w:t>排名</w:t>
      </w:r>
      <w:r>
        <w:rPr>
          <w:rFonts w:hint="eastAsia" w:ascii="宋体" w:hAnsi="宋体" w:eastAsia="宋体" w:cs="宋体"/>
          <w:color w:val="auto"/>
          <w:highlight w:val="none"/>
          <w:lang w:val="en-US" w:eastAsia="zh-CN"/>
        </w:rPr>
        <w:t>；评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委员会认为有效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人的经济、技术等指标不具有市场竞争力，不能够满足</w:t>
      </w:r>
      <w:r>
        <w:rPr>
          <w:rFonts w:hint="eastAsia" w:ascii="宋体" w:hAnsi="宋体" w:cs="宋体"/>
          <w:color w:val="auto"/>
          <w:highlight w:val="none"/>
          <w:lang w:val="en-US" w:eastAsia="zh-CN"/>
        </w:rPr>
        <w:t>询比</w:t>
      </w:r>
      <w:r>
        <w:rPr>
          <w:rFonts w:hint="eastAsia" w:ascii="宋体" w:hAnsi="宋体" w:eastAsia="宋体" w:cs="宋体"/>
          <w:color w:val="auto"/>
          <w:highlight w:val="none"/>
          <w:lang w:val="en-US" w:eastAsia="zh-CN"/>
        </w:rPr>
        <w:t>文件要求的，评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委员会应出具竞争性论证情况说明并充分阐明不具有市场竞争力的理由。</w:t>
      </w:r>
    </w:p>
    <w:p w14:paraId="390BDDB4">
      <w:pPr>
        <w:bidi w:val="0"/>
        <w:rPr>
          <w:rFonts w:hint="eastAsia"/>
          <w:color w:val="auto"/>
          <w:highlight w:val="none"/>
          <w:lang w:val="en-US" w:eastAsia="zh-CN"/>
        </w:rPr>
      </w:pPr>
      <w:r>
        <w:rPr>
          <w:rFonts w:hint="eastAsia"/>
          <w:color w:val="auto"/>
          <w:highlight w:val="none"/>
          <w:lang w:val="en-US" w:eastAsia="zh-CN"/>
        </w:rPr>
        <w:t>3.6 对评审委员会成员的纪律要求</w:t>
      </w:r>
    </w:p>
    <w:p w14:paraId="3C4802BB">
      <w:pPr>
        <w:bidi w:val="0"/>
        <w:rPr>
          <w:rFonts w:hint="eastAsia"/>
          <w:color w:val="auto"/>
          <w:highlight w:val="none"/>
        </w:rPr>
      </w:pPr>
      <w:r>
        <w:rPr>
          <w:rFonts w:hint="eastAsia"/>
          <w:color w:val="auto"/>
          <w:highlight w:val="none"/>
          <w:lang w:eastAsia="zh-CN"/>
        </w:rPr>
        <w:t>评审委员会</w:t>
      </w:r>
      <w:r>
        <w:rPr>
          <w:rFonts w:hint="eastAsia"/>
          <w:color w:val="auto"/>
          <w:highlight w:val="none"/>
        </w:rPr>
        <w:t>成员不得收受他人的财物或者其它好处，不得向他人透露对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val="en-US" w:eastAsia="zh-CN"/>
        </w:rPr>
        <w:t>排名</w:t>
      </w:r>
      <w:r>
        <w:rPr>
          <w:rFonts w:hint="eastAsia"/>
          <w:color w:val="auto"/>
          <w:highlight w:val="none"/>
        </w:rPr>
        <w:t>情况以及评审有关的其他情况。在评审活动中，</w:t>
      </w:r>
      <w:r>
        <w:rPr>
          <w:rFonts w:hint="eastAsia"/>
          <w:color w:val="auto"/>
          <w:highlight w:val="none"/>
          <w:lang w:eastAsia="zh-CN"/>
        </w:rPr>
        <w:t>评审委员会</w:t>
      </w:r>
      <w:r>
        <w:rPr>
          <w:rFonts w:hint="eastAsia"/>
          <w:color w:val="auto"/>
          <w:highlight w:val="none"/>
        </w:rPr>
        <w:t>成员不得擅离职守，影响评审程序正常进行，不得使用本</w:t>
      </w:r>
      <w:r>
        <w:rPr>
          <w:rFonts w:hint="eastAsia"/>
          <w:color w:val="auto"/>
          <w:highlight w:val="none"/>
          <w:lang w:eastAsia="zh-CN"/>
        </w:rPr>
        <w:t>询比文件</w:t>
      </w:r>
      <w:r>
        <w:rPr>
          <w:rFonts w:hint="eastAsia"/>
          <w:color w:val="auto"/>
          <w:highlight w:val="none"/>
        </w:rPr>
        <w:t>没有规定的评审因素进行评审。</w:t>
      </w:r>
    </w:p>
    <w:p w14:paraId="0B2A41CB">
      <w:pPr>
        <w:pStyle w:val="5"/>
        <w:bidi w:val="0"/>
        <w:rPr>
          <w:rFonts w:hint="eastAsia"/>
          <w:color w:val="auto"/>
          <w:highlight w:val="none"/>
          <w:lang w:val="en-US" w:eastAsia="zh-CN"/>
        </w:rPr>
      </w:pPr>
      <w:r>
        <w:rPr>
          <w:rFonts w:hint="eastAsia"/>
          <w:color w:val="auto"/>
          <w:highlight w:val="none"/>
          <w:lang w:val="en-US" w:eastAsia="zh-CN"/>
        </w:rPr>
        <w:t>3.7 对与评审活动有关的工作人员的纪律要求</w:t>
      </w:r>
    </w:p>
    <w:p w14:paraId="246189B2">
      <w:pPr>
        <w:bidi w:val="0"/>
        <w:rPr>
          <w:rFonts w:hint="eastAsia"/>
          <w:color w:val="auto"/>
          <w:highlight w:val="none"/>
        </w:rPr>
      </w:pPr>
      <w:r>
        <w:rPr>
          <w:rFonts w:hint="eastAsia"/>
          <w:color w:val="auto"/>
          <w:highlight w:val="none"/>
        </w:rPr>
        <w:t>与评审活动有关的工作人员不得收受他人的财物或者其他好处，不得向他人透漏对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val="en-US" w:eastAsia="zh-CN"/>
        </w:rPr>
        <w:t>排名</w:t>
      </w:r>
      <w:r>
        <w:rPr>
          <w:rFonts w:hint="eastAsia"/>
          <w:color w:val="auto"/>
          <w:highlight w:val="none"/>
        </w:rPr>
        <w:t>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02582483">
      <w:pPr>
        <w:bidi w:val="0"/>
        <w:rPr>
          <w:rFonts w:hint="eastAsia"/>
          <w:color w:val="auto"/>
          <w:highlight w:val="none"/>
        </w:rPr>
      </w:pPr>
    </w:p>
    <w:p w14:paraId="2E5A982F">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729650D1">
      <w:pPr>
        <w:pStyle w:val="3"/>
        <w:bidi w:val="0"/>
        <w:rPr>
          <w:color w:val="auto"/>
          <w:highlight w:val="none"/>
          <w:lang w:val="en-US"/>
        </w:rPr>
      </w:pPr>
      <w:bookmarkStart w:id="240" w:name="_Toc15328"/>
      <w:bookmarkStart w:id="241" w:name="_Toc150953074"/>
      <w:bookmarkStart w:id="242" w:name="_Toc12110"/>
      <w:bookmarkStart w:id="243" w:name="_Toc5324"/>
      <w:r>
        <w:rPr>
          <w:rFonts w:hint="eastAsia"/>
          <w:color w:val="auto"/>
          <w:highlight w:val="none"/>
        </w:rPr>
        <w:t>第</w:t>
      </w:r>
      <w:r>
        <w:rPr>
          <w:rFonts w:hint="eastAsia"/>
          <w:color w:val="auto"/>
          <w:highlight w:val="none"/>
          <w:lang w:val="en-US" w:eastAsia="zh-CN"/>
        </w:rPr>
        <w:t>四</w:t>
      </w:r>
      <w:r>
        <w:rPr>
          <w:rFonts w:hint="eastAsia"/>
          <w:color w:val="auto"/>
          <w:highlight w:val="none"/>
        </w:rPr>
        <w:t>章 合同</w:t>
      </w:r>
      <w:bookmarkEnd w:id="240"/>
      <w:bookmarkEnd w:id="241"/>
      <w:r>
        <w:rPr>
          <w:rFonts w:hint="eastAsia"/>
          <w:color w:val="auto"/>
          <w:highlight w:val="none"/>
          <w:lang w:val="en-US" w:eastAsia="zh-CN"/>
        </w:rPr>
        <w:t>条款及格式</w:t>
      </w:r>
      <w:bookmarkEnd w:id="242"/>
      <w:bookmarkEnd w:id="243"/>
    </w:p>
    <w:p w14:paraId="4DE3575D">
      <w:pPr>
        <w:jc w:val="right"/>
        <w:rPr>
          <w:rStyle w:val="22"/>
          <w:rFonts w:ascii="宋体"/>
          <w:b w:val="0"/>
          <w:color w:val="auto"/>
          <w:sz w:val="28"/>
          <w:szCs w:val="28"/>
          <w:highlight w:val="none"/>
        </w:rPr>
      </w:pPr>
      <w:r>
        <w:rPr>
          <w:rFonts w:hint="eastAsia"/>
          <w:color w:val="auto"/>
          <w:highlight w:val="none"/>
        </w:rPr>
        <w:br w:type="page"/>
      </w:r>
      <w:r>
        <w:rPr>
          <w:rStyle w:val="22"/>
          <w:rFonts w:hint="eastAsia" w:ascii="宋体"/>
          <w:b w:val="0"/>
          <w:color w:val="auto"/>
          <w:sz w:val="28"/>
          <w:szCs w:val="28"/>
          <w:highlight w:val="none"/>
        </w:rPr>
        <w:t>编号：</w:t>
      </w:r>
      <w:r>
        <w:rPr>
          <w:rStyle w:val="22"/>
          <w:rFonts w:ascii="宋体"/>
          <w:b w:val="0"/>
          <w:color w:val="auto"/>
          <w:sz w:val="28"/>
          <w:szCs w:val="28"/>
          <w:highlight w:val="none"/>
        </w:rPr>
        <w:t>SXYHXXKJ202____</w:t>
      </w:r>
    </w:p>
    <w:p w14:paraId="2687BF68">
      <w:pPr>
        <w:jc w:val="center"/>
        <w:rPr>
          <w:rStyle w:val="22"/>
          <w:color w:val="auto"/>
          <w:szCs w:val="21"/>
          <w:highlight w:val="none"/>
        </w:rPr>
      </w:pPr>
    </w:p>
    <w:p w14:paraId="60A5A3B0">
      <w:pPr>
        <w:jc w:val="center"/>
        <w:rPr>
          <w:rStyle w:val="22"/>
          <w:color w:val="auto"/>
          <w:szCs w:val="21"/>
          <w:highlight w:val="none"/>
        </w:rPr>
      </w:pPr>
    </w:p>
    <w:p w14:paraId="68B9514D">
      <w:pPr>
        <w:jc w:val="center"/>
        <w:rPr>
          <w:rStyle w:val="22"/>
          <w:color w:val="auto"/>
          <w:szCs w:val="21"/>
          <w:highlight w:val="none"/>
        </w:rPr>
      </w:pPr>
    </w:p>
    <w:p w14:paraId="44D2AE3E">
      <w:pPr>
        <w:jc w:val="center"/>
        <w:rPr>
          <w:rStyle w:val="22"/>
          <w:color w:val="auto"/>
          <w:szCs w:val="21"/>
          <w:highlight w:val="none"/>
        </w:rPr>
      </w:pPr>
    </w:p>
    <w:p w14:paraId="0B7EB25F">
      <w:pPr>
        <w:jc w:val="center"/>
        <w:rPr>
          <w:rStyle w:val="22"/>
          <w:color w:val="auto"/>
          <w:sz w:val="36"/>
          <w:szCs w:val="21"/>
          <w:highlight w:val="none"/>
        </w:rPr>
      </w:pPr>
      <w:r>
        <w:rPr>
          <w:rStyle w:val="22"/>
          <w:rFonts w:hint="eastAsia" w:ascii="宋体"/>
          <w:color w:val="auto"/>
          <w:sz w:val="52"/>
          <w:szCs w:val="52"/>
          <w:highlight w:val="none"/>
        </w:rPr>
        <w:t>重庆三峡银行</w:t>
      </w:r>
      <w:r>
        <w:rPr>
          <w:rStyle w:val="22"/>
          <w:rFonts w:ascii="宋体"/>
          <w:color w:val="auto"/>
          <w:sz w:val="52"/>
          <w:szCs w:val="52"/>
          <w:highlight w:val="none"/>
        </w:rPr>
        <w:t>业务连续性数字化管理平台项目</w:t>
      </w:r>
      <w:r>
        <w:rPr>
          <w:rStyle w:val="22"/>
          <w:rFonts w:hint="eastAsia" w:ascii="宋体"/>
          <w:color w:val="auto"/>
          <w:sz w:val="52"/>
          <w:szCs w:val="52"/>
          <w:highlight w:val="none"/>
        </w:rPr>
        <w:t>合同</w:t>
      </w:r>
    </w:p>
    <w:p w14:paraId="4F42CF83">
      <w:pPr>
        <w:jc w:val="center"/>
        <w:rPr>
          <w:rStyle w:val="22"/>
          <w:color w:val="auto"/>
          <w:szCs w:val="21"/>
          <w:highlight w:val="none"/>
        </w:rPr>
      </w:pPr>
    </w:p>
    <w:p w14:paraId="748675C4">
      <w:pPr>
        <w:jc w:val="center"/>
        <w:rPr>
          <w:rStyle w:val="22"/>
          <w:color w:val="auto"/>
          <w:szCs w:val="21"/>
          <w:highlight w:val="none"/>
        </w:rPr>
      </w:pPr>
    </w:p>
    <w:p w14:paraId="207D85B8">
      <w:pPr>
        <w:jc w:val="center"/>
        <w:rPr>
          <w:b/>
          <w:bCs/>
          <w:color w:val="auto"/>
          <w:highlight w:val="none"/>
        </w:rPr>
      </w:pPr>
    </w:p>
    <w:p w14:paraId="25347E32">
      <w:pPr>
        <w:jc w:val="center"/>
        <w:rPr>
          <w:b/>
          <w:bCs/>
          <w:color w:val="auto"/>
          <w:highlight w:val="none"/>
        </w:rPr>
      </w:pPr>
    </w:p>
    <w:p w14:paraId="798D7C5A">
      <w:pPr>
        <w:jc w:val="center"/>
        <w:rPr>
          <w:b/>
          <w:bCs/>
          <w:color w:val="auto"/>
          <w:highlight w:val="none"/>
        </w:rPr>
      </w:pPr>
    </w:p>
    <w:p w14:paraId="30FEBCB5">
      <w:pPr>
        <w:rPr>
          <w:b/>
          <w:bCs/>
          <w:color w:val="auto"/>
          <w:highlight w:val="none"/>
        </w:rPr>
      </w:pPr>
    </w:p>
    <w:p w14:paraId="21626C1C">
      <w:pPr>
        <w:jc w:val="center"/>
        <w:rPr>
          <w:b/>
          <w:bCs/>
          <w:color w:val="auto"/>
          <w:highlight w:val="none"/>
        </w:rPr>
      </w:pPr>
    </w:p>
    <w:p w14:paraId="16F22E78">
      <w:pPr>
        <w:jc w:val="center"/>
        <w:rPr>
          <w:b/>
          <w:bCs/>
          <w:color w:val="auto"/>
          <w:highlight w:val="none"/>
        </w:rPr>
      </w:pPr>
    </w:p>
    <w:p w14:paraId="35E4F3B5">
      <w:pPr>
        <w:jc w:val="center"/>
        <w:rPr>
          <w:b/>
          <w:bCs/>
          <w:color w:val="auto"/>
          <w:highlight w:val="none"/>
        </w:rPr>
      </w:pPr>
    </w:p>
    <w:p w14:paraId="5074777E">
      <w:pPr>
        <w:ind w:left="840"/>
        <w:rPr>
          <w:rFonts w:ascii="宋体"/>
          <w:b/>
          <w:bCs/>
          <w:color w:val="auto"/>
          <w:sz w:val="28"/>
          <w:highlight w:val="none"/>
        </w:rPr>
      </w:pPr>
      <w:r>
        <w:rPr>
          <w:rFonts w:hint="eastAsia" w:ascii="宋体"/>
          <w:b/>
          <w:bCs/>
          <w:color w:val="auto"/>
          <w:sz w:val="28"/>
          <w:highlight w:val="none"/>
        </w:rPr>
        <w:t>委托方（甲方）：重庆三峡银行股份有限公司</w:t>
      </w:r>
    </w:p>
    <w:p w14:paraId="7BF426A5">
      <w:pPr>
        <w:tabs>
          <w:tab w:val="right" w:pos="8312"/>
        </w:tabs>
        <w:ind w:left="840"/>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70192E8B">
      <w:pPr>
        <w:ind w:left="84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6B714DE3">
      <w:pPr>
        <w:rPr>
          <w:b/>
          <w:color w:val="auto"/>
          <w:sz w:val="32"/>
          <w:highlight w:val="none"/>
        </w:rPr>
      </w:pPr>
    </w:p>
    <w:p w14:paraId="6E20A0E7">
      <w:pPr>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204D5F50">
      <w:pPr>
        <w:pStyle w:val="38"/>
        <w:tabs>
          <w:tab w:val="right" w:leader="dot" w:pos="8302"/>
        </w:tabs>
        <w:rPr>
          <w:rFonts w:ascii="Calibri" w:hAnsi="Calibri"/>
          <w:color w:val="auto"/>
          <w:szCs w:val="22"/>
          <w:highlight w:val="none"/>
        </w:rPr>
      </w:pPr>
      <w:r>
        <w:rPr>
          <w:rFonts w:hint="eastAsia" w:ascii="宋体"/>
          <w:color w:val="auto"/>
          <w:highlight w:val="none"/>
        </w:rPr>
        <w:fldChar w:fldCharType="begin"/>
      </w:r>
      <w:r>
        <w:rPr>
          <w:rFonts w:hint="eastAsia" w:ascii="宋体"/>
          <w:color w:val="auto"/>
          <w:highlight w:val="none"/>
        </w:rPr>
        <w:instrText xml:space="preserve"> TOC \o "1-3" \n \h \z \u </w:instrText>
      </w:r>
      <w:r>
        <w:rPr>
          <w:rFonts w:hint="eastAsia" w:ascii="宋体"/>
          <w:color w:val="auto"/>
          <w:highlight w:val="none"/>
        </w:rPr>
        <w:fldChar w:fldCharType="separate"/>
      </w:r>
      <w:r>
        <w:rPr>
          <w:color w:val="auto"/>
          <w:highlight w:val="none"/>
        </w:rPr>
        <w:fldChar w:fldCharType="begin"/>
      </w:r>
      <w:r>
        <w:rPr>
          <w:color w:val="auto"/>
          <w:highlight w:val="none"/>
        </w:rPr>
        <w:instrText xml:space="preserve"> HYPERLINK \l "_Toc84948025" </w:instrText>
      </w:r>
      <w:r>
        <w:rPr>
          <w:color w:val="auto"/>
          <w:highlight w:val="none"/>
        </w:rPr>
        <w:fldChar w:fldCharType="separate"/>
      </w:r>
      <w:r>
        <w:rPr>
          <w:rFonts w:ascii="宋体"/>
          <w:b/>
          <w:color w:val="auto"/>
          <w:highlight w:val="none"/>
        </w:rPr>
        <w:t>第一条定义</w:t>
      </w:r>
      <w:r>
        <w:rPr>
          <w:rFonts w:ascii="宋体"/>
          <w:b/>
          <w:color w:val="auto"/>
          <w:highlight w:val="none"/>
        </w:rPr>
        <w:fldChar w:fldCharType="end"/>
      </w:r>
    </w:p>
    <w:p w14:paraId="74BFF577">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"_Toc84948026" </w:instrText>
      </w:r>
      <w:r>
        <w:rPr>
          <w:color w:val="auto"/>
          <w:highlight w:val="none"/>
        </w:rPr>
        <w:fldChar w:fldCharType="separate"/>
      </w:r>
      <w:r>
        <w:rPr>
          <w:rFonts w:ascii="宋体"/>
          <w:b/>
          <w:color w:val="auto"/>
          <w:highlight w:val="none"/>
        </w:rPr>
        <w:t>第二条项目名称、内容及要求</w:t>
      </w:r>
      <w:r>
        <w:rPr>
          <w:rFonts w:ascii="宋体"/>
          <w:b/>
          <w:color w:val="auto"/>
          <w:highlight w:val="none"/>
        </w:rPr>
        <w:fldChar w:fldCharType="end"/>
      </w:r>
    </w:p>
    <w:p w14:paraId="34E196BA">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"_Toc84948027" </w:instrText>
      </w:r>
      <w:r>
        <w:rPr>
          <w:color w:val="auto"/>
          <w:highlight w:val="none"/>
        </w:rPr>
        <w:fldChar w:fldCharType="separate"/>
      </w:r>
      <w:r>
        <w:rPr>
          <w:rFonts w:ascii="宋体"/>
          <w:b/>
          <w:color w:val="auto"/>
          <w:highlight w:val="none"/>
        </w:rPr>
        <w:t>第三条项目履行的进度、期限、地点、地域、方式</w:t>
      </w:r>
      <w:r>
        <w:rPr>
          <w:rFonts w:ascii="宋体"/>
          <w:b/>
          <w:color w:val="auto"/>
          <w:highlight w:val="none"/>
        </w:rPr>
        <w:fldChar w:fldCharType="end"/>
      </w:r>
    </w:p>
    <w:p w14:paraId="0D3DB720">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"_Toc84948028" </w:instrText>
      </w:r>
      <w:r>
        <w:rPr>
          <w:color w:val="auto"/>
          <w:highlight w:val="none"/>
        </w:rPr>
        <w:fldChar w:fldCharType="separate"/>
      </w:r>
      <w:r>
        <w:rPr>
          <w:rFonts w:ascii="宋体"/>
          <w:b/>
          <w:color w:val="auto"/>
          <w:highlight w:val="none"/>
        </w:rPr>
        <w:t>第四条方案调整</w:t>
      </w:r>
      <w:r>
        <w:rPr>
          <w:rFonts w:ascii="宋体"/>
          <w:b/>
          <w:color w:val="auto"/>
          <w:highlight w:val="none"/>
        </w:rPr>
        <w:fldChar w:fldCharType="end"/>
      </w:r>
    </w:p>
    <w:p w14:paraId="2DE1D994">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"_Toc84948029" </w:instrText>
      </w:r>
      <w:r>
        <w:rPr>
          <w:color w:val="auto"/>
          <w:highlight w:val="none"/>
        </w:rPr>
        <w:fldChar w:fldCharType="separate"/>
      </w:r>
      <w:r>
        <w:rPr>
          <w:rFonts w:ascii="宋体"/>
          <w:b/>
          <w:color w:val="auto"/>
          <w:highlight w:val="none"/>
        </w:rPr>
        <w:t>第五条验收</w:t>
      </w:r>
      <w:r>
        <w:rPr>
          <w:rFonts w:ascii="宋体"/>
          <w:b/>
          <w:color w:val="auto"/>
          <w:highlight w:val="none"/>
        </w:rPr>
        <w:fldChar w:fldCharType="end"/>
      </w:r>
    </w:p>
    <w:p w14:paraId="697433FD">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"_Toc84948030" </w:instrText>
      </w:r>
      <w:r>
        <w:rPr>
          <w:color w:val="auto"/>
          <w:highlight w:val="none"/>
        </w:rPr>
        <w:fldChar w:fldCharType="separate"/>
      </w:r>
      <w:r>
        <w:rPr>
          <w:rFonts w:ascii="宋体"/>
          <w:b/>
          <w:color w:val="auto"/>
          <w:highlight w:val="none"/>
        </w:rPr>
        <w:t>第六条交付使用后维护期、系统完善和保修维护服务</w:t>
      </w:r>
      <w:r>
        <w:rPr>
          <w:rFonts w:ascii="宋体"/>
          <w:b/>
          <w:color w:val="auto"/>
          <w:highlight w:val="none"/>
        </w:rPr>
        <w:fldChar w:fldCharType="end"/>
      </w:r>
    </w:p>
    <w:p w14:paraId="4C527021">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"_Toc84948031" </w:instrText>
      </w:r>
      <w:r>
        <w:rPr>
          <w:color w:val="auto"/>
          <w:highlight w:val="none"/>
        </w:rPr>
        <w:fldChar w:fldCharType="separate"/>
      </w:r>
      <w:r>
        <w:rPr>
          <w:rFonts w:ascii="宋体"/>
          <w:b/>
          <w:color w:val="auto"/>
          <w:highlight w:val="none"/>
        </w:rPr>
        <w:t>第七条技术辅导与培训</w:t>
      </w:r>
      <w:r>
        <w:rPr>
          <w:rFonts w:ascii="宋体"/>
          <w:b/>
          <w:color w:val="auto"/>
          <w:highlight w:val="none"/>
        </w:rPr>
        <w:fldChar w:fldCharType="end"/>
      </w:r>
    </w:p>
    <w:p w14:paraId="3BD1B4FD">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"_Toc84948032" </w:instrText>
      </w:r>
      <w:r>
        <w:rPr>
          <w:color w:val="auto"/>
          <w:highlight w:val="none"/>
        </w:rPr>
        <w:fldChar w:fldCharType="separate"/>
      </w:r>
      <w:r>
        <w:rPr>
          <w:rFonts w:ascii="宋体"/>
          <w:b/>
          <w:color w:val="auto"/>
          <w:highlight w:val="none"/>
        </w:rPr>
        <w:t>第八条双方的权利、义务</w:t>
      </w:r>
      <w:r>
        <w:rPr>
          <w:rFonts w:ascii="宋体"/>
          <w:b/>
          <w:color w:val="auto"/>
          <w:highlight w:val="none"/>
        </w:rPr>
        <w:fldChar w:fldCharType="end"/>
      </w:r>
    </w:p>
    <w:p w14:paraId="2B127EAC">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"_Toc84948033" </w:instrText>
      </w:r>
      <w:r>
        <w:rPr>
          <w:color w:val="auto"/>
          <w:highlight w:val="none"/>
        </w:rPr>
        <w:fldChar w:fldCharType="separate"/>
      </w:r>
      <w:r>
        <w:rPr>
          <w:rFonts w:ascii="宋体"/>
          <w:b/>
          <w:color w:val="auto"/>
          <w:highlight w:val="none"/>
        </w:rPr>
        <w:t>第九条乙方的声明与保证</w:t>
      </w:r>
      <w:r>
        <w:rPr>
          <w:rFonts w:ascii="宋体"/>
          <w:b/>
          <w:color w:val="auto"/>
          <w:highlight w:val="none"/>
        </w:rPr>
        <w:fldChar w:fldCharType="end"/>
      </w:r>
    </w:p>
    <w:p w14:paraId="18C70F90">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"_Toc84948034" </w:instrText>
      </w:r>
      <w:r>
        <w:rPr>
          <w:color w:val="auto"/>
          <w:highlight w:val="none"/>
        </w:rPr>
        <w:fldChar w:fldCharType="separate"/>
      </w:r>
      <w:r>
        <w:rPr>
          <w:rFonts w:ascii="宋体"/>
          <w:b/>
          <w:color w:val="auto"/>
          <w:highlight w:val="none"/>
        </w:rPr>
        <w:t>第十条知识产权</w:t>
      </w:r>
      <w:r>
        <w:rPr>
          <w:rFonts w:ascii="宋体"/>
          <w:b/>
          <w:color w:val="auto"/>
          <w:highlight w:val="none"/>
        </w:rPr>
        <w:fldChar w:fldCharType="end"/>
      </w:r>
    </w:p>
    <w:p w14:paraId="0CC2581F">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"_Toc84948035" </w:instrText>
      </w:r>
      <w:r>
        <w:rPr>
          <w:color w:val="auto"/>
          <w:highlight w:val="none"/>
        </w:rPr>
        <w:fldChar w:fldCharType="separate"/>
      </w:r>
      <w:r>
        <w:rPr>
          <w:rFonts w:ascii="宋体"/>
          <w:b/>
          <w:color w:val="auto"/>
          <w:highlight w:val="none"/>
        </w:rPr>
        <w:t>第十一条第三方索赔</w:t>
      </w:r>
      <w:r>
        <w:rPr>
          <w:rFonts w:ascii="宋体"/>
          <w:b/>
          <w:color w:val="auto"/>
          <w:highlight w:val="none"/>
        </w:rPr>
        <w:fldChar w:fldCharType="end"/>
      </w:r>
    </w:p>
    <w:p w14:paraId="6F6C7E6B">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"_Toc84948036" </w:instrText>
      </w:r>
      <w:r>
        <w:rPr>
          <w:color w:val="auto"/>
          <w:highlight w:val="none"/>
        </w:rPr>
        <w:fldChar w:fldCharType="separate"/>
      </w:r>
      <w:r>
        <w:rPr>
          <w:rFonts w:ascii="宋体"/>
          <w:b/>
          <w:color w:val="auto"/>
          <w:highlight w:val="none"/>
        </w:rPr>
        <w:t>第十二条保密</w:t>
      </w:r>
      <w:r>
        <w:rPr>
          <w:rFonts w:ascii="宋体"/>
          <w:b/>
          <w:color w:val="auto"/>
          <w:highlight w:val="none"/>
        </w:rPr>
        <w:fldChar w:fldCharType="end"/>
      </w:r>
    </w:p>
    <w:p w14:paraId="21682A46">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"_Toc84948037" </w:instrText>
      </w:r>
      <w:r>
        <w:rPr>
          <w:color w:val="auto"/>
          <w:highlight w:val="none"/>
        </w:rPr>
        <w:fldChar w:fldCharType="separate"/>
      </w:r>
      <w:r>
        <w:rPr>
          <w:rFonts w:ascii="宋体"/>
          <w:b/>
          <w:color w:val="auto"/>
          <w:highlight w:val="none"/>
        </w:rPr>
        <w:t>第十三条价格与支付</w:t>
      </w:r>
      <w:r>
        <w:rPr>
          <w:rFonts w:ascii="宋体"/>
          <w:b/>
          <w:color w:val="auto"/>
          <w:highlight w:val="none"/>
        </w:rPr>
        <w:fldChar w:fldCharType="end"/>
      </w:r>
    </w:p>
    <w:p w14:paraId="2001C945">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"_Toc84948038" </w:instrText>
      </w:r>
      <w:r>
        <w:rPr>
          <w:color w:val="auto"/>
          <w:highlight w:val="none"/>
        </w:rPr>
        <w:fldChar w:fldCharType="separate"/>
      </w:r>
      <w:r>
        <w:rPr>
          <w:rFonts w:ascii="宋体"/>
          <w:b/>
          <w:color w:val="auto"/>
          <w:highlight w:val="none"/>
        </w:rPr>
        <w:t>第十四条风险责任的承担</w:t>
      </w:r>
      <w:r>
        <w:rPr>
          <w:rFonts w:ascii="宋体"/>
          <w:b/>
          <w:color w:val="auto"/>
          <w:highlight w:val="none"/>
        </w:rPr>
        <w:fldChar w:fldCharType="end"/>
      </w:r>
    </w:p>
    <w:p w14:paraId="317791DE">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"_Toc84948039" </w:instrText>
      </w:r>
      <w:r>
        <w:rPr>
          <w:color w:val="auto"/>
          <w:highlight w:val="none"/>
        </w:rPr>
        <w:fldChar w:fldCharType="separate"/>
      </w:r>
      <w:r>
        <w:rPr>
          <w:rFonts w:ascii="宋体"/>
          <w:b/>
          <w:color w:val="auto"/>
          <w:highlight w:val="none"/>
        </w:rPr>
        <w:t>第十五条违约与赔偿</w:t>
      </w:r>
      <w:r>
        <w:rPr>
          <w:rFonts w:ascii="宋体"/>
          <w:b/>
          <w:color w:val="auto"/>
          <w:highlight w:val="none"/>
        </w:rPr>
        <w:fldChar w:fldCharType="end"/>
      </w:r>
    </w:p>
    <w:p w14:paraId="114B2798">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"_Toc84948040" </w:instrText>
      </w:r>
      <w:r>
        <w:rPr>
          <w:color w:val="auto"/>
          <w:highlight w:val="none"/>
        </w:rPr>
        <w:fldChar w:fldCharType="separate"/>
      </w:r>
      <w:r>
        <w:rPr>
          <w:rFonts w:ascii="宋体"/>
          <w:b/>
          <w:color w:val="auto"/>
          <w:highlight w:val="none"/>
        </w:rPr>
        <w:t>第十六条合同的解除</w:t>
      </w:r>
      <w:r>
        <w:rPr>
          <w:rFonts w:ascii="宋体"/>
          <w:b/>
          <w:color w:val="auto"/>
          <w:highlight w:val="none"/>
        </w:rPr>
        <w:fldChar w:fldCharType="end"/>
      </w:r>
    </w:p>
    <w:p w14:paraId="2C4809D9">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"_Toc84948041" </w:instrText>
      </w:r>
      <w:r>
        <w:rPr>
          <w:color w:val="auto"/>
          <w:highlight w:val="none"/>
        </w:rPr>
        <w:fldChar w:fldCharType="separate"/>
      </w:r>
      <w:r>
        <w:rPr>
          <w:rFonts w:ascii="宋体"/>
          <w:b/>
          <w:color w:val="auto"/>
          <w:highlight w:val="none"/>
        </w:rPr>
        <w:t>第十七条合同变更及转让</w:t>
      </w:r>
      <w:r>
        <w:rPr>
          <w:rFonts w:ascii="宋体"/>
          <w:b/>
          <w:color w:val="auto"/>
          <w:highlight w:val="none"/>
        </w:rPr>
        <w:fldChar w:fldCharType="end"/>
      </w:r>
    </w:p>
    <w:p w14:paraId="672FB313">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"_Toc84948042" </w:instrText>
      </w:r>
      <w:r>
        <w:rPr>
          <w:color w:val="auto"/>
          <w:highlight w:val="none"/>
        </w:rPr>
        <w:fldChar w:fldCharType="separate"/>
      </w:r>
      <w:r>
        <w:rPr>
          <w:rFonts w:ascii="宋体"/>
          <w:b/>
          <w:color w:val="auto"/>
          <w:highlight w:val="none"/>
        </w:rPr>
        <w:t>第十八条争议解决</w:t>
      </w:r>
      <w:r>
        <w:rPr>
          <w:rFonts w:ascii="宋体"/>
          <w:b/>
          <w:color w:val="auto"/>
          <w:highlight w:val="none"/>
        </w:rPr>
        <w:fldChar w:fldCharType="end"/>
      </w:r>
    </w:p>
    <w:p w14:paraId="72F2F69F">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"_Toc84948043" </w:instrText>
      </w:r>
      <w:r>
        <w:rPr>
          <w:color w:val="auto"/>
          <w:highlight w:val="none"/>
        </w:rPr>
        <w:fldChar w:fldCharType="separate"/>
      </w:r>
      <w:r>
        <w:rPr>
          <w:rFonts w:ascii="宋体"/>
          <w:b/>
          <w:color w:val="auto"/>
          <w:highlight w:val="none"/>
        </w:rPr>
        <w:t>第十九条通知与送达</w:t>
      </w:r>
      <w:r>
        <w:rPr>
          <w:rFonts w:ascii="宋体"/>
          <w:b/>
          <w:color w:val="auto"/>
          <w:highlight w:val="none"/>
        </w:rPr>
        <w:fldChar w:fldCharType="end"/>
      </w:r>
    </w:p>
    <w:p w14:paraId="4CA25DE1">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"_Toc84948044" </w:instrText>
      </w:r>
      <w:r>
        <w:rPr>
          <w:color w:val="auto"/>
          <w:highlight w:val="none"/>
        </w:rPr>
        <w:fldChar w:fldCharType="separate"/>
      </w:r>
      <w:r>
        <w:rPr>
          <w:rFonts w:ascii="宋体"/>
          <w:b/>
          <w:color w:val="auto"/>
          <w:highlight w:val="none"/>
        </w:rPr>
        <w:t>第二十条合同生效</w:t>
      </w:r>
      <w:r>
        <w:rPr>
          <w:rFonts w:ascii="宋体"/>
          <w:b/>
          <w:color w:val="auto"/>
          <w:highlight w:val="none"/>
        </w:rPr>
        <w:fldChar w:fldCharType="end"/>
      </w:r>
    </w:p>
    <w:p w14:paraId="0752D760">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"_Toc84948045" </w:instrText>
      </w:r>
      <w:r>
        <w:rPr>
          <w:color w:val="auto"/>
          <w:highlight w:val="none"/>
        </w:rPr>
        <w:fldChar w:fldCharType="separate"/>
      </w:r>
      <w:r>
        <w:rPr>
          <w:rFonts w:ascii="宋体"/>
          <w:b/>
          <w:color w:val="auto"/>
          <w:highlight w:val="none"/>
        </w:rPr>
        <w:t>第二十一条不可抗力</w:t>
      </w:r>
      <w:r>
        <w:rPr>
          <w:rFonts w:ascii="宋体"/>
          <w:b/>
          <w:color w:val="auto"/>
          <w:highlight w:val="none"/>
        </w:rPr>
        <w:fldChar w:fldCharType="end"/>
      </w:r>
    </w:p>
    <w:p w14:paraId="014CAA89">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"_Toc84948046" </w:instrText>
      </w:r>
      <w:r>
        <w:rPr>
          <w:color w:val="auto"/>
          <w:highlight w:val="none"/>
        </w:rPr>
        <w:fldChar w:fldCharType="separate"/>
      </w:r>
      <w:r>
        <w:rPr>
          <w:rFonts w:ascii="宋体"/>
          <w:b/>
          <w:color w:val="auto"/>
          <w:highlight w:val="none"/>
        </w:rPr>
        <w:t>第二十二条反商业贿赂</w:t>
      </w:r>
      <w:r>
        <w:rPr>
          <w:rFonts w:ascii="宋体"/>
          <w:b/>
          <w:color w:val="auto"/>
          <w:highlight w:val="none"/>
        </w:rPr>
        <w:fldChar w:fldCharType="end"/>
      </w:r>
    </w:p>
    <w:p w14:paraId="462415AD">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"_Toc84948047" </w:instrText>
      </w:r>
      <w:r>
        <w:rPr>
          <w:color w:val="auto"/>
          <w:highlight w:val="none"/>
        </w:rPr>
        <w:fldChar w:fldCharType="separate"/>
      </w:r>
      <w:r>
        <w:rPr>
          <w:rFonts w:ascii="宋体"/>
          <w:b/>
          <w:color w:val="auto"/>
          <w:highlight w:val="none"/>
        </w:rPr>
        <w:t>第二十三条附件</w:t>
      </w:r>
      <w:r>
        <w:rPr>
          <w:rFonts w:ascii="宋体"/>
          <w:b/>
          <w:color w:val="auto"/>
          <w:highlight w:val="none"/>
        </w:rPr>
        <w:fldChar w:fldCharType="end"/>
      </w:r>
    </w:p>
    <w:p w14:paraId="2B2C6D15">
      <w:pPr>
        <w:pStyle w:val="38"/>
        <w:tabs>
          <w:tab w:val="right" w:leader="dot" w:pos="8302"/>
        </w:tabs>
        <w:rPr>
          <w:rFonts w:ascii="Calibri" w:hAnsi="Calibri"/>
          <w:color w:val="auto"/>
          <w:szCs w:val="22"/>
          <w:highlight w:val="none"/>
        </w:rPr>
      </w:pPr>
      <w:r>
        <w:rPr>
          <w:color w:val="auto"/>
          <w:highlight w:val="none"/>
        </w:rPr>
        <w:fldChar w:fldCharType="begin"/>
      </w:r>
      <w:r>
        <w:rPr>
          <w:color w:val="auto"/>
          <w:highlight w:val="none"/>
        </w:rPr>
        <w:instrText xml:space="preserve"> HYPERLINK \l "_Toc84948048" </w:instrText>
      </w:r>
      <w:r>
        <w:rPr>
          <w:color w:val="auto"/>
          <w:highlight w:val="none"/>
        </w:rPr>
        <w:fldChar w:fldCharType="separate"/>
      </w:r>
      <w:r>
        <w:rPr>
          <w:rFonts w:ascii="宋体"/>
          <w:b/>
          <w:color w:val="auto"/>
          <w:highlight w:val="none"/>
        </w:rPr>
        <w:t>第二十四条其他</w:t>
      </w:r>
      <w:r>
        <w:rPr>
          <w:rFonts w:ascii="宋体"/>
          <w:b/>
          <w:color w:val="auto"/>
          <w:highlight w:val="none"/>
        </w:rPr>
        <w:fldChar w:fldCharType="end"/>
      </w:r>
    </w:p>
    <w:p w14:paraId="6653471C">
      <w:pPr>
        <w:pStyle w:val="38"/>
        <w:tabs>
          <w:tab w:val="right" w:leader="dot" w:pos="8302"/>
        </w:tabs>
        <w:spacing w:line="350" w:lineRule="auto"/>
        <w:rPr>
          <w:rFonts w:ascii="宋体"/>
          <w:color w:val="auto"/>
          <w:highlight w:val="none"/>
        </w:rPr>
      </w:pPr>
      <w:r>
        <w:rPr>
          <w:rFonts w:hint="eastAsia" w:ascii="宋体"/>
          <w:color w:val="auto"/>
          <w:highlight w:val="none"/>
        </w:rPr>
        <w:fldChar w:fldCharType="end"/>
      </w:r>
    </w:p>
    <w:p w14:paraId="4DD56D39">
      <w:pPr>
        <w:rPr>
          <w:rFonts w:ascii="宋体"/>
          <w:color w:val="auto"/>
          <w:highlight w:val="none"/>
        </w:rPr>
      </w:pPr>
    </w:p>
    <w:p w14:paraId="4EEC57FC">
      <w:pPr>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7AEF0CA2">
      <w:pPr>
        <w:rPr>
          <w:rFonts w:ascii="宋体"/>
          <w:color w:val="auto"/>
          <w:highlight w:val="none"/>
        </w:rPr>
      </w:pPr>
      <w:r>
        <w:rPr>
          <w:rFonts w:hint="eastAsia" w:ascii="宋体"/>
          <w:color w:val="auto"/>
          <w:highlight w:val="none"/>
        </w:rPr>
        <w:t>法定代表人：刘江桥</w:t>
      </w:r>
    </w:p>
    <w:p w14:paraId="77F829FD">
      <w:pPr>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42DC631E">
      <w:pPr>
        <w:rPr>
          <w:rFonts w:ascii="宋体"/>
          <w:color w:val="auto"/>
          <w:highlight w:val="none"/>
        </w:rPr>
      </w:pPr>
      <w:r>
        <w:rPr>
          <w:rFonts w:hint="eastAsia" w:ascii="宋体"/>
          <w:color w:val="auto"/>
          <w:highlight w:val="none"/>
        </w:rPr>
        <w:t>邮政编码：</w:t>
      </w:r>
    </w:p>
    <w:p w14:paraId="1C90DB60">
      <w:pPr>
        <w:rPr>
          <w:rFonts w:ascii="宋体"/>
          <w:color w:val="auto"/>
          <w:highlight w:val="none"/>
        </w:rPr>
      </w:pPr>
      <w:r>
        <w:rPr>
          <w:rFonts w:hint="eastAsia" w:ascii="宋体"/>
          <w:color w:val="auto"/>
          <w:highlight w:val="none"/>
        </w:rPr>
        <w:t>联系人：</w:t>
      </w:r>
    </w:p>
    <w:p w14:paraId="4CC4D873">
      <w:pPr>
        <w:rPr>
          <w:rFonts w:ascii="宋体"/>
          <w:color w:val="auto"/>
          <w:highlight w:val="none"/>
        </w:rPr>
      </w:pPr>
      <w:r>
        <w:rPr>
          <w:rFonts w:hint="eastAsia" w:ascii="宋体"/>
          <w:color w:val="auto"/>
          <w:highlight w:val="none"/>
        </w:rPr>
        <w:t>电话：</w:t>
      </w:r>
    </w:p>
    <w:p w14:paraId="27544C51">
      <w:pPr>
        <w:rPr>
          <w:rFonts w:ascii="宋体"/>
          <w:color w:val="auto"/>
          <w:highlight w:val="none"/>
        </w:rPr>
      </w:pPr>
      <w:r>
        <w:rPr>
          <w:rFonts w:hint="eastAsia" w:ascii="宋体"/>
          <w:color w:val="auto"/>
          <w:highlight w:val="none"/>
        </w:rPr>
        <w:t>电子邮箱：</w:t>
      </w:r>
    </w:p>
    <w:p w14:paraId="1FB4995A">
      <w:pPr>
        <w:rPr>
          <w:rFonts w:ascii="宋体"/>
          <w:color w:val="auto"/>
          <w:highlight w:val="none"/>
        </w:rPr>
      </w:pPr>
    </w:p>
    <w:p w14:paraId="543D0957">
      <w:pPr>
        <w:rPr>
          <w:rFonts w:ascii="宋体"/>
          <w:b/>
          <w:color w:val="auto"/>
          <w:highlight w:val="none"/>
        </w:rPr>
      </w:pPr>
      <w:r>
        <w:rPr>
          <w:rFonts w:hint="eastAsia" w:ascii="宋体"/>
          <w:b/>
          <w:color w:val="auto"/>
          <w:highlight w:val="none"/>
        </w:rPr>
        <w:t>受托方：XXXXXXXXXXXXX（以下简称“乙方”）</w:t>
      </w:r>
    </w:p>
    <w:p w14:paraId="52EEE7D1">
      <w:pPr>
        <w:rPr>
          <w:rFonts w:ascii="宋体"/>
          <w:color w:val="auto"/>
          <w:highlight w:val="none"/>
        </w:rPr>
      </w:pPr>
      <w:r>
        <w:rPr>
          <w:rFonts w:hint="eastAsia" w:ascii="宋体"/>
          <w:color w:val="auto"/>
          <w:highlight w:val="none"/>
        </w:rPr>
        <w:t xml:space="preserve">法定代表人： </w:t>
      </w:r>
    </w:p>
    <w:p w14:paraId="1EC34AC1">
      <w:pPr>
        <w:rPr>
          <w:rFonts w:ascii="宋体"/>
          <w:color w:val="auto"/>
          <w:highlight w:val="none"/>
        </w:rPr>
      </w:pPr>
      <w:r>
        <w:rPr>
          <w:rFonts w:hint="eastAsia" w:ascii="宋体"/>
          <w:color w:val="auto"/>
          <w:highlight w:val="none"/>
        </w:rPr>
        <w:t>地址：</w:t>
      </w:r>
    </w:p>
    <w:p w14:paraId="7590443A">
      <w:pPr>
        <w:rPr>
          <w:rFonts w:ascii="宋体"/>
          <w:color w:val="auto"/>
          <w:highlight w:val="none"/>
        </w:rPr>
      </w:pPr>
      <w:r>
        <w:rPr>
          <w:rFonts w:hint="eastAsia" w:ascii="宋体"/>
          <w:color w:val="auto"/>
          <w:highlight w:val="none"/>
        </w:rPr>
        <w:t>邮政编码：</w:t>
      </w:r>
    </w:p>
    <w:p w14:paraId="1337AFF1">
      <w:pPr>
        <w:rPr>
          <w:rFonts w:ascii="宋体"/>
          <w:color w:val="auto"/>
          <w:highlight w:val="none"/>
        </w:rPr>
      </w:pPr>
      <w:r>
        <w:rPr>
          <w:rFonts w:hint="eastAsia" w:ascii="宋体"/>
          <w:color w:val="auto"/>
          <w:highlight w:val="none"/>
        </w:rPr>
        <w:t xml:space="preserve">开户银行： </w:t>
      </w:r>
    </w:p>
    <w:p w14:paraId="03BDF5D4">
      <w:pPr>
        <w:rPr>
          <w:rFonts w:ascii="宋体"/>
          <w:color w:val="auto"/>
          <w:highlight w:val="none"/>
        </w:rPr>
      </w:pPr>
      <w:r>
        <w:rPr>
          <w:rFonts w:hint="eastAsia" w:ascii="宋体"/>
          <w:color w:val="auto"/>
          <w:highlight w:val="none"/>
        </w:rPr>
        <w:t>账号：</w:t>
      </w:r>
    </w:p>
    <w:p w14:paraId="6F8765F4">
      <w:pPr>
        <w:rPr>
          <w:rFonts w:ascii="宋体"/>
          <w:color w:val="auto"/>
          <w:highlight w:val="none"/>
        </w:rPr>
      </w:pPr>
      <w:r>
        <w:rPr>
          <w:rFonts w:hint="eastAsia" w:ascii="宋体"/>
          <w:color w:val="auto"/>
          <w:highlight w:val="none"/>
        </w:rPr>
        <w:t>税号：</w:t>
      </w:r>
    </w:p>
    <w:p w14:paraId="0680DB59">
      <w:pPr>
        <w:rPr>
          <w:rFonts w:ascii="宋体"/>
          <w:color w:val="auto"/>
          <w:highlight w:val="none"/>
        </w:rPr>
      </w:pPr>
      <w:r>
        <w:rPr>
          <w:rFonts w:hint="eastAsia" w:ascii="宋体"/>
          <w:color w:val="auto"/>
          <w:highlight w:val="none"/>
        </w:rPr>
        <w:t xml:space="preserve">联系人： </w:t>
      </w:r>
    </w:p>
    <w:p w14:paraId="37E6E496">
      <w:pPr>
        <w:rPr>
          <w:rFonts w:ascii="宋体"/>
          <w:color w:val="auto"/>
          <w:highlight w:val="none"/>
        </w:rPr>
      </w:pPr>
      <w:r>
        <w:rPr>
          <w:rFonts w:hint="eastAsia" w:ascii="宋体"/>
          <w:color w:val="auto"/>
          <w:highlight w:val="none"/>
        </w:rPr>
        <w:t>电话：</w:t>
      </w:r>
    </w:p>
    <w:p w14:paraId="220F6996">
      <w:pPr>
        <w:rPr>
          <w:rFonts w:ascii="宋体"/>
          <w:color w:val="auto"/>
          <w:highlight w:val="none"/>
        </w:rPr>
      </w:pPr>
      <w:r>
        <w:rPr>
          <w:rFonts w:hint="eastAsia" w:ascii="宋体"/>
          <w:color w:val="auto"/>
          <w:highlight w:val="none"/>
        </w:rPr>
        <w:t>手机：</w:t>
      </w:r>
    </w:p>
    <w:p w14:paraId="243DADD6">
      <w:pPr>
        <w:rPr>
          <w:rFonts w:ascii="宋体"/>
          <w:color w:val="auto"/>
          <w:highlight w:val="none"/>
        </w:rPr>
      </w:pPr>
      <w:r>
        <w:rPr>
          <w:rFonts w:hint="eastAsia" w:ascii="宋体"/>
          <w:color w:val="auto"/>
          <w:highlight w:val="none"/>
        </w:rPr>
        <w:t>传真：</w:t>
      </w:r>
    </w:p>
    <w:p w14:paraId="7A5AB723">
      <w:pPr>
        <w:rPr>
          <w:rFonts w:ascii="宋体"/>
          <w:color w:val="auto"/>
          <w:highlight w:val="none"/>
          <w:lang w:val="en-GB"/>
        </w:rPr>
      </w:pPr>
      <w:r>
        <w:rPr>
          <w:rFonts w:hint="eastAsia" w:ascii="宋体"/>
          <w:color w:val="auto"/>
          <w:highlight w:val="none"/>
        </w:rPr>
        <w:t>电子邮箱：</w:t>
      </w:r>
    </w:p>
    <w:p w14:paraId="0EEE0CD0">
      <w:pPr>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5F07230C">
      <w:pPr>
        <w:rPr>
          <w:rFonts w:ascii="宋体"/>
          <w:color w:val="auto"/>
          <w:highlight w:val="none"/>
        </w:rPr>
      </w:pPr>
      <w:r>
        <w:rPr>
          <w:rStyle w:val="45"/>
          <w:rFonts w:hint="eastAsia" w:ascii="宋体"/>
          <w:color w:val="auto"/>
          <w:kern w:val="0"/>
          <w:highlight w:val="none"/>
        </w:rPr>
        <w:t>乙方具有良好的开发实施能力，甲乙双方经友好协商并达成一致，依据相关法律、法规的规定，就甲方委托</w:t>
      </w:r>
      <w:r>
        <w:rPr>
          <w:rStyle w:val="45"/>
          <w:rFonts w:ascii="宋体"/>
          <w:color w:val="auto"/>
          <w:kern w:val="0"/>
          <w:highlight w:val="none"/>
        </w:rPr>
        <w:t>乙方</w:t>
      </w:r>
      <w:r>
        <w:rPr>
          <w:rStyle w:val="45"/>
          <w:rFonts w:hint="eastAsia" w:ascii="宋体"/>
          <w:color w:val="auto"/>
          <w:kern w:val="0"/>
          <w:highlight w:val="none"/>
        </w:rPr>
        <w:t>进行</w:t>
      </w:r>
      <w:r>
        <w:rPr>
          <w:rStyle w:val="45"/>
          <w:rFonts w:ascii="宋体"/>
          <w:color w:val="auto"/>
          <w:kern w:val="0"/>
          <w:highlight w:val="none"/>
        </w:rPr>
        <w:t>项目实施与技术支持</w:t>
      </w:r>
      <w:r>
        <w:rPr>
          <w:rStyle w:val="45"/>
          <w:rFonts w:hint="eastAsia" w:ascii="宋体"/>
          <w:color w:val="auto"/>
          <w:kern w:val="0"/>
          <w:highlight w:val="none"/>
        </w:rPr>
        <w:t>，向乙方订购</w:t>
      </w:r>
      <w:r>
        <w:rPr>
          <w:rFonts w:hint="eastAsia" w:ascii="宋体"/>
          <w:color w:val="auto"/>
          <w:highlight w:val="none"/>
        </w:rPr>
        <w:t>业务连续性数字化管理平台</w:t>
      </w:r>
      <w:r>
        <w:rPr>
          <w:rFonts w:ascii="宋体"/>
          <w:color w:val="auto"/>
          <w:highlight w:val="none"/>
          <w:u w:val="single"/>
        </w:rPr>
        <w:t xml:space="preserve"> </w:t>
      </w:r>
      <w:r>
        <w:rPr>
          <w:rStyle w:val="45"/>
          <w:rFonts w:hint="eastAsia" w:ascii="宋体"/>
          <w:color w:val="auto"/>
          <w:kern w:val="0"/>
          <w:highlight w:val="none"/>
          <w:u w:val="single"/>
        </w:rPr>
        <w:t>产品</w:t>
      </w:r>
      <w:r>
        <w:rPr>
          <w:rStyle w:val="45"/>
          <w:rFonts w:hint="eastAsia" w:ascii="宋体"/>
          <w:color w:val="auto"/>
          <w:kern w:val="0"/>
          <w:highlight w:val="none"/>
        </w:rPr>
        <w:t>（含定制化开发）的相关事宜订立本合同，</w:t>
      </w:r>
      <w:r>
        <w:rPr>
          <w:rFonts w:hint="eastAsia" w:ascii="宋体"/>
          <w:color w:val="auto"/>
          <w:highlight w:val="none"/>
        </w:rPr>
        <w:t>以资信守：</w:t>
      </w:r>
    </w:p>
    <w:p w14:paraId="7DBD199C">
      <w:pPr>
        <w:ind w:firstLine="0" w:firstLineChars="0"/>
        <w:jc w:val="left"/>
        <w:rPr>
          <w:color w:val="auto"/>
          <w:highlight w:val="none"/>
        </w:rPr>
      </w:pPr>
      <w:bookmarkStart w:id="244" w:name="_Toc84948025"/>
      <w:r>
        <w:rPr>
          <w:rFonts w:hint="eastAsia"/>
          <w:color w:val="auto"/>
          <w:highlight w:val="none"/>
        </w:rPr>
        <w:t>第一条 定义</w:t>
      </w:r>
      <w:bookmarkEnd w:id="244"/>
    </w:p>
    <w:p w14:paraId="4BD7937A">
      <w:pPr>
        <w:rPr>
          <w:rFonts w:ascii="宋体"/>
          <w:color w:val="auto"/>
          <w:highlight w:val="none"/>
        </w:rPr>
      </w:pPr>
      <w:r>
        <w:rPr>
          <w:rFonts w:hint="eastAsia" w:ascii="宋体"/>
          <w:color w:val="auto"/>
          <w:highlight w:val="none"/>
        </w:rPr>
        <w:t>在本合同中，除非有相反的表述，下列术语具有如下含义：</w:t>
      </w:r>
    </w:p>
    <w:p w14:paraId="33D34CCC">
      <w:pPr>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5D746D77">
      <w:pPr>
        <w:rPr>
          <w:rFonts w:ascii="宋体"/>
          <w:color w:val="auto"/>
          <w:highlight w:val="none"/>
        </w:rPr>
      </w:pPr>
      <w:r>
        <w:rPr>
          <w:rFonts w:hint="eastAsia" w:ascii="宋体"/>
          <w:color w:val="auto"/>
          <w:highlight w:val="none"/>
        </w:rPr>
        <w:t>1.2“客户化工作”指项目交付乙方后乙方对甲方的需求进行开发实施。</w:t>
      </w:r>
    </w:p>
    <w:p w14:paraId="7EC144AE">
      <w:pPr>
        <w:rPr>
          <w:rFonts w:ascii="宋体"/>
          <w:color w:val="auto"/>
          <w:highlight w:val="none"/>
        </w:rPr>
      </w:pPr>
      <w:r>
        <w:rPr>
          <w:rFonts w:hint="eastAsia" w:ascii="宋体"/>
          <w:color w:val="auto"/>
          <w:highlight w:val="none"/>
        </w:rPr>
        <w:t>1.3“产品实施数据迁移”指乙方产品的安装配置和业务数据迁移服务。</w:t>
      </w:r>
    </w:p>
    <w:p w14:paraId="54DEAF9F">
      <w:pPr>
        <w:rPr>
          <w:rFonts w:ascii="宋体"/>
          <w:color w:val="auto"/>
          <w:highlight w:val="none"/>
        </w:rPr>
      </w:pPr>
      <w:r>
        <w:rPr>
          <w:rFonts w:hint="eastAsia" w:ascii="宋体"/>
          <w:color w:val="auto"/>
          <w:highlight w:val="none"/>
        </w:rPr>
        <w:t>1.4“业务连续性数字化管理平台</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1F6A5066">
      <w:pPr>
        <w:ind w:left="-2" w:leftChars="-1"/>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20B921A4">
      <w:pPr>
        <w:ind w:left="-2" w:leftChars="-1"/>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6E158AA9">
      <w:pPr>
        <w:ind w:left="-2" w:leftChars="-1"/>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2D7DC791">
      <w:pPr>
        <w:ind w:left="-2" w:leftChars="-1"/>
        <w:rPr>
          <w:rFonts w:ascii="宋体" w:cs="宋体"/>
          <w:color w:val="auto"/>
          <w:szCs w:val="24"/>
          <w:highlight w:val="none"/>
        </w:rPr>
      </w:pPr>
      <w:r>
        <w:rPr>
          <w:rFonts w:hint="eastAsia" w:ascii="宋体" w:cs="宋体"/>
          <w:color w:val="auto"/>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4C94F7D6">
      <w:pPr>
        <w:ind w:left="-2" w:leftChars="-1"/>
        <w:rPr>
          <w:rFonts w:ascii="宋体" w:cs="宋体"/>
          <w:color w:val="auto"/>
          <w:szCs w:val="24"/>
          <w:highlight w:val="none"/>
        </w:rPr>
      </w:pPr>
      <w:r>
        <w:rPr>
          <w:rFonts w:hint="eastAsia" w:ascii="宋体" w:cs="宋体"/>
          <w:color w:val="auto"/>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61A6F91F">
      <w:pPr>
        <w:ind w:left="-2" w:leftChars="-1"/>
        <w:rPr>
          <w:rFonts w:ascii="宋体" w:cs="宋体"/>
          <w:color w:val="auto"/>
          <w:szCs w:val="24"/>
          <w:highlight w:val="none"/>
        </w:rPr>
      </w:pPr>
      <w:r>
        <w:rPr>
          <w:rFonts w:hint="eastAsia" w:ascii="宋体" w:cs="宋体"/>
          <w:color w:val="auto"/>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1C634BB1">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4DE74DF8">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AD2CACF">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A62EA22">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7F45E1F4">
      <w:pPr>
        <w:ind w:left="-2" w:leftChars="-1"/>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66FA907C">
      <w:pPr>
        <w:ind w:left="-2" w:leftChars="-1"/>
        <w:rPr>
          <w:rFonts w:ascii="宋体"/>
          <w:color w:val="auto"/>
          <w:highlight w:val="none"/>
        </w:rPr>
      </w:pPr>
    </w:p>
    <w:p w14:paraId="16E64EB7">
      <w:pPr>
        <w:ind w:firstLine="0" w:firstLineChars="0"/>
        <w:rPr>
          <w:color w:val="auto"/>
          <w:highlight w:val="none"/>
        </w:rPr>
      </w:pPr>
      <w:bookmarkStart w:id="245" w:name="_Toc84948026"/>
      <w:r>
        <w:rPr>
          <w:rFonts w:hint="eastAsia"/>
          <w:color w:val="auto"/>
          <w:highlight w:val="none"/>
        </w:rPr>
        <w:t>第二条</w:t>
      </w:r>
      <w:bookmarkStart w:id="246" w:name="_Toc58337493"/>
      <w:r>
        <w:rPr>
          <w:rFonts w:hint="eastAsia"/>
          <w:color w:val="auto"/>
          <w:highlight w:val="none"/>
        </w:rPr>
        <w:t xml:space="preserve"> 项目名称</w:t>
      </w:r>
      <w:r>
        <w:rPr>
          <w:color w:val="auto"/>
          <w:highlight w:val="none"/>
        </w:rPr>
        <w:t>、</w:t>
      </w:r>
      <w:r>
        <w:rPr>
          <w:rFonts w:hint="eastAsia"/>
          <w:color w:val="auto"/>
          <w:highlight w:val="none"/>
        </w:rPr>
        <w:t>内容及要求</w:t>
      </w:r>
      <w:bookmarkEnd w:id="245"/>
      <w:bookmarkEnd w:id="246"/>
    </w:p>
    <w:p w14:paraId="2BA5FDF2">
      <w:pPr>
        <w:rPr>
          <w:rFonts w:ascii="宋体"/>
          <w:color w:val="auto"/>
          <w:highlight w:val="none"/>
        </w:rPr>
      </w:pPr>
      <w:r>
        <w:rPr>
          <w:rFonts w:hint="eastAsia" w:ascii="宋体"/>
          <w:color w:val="auto"/>
          <w:highlight w:val="none"/>
        </w:rPr>
        <w:t>2.1项目名称</w:t>
      </w:r>
      <w:r>
        <w:rPr>
          <w:rFonts w:ascii="宋体"/>
          <w:color w:val="auto"/>
          <w:highlight w:val="none"/>
        </w:rPr>
        <w:t>：</w:t>
      </w:r>
      <w:r>
        <w:rPr>
          <w:rFonts w:hint="eastAsia" w:ascii="宋体"/>
          <w:color w:val="auto"/>
          <w:highlight w:val="none"/>
        </w:rPr>
        <w:t>重庆三峡银行业务连续性数字化管理平台项目</w:t>
      </w:r>
    </w:p>
    <w:p w14:paraId="031A75C3">
      <w:pPr>
        <w:rPr>
          <w:rFonts w:ascii="宋体"/>
          <w:color w:val="auto"/>
          <w:highlight w:val="none"/>
        </w:rPr>
      </w:pPr>
      <w:bookmarkStart w:id="247"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247"/>
    </w:p>
    <w:p w14:paraId="4B32E50C">
      <w:pPr>
        <w:snapToGrid w:val="0"/>
        <w:rPr>
          <w:rFonts w:ascii="宋体"/>
          <w:color w:val="auto"/>
          <w:highlight w:val="none"/>
        </w:rPr>
      </w:pPr>
      <w:r>
        <w:rPr>
          <w:rFonts w:ascii="宋体"/>
          <w:color w:val="auto"/>
          <w:highlight w:val="none"/>
        </w:rPr>
        <w:t>一是开展业务连续性管理体系咨询，辅助甲方完善业务连续性管理体系；二是搭建业务连续性管理平台，实现业务连续性日常管理线上化；三是辅助甲方通过ISO22301体系认证。</w:t>
      </w:r>
    </w:p>
    <w:p w14:paraId="3256D822">
      <w:pPr>
        <w:snapToGrid w:val="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1ADC1648">
      <w:pPr>
        <w:snapToGrid w:val="0"/>
        <w:rPr>
          <w:rFonts w:ascii="宋体"/>
          <w:color w:val="auto"/>
          <w:highlight w:val="none"/>
        </w:rPr>
      </w:pPr>
      <w:bookmarkStart w:id="248" w:name="_Toc58337495"/>
      <w:r>
        <w:rPr>
          <w:rFonts w:hint="eastAsia" w:ascii="宋体"/>
          <w:color w:val="auto"/>
          <w:highlight w:val="none"/>
        </w:rPr>
        <w:t>2.3技术指标和质量要求</w:t>
      </w:r>
      <w:bookmarkEnd w:id="248"/>
      <w:r>
        <w:rPr>
          <w:rFonts w:hint="eastAsia" w:ascii="宋体"/>
          <w:color w:val="auto"/>
          <w:highlight w:val="none"/>
        </w:rPr>
        <w:t>。</w:t>
      </w:r>
    </w:p>
    <w:p w14:paraId="1F2E792F">
      <w:pPr>
        <w:snapToGrid w:val="0"/>
        <w:rPr>
          <w:rFonts w:ascii="宋体"/>
          <w:color w:val="auto"/>
          <w:highlight w:val="none"/>
        </w:rPr>
      </w:pPr>
      <w:r>
        <w:rPr>
          <w:rFonts w:hint="eastAsia" w:ascii="宋体"/>
          <w:color w:val="auto"/>
          <w:highlight w:val="none"/>
        </w:rPr>
        <w:t>见附件一、附件四。</w:t>
      </w:r>
    </w:p>
    <w:p w14:paraId="2B95FCDB">
      <w:pPr>
        <w:snapToGrid w:val="0"/>
        <w:rPr>
          <w:rFonts w:ascii="宋体"/>
          <w:color w:val="auto"/>
          <w:highlight w:val="none"/>
        </w:rPr>
      </w:pPr>
      <w:bookmarkStart w:id="249" w:name="_Toc58337496"/>
      <w:r>
        <w:rPr>
          <w:rFonts w:hint="eastAsia" w:ascii="宋体"/>
          <w:color w:val="auto"/>
          <w:highlight w:val="none"/>
        </w:rPr>
        <w:t>2.4应当遵循的标准和规范</w:t>
      </w:r>
      <w:bookmarkEnd w:id="249"/>
      <w:r>
        <w:rPr>
          <w:rFonts w:hint="eastAsia" w:ascii="宋体"/>
          <w:color w:val="auto"/>
          <w:highlight w:val="none"/>
        </w:rPr>
        <w:t>。</w:t>
      </w:r>
    </w:p>
    <w:p w14:paraId="3A243B50">
      <w:pPr>
        <w:snapToGrid w:val="0"/>
        <w:rPr>
          <w:rFonts w:ascii="宋体"/>
          <w:color w:val="auto"/>
          <w:highlight w:val="none"/>
        </w:rPr>
      </w:pPr>
      <w:r>
        <w:rPr>
          <w:rFonts w:hint="eastAsia" w:ascii="宋体"/>
          <w:color w:val="auto"/>
          <w:highlight w:val="none"/>
        </w:rPr>
        <w:t>乙方交付的重庆三峡银行业务连续性数字化管理平台项目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4C689D35">
      <w:pPr>
        <w:snapToGrid w:val="0"/>
        <w:rPr>
          <w:rFonts w:ascii="宋体"/>
          <w:color w:val="auto"/>
          <w:highlight w:val="none"/>
        </w:rPr>
      </w:pPr>
    </w:p>
    <w:p w14:paraId="1D2820E9">
      <w:pPr>
        <w:ind w:firstLine="0" w:firstLineChars="0"/>
        <w:rPr>
          <w:color w:val="auto"/>
          <w:highlight w:val="none"/>
        </w:rPr>
      </w:pPr>
      <w:bookmarkStart w:id="250" w:name="_Toc84948027"/>
      <w:r>
        <w:rPr>
          <w:rFonts w:hint="eastAsia"/>
          <w:color w:val="auto"/>
          <w:highlight w:val="none"/>
        </w:rPr>
        <w:t>第三条 项目履行的进度、期限、地点、地域、方式</w:t>
      </w:r>
      <w:bookmarkEnd w:id="250"/>
    </w:p>
    <w:p w14:paraId="2E998C3D">
      <w:pPr>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6F3251FC">
      <w:pPr>
        <w:rPr>
          <w:rFonts w:ascii="宋体"/>
          <w:color w:val="auto"/>
          <w:highlight w:val="none"/>
        </w:rPr>
      </w:pPr>
      <w:r>
        <w:rPr>
          <w:rFonts w:hint="eastAsia" w:ascii="宋体"/>
          <w:color w:val="auto"/>
          <w:highlight w:val="none"/>
        </w:rPr>
        <w:t>3.2进度：乙方应严格按照3.3所列示的期限完成项目实施任务。</w:t>
      </w:r>
    </w:p>
    <w:p w14:paraId="2D75A631">
      <w:pPr>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71ED98D3">
      <w:pPr>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；驻场实施。</w:t>
      </w:r>
    </w:p>
    <w:p w14:paraId="7FA26838">
      <w:pPr>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3F18D629">
      <w:pPr>
        <w:rPr>
          <w:rFonts w:ascii="宋体"/>
          <w:color w:val="auto"/>
          <w:highlight w:val="none"/>
        </w:rPr>
      </w:pPr>
      <w:r>
        <w:rPr>
          <w:rFonts w:hint="eastAsia" w:ascii="宋体"/>
          <w:color w:val="auto"/>
          <w:highlight w:val="none"/>
        </w:rPr>
        <w:t>3.6方式：</w:t>
      </w:r>
    </w:p>
    <w:p w14:paraId="68DE36A1">
      <w:pPr>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54B5217">
      <w:pPr>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99A34B1">
      <w:pPr>
        <w:rPr>
          <w:rFonts w:ascii="宋体"/>
          <w:color w:val="auto"/>
          <w:highlight w:val="none"/>
        </w:rPr>
      </w:pPr>
    </w:p>
    <w:p w14:paraId="56822040">
      <w:pPr>
        <w:ind w:firstLine="0" w:firstLineChars="0"/>
        <w:rPr>
          <w:color w:val="auto"/>
          <w:highlight w:val="none"/>
        </w:rPr>
      </w:pPr>
      <w:bookmarkStart w:id="251" w:name="_Toc84948028"/>
      <w:r>
        <w:rPr>
          <w:rFonts w:hint="eastAsia"/>
          <w:color w:val="auto"/>
          <w:highlight w:val="none"/>
        </w:rPr>
        <w:t>第四条 方案调整</w:t>
      </w:r>
      <w:bookmarkEnd w:id="251"/>
    </w:p>
    <w:p w14:paraId="76AE961E">
      <w:pPr>
        <w:rPr>
          <w:rFonts w:ascii="宋体"/>
          <w:color w:val="auto"/>
          <w:highlight w:val="none"/>
        </w:rPr>
      </w:pPr>
      <w:r>
        <w:rPr>
          <w:rStyle w:val="45"/>
          <w:rFonts w:hint="eastAsia" w:asci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5"/>
          <w:rFonts w:hint="eastAsia" w:asci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75091EF2">
      <w:pPr>
        <w:rPr>
          <w:rFonts w:ascii="宋体"/>
          <w:color w:val="auto"/>
          <w:highlight w:val="none"/>
        </w:rPr>
      </w:pPr>
      <w:r>
        <w:rPr>
          <w:rFonts w:hint="eastAsia" w:ascii="宋体"/>
          <w:color w:val="auto"/>
          <w:highlight w:val="none"/>
        </w:rPr>
        <w:t>4.2 方案一经双方确认，任何一方有方案调整意见，均需与对方签字确认。</w:t>
      </w:r>
    </w:p>
    <w:p w14:paraId="3EE28228">
      <w:pPr>
        <w:rPr>
          <w:rFonts w:ascii="宋体"/>
          <w:color w:val="auto"/>
          <w:highlight w:val="none"/>
        </w:rPr>
      </w:pPr>
    </w:p>
    <w:p w14:paraId="392E965F">
      <w:pPr>
        <w:ind w:firstLine="0" w:firstLineChars="0"/>
        <w:rPr>
          <w:color w:val="auto"/>
          <w:highlight w:val="none"/>
        </w:rPr>
      </w:pPr>
      <w:bookmarkStart w:id="252" w:name="_Toc84948029"/>
      <w:r>
        <w:rPr>
          <w:rFonts w:hint="eastAsia"/>
          <w:color w:val="auto"/>
          <w:highlight w:val="none"/>
        </w:rPr>
        <w:t>第五条 验收</w:t>
      </w:r>
      <w:bookmarkEnd w:id="252"/>
    </w:p>
    <w:p w14:paraId="56653588">
      <w:pPr>
        <w:pStyle w:val="16"/>
        <w:ind w:left="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0BAE5260">
      <w:pPr>
        <w:pStyle w:val="16"/>
        <w:ind w:left="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0BC5C1E5">
      <w:pPr>
        <w:pStyle w:val="16"/>
        <w:ind w:left="0"/>
        <w:rPr>
          <w:rStyle w:val="45"/>
          <w:rFonts w:ascii="宋体"/>
          <w:color w:val="auto"/>
          <w:kern w:val="0"/>
          <w:highlight w:val="none"/>
        </w:rPr>
      </w:pPr>
    </w:p>
    <w:p w14:paraId="0CEA0444">
      <w:pPr>
        <w:ind w:firstLine="0" w:firstLineChars="0"/>
        <w:rPr>
          <w:color w:val="auto"/>
          <w:highlight w:val="none"/>
        </w:rPr>
      </w:pPr>
      <w:bookmarkStart w:id="253" w:name="_Toc84948030"/>
      <w:r>
        <w:rPr>
          <w:rFonts w:hint="eastAsia"/>
          <w:color w:val="auto"/>
          <w:highlight w:val="none"/>
        </w:rPr>
        <w:t>第六条 交付使用后维护期、系统完善和保修维护服务</w:t>
      </w:r>
      <w:bookmarkEnd w:id="253"/>
    </w:p>
    <w:p w14:paraId="0050C80B">
      <w:pPr>
        <w:tabs>
          <w:tab w:val="left" w:pos="851"/>
        </w:tabs>
        <w:rPr>
          <w:rFonts w:ascii="宋体"/>
          <w:color w:val="auto"/>
          <w:highlight w:val="none"/>
        </w:rPr>
      </w:pPr>
      <w:r>
        <w:rPr>
          <w:rFonts w:hint="eastAsia" w:ascii="宋体"/>
          <w:color w:val="auto"/>
          <w:highlight w:val="none"/>
        </w:rPr>
        <w:t>6.1本合同金额包含【】年维护，维护期为自本产品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5509954A">
      <w:pPr>
        <w:tabs>
          <w:tab w:val="left" w:pos="851"/>
        </w:tabs>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40A3F33C">
      <w:pPr>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50E8EDFA">
      <w:pPr>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60D26EA6">
      <w:pPr>
        <w:rPr>
          <w:rFonts w:ascii="宋体"/>
          <w:color w:val="auto"/>
          <w:highlight w:val="none"/>
        </w:rPr>
      </w:pPr>
      <w:r>
        <w:rPr>
          <w:rFonts w:hint="eastAsia" w:ascii="宋体"/>
          <w:color w:val="auto"/>
          <w:highlight w:val="none"/>
        </w:rPr>
        <w:t>6.5上述服务，不包括由下列事件引起的故障：</w:t>
      </w:r>
    </w:p>
    <w:p w14:paraId="21A82FF7">
      <w:pPr>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283623A0">
      <w:pPr>
        <w:rPr>
          <w:rFonts w:ascii="宋体"/>
          <w:color w:val="auto"/>
          <w:highlight w:val="none"/>
        </w:rPr>
      </w:pPr>
      <w:r>
        <w:rPr>
          <w:rFonts w:hint="eastAsia" w:ascii="宋体"/>
          <w:color w:val="auto"/>
          <w:highlight w:val="none"/>
        </w:rPr>
        <w:t>6.5.2 使用并非由乙方提供的产品或服务。</w:t>
      </w:r>
    </w:p>
    <w:p w14:paraId="36A0D5FB">
      <w:pPr>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w:t>
      </w:r>
    </w:p>
    <w:p w14:paraId="209CD8E6">
      <w:pPr>
        <w:rPr>
          <w:rFonts w:ascii="宋体"/>
          <w:color w:val="auto"/>
          <w:highlight w:val="none"/>
        </w:rPr>
      </w:pPr>
      <w:r>
        <w:rPr>
          <w:rFonts w:hint="eastAsia" w:ascii="宋体"/>
          <w:color w:val="auto"/>
          <w:highlight w:val="none"/>
        </w:rPr>
        <w:t>诺，甲方采取上述措施不必征得乙方事先同意，且不构成对乙方的任何侵权。</w:t>
      </w:r>
    </w:p>
    <w:p w14:paraId="403F3121">
      <w:pPr>
        <w:rPr>
          <w:rFonts w:ascii="宋体"/>
          <w:color w:val="auto"/>
          <w:highlight w:val="none"/>
        </w:rPr>
      </w:pPr>
      <w:r>
        <w:rPr>
          <w:rFonts w:hint="eastAsia" w:ascii="宋体"/>
          <w:color w:val="auto"/>
          <w:highlight w:val="none"/>
        </w:rPr>
        <w:t>6</w:t>
      </w:r>
      <w:r>
        <w:rPr>
          <w:rStyle w:val="45"/>
          <w:rFonts w:hint="eastAsia" w:asci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5"/>
          <w:rFonts w:hint="eastAsia" w:asci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051055F4">
      <w:pPr>
        <w:rPr>
          <w:rFonts w:ascii="宋体"/>
          <w:b/>
          <w:color w:val="auto"/>
          <w:highlight w:val="none"/>
        </w:rPr>
      </w:pPr>
      <w:r>
        <w:rPr>
          <w:rFonts w:hint="eastAsia" w:ascii="宋体"/>
          <w:color w:val="auto"/>
          <w:highlight w:val="none"/>
        </w:rPr>
        <w:t>6.8 维护期结束后</w:t>
      </w:r>
      <w:r>
        <w:rPr>
          <w:rStyle w:val="45"/>
          <w:rFonts w:hint="eastAsia" w:ascii="宋体"/>
          <w:color w:val="auto"/>
          <w:kern w:val="0"/>
          <w:highlight w:val="none"/>
        </w:rPr>
        <w:t>有偿技术服务期</w:t>
      </w:r>
      <w:r>
        <w:rPr>
          <w:rFonts w:hint="eastAsia" w:ascii="宋体"/>
          <w:color w:val="auto"/>
          <w:highlight w:val="none"/>
        </w:rPr>
        <w:t>每年的维护价格不超过</w:t>
      </w:r>
      <w:r>
        <w:rPr>
          <w:rFonts w:hint="eastAsia" w:ascii="宋体"/>
          <w:iCs/>
          <w:color w:val="auto"/>
          <w:highlight w:val="none"/>
          <w:u w:val="single"/>
        </w:rPr>
        <w:t>合同总额的【</w:t>
      </w:r>
      <w:r>
        <w:rPr>
          <w:rFonts w:ascii="宋体"/>
          <w:iCs/>
          <w:color w:val="auto"/>
          <w:highlight w:val="none"/>
          <w:u w:val="single"/>
        </w:rPr>
        <w:t xml:space="preserve"> </w:t>
      </w:r>
      <w:r>
        <w:rPr>
          <w:rFonts w:hint="eastAsia" w:ascii="宋体"/>
          <w:iCs/>
          <w:color w:val="auto"/>
          <w:highlight w:val="none"/>
          <w:u w:val="single"/>
        </w:rPr>
        <w:t>】</w:t>
      </w:r>
      <w:r>
        <w:rPr>
          <w:rFonts w:hint="eastAsia" w:ascii="宋体"/>
          <w:color w:val="auto"/>
          <w:highlight w:val="none"/>
        </w:rPr>
        <w:t>，具体服务内容详见附件四《维护服务条款》。有偿技术服务期的服务水平不低于附件四承诺的维护期的服务水平。</w:t>
      </w:r>
      <w:r>
        <w:rPr>
          <w:rFonts w:hint="eastAsia" w:ascii="宋体"/>
          <w:b/>
          <w:color w:val="auto"/>
          <w:highlight w:val="none"/>
        </w:rPr>
        <w:t>后续改造类项目维护费用以系统首期建设合同（即本合同）约定为准，不得叠加、单独收取。</w:t>
      </w:r>
    </w:p>
    <w:p w14:paraId="00420F16">
      <w:pPr>
        <w:rPr>
          <w:rFonts w:ascii="宋体"/>
          <w:color w:val="auto"/>
          <w:highlight w:val="none"/>
        </w:rPr>
      </w:pPr>
      <w:r>
        <w:rPr>
          <w:rFonts w:hint="eastAsia" w:ascii="宋体"/>
          <w:color w:val="auto"/>
          <w:highlight w:val="none"/>
        </w:rPr>
        <w:t>6.9本合同并非维护期结束后的维护服务合同，有偿技术服务的合同由双方另行签订。</w:t>
      </w:r>
    </w:p>
    <w:p w14:paraId="44EC2967">
      <w:pPr>
        <w:rPr>
          <w:rFonts w:ascii="宋体"/>
          <w:color w:val="auto"/>
          <w:highlight w:val="none"/>
        </w:rPr>
      </w:pPr>
    </w:p>
    <w:p w14:paraId="267CE384">
      <w:pPr>
        <w:ind w:firstLine="0" w:firstLineChars="0"/>
        <w:rPr>
          <w:color w:val="auto"/>
          <w:highlight w:val="none"/>
        </w:rPr>
      </w:pPr>
      <w:bookmarkStart w:id="254" w:name="_Toc84948031"/>
      <w:r>
        <w:rPr>
          <w:rFonts w:hint="eastAsia"/>
          <w:color w:val="auto"/>
          <w:highlight w:val="none"/>
        </w:rPr>
        <w:t>第七条 技术辅导与培训</w:t>
      </w:r>
      <w:bookmarkEnd w:id="254"/>
    </w:p>
    <w:p w14:paraId="3EC7DAD2">
      <w:pPr>
        <w:rPr>
          <w:color w:val="auto"/>
          <w:highlight w:val="none"/>
        </w:rPr>
      </w:pPr>
      <w:r>
        <w:rPr>
          <w:rFonts w:hint="eastAsia" w:ascii="宋体"/>
          <w:color w:val="auto"/>
          <w:highlight w:val="none"/>
        </w:rPr>
        <w:t>乙方应负责向甲方提供技术辅导与培训，以使甲方人员熟练掌握该项目产品的应用和日常维护。培训内容包括：</w:t>
      </w:r>
      <w:r>
        <w:rPr>
          <w:rFonts w:hint="eastAsia"/>
          <w:color w:val="auto"/>
          <w:highlight w:val="none"/>
        </w:rPr>
        <w:t>包括但不限于</w:t>
      </w:r>
      <w:r>
        <w:rPr>
          <w:color w:val="auto"/>
          <w:highlight w:val="none"/>
        </w:rPr>
        <w:t>一场全行范围的业务连续性管理培训，一场</w:t>
      </w:r>
      <w:r>
        <w:rPr>
          <w:rFonts w:hint="eastAsia"/>
          <w:color w:val="auto"/>
          <w:highlight w:val="none"/>
        </w:rPr>
        <w:t>涉及本项目的相关开发人员、运维人员以及业务人员等</w:t>
      </w:r>
      <w:r>
        <w:rPr>
          <w:color w:val="auto"/>
          <w:highlight w:val="none"/>
        </w:rPr>
        <w:t>的专项培训</w:t>
      </w:r>
      <w:r>
        <w:rPr>
          <w:rFonts w:hint="eastAsia"/>
          <w:color w:val="auto"/>
          <w:highlight w:val="none"/>
        </w:rPr>
        <w:t>。</w:t>
      </w:r>
    </w:p>
    <w:p w14:paraId="2D71E754">
      <w:pPr>
        <w:pStyle w:val="13"/>
        <w:spacing w:line="360" w:lineRule="auto"/>
        <w:ind w:firstLine="560" w:firstLineChars="0"/>
        <w:rPr>
          <w:rFonts w:ascii="宋体"/>
          <w:color w:val="auto"/>
          <w:highlight w:val="none"/>
        </w:rPr>
      </w:pPr>
      <w:r>
        <w:rPr>
          <w:rFonts w:hint="eastAsia" w:ascii="宋体"/>
          <w:color w:val="auto"/>
          <w:highlight w:val="none"/>
        </w:rPr>
        <w:t>具体培训内容由双方共同商定，并由甲方项目经理签字确认。</w:t>
      </w:r>
    </w:p>
    <w:p w14:paraId="3F61AD1C">
      <w:pPr>
        <w:pStyle w:val="13"/>
        <w:spacing w:line="360" w:lineRule="auto"/>
        <w:rPr>
          <w:rFonts w:ascii="宋体"/>
          <w:color w:val="auto"/>
          <w:highlight w:val="none"/>
        </w:rPr>
      </w:pPr>
    </w:p>
    <w:p w14:paraId="63D56346">
      <w:pPr>
        <w:ind w:firstLine="0" w:firstLineChars="0"/>
        <w:rPr>
          <w:color w:val="auto"/>
          <w:highlight w:val="none"/>
        </w:rPr>
      </w:pPr>
      <w:bookmarkStart w:id="255" w:name="_Toc84948032"/>
      <w:r>
        <w:rPr>
          <w:rFonts w:hint="eastAsia"/>
          <w:color w:val="auto"/>
          <w:highlight w:val="none"/>
        </w:rPr>
        <w:t>第八条 双方的权利、义务</w:t>
      </w:r>
      <w:bookmarkEnd w:id="255"/>
    </w:p>
    <w:p w14:paraId="784DB7C1">
      <w:pPr>
        <w:rPr>
          <w:rFonts w:ascii="宋体"/>
          <w:color w:val="auto"/>
          <w:highlight w:val="none"/>
        </w:rPr>
      </w:pPr>
      <w:r>
        <w:rPr>
          <w:rFonts w:hint="eastAsia" w:ascii="宋体"/>
          <w:color w:val="auto"/>
          <w:highlight w:val="none"/>
        </w:rPr>
        <w:t>8.1除本合同其他条款外，甲方应承担如下义务：</w:t>
      </w:r>
    </w:p>
    <w:p w14:paraId="746399EE">
      <w:pPr>
        <w:rPr>
          <w:rFonts w:ascii="宋体"/>
          <w:color w:val="auto"/>
          <w:highlight w:val="none"/>
        </w:rPr>
      </w:pPr>
      <w:r>
        <w:rPr>
          <w:rFonts w:hint="eastAsia" w:ascii="宋体"/>
          <w:color w:val="auto"/>
          <w:highlight w:val="none"/>
        </w:rPr>
        <w:t>8.1.1 按照本合同第十三条的规定向乙方支付报酬。</w:t>
      </w:r>
    </w:p>
    <w:p w14:paraId="7354C390">
      <w:pPr>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7603579E">
      <w:pPr>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130989E6">
      <w:pPr>
        <w:rPr>
          <w:rFonts w:ascii="宋体"/>
          <w:color w:val="auto"/>
          <w:highlight w:val="none"/>
        </w:rPr>
      </w:pPr>
      <w:r>
        <w:rPr>
          <w:rFonts w:hint="eastAsia" w:ascii="宋体"/>
          <w:color w:val="auto"/>
          <w:highlight w:val="none"/>
        </w:rPr>
        <w:t>8.1.4 甲方为乙方解决现场人员正常开展工作的开发测试系统环境和场地。</w:t>
      </w:r>
    </w:p>
    <w:p w14:paraId="5DAAB652">
      <w:pPr>
        <w:rPr>
          <w:rFonts w:ascii="宋体"/>
          <w:color w:val="auto"/>
          <w:highlight w:val="none"/>
        </w:rPr>
      </w:pPr>
      <w:r>
        <w:rPr>
          <w:rFonts w:hint="eastAsia" w:ascii="宋体"/>
          <w:color w:val="auto"/>
          <w:highlight w:val="none"/>
        </w:rPr>
        <w:t>8.2除本合同其他条款外，乙方应承担如下义务：</w:t>
      </w:r>
    </w:p>
    <w:p w14:paraId="15DC260C">
      <w:pPr>
        <w:pStyle w:val="12"/>
        <w:tabs>
          <w:tab w:val="left" w:pos="0"/>
        </w:tabs>
        <w:spacing w:line="360" w:lineRule="auto"/>
        <w:ind w:left="-2" w:leftChars="-1" w:firstLine="480" w:firstLineChars="200"/>
        <w:jc w:val="left"/>
        <w:rPr>
          <w:color w:val="auto"/>
          <w:sz w:val="24"/>
          <w:szCs w:val="20"/>
          <w:highlight w:val="none"/>
        </w:rPr>
      </w:pPr>
      <w:r>
        <w:rPr>
          <w:color w:val="auto"/>
          <w:sz w:val="24"/>
          <w:szCs w:val="20"/>
          <w:highlight w:val="none"/>
        </w:rPr>
        <w:t>8.2.1 遵守法律法规及银行业金融机构内部管理制度</w:t>
      </w:r>
      <w:r>
        <w:rPr>
          <w:rFonts w:hint="eastAsia"/>
          <w:color w:val="auto"/>
          <w:sz w:val="24"/>
          <w:szCs w:val="20"/>
          <w:highlight w:val="none"/>
        </w:rPr>
        <w:t>及规定</w:t>
      </w:r>
      <w:r>
        <w:rPr>
          <w:color w:val="auto"/>
          <w:sz w:val="24"/>
          <w:szCs w:val="20"/>
          <w:highlight w:val="none"/>
        </w:rPr>
        <w:t>，贯彻执行相关监管政策。</w:t>
      </w:r>
    </w:p>
    <w:p w14:paraId="0EFA06BC">
      <w:pPr>
        <w:rPr>
          <w:rFonts w:ascii="宋体"/>
          <w:color w:val="auto"/>
          <w:highlight w:val="none"/>
        </w:rPr>
      </w:pPr>
      <w:r>
        <w:rPr>
          <w:rFonts w:hint="eastAsia" w:ascii="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702E90DE">
      <w:pPr>
        <w:rPr>
          <w:rFonts w:ascii="宋体"/>
          <w:color w:val="auto"/>
          <w:highlight w:val="none"/>
        </w:rPr>
      </w:pPr>
      <w:r>
        <w:rPr>
          <w:rFonts w:hint="eastAsia" w:ascii="宋体"/>
          <w:color w:val="auto"/>
          <w:highlight w:val="none"/>
        </w:rPr>
        <w:t>8.2.3 负责在甲方的环境内安装并调试实施项目。</w:t>
      </w:r>
    </w:p>
    <w:p w14:paraId="4539CF92">
      <w:pPr>
        <w:rPr>
          <w:rFonts w:ascii="宋体"/>
          <w:color w:val="auto"/>
          <w:highlight w:val="none"/>
        </w:rPr>
      </w:pPr>
      <w:r>
        <w:rPr>
          <w:rFonts w:hint="eastAsia" w:ascii="宋体"/>
          <w:color w:val="auto"/>
          <w:highlight w:val="none"/>
        </w:rPr>
        <w:t>8.2.4 指派一名项目主要负责人参加甲、乙双方为本项目召开的会议并协调相关工作和签署有关文件。</w:t>
      </w:r>
    </w:p>
    <w:p w14:paraId="698A3B70">
      <w:pPr>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8.2.5指派独立于开发团队的测试人员负责项目系统测试，并承诺按照甲方质量管理要求完成项目系统测试、性能测试、安全测试等。</w:t>
      </w:r>
    </w:p>
    <w:p w14:paraId="42E28BAD">
      <w:pPr>
        <w:rPr>
          <w:rFonts w:ascii="宋体"/>
          <w:color w:val="auto"/>
          <w:highlight w:val="none"/>
        </w:rPr>
      </w:pPr>
      <w:r>
        <w:rPr>
          <w:rFonts w:hint="eastAsia" w:ascii="宋体"/>
          <w:color w:val="auto"/>
          <w:highlight w:val="none"/>
        </w:rPr>
        <w:t>8.2.6 按照本合同的约定向甲方提供相关技术资料并提供技术指导。</w:t>
      </w:r>
    </w:p>
    <w:p w14:paraId="1DC83906">
      <w:pPr>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13EA89CE">
      <w:pPr>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不得拖延、不得敷衍、不得拒绝提供相关资料，配合对监管意见做出相应的管理、服务、基础设施、软硬件等整改。</w:t>
      </w:r>
    </w:p>
    <w:p w14:paraId="59CA1017">
      <w:pPr>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，原则上应为最高级。若</w:t>
      </w:r>
      <w:r>
        <w:rPr>
          <w:rFonts w:ascii="宋体"/>
          <w:color w:val="auto"/>
          <w:highlight w:val="none"/>
        </w:rPr>
        <w:t>甲方要求</w:t>
      </w:r>
      <w:r>
        <w:rPr>
          <w:rFonts w:hint="eastAsia" w:ascii="宋体"/>
          <w:color w:val="auto"/>
          <w:highlight w:val="none"/>
        </w:rPr>
        <w:t>乙方参与应急演练，乙方</w:t>
      </w:r>
      <w:r>
        <w:rPr>
          <w:rFonts w:ascii="宋体"/>
          <w:color w:val="auto"/>
          <w:highlight w:val="none"/>
        </w:rPr>
        <w:t>应配合完成</w:t>
      </w:r>
      <w:r>
        <w:rPr>
          <w:rFonts w:hint="eastAsia" w:ascii="宋体"/>
          <w:color w:val="auto"/>
          <w:highlight w:val="none"/>
        </w:rPr>
        <w:t>。</w:t>
      </w:r>
    </w:p>
    <w:p w14:paraId="6BEA0435">
      <w:pPr>
        <w:rPr>
          <w:rFonts w:ascii="宋体"/>
          <w:color w:val="auto"/>
          <w:highlight w:val="none"/>
        </w:rPr>
      </w:pPr>
      <w:r>
        <w:rPr>
          <w:rFonts w:hint="eastAsia" w:ascii="宋体"/>
          <w:color w:val="auto"/>
          <w:highlight w:val="none"/>
        </w:rPr>
        <w:t>8.2.10 乙方应当自己完成本合同项下的开发、测试或维护等工作，而不得转包或变相转包给任何第三方。</w:t>
      </w:r>
    </w:p>
    <w:p w14:paraId="21FAD4CE">
      <w:pPr>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0306B956">
      <w:pPr>
        <w:rPr>
          <w:rFonts w:ascii="宋体"/>
          <w:bCs/>
          <w:color w:val="auto"/>
          <w:highlight w:val="none"/>
        </w:rPr>
      </w:pPr>
      <w:r>
        <w:rPr>
          <w:rFonts w:hint="eastAsia" w:ascii="宋体"/>
          <w:bCs/>
          <w:color w:val="auto"/>
          <w:highlight w:val="none"/>
        </w:rPr>
        <w:t>8</w:t>
      </w:r>
      <w:r>
        <w:rPr>
          <w:rFonts w:ascii="宋体"/>
          <w:bCs/>
          <w:color w:val="auto"/>
          <w:highlight w:val="none"/>
        </w:rPr>
        <w:t xml:space="preserve">.2.12 </w:t>
      </w:r>
      <w:r>
        <w:rPr>
          <w:rFonts w:hint="eastAsia" w:ascii="宋体"/>
          <w:bCs/>
          <w:color w:val="auto"/>
          <w:highlight w:val="none"/>
        </w:rPr>
        <w:t>乙方应接受甲方不定期组织开展</w:t>
      </w:r>
      <w:r>
        <w:rPr>
          <w:rFonts w:ascii="宋体"/>
          <w:bCs/>
          <w:color w:val="auto"/>
          <w:highlight w:val="none"/>
        </w:rPr>
        <w:t>的</w:t>
      </w:r>
      <w:r>
        <w:rPr>
          <w:rFonts w:hint="eastAsia" w:ascii="宋体"/>
          <w:bCs/>
          <w:color w:val="auto"/>
          <w:highlight w:val="none"/>
        </w:rPr>
        <w:t>网络和信息安全教育，增强网络和信息安全意识</w:t>
      </w:r>
      <w:r>
        <w:rPr>
          <w:rFonts w:ascii="宋体"/>
          <w:bCs/>
          <w:color w:val="auto"/>
          <w:highlight w:val="none"/>
        </w:rPr>
        <w:t>。</w:t>
      </w:r>
    </w:p>
    <w:p w14:paraId="48FDE1C1">
      <w:pPr>
        <w:rPr>
          <w:rFonts w:ascii="宋体"/>
          <w:bCs/>
          <w:color w:val="auto"/>
          <w:highlight w:val="none"/>
        </w:rPr>
      </w:pPr>
      <w:r>
        <w:rPr>
          <w:rFonts w:hint="eastAsia" w:ascii="宋体"/>
          <w:bCs/>
          <w:color w:val="auto"/>
          <w:highlight w:val="none"/>
        </w:rPr>
        <w:t>8.2.13</w:t>
      </w:r>
      <w:r>
        <w:rPr>
          <w:rFonts w:ascii="宋体"/>
          <w:bCs/>
          <w:color w:val="auto"/>
          <w:highlight w:val="none"/>
        </w:rPr>
        <w:t xml:space="preserve"> </w:t>
      </w:r>
      <w:r>
        <w:rPr>
          <w:rFonts w:hint="eastAsia" w:ascii="宋体"/>
          <w:bCs/>
          <w:color w:val="auto"/>
          <w:highlight w:val="none"/>
        </w:rPr>
        <w:t>未经甲方许可，乙方人员不得下载、查阅甲方内部信息</w:t>
      </w:r>
      <w:r>
        <w:rPr>
          <w:rFonts w:ascii="宋体"/>
          <w:bCs/>
          <w:color w:val="auto"/>
          <w:highlight w:val="none"/>
        </w:rPr>
        <w:t>。</w:t>
      </w:r>
    </w:p>
    <w:p w14:paraId="6D3BA6D5">
      <w:pPr>
        <w:rPr>
          <w:rFonts w:ascii="宋体"/>
          <w:color w:val="auto"/>
          <w:highlight w:val="none"/>
        </w:rPr>
      </w:pPr>
    </w:p>
    <w:p w14:paraId="6DB88C1F">
      <w:pPr>
        <w:ind w:firstLine="0" w:firstLineChars="0"/>
        <w:rPr>
          <w:color w:val="auto"/>
          <w:highlight w:val="none"/>
        </w:rPr>
      </w:pPr>
      <w:bookmarkStart w:id="256" w:name="_Toc84948033"/>
      <w:r>
        <w:rPr>
          <w:rFonts w:hint="eastAsia"/>
          <w:color w:val="auto"/>
          <w:highlight w:val="none"/>
        </w:rPr>
        <w:t>第九条 乙方的声明与保证</w:t>
      </w:r>
      <w:bookmarkEnd w:id="256"/>
    </w:p>
    <w:p w14:paraId="3F9073FA">
      <w:pPr>
        <w:rPr>
          <w:rFonts w:ascii="宋体"/>
          <w:color w:val="auto"/>
          <w:highlight w:val="none"/>
        </w:rPr>
      </w:pPr>
      <w:r>
        <w:rPr>
          <w:rFonts w:hint="eastAsia" w:ascii="宋体"/>
          <w:color w:val="auto"/>
          <w:highlight w:val="none"/>
        </w:rPr>
        <w:t>乙方向甲方做出如下声明与保证：</w:t>
      </w:r>
    </w:p>
    <w:p w14:paraId="314E1F7F">
      <w:pPr>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7D299973">
      <w:pPr>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64FDC126">
      <w:pPr>
        <w:rPr>
          <w:rFonts w:ascii="宋体"/>
          <w:color w:val="auto"/>
          <w:highlight w:val="none"/>
        </w:rPr>
      </w:pPr>
      <w:r>
        <w:rPr>
          <w:rStyle w:val="45"/>
          <w:rFonts w:hint="eastAsia" w:ascii="宋体"/>
          <w:color w:val="auto"/>
          <w:kern w:val="0"/>
          <w:highlight w:val="none"/>
        </w:rPr>
        <w:t>9.3乙方在本项目中【使用/未使用】第三方</w:t>
      </w:r>
      <w:r>
        <w:rPr>
          <w:rStyle w:val="45"/>
          <w:rFonts w:ascii="宋体"/>
          <w:color w:val="auto"/>
          <w:kern w:val="0"/>
          <w:highlight w:val="none"/>
        </w:rPr>
        <w:t>产品</w:t>
      </w:r>
      <w:r>
        <w:rPr>
          <w:rStyle w:val="45"/>
          <w:rFonts w:hint="eastAsia" w:ascii="宋体"/>
          <w:color w:val="auto"/>
          <w:kern w:val="0"/>
          <w:highlight w:val="none"/>
        </w:rPr>
        <w:t>，</w:t>
      </w:r>
      <w:r>
        <w:rPr>
          <w:rStyle w:val="45"/>
          <w:rFonts w:ascii="宋体"/>
          <w:color w:val="auto"/>
          <w:kern w:val="0"/>
          <w:highlight w:val="none"/>
        </w:rPr>
        <w:t>包括第三方</w:t>
      </w:r>
      <w:r>
        <w:rPr>
          <w:rStyle w:val="45"/>
          <w:rFonts w:hint="eastAsia" w:asci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05DD5EFB">
      <w:pPr>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529902C5">
      <w:pPr>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4DE44240">
      <w:pPr>
        <w:rPr>
          <w:rStyle w:val="45"/>
          <w:rFonts w:asci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5"/>
          <w:rFonts w:hint="eastAsia" w:ascii="宋体"/>
          <w:color w:val="auto"/>
          <w:kern w:val="0"/>
          <w:highlight w:val="none"/>
        </w:rPr>
        <w:t>第三方产品出现安全漏洞</w:t>
      </w:r>
      <w:r>
        <w:rPr>
          <w:rFonts w:hint="eastAsia" w:ascii="宋体"/>
          <w:color w:val="auto"/>
          <w:highlight w:val="none"/>
        </w:rPr>
        <w:t>或违反个人信息保护相关法规，</w:t>
      </w:r>
      <w:r>
        <w:rPr>
          <w:rStyle w:val="45"/>
          <w:rFonts w:hint="eastAsia" w:ascii="宋体"/>
          <w:color w:val="auto"/>
          <w:kern w:val="0"/>
          <w:highlight w:val="none"/>
        </w:rPr>
        <w:t>甲方有权要求乙方进行修复，若因此给甲方造成损失的，甲方有权随时向乙方追偿。</w:t>
      </w:r>
    </w:p>
    <w:p w14:paraId="34EE5E00">
      <w:pPr>
        <w:rPr>
          <w:rStyle w:val="45"/>
          <w:rFonts w:ascii="宋体"/>
          <w:color w:val="auto"/>
          <w:kern w:val="0"/>
          <w:highlight w:val="none"/>
        </w:rPr>
      </w:pPr>
      <w:r>
        <w:rPr>
          <w:rStyle w:val="45"/>
          <w:rFonts w:hint="eastAsia" w:ascii="宋体"/>
          <w:color w:val="auto"/>
          <w:kern w:val="0"/>
          <w:highlight w:val="none"/>
        </w:rPr>
        <w:t>9</w:t>
      </w:r>
      <w:r>
        <w:rPr>
          <w:rStyle w:val="45"/>
          <w:rFonts w:ascii="宋体"/>
          <w:color w:val="auto"/>
          <w:kern w:val="0"/>
          <w:highlight w:val="none"/>
        </w:rPr>
        <w:t>.4</w:t>
      </w:r>
      <w:r>
        <w:rPr>
          <w:rStyle w:val="45"/>
          <w:rFonts w:hint="eastAsia" w:ascii="宋体"/>
          <w:color w:val="auto"/>
          <w:kern w:val="0"/>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48B2A5BA">
      <w:pPr>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2A9E1ED1">
      <w:pPr>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7A1937B5">
      <w:pPr>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27F46E18">
      <w:pPr>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2C6A1A79">
      <w:pPr>
        <w:rPr>
          <w:rFonts w:ascii="宋体"/>
          <w:color w:val="auto"/>
          <w:highlight w:val="none"/>
        </w:rPr>
      </w:pPr>
    </w:p>
    <w:p w14:paraId="67479E59">
      <w:pPr>
        <w:ind w:firstLine="0" w:firstLineChars="0"/>
        <w:rPr>
          <w:color w:val="auto"/>
          <w:highlight w:val="none"/>
        </w:rPr>
      </w:pPr>
      <w:bookmarkStart w:id="257" w:name="_Toc84948034"/>
      <w:r>
        <w:rPr>
          <w:rFonts w:hint="eastAsia"/>
          <w:color w:val="auto"/>
          <w:highlight w:val="none"/>
        </w:rPr>
        <w:t>第十条 知识产权</w:t>
      </w:r>
      <w:bookmarkEnd w:id="257"/>
    </w:p>
    <w:p w14:paraId="3CF5E078">
      <w:pPr>
        <w:rPr>
          <w:rStyle w:val="45"/>
          <w:rFonts w:ascii="宋体"/>
          <w:color w:val="auto"/>
          <w:kern w:val="0"/>
          <w:highlight w:val="none"/>
        </w:rPr>
      </w:pPr>
      <w:r>
        <w:rPr>
          <w:rStyle w:val="45"/>
          <w:rFonts w:hint="eastAsia" w:asci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3F7DC30">
      <w:pPr>
        <w:rPr>
          <w:rStyle w:val="45"/>
          <w:rFonts w:ascii="宋体"/>
          <w:color w:val="auto"/>
          <w:highlight w:val="none"/>
        </w:rPr>
      </w:pPr>
      <w:bookmarkStart w:id="258"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321A06C6">
      <w:pPr>
        <w:rPr>
          <w:rStyle w:val="45"/>
          <w:rFonts w:asci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5"/>
          <w:rFonts w:hint="eastAsia" w:asci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4F911970">
      <w:pPr>
        <w:rPr>
          <w:rStyle w:val="45"/>
          <w:rFonts w:ascii="宋体"/>
          <w:color w:val="auto"/>
          <w:highlight w:val="none"/>
        </w:rPr>
      </w:pPr>
      <w:r>
        <w:rPr>
          <w:rStyle w:val="45"/>
          <w:rFonts w:hint="eastAsia" w:ascii="宋体"/>
          <w:color w:val="auto"/>
          <w:highlight w:val="none"/>
        </w:rPr>
        <w:t>1</w:t>
      </w:r>
      <w:r>
        <w:rPr>
          <w:rStyle w:val="45"/>
          <w:rFonts w:ascii="宋体"/>
          <w:color w:val="auto"/>
          <w:highlight w:val="none"/>
        </w:rPr>
        <w:t>0.4本项目</w:t>
      </w:r>
      <w:r>
        <w:rPr>
          <w:rStyle w:val="45"/>
          <w:rFonts w:hint="eastAsia" w:ascii="宋体"/>
          <w:color w:val="auto"/>
          <w:highlight w:val="none"/>
        </w:rPr>
        <w:t>客户化源代码的知识产权归甲方单独所有，其余部分归双方共有。</w:t>
      </w:r>
    </w:p>
    <w:p w14:paraId="6EE6F723">
      <w:pPr>
        <w:rPr>
          <w:rStyle w:val="45"/>
          <w:rFonts w:ascii="宋体"/>
          <w:color w:val="auto"/>
          <w:kern w:val="0"/>
          <w:highlight w:val="none"/>
        </w:rPr>
      </w:pPr>
      <w:r>
        <w:rPr>
          <w:rStyle w:val="45"/>
          <w:rFonts w:hint="eastAsia" w:ascii="宋体"/>
          <w:color w:val="auto"/>
          <w:highlight w:val="none"/>
        </w:rPr>
        <w:t>1</w:t>
      </w:r>
      <w:r>
        <w:rPr>
          <w:rStyle w:val="45"/>
          <w:rFonts w:ascii="宋体"/>
          <w:color w:val="auto"/>
          <w:highlight w:val="none"/>
        </w:rPr>
        <w:t>0.4.1</w:t>
      </w:r>
      <w:r>
        <w:rPr>
          <w:rStyle w:val="45"/>
          <w:rFonts w:hint="eastAsia" w:asci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49A96C67">
      <w:pPr>
        <w:rPr>
          <w:rStyle w:val="45"/>
          <w:rFonts w:ascii="宋体"/>
          <w:color w:val="auto"/>
          <w:highlight w:val="none"/>
        </w:rPr>
      </w:pPr>
      <w:r>
        <w:rPr>
          <w:rStyle w:val="45"/>
          <w:rFonts w:ascii="宋体"/>
          <w:color w:val="auto"/>
          <w:highlight w:val="none"/>
        </w:rPr>
        <w:t>10.4.2</w:t>
      </w:r>
      <w:r>
        <w:rPr>
          <w:rStyle w:val="45"/>
          <w:rFonts w:hint="eastAsia" w:asci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5"/>
          <w:rFonts w:hint="eastAsia" w:ascii="宋体"/>
          <w:color w:val="auto"/>
          <w:highlight w:val="none"/>
        </w:rPr>
        <w:t>乙方拥有在其公司和其他组织范围内使用的权利，但乙方使用时不得侵犯甲方利益。</w:t>
      </w:r>
    </w:p>
    <w:p w14:paraId="6D64C0F1">
      <w:pPr>
        <w:rPr>
          <w:rStyle w:val="45"/>
          <w:rFonts w:ascii="宋体"/>
          <w:color w:val="auto"/>
          <w:highlight w:val="none"/>
        </w:rPr>
      </w:pPr>
      <w:r>
        <w:rPr>
          <w:rStyle w:val="45"/>
          <w:rFonts w:ascii="宋体"/>
          <w:color w:val="auto"/>
          <w:highlight w:val="none"/>
        </w:rPr>
        <w:t>10.4.</w:t>
      </w:r>
      <w:r>
        <w:rPr>
          <w:rStyle w:val="45"/>
          <w:rFonts w:hint="eastAsia" w:ascii="宋体"/>
          <w:color w:val="auto"/>
          <w:highlight w:val="none"/>
        </w:rPr>
        <w:t>3</w:t>
      </w:r>
      <w:r>
        <w:rPr>
          <w:rStyle w:val="45"/>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7567A75F">
      <w:pPr>
        <w:rPr>
          <w:rFonts w:ascii="宋体"/>
          <w:color w:val="auto"/>
          <w:kern w:val="0"/>
          <w:highlight w:val="none"/>
        </w:rPr>
      </w:pPr>
    </w:p>
    <w:p w14:paraId="1037FF1C">
      <w:pPr>
        <w:ind w:firstLine="0" w:firstLineChars="0"/>
        <w:rPr>
          <w:color w:val="auto"/>
          <w:highlight w:val="none"/>
        </w:rPr>
      </w:pPr>
      <w:r>
        <w:rPr>
          <w:rFonts w:hint="eastAsia"/>
          <w:color w:val="auto"/>
          <w:highlight w:val="none"/>
        </w:rPr>
        <w:t>第十一条 第三方索赔</w:t>
      </w:r>
      <w:bookmarkEnd w:id="258"/>
    </w:p>
    <w:p w14:paraId="7FB34348">
      <w:pPr>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2600CC0A">
      <w:pPr>
        <w:rPr>
          <w:rFonts w:ascii="宋体"/>
          <w:color w:val="auto"/>
          <w:highlight w:val="none"/>
        </w:rPr>
      </w:pPr>
      <w:r>
        <w:rPr>
          <w:rFonts w:hint="eastAsia" w:ascii="宋体"/>
          <w:color w:val="auto"/>
          <w:highlight w:val="none"/>
        </w:rPr>
        <w:t>11.2对于第11.1条涉及的侵权索赔，乙方将承担全部费用，包括</w:t>
      </w:r>
      <w:r>
        <w:rPr>
          <w:rStyle w:val="45"/>
          <w:rFonts w:hint="eastAsia" w:ascii="宋体"/>
          <w:color w:val="auto"/>
          <w:kern w:val="0"/>
          <w:highlight w:val="none"/>
        </w:rPr>
        <w:t>诉讼费、仲裁费、甲方支付的律师费、差旅住宿费、公证费、鉴定费、调解费及仲裁裁决、法院判决或调解协议中由甲方承担的赔偿金。</w:t>
      </w:r>
    </w:p>
    <w:p w14:paraId="18EC63C6">
      <w:pPr>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5"/>
          <w:rFonts w:hint="eastAsia" w:ascii="宋体"/>
          <w:color w:val="auto"/>
          <w:kern w:val="0"/>
          <w:highlight w:val="none"/>
        </w:rPr>
        <w:t>部损失</w:t>
      </w:r>
      <w:r>
        <w:rPr>
          <w:rFonts w:hint="eastAsia" w:ascii="宋体"/>
          <w:color w:val="auto"/>
          <w:highlight w:val="none"/>
        </w:rPr>
        <w:t>。</w:t>
      </w:r>
    </w:p>
    <w:p w14:paraId="291B2CBE">
      <w:pPr>
        <w:rPr>
          <w:rFonts w:ascii="宋体"/>
          <w:color w:val="auto"/>
          <w:highlight w:val="none"/>
        </w:rPr>
      </w:pPr>
      <w:r>
        <w:rPr>
          <w:rFonts w:hint="eastAsia" w:ascii="宋体"/>
          <w:color w:val="auto"/>
          <w:highlight w:val="none"/>
        </w:rPr>
        <w:t>11.4乙方对由以下非乙方的过错引起的侵权索赔不承担责任：</w:t>
      </w:r>
    </w:p>
    <w:p w14:paraId="586E97A5">
      <w:pPr>
        <w:rPr>
          <w:rFonts w:ascii="宋体"/>
          <w:color w:val="auto"/>
          <w:highlight w:val="none"/>
        </w:rPr>
      </w:pPr>
      <w:r>
        <w:rPr>
          <w:rStyle w:val="45"/>
          <w:rFonts w:hint="eastAsia" w:ascii="宋体"/>
          <w:color w:val="auto"/>
          <w:kern w:val="0"/>
          <w:highlight w:val="none"/>
        </w:rPr>
        <w:t>11.4.1 甲方使用不当所造成的侵权。</w:t>
      </w:r>
    </w:p>
    <w:p w14:paraId="72ABC9B4">
      <w:pPr>
        <w:rPr>
          <w:rFonts w:ascii="宋体"/>
          <w:color w:val="auto"/>
          <w:highlight w:val="none"/>
        </w:rPr>
      </w:pPr>
      <w:r>
        <w:rPr>
          <w:rFonts w:hint="eastAsia" w:ascii="宋体"/>
          <w:color w:val="auto"/>
          <w:highlight w:val="none"/>
        </w:rPr>
        <w:t>11.4.2 因甲方或第三方对开发软件或资料进行修改所直接造成的侵权。</w:t>
      </w:r>
    </w:p>
    <w:p w14:paraId="3E496739">
      <w:pPr>
        <w:rPr>
          <w:rFonts w:ascii="宋体"/>
          <w:color w:val="auto"/>
          <w:highlight w:val="none"/>
        </w:rPr>
      </w:pPr>
    </w:p>
    <w:p w14:paraId="387ADD5F">
      <w:pPr>
        <w:ind w:firstLine="0" w:firstLineChars="0"/>
        <w:rPr>
          <w:color w:val="auto"/>
          <w:highlight w:val="none"/>
        </w:rPr>
      </w:pPr>
      <w:bookmarkStart w:id="259" w:name="_Toc84948036"/>
      <w:r>
        <w:rPr>
          <w:rFonts w:hint="eastAsia"/>
          <w:color w:val="auto"/>
          <w:highlight w:val="none"/>
        </w:rPr>
        <w:t>第十二条 保密</w:t>
      </w:r>
      <w:bookmarkEnd w:id="259"/>
    </w:p>
    <w:p w14:paraId="57DEFFDF">
      <w:pPr>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5F651633">
      <w:pPr>
        <w:tabs>
          <w:tab w:val="left" w:pos="1134"/>
        </w:tabs>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6812419E">
      <w:pPr>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6FFA6673">
      <w:pPr>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651C773B">
      <w:pPr>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68006E38">
      <w:pPr>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2445CAEC">
      <w:pPr>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062AAE7C">
      <w:pPr>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73AA41FC">
      <w:pPr>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r>
        <w:rPr>
          <w:rFonts w:hint="eastAsia" w:ascii="宋体"/>
          <w:color w:val="auto"/>
          <w:kern w:val="0"/>
          <w:highlight w:val="none"/>
        </w:rPr>
        <w:t>当客户信息不安全或客户权利受到重大不利影响时，甲方有权随时终止合同。</w:t>
      </w:r>
    </w:p>
    <w:p w14:paraId="23B4CBA7">
      <w:pPr>
        <w:rPr>
          <w:rFonts w:ascii="宋体"/>
          <w:color w:val="auto"/>
          <w:highlight w:val="none"/>
        </w:rPr>
      </w:pPr>
    </w:p>
    <w:p w14:paraId="644CFF5D">
      <w:pPr>
        <w:ind w:firstLine="0" w:firstLineChars="0"/>
        <w:rPr>
          <w:color w:val="auto"/>
          <w:highlight w:val="none"/>
        </w:rPr>
      </w:pPr>
      <w:bookmarkStart w:id="260" w:name="_Toc84948037"/>
      <w:r>
        <w:rPr>
          <w:rFonts w:hint="eastAsia"/>
          <w:color w:val="auto"/>
          <w:highlight w:val="none"/>
        </w:rPr>
        <w:t>第十三条 价格与支付</w:t>
      </w:r>
      <w:bookmarkEnd w:id="260"/>
    </w:p>
    <w:p w14:paraId="3A39B7DE">
      <w:pPr>
        <w:ind w:left="92" w:leftChars="51" w:firstLine="313" w:firstLineChars="174"/>
        <w:jc w:val="left"/>
        <w:rPr>
          <w:rStyle w:val="45"/>
          <w:rFonts w:ascii="宋体"/>
          <w:color w:val="auto"/>
          <w:kern w:val="0"/>
          <w:highlight w:val="none"/>
        </w:rPr>
      </w:pPr>
      <w:r>
        <w:rPr>
          <w:rStyle w:val="45"/>
          <w:rFonts w:hint="eastAsia" w:ascii="宋体"/>
          <w:color w:val="auto"/>
          <w:kern w:val="0"/>
          <w:highlight w:val="none"/>
        </w:rPr>
        <w:t>13.1本项目合同总金额（价税合计）为</w:t>
      </w:r>
      <w:r>
        <w:rPr>
          <w:rStyle w:val="45"/>
          <w:rFonts w:hint="eastAsia" w:ascii="宋体"/>
          <w:color w:val="auto"/>
          <w:szCs w:val="2"/>
          <w:highlight w:val="none"/>
        </w:rPr>
        <w:t>_______</w:t>
      </w:r>
      <w:r>
        <w:rPr>
          <w:rStyle w:val="45"/>
          <w:rFonts w:hint="eastAsia" w:ascii="宋体"/>
          <w:color w:val="auto"/>
          <w:szCs w:val="2"/>
          <w:highlight w:val="none"/>
          <w:u w:val="single"/>
        </w:rPr>
        <w:t>元</w:t>
      </w:r>
      <w:r>
        <w:rPr>
          <w:rStyle w:val="45"/>
          <w:rFonts w:hint="eastAsia" w:ascii="宋体"/>
          <w:color w:val="auto"/>
          <w:kern w:val="0"/>
          <w:highlight w:val="none"/>
          <w:u w:val="single"/>
        </w:rPr>
        <w:t>（大写：</w:t>
      </w:r>
      <w:r>
        <w:rPr>
          <w:rStyle w:val="45"/>
          <w:rFonts w:ascii="宋体"/>
          <w:color w:val="auto"/>
          <w:szCs w:val="2"/>
          <w:highlight w:val="none"/>
          <w:u w:val="single"/>
        </w:rPr>
        <w:t>整</w:t>
      </w:r>
      <w:r>
        <w:rPr>
          <w:rStyle w:val="45"/>
          <w:rFonts w:hint="eastAsia" w:ascii="宋体"/>
          <w:color w:val="auto"/>
          <w:kern w:val="0"/>
          <w:highlight w:val="none"/>
          <w:u w:val="single"/>
        </w:rPr>
        <w:t>）</w:t>
      </w:r>
      <w:r>
        <w:rPr>
          <w:rStyle w:val="45"/>
          <w:rFonts w:hint="eastAsia" w:ascii="宋体"/>
          <w:color w:val="auto"/>
          <w:kern w:val="0"/>
          <w:highlight w:val="none"/>
        </w:rPr>
        <w:t>，</w:t>
      </w:r>
      <w:r>
        <w:rPr>
          <w:rStyle w:val="45"/>
          <w:rFonts w:ascii="宋体"/>
          <w:color w:val="auto"/>
          <w:kern w:val="0"/>
          <w:highlight w:val="none"/>
        </w:rPr>
        <w:t>税率为</w:t>
      </w:r>
      <w:r>
        <w:rPr>
          <w:rStyle w:val="45"/>
          <w:rFonts w:hint="eastAsia" w:ascii="宋体"/>
          <w:color w:val="auto"/>
          <w:szCs w:val="2"/>
          <w:highlight w:val="none"/>
        </w:rPr>
        <w:t>____</w:t>
      </w:r>
      <w:r>
        <w:rPr>
          <w:rStyle w:val="45"/>
          <w:rFonts w:ascii="宋体"/>
          <w:color w:val="auto"/>
          <w:kern w:val="0"/>
          <w:highlight w:val="none"/>
        </w:rPr>
        <w:t>%，</w:t>
      </w:r>
      <w:r>
        <w:rPr>
          <w:rStyle w:val="45"/>
          <w:rFonts w:hint="eastAsia" w:ascii="宋体"/>
          <w:color w:val="auto"/>
          <w:szCs w:val="2"/>
          <w:highlight w:val="none"/>
        </w:rPr>
        <w:t>不含税价为：_______</w:t>
      </w:r>
      <w:r>
        <w:rPr>
          <w:rStyle w:val="45"/>
          <w:rFonts w:hint="eastAsia" w:ascii="宋体"/>
          <w:color w:val="auto"/>
          <w:szCs w:val="2"/>
          <w:highlight w:val="none"/>
          <w:u w:val="single"/>
        </w:rPr>
        <w:t>元（大写：</w:t>
      </w:r>
      <w:r>
        <w:rPr>
          <w:rStyle w:val="45"/>
          <w:rFonts w:ascii="宋体"/>
          <w:color w:val="auto"/>
          <w:szCs w:val="2"/>
          <w:highlight w:val="none"/>
          <w:u w:val="single"/>
        </w:rPr>
        <w:t>整</w:t>
      </w:r>
      <w:r>
        <w:rPr>
          <w:rStyle w:val="45"/>
          <w:rFonts w:hint="eastAsia" w:ascii="宋体"/>
          <w:color w:val="auto"/>
          <w:szCs w:val="2"/>
          <w:highlight w:val="none"/>
          <w:u w:val="single"/>
        </w:rPr>
        <w:t>）</w:t>
      </w:r>
      <w:r>
        <w:rPr>
          <w:rStyle w:val="45"/>
          <w:rFonts w:hint="eastAsia" w:ascii="宋体"/>
          <w:color w:val="auto"/>
          <w:szCs w:val="2"/>
          <w:highlight w:val="none"/>
        </w:rPr>
        <w:t>,税额为：_______</w:t>
      </w:r>
      <w:r>
        <w:rPr>
          <w:rStyle w:val="45"/>
          <w:rFonts w:hint="eastAsia" w:ascii="宋体"/>
          <w:color w:val="auto"/>
          <w:szCs w:val="2"/>
          <w:highlight w:val="none"/>
          <w:u w:val="single"/>
        </w:rPr>
        <w:t>元（大写：</w:t>
      </w:r>
      <w:r>
        <w:rPr>
          <w:rStyle w:val="45"/>
          <w:rFonts w:ascii="宋体"/>
          <w:color w:val="auto"/>
          <w:szCs w:val="2"/>
          <w:highlight w:val="none"/>
          <w:u w:val="single"/>
        </w:rPr>
        <w:t>整</w:t>
      </w:r>
      <w:r>
        <w:rPr>
          <w:rStyle w:val="45"/>
          <w:rFonts w:hint="eastAsia" w:ascii="宋体"/>
          <w:color w:val="auto"/>
          <w:szCs w:val="2"/>
          <w:highlight w:val="none"/>
          <w:u w:val="single"/>
        </w:rPr>
        <w:t>）</w:t>
      </w:r>
      <w:r>
        <w:rPr>
          <w:rStyle w:val="45"/>
          <w:rFonts w:hint="eastAsia" w:ascii="宋体"/>
          <w:color w:val="auto"/>
          <w:szCs w:val="2"/>
          <w:highlight w:val="none"/>
        </w:rPr>
        <w:t>。</w:t>
      </w:r>
      <w:r>
        <w:rPr>
          <w:rStyle w:val="45"/>
          <w:rFonts w:ascii="宋体"/>
          <w:color w:val="auto"/>
          <w:szCs w:val="2"/>
          <w:highlight w:val="none"/>
        </w:rPr>
        <w:t>其中产品金额（价税合计）为</w:t>
      </w:r>
      <w:r>
        <w:rPr>
          <w:rStyle w:val="45"/>
          <w:rFonts w:hint="eastAsia" w:ascii="宋体"/>
          <w:color w:val="auto"/>
          <w:szCs w:val="2"/>
          <w:highlight w:val="none"/>
        </w:rPr>
        <w:t>_______</w:t>
      </w:r>
      <w:r>
        <w:rPr>
          <w:rStyle w:val="45"/>
          <w:rFonts w:hint="eastAsia" w:ascii="宋体"/>
          <w:color w:val="auto"/>
          <w:szCs w:val="2"/>
          <w:highlight w:val="none"/>
          <w:u w:val="single"/>
        </w:rPr>
        <w:t>元（大写：</w:t>
      </w:r>
      <w:r>
        <w:rPr>
          <w:rStyle w:val="45"/>
          <w:rFonts w:ascii="宋体"/>
          <w:color w:val="auto"/>
          <w:szCs w:val="2"/>
          <w:highlight w:val="none"/>
          <w:u w:val="single"/>
        </w:rPr>
        <w:t>整</w:t>
      </w:r>
      <w:r>
        <w:rPr>
          <w:rStyle w:val="45"/>
          <w:rFonts w:hint="eastAsia" w:ascii="宋体"/>
          <w:color w:val="auto"/>
          <w:szCs w:val="2"/>
          <w:highlight w:val="none"/>
          <w:u w:val="single"/>
        </w:rPr>
        <w:t>）</w:t>
      </w:r>
      <w:r>
        <w:rPr>
          <w:rStyle w:val="45"/>
          <w:rFonts w:ascii="宋体"/>
          <w:color w:val="auto"/>
          <w:szCs w:val="2"/>
          <w:highlight w:val="none"/>
          <w:u w:val="single"/>
        </w:rPr>
        <w:t>，实施金额（价税合计）为</w:t>
      </w:r>
      <w:r>
        <w:rPr>
          <w:rStyle w:val="45"/>
          <w:rFonts w:hint="eastAsia" w:ascii="宋体"/>
          <w:color w:val="auto"/>
          <w:szCs w:val="2"/>
          <w:highlight w:val="none"/>
        </w:rPr>
        <w:t>_______</w:t>
      </w:r>
      <w:r>
        <w:rPr>
          <w:rStyle w:val="45"/>
          <w:rFonts w:hint="eastAsia" w:ascii="宋体"/>
          <w:color w:val="auto"/>
          <w:szCs w:val="2"/>
          <w:highlight w:val="none"/>
          <w:u w:val="single"/>
        </w:rPr>
        <w:t>元（大写：</w:t>
      </w:r>
      <w:r>
        <w:rPr>
          <w:rStyle w:val="45"/>
          <w:rFonts w:ascii="宋体"/>
          <w:color w:val="auto"/>
          <w:szCs w:val="2"/>
          <w:highlight w:val="none"/>
          <w:u w:val="single"/>
        </w:rPr>
        <w:t>整</w:t>
      </w:r>
      <w:r>
        <w:rPr>
          <w:rStyle w:val="45"/>
          <w:rFonts w:hint="eastAsia" w:ascii="宋体"/>
          <w:color w:val="auto"/>
          <w:szCs w:val="2"/>
          <w:highlight w:val="none"/>
          <w:u w:val="single"/>
        </w:rPr>
        <w:t>）</w:t>
      </w:r>
      <w:r>
        <w:rPr>
          <w:rStyle w:val="45"/>
          <w:rFonts w:ascii="宋体"/>
          <w:color w:val="auto"/>
          <w:szCs w:val="2"/>
          <w:highlight w:val="none"/>
        </w:rPr>
        <w:t>。</w:t>
      </w:r>
      <w:r>
        <w:rPr>
          <w:rStyle w:val="45"/>
          <w:rFonts w:hint="eastAsia" w:ascii="宋体"/>
          <w:color w:val="auto"/>
          <w:szCs w:val="2"/>
          <w:highlight w:val="none"/>
        </w:rPr>
        <w:t>不含税价格不因国家税率变化而变化，若在合同履行期间，如遇国家的税率调整，则价税合计应相应调整，以开具发票的时间为准。</w:t>
      </w:r>
      <w:r>
        <w:rPr>
          <w:rStyle w:val="45"/>
          <w:rFonts w:hint="eastAsia" w:ascii="宋体"/>
          <w:color w:val="auto"/>
          <w:kern w:val="0"/>
          <w:highlight w:val="none"/>
        </w:rPr>
        <w:t>该金额为本合同约定项目的全部费用，除双方另有约定外，甲方无须向乙方支付其他任何费用。</w:t>
      </w:r>
    </w:p>
    <w:p w14:paraId="4FDB0C3D">
      <w:pPr>
        <w:jc w:val="left"/>
        <w:rPr>
          <w:rStyle w:val="45"/>
          <w:rFonts w:ascii="宋体"/>
          <w:color w:val="auto"/>
          <w:kern w:val="0"/>
          <w:highlight w:val="none"/>
        </w:rPr>
      </w:pPr>
      <w:r>
        <w:rPr>
          <w:rStyle w:val="45"/>
          <w:rFonts w:hint="eastAsia" w:ascii="宋体"/>
          <w:color w:val="auto"/>
          <w:kern w:val="0"/>
          <w:highlight w:val="none"/>
        </w:rPr>
        <w:t>本项目产品价格（含实施</w:t>
      </w:r>
      <w:r>
        <w:rPr>
          <w:rStyle w:val="45"/>
          <w:rFonts w:ascii="宋体"/>
          <w:color w:val="auto"/>
          <w:kern w:val="0"/>
          <w:highlight w:val="none"/>
        </w:rPr>
        <w:t>金额部分</w:t>
      </w:r>
      <w:r>
        <w:rPr>
          <w:rStyle w:val="45"/>
          <w:rFonts w:hint="eastAsia" w:ascii="宋体"/>
          <w:color w:val="auto"/>
          <w:kern w:val="0"/>
          <w:highlight w:val="none"/>
        </w:rPr>
        <w:t>）如下表所示：</w:t>
      </w:r>
    </w:p>
    <w:tbl>
      <w:tblPr>
        <w:tblStyle w:val="20"/>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0763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3098F913">
            <w:pPr>
              <w:jc w:val="center"/>
              <w:rPr>
                <w:b/>
                <w:color w:val="auto"/>
                <w:szCs w:val="24"/>
                <w:highlight w:val="none"/>
              </w:rPr>
            </w:pPr>
            <w:r>
              <w:rPr>
                <w:b/>
                <w:color w:val="auto"/>
                <w:szCs w:val="24"/>
                <w:highlight w:val="none"/>
              </w:rPr>
              <w:t>产品名称</w:t>
            </w:r>
          </w:p>
        </w:tc>
        <w:tc>
          <w:tcPr>
            <w:tcW w:w="1701" w:type="dxa"/>
            <w:tcBorders>
              <w:tl2br w:val="nil"/>
              <w:tr2bl w:val="nil"/>
            </w:tcBorders>
            <w:vAlign w:val="center"/>
          </w:tcPr>
          <w:p w14:paraId="12EB042D">
            <w:pPr>
              <w:jc w:val="center"/>
              <w:rPr>
                <w:b/>
                <w:color w:val="auto"/>
                <w:szCs w:val="24"/>
                <w:highlight w:val="none"/>
              </w:rPr>
            </w:pPr>
            <w:r>
              <w:rPr>
                <w:b/>
                <w:color w:val="auto"/>
                <w:szCs w:val="24"/>
                <w:highlight w:val="none"/>
              </w:rPr>
              <w:t>模块</w:t>
            </w:r>
          </w:p>
        </w:tc>
        <w:tc>
          <w:tcPr>
            <w:tcW w:w="1134" w:type="dxa"/>
            <w:tcBorders>
              <w:tl2br w:val="nil"/>
              <w:tr2bl w:val="nil"/>
            </w:tcBorders>
            <w:vAlign w:val="center"/>
          </w:tcPr>
          <w:p w14:paraId="470A6D55">
            <w:pPr>
              <w:jc w:val="center"/>
              <w:rPr>
                <w:b/>
                <w:color w:val="auto"/>
                <w:szCs w:val="24"/>
                <w:highlight w:val="none"/>
              </w:rPr>
            </w:pPr>
            <w:r>
              <w:rPr>
                <w:rFonts w:hint="eastAsia"/>
                <w:b/>
                <w:color w:val="auto"/>
                <w:szCs w:val="24"/>
                <w:highlight w:val="none"/>
              </w:rPr>
              <w:t>单价（元）</w:t>
            </w:r>
          </w:p>
        </w:tc>
        <w:tc>
          <w:tcPr>
            <w:tcW w:w="1276" w:type="dxa"/>
            <w:tcBorders>
              <w:tl2br w:val="nil"/>
              <w:tr2bl w:val="nil"/>
            </w:tcBorders>
            <w:vAlign w:val="center"/>
          </w:tcPr>
          <w:p w14:paraId="2BFE2E43">
            <w:pPr>
              <w:jc w:val="center"/>
              <w:rPr>
                <w:b/>
                <w:color w:val="auto"/>
                <w:szCs w:val="24"/>
                <w:highlight w:val="none"/>
              </w:rPr>
            </w:pPr>
            <w:r>
              <w:rPr>
                <w:rFonts w:hint="eastAsia"/>
                <w:b/>
                <w:color w:val="auto"/>
                <w:szCs w:val="24"/>
                <w:highlight w:val="none"/>
              </w:rPr>
              <w:t>数量（套）</w:t>
            </w:r>
          </w:p>
        </w:tc>
        <w:tc>
          <w:tcPr>
            <w:tcW w:w="1276" w:type="dxa"/>
            <w:tcBorders>
              <w:tl2br w:val="nil"/>
              <w:tr2bl w:val="nil"/>
            </w:tcBorders>
            <w:vAlign w:val="center"/>
          </w:tcPr>
          <w:p w14:paraId="71466711">
            <w:pPr>
              <w:jc w:val="center"/>
              <w:rPr>
                <w:b/>
                <w:color w:val="auto"/>
                <w:szCs w:val="24"/>
                <w:highlight w:val="none"/>
              </w:rPr>
            </w:pPr>
            <w:r>
              <w:rPr>
                <w:rFonts w:hint="eastAsia"/>
                <w:b/>
                <w:color w:val="auto"/>
                <w:szCs w:val="24"/>
                <w:highlight w:val="none"/>
              </w:rPr>
              <w:t>金额</w:t>
            </w:r>
            <w:r>
              <w:rPr>
                <w:b/>
                <w:color w:val="auto"/>
                <w:szCs w:val="24"/>
                <w:highlight w:val="none"/>
              </w:rPr>
              <w:t>小计</w:t>
            </w:r>
            <w:r>
              <w:rPr>
                <w:rFonts w:hint="eastAsia"/>
                <w:b/>
                <w:color w:val="auto"/>
                <w:szCs w:val="24"/>
                <w:highlight w:val="none"/>
              </w:rPr>
              <w:t>（元）</w:t>
            </w:r>
          </w:p>
        </w:tc>
      </w:tr>
      <w:tr w14:paraId="7D73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3536243C">
            <w:pPr>
              <w:jc w:val="center"/>
              <w:rPr>
                <w:rFonts w:ascii="宋体"/>
                <w:color w:val="auto"/>
                <w:szCs w:val="24"/>
                <w:highlight w:val="none"/>
              </w:rPr>
            </w:pPr>
          </w:p>
        </w:tc>
        <w:tc>
          <w:tcPr>
            <w:tcW w:w="1701" w:type="dxa"/>
            <w:tcBorders>
              <w:tl2br w:val="nil"/>
              <w:tr2bl w:val="nil"/>
            </w:tcBorders>
            <w:vAlign w:val="center"/>
          </w:tcPr>
          <w:p w14:paraId="2B7492DE">
            <w:pPr>
              <w:jc w:val="center"/>
              <w:rPr>
                <w:color w:val="auto"/>
                <w:szCs w:val="24"/>
                <w:highlight w:val="none"/>
              </w:rPr>
            </w:pPr>
          </w:p>
        </w:tc>
        <w:tc>
          <w:tcPr>
            <w:tcW w:w="1134" w:type="dxa"/>
            <w:tcBorders>
              <w:tl2br w:val="nil"/>
              <w:tr2bl w:val="nil"/>
            </w:tcBorders>
            <w:vAlign w:val="center"/>
          </w:tcPr>
          <w:p w14:paraId="6445C72B">
            <w:pPr>
              <w:jc w:val="center"/>
              <w:rPr>
                <w:rFonts w:ascii="宋体"/>
                <w:color w:val="auto"/>
                <w:szCs w:val="24"/>
                <w:highlight w:val="none"/>
              </w:rPr>
            </w:pPr>
          </w:p>
        </w:tc>
        <w:tc>
          <w:tcPr>
            <w:tcW w:w="1276" w:type="dxa"/>
            <w:tcBorders>
              <w:tl2br w:val="nil"/>
              <w:tr2bl w:val="nil"/>
            </w:tcBorders>
            <w:vAlign w:val="center"/>
          </w:tcPr>
          <w:p w14:paraId="1810F78F">
            <w:pPr>
              <w:jc w:val="center"/>
              <w:rPr>
                <w:rFonts w:ascii="宋体"/>
                <w:color w:val="auto"/>
                <w:szCs w:val="24"/>
                <w:highlight w:val="none"/>
              </w:rPr>
            </w:pPr>
          </w:p>
        </w:tc>
        <w:tc>
          <w:tcPr>
            <w:tcW w:w="1276" w:type="dxa"/>
            <w:tcBorders>
              <w:tl2br w:val="nil"/>
              <w:tr2bl w:val="nil"/>
            </w:tcBorders>
            <w:vAlign w:val="center"/>
          </w:tcPr>
          <w:p w14:paraId="583D4E34">
            <w:pPr>
              <w:jc w:val="center"/>
              <w:rPr>
                <w:rFonts w:ascii="宋体"/>
                <w:color w:val="auto"/>
                <w:szCs w:val="24"/>
                <w:highlight w:val="none"/>
              </w:rPr>
            </w:pPr>
          </w:p>
        </w:tc>
      </w:tr>
      <w:tr w14:paraId="0F33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7FD8C891">
            <w:pPr>
              <w:rPr>
                <w:color w:val="auto"/>
                <w:highlight w:val="none"/>
              </w:rPr>
            </w:pPr>
          </w:p>
        </w:tc>
        <w:tc>
          <w:tcPr>
            <w:tcW w:w="1701" w:type="dxa"/>
            <w:tcBorders>
              <w:tl2br w:val="nil"/>
              <w:tr2bl w:val="nil"/>
            </w:tcBorders>
            <w:vAlign w:val="center"/>
          </w:tcPr>
          <w:p w14:paraId="79D140A8">
            <w:pPr>
              <w:jc w:val="center"/>
              <w:rPr>
                <w:color w:val="auto"/>
                <w:szCs w:val="24"/>
                <w:highlight w:val="none"/>
              </w:rPr>
            </w:pPr>
          </w:p>
        </w:tc>
        <w:tc>
          <w:tcPr>
            <w:tcW w:w="1134" w:type="dxa"/>
            <w:tcBorders>
              <w:tl2br w:val="nil"/>
              <w:tr2bl w:val="nil"/>
            </w:tcBorders>
            <w:vAlign w:val="center"/>
          </w:tcPr>
          <w:p w14:paraId="17B783F2">
            <w:pPr>
              <w:jc w:val="center"/>
              <w:rPr>
                <w:rFonts w:ascii="宋体"/>
                <w:color w:val="auto"/>
                <w:szCs w:val="24"/>
                <w:highlight w:val="none"/>
              </w:rPr>
            </w:pPr>
          </w:p>
        </w:tc>
        <w:tc>
          <w:tcPr>
            <w:tcW w:w="1276" w:type="dxa"/>
            <w:tcBorders>
              <w:tl2br w:val="nil"/>
              <w:tr2bl w:val="nil"/>
            </w:tcBorders>
            <w:vAlign w:val="center"/>
          </w:tcPr>
          <w:p w14:paraId="0AA01C2B">
            <w:pPr>
              <w:jc w:val="center"/>
              <w:rPr>
                <w:rFonts w:ascii="宋体"/>
                <w:color w:val="auto"/>
                <w:szCs w:val="24"/>
                <w:highlight w:val="none"/>
              </w:rPr>
            </w:pPr>
          </w:p>
        </w:tc>
        <w:tc>
          <w:tcPr>
            <w:tcW w:w="1276" w:type="dxa"/>
            <w:tcBorders>
              <w:tl2br w:val="nil"/>
              <w:tr2bl w:val="nil"/>
            </w:tcBorders>
            <w:vAlign w:val="center"/>
          </w:tcPr>
          <w:p w14:paraId="45DE25B7">
            <w:pPr>
              <w:jc w:val="center"/>
              <w:rPr>
                <w:rFonts w:ascii="宋体"/>
                <w:color w:val="auto"/>
                <w:szCs w:val="24"/>
                <w:highlight w:val="none"/>
              </w:rPr>
            </w:pPr>
          </w:p>
        </w:tc>
      </w:tr>
      <w:tr w14:paraId="7F08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23F09E03">
            <w:pPr>
              <w:jc w:val="center"/>
              <w:rPr>
                <w:rStyle w:val="45"/>
                <w:rFonts w:ascii="宋体"/>
                <w:bCs/>
                <w:color w:val="auto"/>
                <w:kern w:val="0"/>
                <w:szCs w:val="21"/>
                <w:highlight w:val="none"/>
              </w:rPr>
            </w:pPr>
            <w:r>
              <w:rPr>
                <w:rStyle w:val="45"/>
                <w:rFonts w:ascii="宋体"/>
                <w:bCs/>
                <w:color w:val="auto"/>
                <w:kern w:val="0"/>
                <w:szCs w:val="21"/>
                <w:highlight w:val="none"/>
              </w:rPr>
              <w:t>合计</w:t>
            </w:r>
            <w:r>
              <w:rPr>
                <w:rFonts w:hint="eastAsia"/>
                <w:color w:val="auto"/>
                <w:szCs w:val="24"/>
                <w:highlight w:val="none"/>
              </w:rPr>
              <w:t>（含税）</w:t>
            </w:r>
          </w:p>
        </w:tc>
        <w:tc>
          <w:tcPr>
            <w:tcW w:w="5387" w:type="dxa"/>
            <w:gridSpan w:val="4"/>
            <w:tcBorders>
              <w:tl2br w:val="nil"/>
              <w:tr2bl w:val="nil"/>
            </w:tcBorders>
            <w:vAlign w:val="center"/>
          </w:tcPr>
          <w:p w14:paraId="77901954">
            <w:pPr>
              <w:jc w:val="center"/>
              <w:rPr>
                <w:rFonts w:ascii="宋体"/>
                <w:color w:val="auto"/>
                <w:szCs w:val="24"/>
                <w:highlight w:val="none"/>
              </w:rPr>
            </w:pPr>
            <w:r>
              <w:rPr>
                <w:rFonts w:hint="eastAsia"/>
                <w:color w:val="auto"/>
                <w:szCs w:val="24"/>
                <w:highlight w:val="none"/>
              </w:rPr>
              <w:t>大写（人民币）：元整</w:t>
            </w:r>
          </w:p>
        </w:tc>
      </w:tr>
    </w:tbl>
    <w:p w14:paraId="50C1CD72">
      <w:pPr>
        <w:jc w:val="left"/>
        <w:rPr>
          <w:rStyle w:val="45"/>
          <w:rFonts w:ascii="宋体"/>
          <w:color w:val="auto"/>
          <w:kern w:val="0"/>
          <w:highlight w:val="none"/>
        </w:rPr>
      </w:pPr>
    </w:p>
    <w:p w14:paraId="542DC3E4">
      <w:pPr>
        <w:rPr>
          <w:rFonts w:ascii="宋体"/>
          <w:color w:val="auto"/>
          <w:highlight w:val="none"/>
        </w:rPr>
      </w:pPr>
      <w:r>
        <w:rPr>
          <w:rFonts w:hint="eastAsia" w:ascii="宋体"/>
          <w:color w:val="auto"/>
          <w:highlight w:val="none"/>
        </w:rPr>
        <w:t>13.2支付方式：</w:t>
      </w:r>
    </w:p>
    <w:p w14:paraId="081D65AA">
      <w:pPr>
        <w:rPr>
          <w:rFonts w:ascii="宋体"/>
          <w:color w:val="auto"/>
          <w:highlight w:val="none"/>
        </w:rPr>
      </w:pPr>
      <w:r>
        <w:rPr>
          <w:rFonts w:hint="eastAsia" w:ascii="宋体"/>
          <w:color w:val="auto"/>
          <w:highlight w:val="none"/>
        </w:rPr>
        <w:t>本合同款项采用分期付款：</w:t>
      </w:r>
    </w:p>
    <w:p w14:paraId="093DC0D2">
      <w:pPr>
        <w:rPr>
          <w:rFonts w:ascii="宋体"/>
          <w:color w:val="auto"/>
          <w:highlight w:val="none"/>
        </w:rPr>
      </w:pPr>
      <w:r>
        <w:rPr>
          <w:rFonts w:hint="eastAsia" w:ascii="宋体"/>
          <w:color w:val="auto"/>
          <w:highlight w:val="none"/>
        </w:rPr>
        <w:t>13.2.1项目</w:t>
      </w:r>
      <w:r>
        <w:rPr>
          <w:color w:val="auto"/>
          <w:highlight w:val="none"/>
        </w:rPr>
        <w:t>咨询工作完成业务影响分析和风险评估，发布业务连续性计划，系统完成</w:t>
      </w:r>
      <w:r>
        <w:rPr>
          <w:rFonts w:hint="eastAsia" w:ascii="宋体"/>
          <w:color w:val="auto"/>
          <w:highlight w:val="none"/>
        </w:rPr>
        <w:t>安装、调试并投入试运行后30个工作日内,乙方向甲方提供合法足额的增值税专用发票，甲方向乙方支付合同总额的60％，即元（大写：</w:t>
      </w:r>
      <w:r>
        <w:rPr>
          <w:rFonts w:hint="eastAsia" w:ascii="宋体"/>
          <w:color w:val="auto"/>
          <w:highlight w:val="none"/>
          <w:u w:val="single"/>
        </w:rPr>
        <w:t xml:space="preserve">元整 </w:t>
      </w:r>
      <w:r>
        <w:rPr>
          <w:rFonts w:hint="eastAsia" w:ascii="宋体"/>
          <w:color w:val="auto"/>
          <w:highlight w:val="none"/>
        </w:rPr>
        <w:t>）。</w:t>
      </w:r>
    </w:p>
    <w:p w14:paraId="289C7FF4">
      <w:pPr>
        <w:rPr>
          <w:rFonts w:ascii="宋体"/>
          <w:color w:val="auto"/>
          <w:highlight w:val="none"/>
        </w:rPr>
      </w:pPr>
      <w:r>
        <w:rPr>
          <w:rFonts w:hint="eastAsia" w:ascii="宋体"/>
          <w:color w:val="auto"/>
          <w:highlight w:val="none"/>
        </w:rPr>
        <w:t>13.2.2项目</w:t>
      </w:r>
      <w:r>
        <w:rPr>
          <w:color w:val="auto"/>
          <w:highlight w:val="none"/>
        </w:rPr>
        <w:t>咨询、系统建设、体系认证等所有工作实施完成，</w:t>
      </w:r>
      <w:r>
        <w:rPr>
          <w:rFonts w:hint="eastAsia" w:ascii="宋体"/>
          <w:color w:val="auto"/>
          <w:highlight w:val="none"/>
        </w:rPr>
        <w:t>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kern w:val="0"/>
          <w:highlight w:val="none"/>
        </w:rPr>
        <w:t>，</w:t>
      </w:r>
      <w:r>
        <w:rPr>
          <w:rFonts w:hint="eastAsia" w:ascii="宋体"/>
          <w:color w:val="auto"/>
          <w:highlight w:val="none"/>
        </w:rPr>
        <w:t>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w:t>
      </w:r>
    </w:p>
    <w:p w14:paraId="73F635AF">
      <w:pPr>
        <w:rPr>
          <w:rFonts w:ascii="宋体"/>
          <w:color w:val="auto"/>
          <w:highlight w:val="none"/>
        </w:rPr>
      </w:pPr>
      <w:r>
        <w:rPr>
          <w:rFonts w:hint="eastAsia" w:ascii="宋体"/>
          <w:color w:val="auto"/>
          <w:highlight w:val="none"/>
        </w:rPr>
        <w:t>13.2.3本合同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），否则按《服务水平协议（SLA）》进行相应金额扣除（13.2.2中已扣除部分，本条不重复扣减）。</w:t>
      </w:r>
    </w:p>
    <w:p w14:paraId="2F5A1DF3">
      <w:pPr>
        <w:rPr>
          <w:rFonts w:ascii="宋体"/>
          <w:color w:val="auto"/>
          <w:highlight w:val="none"/>
        </w:rPr>
      </w:pPr>
      <w:r>
        <w:rPr>
          <w:rFonts w:hint="eastAsia" w:ascii="宋体"/>
          <w:color w:val="auto"/>
          <w:highlight w:val="none"/>
        </w:rPr>
        <w:t>13.3发票要求：</w:t>
      </w:r>
    </w:p>
    <w:p w14:paraId="10105D2E">
      <w:pPr>
        <w:rPr>
          <w:rFonts w:ascii="宋体"/>
          <w:color w:val="auto"/>
          <w:highlight w:val="none"/>
        </w:rPr>
      </w:pPr>
      <w:r>
        <w:rPr>
          <w:rFonts w:hint="eastAsia" w:ascii="宋体"/>
          <w:color w:val="auto"/>
          <w:highlight w:val="none"/>
        </w:rPr>
        <w:t>乙方须严格按照合同内容开具税率为</w:t>
      </w:r>
      <w:r>
        <w:rPr>
          <w:rFonts w:ascii="宋体"/>
          <w:color w:val="auto"/>
          <w:highlight w:val="none"/>
          <w:u w:val="single"/>
        </w:rPr>
        <w:t xml:space="preserve">  %</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64337357">
      <w:pPr>
        <w:rPr>
          <w:rFonts w:ascii="宋体"/>
          <w:color w:val="auto"/>
          <w:highlight w:val="none"/>
        </w:rPr>
      </w:pPr>
    </w:p>
    <w:p w14:paraId="7DC4CF1E">
      <w:pPr>
        <w:ind w:firstLine="0" w:firstLineChars="0"/>
        <w:rPr>
          <w:color w:val="auto"/>
          <w:highlight w:val="none"/>
        </w:rPr>
      </w:pPr>
      <w:bookmarkStart w:id="261" w:name="_Toc84948038"/>
      <w:r>
        <w:rPr>
          <w:rFonts w:hint="eastAsia"/>
          <w:color w:val="auto"/>
          <w:highlight w:val="none"/>
        </w:rPr>
        <w:t>第十四条 风险责任的承担</w:t>
      </w:r>
      <w:bookmarkEnd w:id="261"/>
    </w:p>
    <w:p w14:paraId="3879D287">
      <w:pPr>
        <w:tabs>
          <w:tab w:val="left" w:pos="6020"/>
        </w:tabs>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361A7EA3">
      <w:pPr>
        <w:tabs>
          <w:tab w:val="left" w:pos="6020"/>
        </w:tabs>
        <w:rPr>
          <w:rStyle w:val="45"/>
          <w:rFonts w:ascii="宋体"/>
          <w:color w:val="auto"/>
          <w:kern w:val="0"/>
          <w:highlight w:val="none"/>
        </w:rPr>
      </w:pPr>
      <w:r>
        <w:rPr>
          <w:rStyle w:val="45"/>
          <w:rFonts w:hint="eastAsia" w:asci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7A2F54C4">
      <w:pPr>
        <w:tabs>
          <w:tab w:val="left" w:pos="6020"/>
        </w:tabs>
        <w:rPr>
          <w:rStyle w:val="45"/>
          <w:rFonts w:ascii="宋体"/>
          <w:color w:val="auto"/>
          <w:kern w:val="0"/>
          <w:highlight w:val="none"/>
        </w:rPr>
      </w:pPr>
      <w:r>
        <w:rPr>
          <w:rStyle w:val="45"/>
          <w:rFonts w:hint="eastAsia" w:asci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AC31276">
      <w:pPr>
        <w:tabs>
          <w:tab w:val="left" w:pos="6020"/>
        </w:tabs>
        <w:rPr>
          <w:rFonts w:ascii="宋体"/>
          <w:color w:val="auto"/>
          <w:highlight w:val="none"/>
        </w:rPr>
      </w:pPr>
    </w:p>
    <w:p w14:paraId="24F7758B">
      <w:pPr>
        <w:ind w:firstLine="0" w:firstLineChars="0"/>
        <w:rPr>
          <w:color w:val="auto"/>
          <w:highlight w:val="none"/>
        </w:rPr>
      </w:pPr>
      <w:bookmarkStart w:id="262" w:name="_Toc84948039"/>
      <w:r>
        <w:rPr>
          <w:rFonts w:hint="eastAsia"/>
          <w:color w:val="auto"/>
          <w:highlight w:val="none"/>
        </w:rPr>
        <w:t>第十五条</w:t>
      </w:r>
      <w:bookmarkStart w:id="263" w:name="_Toc58337511"/>
      <w:r>
        <w:rPr>
          <w:rFonts w:hint="eastAsia"/>
          <w:color w:val="auto"/>
          <w:highlight w:val="none"/>
        </w:rPr>
        <w:t xml:space="preserve"> 违约与赔偿</w:t>
      </w:r>
      <w:bookmarkEnd w:id="262"/>
      <w:bookmarkEnd w:id="263"/>
    </w:p>
    <w:p w14:paraId="4ADFE88C">
      <w:pPr>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66F83451">
      <w:pPr>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2C27CCBE">
      <w:pPr>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3A8362B2">
      <w:pPr>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4F8E5EE0">
      <w:pPr>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62791A11">
      <w:pPr>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3B51867D">
      <w:pPr>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0865D2E9">
      <w:pPr>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01826DE9">
      <w:pPr>
        <w:rPr>
          <w:rFonts w:ascii="宋体"/>
          <w:color w:val="auto"/>
          <w:highlight w:val="none"/>
        </w:rPr>
      </w:pPr>
    </w:p>
    <w:p w14:paraId="287078B7">
      <w:pPr>
        <w:ind w:firstLine="0" w:firstLineChars="0"/>
        <w:rPr>
          <w:color w:val="auto"/>
          <w:highlight w:val="none"/>
        </w:rPr>
      </w:pPr>
      <w:bookmarkStart w:id="264" w:name="_Toc84948040"/>
      <w:r>
        <w:rPr>
          <w:rFonts w:hint="eastAsia"/>
          <w:color w:val="auto"/>
          <w:highlight w:val="none"/>
        </w:rPr>
        <w:t>第十六条 合同的解除</w:t>
      </w:r>
      <w:bookmarkEnd w:id="264"/>
    </w:p>
    <w:p w14:paraId="5BEAE83E">
      <w:pPr>
        <w:rPr>
          <w:rFonts w:ascii="宋体"/>
          <w:color w:val="auto"/>
          <w:highlight w:val="none"/>
        </w:rPr>
      </w:pPr>
      <w:r>
        <w:rPr>
          <w:rFonts w:hint="eastAsia" w:ascii="宋体"/>
          <w:color w:val="auto"/>
          <w:highlight w:val="none"/>
        </w:rPr>
        <w:t>16.1如果满足以下条件，任一方在通知对方后，都可以解除本合同。</w:t>
      </w:r>
    </w:p>
    <w:p w14:paraId="01B69D28">
      <w:pPr>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69616AE">
      <w:pPr>
        <w:rPr>
          <w:rFonts w:ascii="宋体"/>
          <w:color w:val="auto"/>
          <w:highlight w:val="none"/>
        </w:rPr>
      </w:pPr>
      <w:r>
        <w:rPr>
          <w:rFonts w:ascii="宋体"/>
          <w:color w:val="auto"/>
          <w:highlight w:val="none"/>
        </w:rPr>
        <mc:AlternateContent>
          <mc:Choice Requires="wps">
            <w:drawing>
              <wp:anchor distT="0" distB="0" distL="113030" distR="113030" simplePos="0" relativeHeight="251659264" behindDoc="0" locked="0" layoutInCell="1" allowOverlap="1">
                <wp:simplePos x="0" y="0"/>
                <wp:positionH relativeFrom="column">
                  <wp:posOffset>-125730</wp:posOffset>
                </wp:positionH>
                <wp:positionV relativeFrom="paragraph">
                  <wp:posOffset>125730</wp:posOffset>
                </wp:positionV>
                <wp:extent cx="63500" cy="63500"/>
                <wp:effectExtent l="4444" t="4444" r="8255" b="8255"/>
                <wp:wrapNone/>
                <wp:docPr id="4" name="矩形 4"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9pt;margin-top:9.9pt;height:5pt;width:5pt;z-index:251659264;mso-width-relative:page;mso-height-relative:page;" fillcolor="#FFFFFF" filled="t" stroked="t" coordsize="21600,21600" o:gfxdata="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Br2arnTAAAACAEAAA8AAAAAAAAAAQAg&#10;AAAAIgAAAGRycy9kb3ducmV2LnhtbFBLAQIUABQAAAAIAIdO4kC9fRQ6TQQAAOkGAAAOAAAAAAAA&#10;AAEAIAAAACIBAABkcnMvZTJvRG9jLnhtbFBLBQYAAAAABgAGAFkBAADhBwAAAAA=&#10;">
                <v:fill on="t" focussize="0,0"/>
                <v:stroke color="#000000" joinstyle="miter"/>
                <v:imagedata o:title=""/>
                <o:lock v:ext="edit" aspectratio="f"/>
              </v:rect>
            </w:pict>
          </mc:Fallback>
        </mc:AlternateContent>
      </w: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542D6D1A">
      <w:pPr>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10D0BB93">
      <w:pPr>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05FCC7C6">
      <w:pPr>
        <w:rPr>
          <w:rFonts w:ascii="宋体"/>
          <w:b/>
          <w:color w:val="auto"/>
          <w:highlight w:val="none"/>
        </w:rPr>
      </w:pPr>
    </w:p>
    <w:p w14:paraId="34DCDF66">
      <w:pPr>
        <w:ind w:firstLine="0" w:firstLineChars="0"/>
        <w:rPr>
          <w:color w:val="auto"/>
          <w:highlight w:val="none"/>
        </w:rPr>
      </w:pPr>
      <w:bookmarkStart w:id="265" w:name="_Toc84948041"/>
      <w:r>
        <w:rPr>
          <w:rFonts w:hint="eastAsia"/>
          <w:color w:val="auto"/>
          <w:highlight w:val="none"/>
        </w:rPr>
        <w:t>第十七条 合同变更及转让</w:t>
      </w:r>
      <w:bookmarkEnd w:id="265"/>
    </w:p>
    <w:p w14:paraId="49240F9E">
      <w:pPr>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00E2D028">
      <w:pPr>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164634B2">
      <w:pPr>
        <w:rPr>
          <w:rFonts w:ascii="宋体"/>
          <w:b/>
          <w:color w:val="auto"/>
          <w:highlight w:val="none"/>
        </w:rPr>
      </w:pPr>
    </w:p>
    <w:p w14:paraId="79ED8722">
      <w:pPr>
        <w:ind w:firstLine="0" w:firstLineChars="0"/>
        <w:rPr>
          <w:color w:val="auto"/>
          <w:highlight w:val="none"/>
        </w:rPr>
      </w:pPr>
      <w:bookmarkStart w:id="266" w:name="_Toc84948042"/>
      <w:r>
        <w:rPr>
          <w:rFonts w:hint="eastAsia"/>
          <w:color w:val="auto"/>
          <w:highlight w:val="none"/>
        </w:rPr>
        <w:t>第十八条 争议解决</w:t>
      </w:r>
      <w:bookmarkEnd w:id="266"/>
    </w:p>
    <w:p w14:paraId="51623140">
      <w:pPr>
        <w:pStyle w:val="12"/>
        <w:snapToGrid w:val="0"/>
        <w:spacing w:line="360" w:lineRule="auto"/>
        <w:ind w:firstLine="420"/>
        <w:rPr>
          <w:rFonts w:hint="eastAsia"/>
          <w:color w:val="auto"/>
          <w:sz w:val="21"/>
          <w:highlight w:val="none"/>
        </w:rPr>
      </w:pPr>
      <w:r>
        <w:rPr>
          <w:rFonts w:hint="eastAsia"/>
          <w:color w:val="auto"/>
          <w:highlight w:val="none"/>
        </w:rPr>
        <w:t>本合同的解释、效力、履行及其他事项，均适用中华人民共和国法律、法规，如无法律、法规规定，适用有关行政管理部门规章。本合同履行中双方发生任何争议，应协商解决，协商不成的，</w:t>
      </w:r>
      <w:r>
        <w:rPr>
          <w:rFonts w:hint="eastAsia"/>
          <w:color w:val="auto"/>
          <w:sz w:val="21"/>
          <w:highlight w:val="none"/>
        </w:rPr>
        <w:t>任何一方应按照下列第</w:t>
      </w:r>
      <w:r>
        <w:rPr>
          <w:rFonts w:hint="eastAsia"/>
          <w:color w:val="auto"/>
          <w:sz w:val="21"/>
          <w:highlight w:val="none"/>
          <w:u w:val="none"/>
        </w:rPr>
        <w:t xml:space="preserve">     </w:t>
      </w:r>
      <w:r>
        <w:rPr>
          <w:rFonts w:hint="eastAsia"/>
          <w:color w:val="auto"/>
          <w:sz w:val="21"/>
          <w:highlight w:val="none"/>
        </w:rPr>
        <w:t>种方式解决：</w:t>
      </w:r>
    </w:p>
    <w:p w14:paraId="654DD312">
      <w:pPr>
        <w:pStyle w:val="12"/>
        <w:snapToGrid w:val="0"/>
        <w:spacing w:line="360" w:lineRule="auto"/>
        <w:ind w:left="0" w:firstLine="420"/>
        <w:rPr>
          <w:rFonts w:hint="eastAsia"/>
          <w:color w:val="auto"/>
          <w:sz w:val="21"/>
          <w:highlight w:val="none"/>
        </w:rPr>
      </w:pPr>
      <w:r>
        <w:rPr>
          <w:rFonts w:hint="eastAsia" w:ascii="宋体" w:hAnsi="Times New Roman" w:eastAsia="宋体" w:cs="Times New Roman"/>
          <w:color w:val="auto"/>
          <w:sz w:val="21"/>
          <w:highlight w:val="none"/>
          <w:lang w:eastAsia="zh-CN"/>
        </w:rPr>
        <w:t>（</w:t>
      </w:r>
      <w:r>
        <w:rPr>
          <w:rFonts w:hint="eastAsia" w:ascii="宋体" w:hAnsi="Times New Roman" w:eastAsia="宋体" w:cs="Times New Roman"/>
          <w:color w:val="auto"/>
          <w:sz w:val="21"/>
          <w:highlight w:val="none"/>
          <w:lang w:val="en-US" w:eastAsia="zh-CN"/>
        </w:rPr>
        <w:t>1</w:t>
      </w:r>
      <w:r>
        <w:rPr>
          <w:rFonts w:hint="eastAsia" w:ascii="宋体" w:hAnsi="Times New Roman" w:eastAsia="宋体" w:cs="Times New Roman"/>
          <w:color w:val="auto"/>
          <w:sz w:val="21"/>
          <w:highlight w:val="none"/>
          <w:lang w:eastAsia="zh-CN"/>
        </w:rPr>
        <w:t>）</w:t>
      </w:r>
      <w:r>
        <w:rPr>
          <w:rFonts w:hint="eastAsia"/>
          <w:color w:val="auto"/>
          <w:sz w:val="21"/>
          <w:highlight w:val="none"/>
        </w:rPr>
        <w:t>向重庆仲裁委员会按照该会届时有效的仲裁规则申请仲裁。</w:t>
      </w:r>
    </w:p>
    <w:p w14:paraId="6B0ACBE5">
      <w:pPr>
        <w:pStyle w:val="12"/>
        <w:snapToGrid w:val="0"/>
        <w:spacing w:line="360" w:lineRule="auto"/>
        <w:ind w:left="0" w:firstLine="420"/>
        <w:rPr>
          <w:rFonts w:hint="eastAsia"/>
          <w:color w:val="auto"/>
          <w:sz w:val="21"/>
          <w:highlight w:val="none"/>
        </w:rPr>
      </w:pPr>
      <w:r>
        <w:rPr>
          <w:rFonts w:hint="eastAsia" w:ascii="宋体" w:hAnsi="Times New Roman" w:eastAsia="宋体" w:cs="Times New Roman"/>
          <w:color w:val="auto"/>
          <w:sz w:val="21"/>
          <w:highlight w:val="none"/>
          <w:lang w:eastAsia="zh-CN"/>
        </w:rPr>
        <w:t>（</w:t>
      </w:r>
      <w:r>
        <w:rPr>
          <w:rFonts w:hint="eastAsia" w:ascii="宋体" w:hAnsi="Times New Roman" w:eastAsia="宋体" w:cs="Times New Roman"/>
          <w:color w:val="auto"/>
          <w:sz w:val="21"/>
          <w:highlight w:val="none"/>
          <w:lang w:val="en-US" w:eastAsia="zh-CN"/>
        </w:rPr>
        <w:t>2</w:t>
      </w:r>
      <w:r>
        <w:rPr>
          <w:rFonts w:hint="eastAsia" w:ascii="宋体" w:hAnsi="Times New Roman" w:eastAsia="宋体" w:cs="Times New Roman"/>
          <w:color w:val="auto"/>
          <w:sz w:val="21"/>
          <w:highlight w:val="none"/>
          <w:lang w:eastAsia="zh-CN"/>
        </w:rPr>
        <w:t>）</w:t>
      </w:r>
      <w:r>
        <w:rPr>
          <w:rFonts w:hint="eastAsia"/>
          <w:color w:val="auto"/>
          <w:sz w:val="21"/>
          <w:highlight w:val="none"/>
        </w:rPr>
        <w:t>向本合同首部载明的甲方地址所在地有管辖权的人民法院起诉。</w:t>
      </w:r>
    </w:p>
    <w:p w14:paraId="134C8698">
      <w:pPr>
        <w:rPr>
          <w:rFonts w:ascii="宋体"/>
          <w:color w:val="auto"/>
          <w:highlight w:val="none"/>
        </w:rPr>
      </w:pPr>
    </w:p>
    <w:p w14:paraId="56366CDB">
      <w:pPr>
        <w:ind w:firstLine="0" w:firstLineChars="0"/>
        <w:rPr>
          <w:color w:val="auto"/>
          <w:highlight w:val="none"/>
        </w:rPr>
      </w:pPr>
      <w:bookmarkStart w:id="267" w:name="_Toc84948043"/>
      <w:r>
        <w:rPr>
          <w:rFonts w:hint="eastAsia"/>
          <w:color w:val="auto"/>
          <w:highlight w:val="none"/>
        </w:rPr>
        <w:t>第十九条 通知与送达</w:t>
      </w:r>
      <w:bookmarkEnd w:id="267"/>
    </w:p>
    <w:p w14:paraId="14F461DC">
      <w:pPr>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3595615">
      <w:pPr>
        <w:adjustRightInd w:val="0"/>
        <w:spacing w:line="336" w:lineRule="auto"/>
        <w:ind w:firstLine="403" w:firstLineChars="224"/>
        <w:jc w:val="left"/>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2E35AF22">
      <w:pPr>
        <w:adjustRightInd w:val="0"/>
        <w:spacing w:line="336" w:lineRule="auto"/>
        <w:ind w:firstLine="403" w:firstLineChars="224"/>
        <w:jc w:val="left"/>
        <w:rPr>
          <w:rFonts w:ascii="宋体"/>
          <w:color w:val="auto"/>
          <w:highlight w:val="none"/>
        </w:rPr>
      </w:pPr>
    </w:p>
    <w:p w14:paraId="362666F1">
      <w:pPr>
        <w:ind w:firstLine="0" w:firstLineChars="0"/>
        <w:rPr>
          <w:color w:val="auto"/>
          <w:highlight w:val="none"/>
        </w:rPr>
      </w:pPr>
      <w:bookmarkStart w:id="268" w:name="_Toc84948044"/>
      <w:r>
        <w:rPr>
          <w:rFonts w:hint="eastAsia"/>
          <w:color w:val="auto"/>
          <w:highlight w:val="none"/>
        </w:rPr>
        <w:t>第二十条 合同生效</w:t>
      </w:r>
      <w:bookmarkEnd w:id="268"/>
    </w:p>
    <w:p w14:paraId="715823A2">
      <w:pPr>
        <w:rPr>
          <w:rFonts w:ascii="宋体"/>
          <w:color w:val="auto"/>
          <w:highlight w:val="none"/>
        </w:rPr>
      </w:pPr>
      <w:r>
        <w:rPr>
          <w:rFonts w:hint="eastAsia" w:ascii="宋体"/>
          <w:color w:val="auto"/>
          <w:highlight w:val="none"/>
        </w:rPr>
        <w:t>本合同自下列条件全部满足之日起生效：</w:t>
      </w:r>
    </w:p>
    <w:p w14:paraId="1D657A10">
      <w:pPr>
        <w:rPr>
          <w:rFonts w:ascii="宋体"/>
          <w:color w:val="auto"/>
          <w:highlight w:val="none"/>
        </w:rPr>
      </w:pPr>
      <w:r>
        <w:rPr>
          <w:rFonts w:hint="eastAsia" w:ascii="宋体"/>
          <w:color w:val="auto"/>
          <w:highlight w:val="none"/>
        </w:rPr>
        <w:t>双方对本合同及其全部附件内容达成一致并加盖公章。</w:t>
      </w:r>
    </w:p>
    <w:p w14:paraId="409863F2">
      <w:pPr>
        <w:rPr>
          <w:rFonts w:ascii="宋体"/>
          <w:b/>
          <w:color w:val="auto"/>
          <w:highlight w:val="none"/>
        </w:rPr>
      </w:pPr>
    </w:p>
    <w:p w14:paraId="5401E666">
      <w:pPr>
        <w:ind w:firstLine="0" w:firstLineChars="0"/>
        <w:rPr>
          <w:color w:val="auto"/>
          <w:highlight w:val="none"/>
        </w:rPr>
      </w:pPr>
      <w:bookmarkStart w:id="269" w:name="_Toc84948045"/>
      <w:r>
        <w:rPr>
          <w:rFonts w:hint="eastAsia"/>
          <w:color w:val="auto"/>
          <w:highlight w:val="none"/>
        </w:rPr>
        <w:t>第二十一条 不可抗力</w:t>
      </w:r>
      <w:bookmarkEnd w:id="269"/>
    </w:p>
    <w:p w14:paraId="0CC33740">
      <w:pPr>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6EF36028">
      <w:pPr>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7227CD82">
      <w:pPr>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7E90AA44">
      <w:pPr>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2BF0BF33">
      <w:pPr>
        <w:rPr>
          <w:rFonts w:ascii="宋体"/>
          <w:b/>
          <w:color w:val="auto"/>
          <w:highlight w:val="none"/>
        </w:rPr>
      </w:pPr>
    </w:p>
    <w:p w14:paraId="14DB480A">
      <w:pPr>
        <w:ind w:firstLine="0" w:firstLineChars="0"/>
        <w:rPr>
          <w:color w:val="auto"/>
          <w:highlight w:val="none"/>
        </w:rPr>
      </w:pPr>
      <w:bookmarkStart w:id="270" w:name="_Toc84948046"/>
      <w:r>
        <w:rPr>
          <w:rFonts w:hint="eastAsia"/>
          <w:color w:val="auto"/>
          <w:highlight w:val="none"/>
        </w:rPr>
        <w:t>第二十二条 反商业贿赂</w:t>
      </w:r>
      <w:bookmarkEnd w:id="270"/>
    </w:p>
    <w:p w14:paraId="41BD70D7">
      <w:pPr>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2EE0342">
      <w:pPr>
        <w:rPr>
          <w:rFonts w:ascii="宋体"/>
          <w:b/>
          <w:color w:val="auto"/>
          <w:highlight w:val="none"/>
        </w:rPr>
      </w:pPr>
    </w:p>
    <w:p w14:paraId="4DD17A1D">
      <w:pPr>
        <w:ind w:firstLine="0" w:firstLineChars="0"/>
        <w:rPr>
          <w:color w:val="auto"/>
          <w:highlight w:val="none"/>
        </w:rPr>
      </w:pPr>
      <w:bookmarkStart w:id="271" w:name="_Toc84948047"/>
      <w:r>
        <w:rPr>
          <w:rFonts w:hint="eastAsia"/>
          <w:color w:val="auto"/>
          <w:highlight w:val="none"/>
        </w:rPr>
        <w:t>第二十三条 附件</w:t>
      </w:r>
      <w:bookmarkEnd w:id="271"/>
    </w:p>
    <w:p w14:paraId="14A06C40">
      <w:pPr>
        <w:ind w:firstLine="41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39D6E65F">
      <w:pPr>
        <w:ind w:left="560"/>
        <w:rPr>
          <w:rFonts w:ascii="宋体"/>
          <w:color w:val="auto"/>
          <w:highlight w:val="none"/>
        </w:rPr>
      </w:pPr>
      <w:r>
        <w:rPr>
          <w:rFonts w:hint="eastAsia" w:ascii="宋体"/>
          <w:color w:val="auto"/>
          <w:highlight w:val="none"/>
        </w:rPr>
        <w:t>附件一：工作（需求）说明书</w:t>
      </w:r>
    </w:p>
    <w:p w14:paraId="4A448B1D">
      <w:pPr>
        <w:ind w:left="560"/>
        <w:rPr>
          <w:rFonts w:ascii="宋体"/>
          <w:color w:val="auto"/>
          <w:highlight w:val="none"/>
        </w:rPr>
      </w:pPr>
      <w:r>
        <w:rPr>
          <w:rFonts w:hint="eastAsia" w:ascii="宋体"/>
          <w:color w:val="auto"/>
          <w:highlight w:val="none"/>
        </w:rPr>
        <w:t>附件二：项目人员名单及人员应急退出机制</w:t>
      </w:r>
    </w:p>
    <w:p w14:paraId="0FF95634">
      <w:pPr>
        <w:ind w:left="560"/>
        <w:rPr>
          <w:rFonts w:ascii="宋体"/>
          <w:color w:val="auto"/>
          <w:highlight w:val="none"/>
        </w:rPr>
      </w:pPr>
      <w:r>
        <w:rPr>
          <w:rFonts w:hint="eastAsia" w:ascii="宋体"/>
          <w:color w:val="auto"/>
          <w:highlight w:val="none"/>
        </w:rPr>
        <w:t>附件三：验收标准及流程</w:t>
      </w:r>
    </w:p>
    <w:p w14:paraId="3E47F74D">
      <w:pPr>
        <w:ind w:left="560"/>
        <w:rPr>
          <w:rFonts w:ascii="宋体"/>
          <w:color w:val="auto"/>
          <w:highlight w:val="none"/>
        </w:rPr>
      </w:pPr>
      <w:r>
        <w:rPr>
          <w:rFonts w:hint="eastAsia" w:ascii="宋体"/>
          <w:color w:val="auto"/>
          <w:highlight w:val="none"/>
        </w:rPr>
        <w:t>附件四：维护服务条款</w:t>
      </w:r>
    </w:p>
    <w:p w14:paraId="472B83A8">
      <w:pPr>
        <w:ind w:left="560"/>
        <w:rPr>
          <w:rFonts w:ascii="宋体"/>
          <w:color w:val="auto"/>
          <w:highlight w:val="none"/>
        </w:rPr>
      </w:pPr>
      <w:r>
        <w:rPr>
          <w:rFonts w:hint="eastAsia" w:ascii="宋体"/>
          <w:color w:val="auto"/>
          <w:highlight w:val="none"/>
        </w:rPr>
        <w:t>附件五：服务水平协议（SLA）</w:t>
      </w:r>
    </w:p>
    <w:p w14:paraId="7F7B216D">
      <w:pPr>
        <w:ind w:left="560"/>
        <w:rPr>
          <w:rFonts w:ascii="宋体"/>
          <w:color w:val="auto"/>
          <w:highlight w:val="none"/>
        </w:rPr>
      </w:pPr>
      <w:r>
        <w:rPr>
          <w:rFonts w:hint="eastAsia" w:ascii="宋体"/>
          <w:color w:val="auto"/>
          <w:highlight w:val="none"/>
        </w:rPr>
        <w:t>附件六：服务连续性预案</w:t>
      </w:r>
    </w:p>
    <w:p w14:paraId="2913F4A2">
      <w:pPr>
        <w:ind w:left="560"/>
        <w:rPr>
          <w:rFonts w:ascii="宋体"/>
          <w:color w:val="auto"/>
          <w:highlight w:val="none"/>
        </w:rPr>
      </w:pPr>
    </w:p>
    <w:p w14:paraId="24A6B15B">
      <w:pPr>
        <w:ind w:firstLine="0" w:firstLineChars="0"/>
        <w:rPr>
          <w:color w:val="auto"/>
          <w:highlight w:val="none"/>
        </w:rPr>
      </w:pPr>
      <w:bookmarkStart w:id="272" w:name="_Toc84948048"/>
      <w:r>
        <w:rPr>
          <w:rFonts w:hint="eastAsia"/>
          <w:color w:val="auto"/>
          <w:highlight w:val="none"/>
        </w:rPr>
        <w:t>第二十四条 其他</w:t>
      </w:r>
      <w:bookmarkEnd w:id="272"/>
    </w:p>
    <w:p w14:paraId="4CFED9AC">
      <w:pPr>
        <w:pStyle w:val="13"/>
        <w:spacing w:line="360" w:lineRule="auto"/>
        <w:rPr>
          <w:rFonts w:ascii="宋体"/>
          <w:color w:val="auto"/>
          <w:highlight w:val="none"/>
        </w:rPr>
      </w:pPr>
      <w:r>
        <w:rPr>
          <w:rStyle w:val="45"/>
          <w:rFonts w:hint="eastAsia" w:asci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6F157D0">
      <w:pPr>
        <w:pStyle w:val="13"/>
        <w:spacing w:line="360" w:lineRule="auto"/>
        <w:rPr>
          <w:rFonts w:ascii="宋体"/>
          <w:color w:val="auto"/>
          <w:highlight w:val="none"/>
        </w:rPr>
      </w:pPr>
      <w:r>
        <w:rPr>
          <w:rFonts w:hint="eastAsia" w:ascii="宋体"/>
          <w:color w:val="auto"/>
          <w:highlight w:val="none"/>
        </w:rPr>
        <w:t>24.</w:t>
      </w:r>
      <w:r>
        <w:rPr>
          <w:rStyle w:val="45"/>
          <w:rFonts w:hint="eastAsia" w:asci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6276C0EF">
      <w:pPr>
        <w:rPr>
          <w:rFonts w:ascii="宋体"/>
          <w:color w:val="auto"/>
          <w:highlight w:val="none"/>
        </w:rPr>
      </w:pPr>
      <w:r>
        <w:rPr>
          <w:rStyle w:val="45"/>
          <w:rFonts w:hint="eastAsia" w:asci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w:t>
      </w:r>
      <w:r>
        <w:rPr>
          <w:rFonts w:ascii="宋体"/>
          <w:color w:val="auto"/>
          <w:highlight w:val="none"/>
        </w:rPr>
        <w:t>本合同附件为本合同的组成部分，本</w:t>
      </w:r>
      <w:r>
        <w:rPr>
          <w:rFonts w:hint="eastAsia" w:ascii="宋体"/>
          <w:color w:val="auto"/>
          <w:highlight w:val="none"/>
        </w:rPr>
        <w:t>合同与附件如有冲突，以</w:t>
      </w:r>
      <w:r>
        <w:rPr>
          <w:rFonts w:ascii="宋体"/>
          <w:color w:val="auto"/>
          <w:highlight w:val="none"/>
        </w:rPr>
        <w:t>本</w:t>
      </w:r>
      <w:r>
        <w:rPr>
          <w:rFonts w:hint="eastAsia" w:ascii="宋体"/>
          <w:color w:val="auto"/>
          <w:highlight w:val="none"/>
        </w:rPr>
        <w:t>合同为准。</w:t>
      </w:r>
    </w:p>
    <w:p w14:paraId="163B6497">
      <w:pPr>
        <w:rPr>
          <w:rStyle w:val="45"/>
          <w:rFonts w:ascii="宋体"/>
          <w:color w:val="auto"/>
          <w:kern w:val="0"/>
          <w:highlight w:val="none"/>
        </w:rPr>
      </w:pPr>
      <w:r>
        <w:rPr>
          <w:rStyle w:val="45"/>
          <w:rFonts w:hint="eastAsia" w:ascii="宋体"/>
          <w:color w:val="auto"/>
          <w:kern w:val="0"/>
          <w:highlight w:val="none"/>
        </w:rPr>
        <w:t>24.4本合同以中文版本为准，除非本合同明确规定或双方另有约定，为履行本合同的所有文件及信函均以中文书写。</w:t>
      </w:r>
    </w:p>
    <w:p w14:paraId="590E055E">
      <w:pPr>
        <w:rPr>
          <w:rFonts w:ascii="宋体"/>
          <w:b/>
          <w:i/>
          <w:color w:val="auto"/>
          <w:highlight w:val="none"/>
        </w:rPr>
      </w:pPr>
      <w:r>
        <w:rPr>
          <w:rStyle w:val="45"/>
          <w:rFonts w:hint="eastAsia" w:ascii="宋体"/>
          <w:color w:val="auto"/>
          <w:kern w:val="0"/>
          <w:highlight w:val="none"/>
        </w:rPr>
        <w:t>24.5本合同一式肆份，甲方执贰份，乙方执贰份，每份具有同等法律</w:t>
      </w:r>
      <w:r>
        <w:rPr>
          <w:rFonts w:hint="eastAsia" w:ascii="宋体"/>
          <w:color w:val="auto"/>
          <w:highlight w:val="none"/>
        </w:rPr>
        <w:t>效力。</w:t>
      </w:r>
    </w:p>
    <w:p w14:paraId="5B6CE2E0">
      <w:pPr>
        <w:rPr>
          <w:rFonts w:ascii="宋体"/>
          <w:b/>
          <w:iCs/>
          <w:color w:val="auto"/>
          <w:highlight w:val="none"/>
        </w:rPr>
      </w:pPr>
      <w:r>
        <w:rPr>
          <w:rFonts w:hint="eastAsia" w:ascii="宋体"/>
          <w:b/>
          <w:iCs/>
          <w:color w:val="auto"/>
          <w:highlight w:val="none"/>
        </w:rPr>
        <w:t>（以下无正文）</w:t>
      </w:r>
    </w:p>
    <w:p w14:paraId="6FF9EDCF">
      <w:pPr>
        <w:rPr>
          <w:rFonts w:ascii="宋体"/>
          <w:b/>
          <w:iCs/>
          <w:color w:val="auto"/>
          <w:highlight w:val="none"/>
        </w:rPr>
      </w:pPr>
    </w:p>
    <w:p w14:paraId="2ADB1C2A">
      <w:pPr>
        <w:rPr>
          <w:rFonts w:ascii="宋体"/>
          <w:b/>
          <w:i/>
          <w:color w:val="auto"/>
          <w:highlight w:val="none"/>
        </w:rPr>
      </w:pPr>
    </w:p>
    <w:p w14:paraId="592CC29F">
      <w:pPr>
        <w:rPr>
          <w:rFonts w:ascii="宋体"/>
          <w:b/>
          <w:i/>
          <w:color w:val="auto"/>
          <w:highlight w:val="none"/>
        </w:rPr>
      </w:pPr>
    </w:p>
    <w:p w14:paraId="4BF3454C">
      <w:pPr>
        <w:tabs>
          <w:tab w:val="left" w:pos="851"/>
        </w:tabs>
        <w:adjustRightInd w:val="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185BFBD8">
      <w:pPr>
        <w:rPr>
          <w:rFonts w:ascii="宋体"/>
          <w:color w:val="auto"/>
          <w:highlight w:val="none"/>
        </w:rPr>
      </w:pPr>
    </w:p>
    <w:p w14:paraId="621100D9">
      <w:pPr>
        <w:tabs>
          <w:tab w:val="left" w:pos="851"/>
        </w:tabs>
        <w:adjustRightInd w:val="0"/>
        <w:ind w:firstLine="540" w:firstLineChars="300"/>
        <w:textAlignment w:val="baseline"/>
        <w:rPr>
          <w:rFonts w:ascii="宋体"/>
          <w:color w:val="auto"/>
          <w:kern w:val="0"/>
          <w:highlight w:val="none"/>
        </w:rPr>
      </w:pPr>
    </w:p>
    <w:p w14:paraId="30EA8FC6">
      <w:pPr>
        <w:rPr>
          <w:rFonts w:ascii="宋体"/>
          <w:color w:val="auto"/>
          <w:highlight w:val="none"/>
        </w:rPr>
      </w:pPr>
    </w:p>
    <w:p w14:paraId="35907256">
      <w:pPr>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2885FD6E">
      <w:pPr>
        <w:rPr>
          <w:rFonts w:ascii="宋体"/>
          <w:color w:val="auto"/>
          <w:highlight w:val="none"/>
        </w:rPr>
      </w:pPr>
    </w:p>
    <w:p w14:paraId="2F936B06">
      <w:pPr>
        <w:ind w:firstLine="3960" w:firstLineChars="2200"/>
        <w:rPr>
          <w:rFonts w:ascii="宋体"/>
          <w:color w:val="auto"/>
          <w:highlight w:val="none"/>
        </w:rPr>
      </w:pPr>
      <w:r>
        <w:rPr>
          <w:rFonts w:hint="eastAsia" w:ascii="宋体"/>
          <w:color w:val="auto"/>
          <w:highlight w:val="none"/>
        </w:rPr>
        <w:t>日期：  年  月  日</w:t>
      </w:r>
    </w:p>
    <w:p w14:paraId="0EAE00DC">
      <w:pPr>
        <w:rPr>
          <w:rStyle w:val="45"/>
          <w:rFonts w:ascii="宋体"/>
          <w:color w:val="auto"/>
          <w:sz w:val="30"/>
          <w:highlight w:val="none"/>
        </w:rPr>
      </w:pPr>
      <w:r>
        <w:rPr>
          <w:color w:val="auto"/>
          <w:highlight w:val="none"/>
        </w:rPr>
        <w:br w:type="page"/>
      </w:r>
      <w:bookmarkStart w:id="273" w:name="_Toc84948049"/>
      <w:bookmarkStart w:id="274" w:name="_Toc63757481"/>
      <w:r>
        <w:rPr>
          <w:rStyle w:val="45"/>
          <w:rFonts w:hint="eastAsia" w:ascii="宋体"/>
          <w:color w:val="auto"/>
          <w:sz w:val="30"/>
          <w:highlight w:val="none"/>
        </w:rPr>
        <w:t>附件一：工作（需求）说明书</w:t>
      </w:r>
      <w:bookmarkEnd w:id="273"/>
      <w:bookmarkEnd w:id="274"/>
    </w:p>
    <w:p w14:paraId="688BA473">
      <w:pPr>
        <w:rPr>
          <w:rStyle w:val="45"/>
          <w:rFonts w:ascii="宋体"/>
          <w:color w:val="auto"/>
          <w:kern w:val="0"/>
          <w:sz w:val="30"/>
          <w:highlight w:val="none"/>
        </w:rPr>
      </w:pPr>
      <w:bookmarkStart w:id="275" w:name="_Toc63757482"/>
      <w:bookmarkStart w:id="276" w:name="_Toc84948050"/>
      <w:r>
        <w:rPr>
          <w:rStyle w:val="45"/>
          <w:rFonts w:hint="eastAsia" w:ascii="宋体"/>
          <w:color w:val="auto"/>
          <w:kern w:val="0"/>
          <w:highlight w:val="none"/>
        </w:rPr>
        <w:t>请将安全需求纳入合同条款，账号口令管控功能要作为系统基础功能强制项进行验收。</w:t>
      </w:r>
    </w:p>
    <w:p w14:paraId="262C3AEC">
      <w:pPr>
        <w:rPr>
          <w:rStyle w:val="45"/>
          <w:rFonts w:ascii="宋体"/>
          <w:color w:val="auto"/>
          <w:sz w:val="30"/>
          <w:highlight w:val="none"/>
        </w:rPr>
      </w:pPr>
      <w:r>
        <w:rPr>
          <w:rStyle w:val="45"/>
          <w:rFonts w:ascii="宋体"/>
          <w:color w:val="auto"/>
          <w:sz w:val="30"/>
          <w:highlight w:val="none"/>
        </w:rPr>
        <w:br w:type="page"/>
      </w:r>
      <w:r>
        <w:rPr>
          <w:rStyle w:val="45"/>
          <w:rFonts w:hint="eastAsia" w:ascii="宋体"/>
          <w:color w:val="auto"/>
          <w:sz w:val="30"/>
          <w:highlight w:val="none"/>
        </w:rPr>
        <w:t>附件二：项目人员名单及人员应急退出机制</w:t>
      </w:r>
      <w:bookmarkEnd w:id="275"/>
      <w:bookmarkEnd w:id="276"/>
    </w:p>
    <w:p w14:paraId="522E9304">
      <w:pPr>
        <w:rPr>
          <w:rStyle w:val="45"/>
          <w:rFonts w:ascii="宋体"/>
          <w:color w:val="auto"/>
          <w:kern w:val="0"/>
          <w:highlight w:val="none"/>
        </w:rPr>
      </w:pPr>
    </w:p>
    <w:p w14:paraId="492B52DF">
      <w:pPr>
        <w:rPr>
          <w:rStyle w:val="45"/>
          <w:rFonts w:ascii="宋体"/>
          <w:b/>
          <w:color w:val="auto"/>
          <w:kern w:val="0"/>
          <w:highlight w:val="none"/>
        </w:rPr>
      </w:pPr>
      <w:r>
        <w:rPr>
          <w:rStyle w:val="45"/>
          <w:rFonts w:hint="eastAsia" w:ascii="宋体"/>
          <w:b/>
          <w:color w:val="auto"/>
          <w:kern w:val="0"/>
          <w:highlight w:val="none"/>
        </w:rPr>
        <w:t>一、项目人员名单</w:t>
      </w:r>
    </w:p>
    <w:p w14:paraId="7014B651">
      <w:pPr>
        <w:rPr>
          <w:rStyle w:val="45"/>
          <w:rFonts w:ascii="宋体"/>
          <w:color w:val="auto"/>
          <w:kern w:val="0"/>
          <w:highlight w:val="none"/>
        </w:rPr>
      </w:pPr>
      <w:r>
        <w:rPr>
          <w:rStyle w:val="45"/>
          <w:rFonts w:hint="eastAsia" w:ascii="宋体"/>
          <w:color w:val="auto"/>
          <w:kern w:val="0"/>
          <w:highlight w:val="none"/>
        </w:rPr>
        <w:t xml:space="preserve">项目经理： </w:t>
      </w:r>
    </w:p>
    <w:p w14:paraId="4ECB3CB8">
      <w:pPr>
        <w:rPr>
          <w:rStyle w:val="45"/>
          <w:rFonts w:ascii="宋体"/>
          <w:color w:val="auto"/>
          <w:kern w:val="0"/>
          <w:highlight w:val="none"/>
        </w:rPr>
      </w:pPr>
      <w:r>
        <w:rPr>
          <w:rStyle w:val="45"/>
          <w:rFonts w:hint="eastAsia" w:ascii="宋体"/>
          <w:color w:val="auto"/>
          <w:kern w:val="0"/>
          <w:highlight w:val="none"/>
        </w:rPr>
        <w:t>技术骨干：</w:t>
      </w:r>
    </w:p>
    <w:p w14:paraId="5B2A5100">
      <w:pPr>
        <w:rPr>
          <w:rStyle w:val="45"/>
          <w:rFonts w:ascii="宋体"/>
          <w:color w:val="auto"/>
          <w:kern w:val="0"/>
          <w:highlight w:val="none"/>
        </w:rPr>
      </w:pPr>
      <w:r>
        <w:rPr>
          <w:rStyle w:val="45"/>
          <w:rFonts w:hint="eastAsia" w:ascii="宋体"/>
          <w:color w:val="auto"/>
          <w:kern w:val="0"/>
          <w:highlight w:val="none"/>
        </w:rPr>
        <w:t xml:space="preserve">项目组成员： </w:t>
      </w:r>
    </w:p>
    <w:p w14:paraId="2D5034B8">
      <w:pPr>
        <w:rPr>
          <w:rStyle w:val="45"/>
          <w:rFonts w:ascii="宋体"/>
          <w:color w:val="auto"/>
          <w:kern w:val="0"/>
          <w:highlight w:val="none"/>
        </w:rPr>
      </w:pPr>
    </w:p>
    <w:p w14:paraId="4571C367">
      <w:pPr>
        <w:rPr>
          <w:rStyle w:val="45"/>
          <w:rFonts w:ascii="宋体"/>
          <w:b/>
          <w:color w:val="auto"/>
          <w:kern w:val="0"/>
          <w:highlight w:val="none"/>
        </w:rPr>
      </w:pPr>
      <w:r>
        <w:rPr>
          <w:rStyle w:val="45"/>
          <w:rFonts w:hint="eastAsia" w:ascii="宋体"/>
          <w:b/>
          <w:color w:val="auto"/>
          <w:kern w:val="0"/>
          <w:highlight w:val="none"/>
        </w:rPr>
        <w:t>二、人员应急退出机制</w:t>
      </w:r>
    </w:p>
    <w:p w14:paraId="1FDF398F">
      <w:pPr>
        <w:rPr>
          <w:rStyle w:val="45"/>
          <w:rFonts w:ascii="宋体"/>
          <w:color w:val="auto"/>
          <w:kern w:val="0"/>
          <w:highlight w:val="none"/>
        </w:rPr>
      </w:pPr>
      <w:r>
        <w:rPr>
          <w:rStyle w:val="45"/>
          <w:rFonts w:hint="eastAsia" w:asci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7BA6A374">
      <w:pPr>
        <w:rPr>
          <w:rStyle w:val="45"/>
          <w:rFonts w:ascii="宋体"/>
          <w:color w:val="auto"/>
          <w:kern w:val="0"/>
          <w:highlight w:val="none"/>
        </w:rPr>
      </w:pPr>
      <w:r>
        <w:rPr>
          <w:rStyle w:val="45"/>
          <w:rFonts w:hint="eastAsia" w:ascii="宋体"/>
          <w:color w:val="auto"/>
          <w:kern w:val="0"/>
          <w:highlight w:val="none"/>
        </w:rPr>
        <w:t>备用项目经理：</w:t>
      </w:r>
    </w:p>
    <w:p w14:paraId="65C4FCDA">
      <w:pPr>
        <w:rPr>
          <w:rStyle w:val="45"/>
          <w:rFonts w:ascii="宋体"/>
          <w:color w:val="auto"/>
          <w:kern w:val="0"/>
          <w:highlight w:val="none"/>
        </w:rPr>
      </w:pPr>
      <w:r>
        <w:rPr>
          <w:rStyle w:val="45"/>
          <w:rFonts w:hint="eastAsia" w:ascii="宋体"/>
          <w:color w:val="auto"/>
          <w:kern w:val="0"/>
          <w:highlight w:val="none"/>
        </w:rPr>
        <w:t>备用技术骨干：</w:t>
      </w:r>
    </w:p>
    <w:p w14:paraId="264687C6">
      <w:pPr>
        <w:rPr>
          <w:rStyle w:val="45"/>
          <w:rFonts w:ascii="宋体"/>
          <w:color w:val="auto"/>
          <w:sz w:val="30"/>
          <w:highlight w:val="none"/>
        </w:rPr>
      </w:pPr>
      <w:r>
        <w:rPr>
          <w:rStyle w:val="45"/>
          <w:rFonts w:hint="eastAsia" w:ascii="宋体"/>
          <w:b w:val="0"/>
          <w:color w:val="auto"/>
          <w:sz w:val="30"/>
          <w:highlight w:val="none"/>
        </w:rPr>
        <w:br w:type="page"/>
      </w:r>
      <w:bookmarkStart w:id="277" w:name="_Toc63757483"/>
      <w:bookmarkStart w:id="278" w:name="_Toc84948051"/>
      <w:r>
        <w:rPr>
          <w:rStyle w:val="45"/>
          <w:rFonts w:hint="eastAsia" w:ascii="宋体"/>
          <w:color w:val="auto"/>
          <w:sz w:val="30"/>
          <w:highlight w:val="none"/>
        </w:rPr>
        <w:t>附件三：验收标准及流程</w:t>
      </w:r>
      <w:bookmarkEnd w:id="277"/>
      <w:bookmarkEnd w:id="278"/>
    </w:p>
    <w:p w14:paraId="2D38F3E6">
      <w:pPr>
        <w:rPr>
          <w:rStyle w:val="45"/>
          <w:rFonts w:ascii="宋体"/>
          <w:color w:val="auto"/>
          <w:kern w:val="0"/>
          <w:highlight w:val="none"/>
        </w:rPr>
      </w:pPr>
      <w:r>
        <w:rPr>
          <w:rStyle w:val="45"/>
          <w:rFonts w:hint="eastAsia" w:ascii="宋体"/>
          <w:b/>
          <w:color w:val="auto"/>
          <w:kern w:val="0"/>
          <w:highlight w:val="none"/>
        </w:rPr>
        <w:t>一、验收标准</w:t>
      </w:r>
    </w:p>
    <w:p w14:paraId="38ECB010">
      <w:pPr>
        <w:numPr>
          <w:ilvl w:val="0"/>
          <w:numId w:val="1"/>
        </w:numPr>
        <w:autoSpaceDE/>
        <w:autoSpaceDN/>
        <w:ind w:left="720" w:firstLine="420" w:firstLineChars="0"/>
        <w:rPr>
          <w:rStyle w:val="45"/>
          <w:rFonts w:ascii="宋体"/>
          <w:color w:val="auto"/>
          <w:kern w:val="0"/>
          <w:highlight w:val="none"/>
        </w:rPr>
      </w:pPr>
      <w:r>
        <w:rPr>
          <w:rStyle w:val="45"/>
          <w:rFonts w:hint="eastAsia" w:ascii="宋体"/>
          <w:color w:val="auto"/>
          <w:kern w:val="0"/>
          <w:highlight w:val="none"/>
        </w:rPr>
        <w:t>验收系统须满足试运行期内项目产品运行稳定、无遗留问题。</w:t>
      </w:r>
    </w:p>
    <w:p w14:paraId="16BFEA06">
      <w:pPr>
        <w:numPr>
          <w:ilvl w:val="0"/>
          <w:numId w:val="1"/>
        </w:numPr>
        <w:autoSpaceDE/>
        <w:autoSpaceDN/>
        <w:ind w:left="720" w:firstLine="420" w:firstLineChars="0"/>
        <w:rPr>
          <w:rStyle w:val="45"/>
          <w:rFonts w:ascii="宋体"/>
          <w:color w:val="auto"/>
          <w:kern w:val="0"/>
          <w:highlight w:val="none"/>
        </w:rPr>
      </w:pPr>
      <w:r>
        <w:rPr>
          <w:rStyle w:val="45"/>
          <w:rFonts w:hint="eastAsia" w:ascii="宋体"/>
          <w:color w:val="auto"/>
          <w:kern w:val="0"/>
          <w:highlight w:val="none"/>
        </w:rPr>
        <w:t>项目知识及文档已全部完成转移。</w:t>
      </w:r>
    </w:p>
    <w:p w14:paraId="1DF494B3">
      <w:pPr>
        <w:ind w:firstLine="270" w:firstLineChars="150"/>
        <w:rPr>
          <w:rStyle w:val="45"/>
          <w:rFonts w:ascii="宋体"/>
          <w:color w:val="auto"/>
          <w:kern w:val="0"/>
          <w:highlight w:val="none"/>
        </w:rPr>
      </w:pPr>
      <w:r>
        <w:rPr>
          <w:rStyle w:val="45"/>
          <w:rFonts w:hint="eastAsia" w:ascii="宋体"/>
          <w:color w:val="auto"/>
          <w:kern w:val="0"/>
          <w:highlight w:val="none"/>
        </w:rPr>
        <w:t>3、验收交付物包括：</w:t>
      </w:r>
    </w:p>
    <w:p w14:paraId="0A0F65BC">
      <w:pPr>
        <w:rPr>
          <w:rStyle w:val="45"/>
          <w:rFonts w:ascii="宋体"/>
          <w:iCs/>
          <w:color w:val="auto"/>
          <w:kern w:val="0"/>
          <w:highlight w:val="none"/>
        </w:rPr>
      </w:pPr>
      <w:r>
        <w:rPr>
          <w:rStyle w:val="45"/>
          <w:rFonts w:hint="eastAsia" w:ascii="宋体"/>
          <w:iCs/>
          <w:color w:val="auto"/>
          <w:kern w:val="0"/>
          <w:highlight w:val="none"/>
        </w:rPr>
        <w:t>《项目需求分析说明书》、《概要设计说明书》、《详细设计说明书》、《数据库设计说明书》、《系统安装部署手册》、《系统运行维护手册》、《用户操作手册》、《试运行报告》、《验收报告》、</w:t>
      </w:r>
      <w:r>
        <w:rPr>
          <w:rStyle w:val="45"/>
          <w:rFonts w:hint="eastAsia" w:ascii="宋体"/>
          <w:color w:val="auto"/>
          <w:kern w:val="0"/>
          <w:highlight w:val="none"/>
        </w:rPr>
        <w:t>《系统测试计划》、《系统测试报告》、《性能测试报告》、《安全测试报告》、《源代码》</w:t>
      </w:r>
      <w:r>
        <w:rPr>
          <w:rStyle w:val="45"/>
          <w:rFonts w:ascii="宋体"/>
          <w:color w:val="auto"/>
          <w:kern w:val="0"/>
          <w:highlight w:val="none"/>
        </w:rPr>
        <w:t>等</w:t>
      </w:r>
      <w:r>
        <w:rPr>
          <w:rStyle w:val="45"/>
          <w:rFonts w:hint="eastAsia" w:ascii="宋体"/>
          <w:color w:val="auto"/>
          <w:kern w:val="0"/>
          <w:highlight w:val="none"/>
        </w:rPr>
        <w:t>。</w:t>
      </w:r>
    </w:p>
    <w:p w14:paraId="096A6DA0">
      <w:pPr>
        <w:rPr>
          <w:rStyle w:val="45"/>
          <w:rFonts w:ascii="宋体"/>
          <w:iCs/>
          <w:color w:val="auto"/>
          <w:kern w:val="0"/>
          <w:highlight w:val="none"/>
        </w:rPr>
      </w:pPr>
    </w:p>
    <w:p w14:paraId="44257B84">
      <w:pPr>
        <w:rPr>
          <w:rStyle w:val="45"/>
          <w:rFonts w:ascii="宋体"/>
          <w:b/>
          <w:color w:val="auto"/>
          <w:kern w:val="0"/>
          <w:highlight w:val="none"/>
        </w:rPr>
      </w:pPr>
      <w:r>
        <w:rPr>
          <w:rStyle w:val="45"/>
          <w:rFonts w:hint="eastAsia" w:ascii="宋体"/>
          <w:b/>
          <w:color w:val="auto"/>
          <w:kern w:val="0"/>
          <w:highlight w:val="none"/>
        </w:rPr>
        <w:t>二、验收流程</w:t>
      </w:r>
    </w:p>
    <w:p w14:paraId="6822A622">
      <w:pPr>
        <w:ind w:left="2" w:leftChars="1" w:firstLine="270" w:firstLineChars="150"/>
        <w:rPr>
          <w:rStyle w:val="45"/>
          <w:rFonts w:ascii="宋体"/>
          <w:color w:val="auto"/>
          <w:kern w:val="0"/>
          <w:highlight w:val="none"/>
        </w:rPr>
      </w:pPr>
      <w:r>
        <w:rPr>
          <w:rStyle w:val="45"/>
          <w:rFonts w:hint="eastAsia" w:asci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F8CA0A6">
      <w:pPr>
        <w:ind w:left="-358"/>
        <w:rPr>
          <w:rStyle w:val="45"/>
          <w:rFonts w:ascii="宋体"/>
          <w:color w:val="auto"/>
          <w:kern w:val="0"/>
          <w:highlight w:val="none"/>
        </w:rPr>
      </w:pPr>
    </w:p>
    <w:p w14:paraId="43540A7C">
      <w:pPr>
        <w:rPr>
          <w:rStyle w:val="45"/>
          <w:rFonts w:ascii="宋体"/>
          <w:color w:val="auto"/>
          <w:sz w:val="30"/>
          <w:highlight w:val="none"/>
        </w:rPr>
      </w:pPr>
      <w:r>
        <w:rPr>
          <w:rStyle w:val="45"/>
          <w:rFonts w:hint="eastAsia" w:ascii="宋体"/>
          <w:b w:val="0"/>
          <w:color w:val="auto"/>
          <w:sz w:val="30"/>
          <w:highlight w:val="none"/>
        </w:rPr>
        <w:br w:type="page"/>
      </w:r>
      <w:bookmarkStart w:id="279" w:name="_Toc84948052"/>
      <w:bookmarkStart w:id="280" w:name="_Toc63757484"/>
      <w:r>
        <w:rPr>
          <w:rStyle w:val="45"/>
          <w:rFonts w:hint="eastAsia" w:ascii="宋体"/>
          <w:color w:val="auto"/>
          <w:sz w:val="30"/>
          <w:highlight w:val="none"/>
        </w:rPr>
        <w:t>附件四：维护服务条款</w:t>
      </w:r>
      <w:bookmarkEnd w:id="279"/>
      <w:bookmarkEnd w:id="280"/>
    </w:p>
    <w:p w14:paraId="12A33DF9">
      <w:pPr>
        <w:rPr>
          <w:rStyle w:val="45"/>
          <w:rFonts w:ascii="宋体"/>
          <w:color w:val="auto"/>
          <w:kern w:val="0"/>
          <w:highlight w:val="none"/>
        </w:rPr>
      </w:pPr>
      <w:r>
        <w:rPr>
          <w:rStyle w:val="45"/>
          <w:rFonts w:hint="eastAsia" w:asci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745352DF">
      <w:pPr>
        <w:numPr>
          <w:ilvl w:val="0"/>
          <w:numId w:val="2"/>
        </w:numPr>
        <w:tabs>
          <w:tab w:val="left" w:pos="420"/>
          <w:tab w:val="clear" w:pos="0"/>
        </w:tabs>
        <w:autoSpaceDE/>
        <w:autoSpaceDN/>
        <w:ind w:left="420" w:firstLine="420" w:firstLineChars="0"/>
        <w:rPr>
          <w:rStyle w:val="45"/>
          <w:rFonts w:ascii="宋体"/>
          <w:color w:val="auto"/>
          <w:highlight w:val="none"/>
        </w:rPr>
      </w:pPr>
      <w:r>
        <w:rPr>
          <w:rStyle w:val="45"/>
          <w:rFonts w:hint="eastAsia" w:ascii="宋体"/>
          <w:color w:val="auto"/>
          <w:highlight w:val="none"/>
        </w:rPr>
        <w:t>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5"/>
          <w:rFonts w:hint="eastAsia" w:ascii="宋体"/>
          <w:color w:val="auto"/>
          <w:highlight w:val="none"/>
        </w:rPr>
        <w:t>至</w:t>
      </w:r>
      <w:r>
        <w:rPr>
          <w:rStyle w:val="45"/>
          <w:rFonts w:ascii="宋体"/>
          <w:color w:val="auto"/>
          <w:highlight w:val="none"/>
        </w:rPr>
        <w:t>两</w:t>
      </w:r>
      <w:r>
        <w:rPr>
          <w:rStyle w:val="45"/>
          <w:rFonts w:hint="eastAsia" w:ascii="宋体"/>
          <w:color w:val="auto"/>
          <w:highlight w:val="none"/>
        </w:rPr>
        <w:t>年</w:t>
      </w:r>
      <w:r>
        <w:rPr>
          <w:rFonts w:hint="eastAsia" w:ascii="宋体"/>
          <w:color w:val="auto"/>
          <w:highlight w:val="none"/>
        </w:rPr>
        <w:t>并延期至6月30日或12月31日中较近日期（即维保延期最长不超过半年）</w:t>
      </w:r>
      <w:r>
        <w:rPr>
          <w:rStyle w:val="45"/>
          <w:rFonts w:hint="eastAsia" w:ascii="宋体"/>
          <w:color w:val="auto"/>
          <w:highlight w:val="none"/>
        </w:rPr>
        <w:t>提供支持和服务。</w:t>
      </w:r>
    </w:p>
    <w:p w14:paraId="4B73DDF7">
      <w:pPr>
        <w:numPr>
          <w:ilvl w:val="0"/>
          <w:numId w:val="2"/>
        </w:numPr>
        <w:tabs>
          <w:tab w:val="left" w:pos="420"/>
          <w:tab w:val="clear" w:pos="0"/>
        </w:tabs>
        <w:autoSpaceDE/>
        <w:autoSpaceDN/>
        <w:ind w:left="420" w:firstLine="420" w:firstLineChars="0"/>
        <w:rPr>
          <w:rStyle w:val="45"/>
          <w:rFonts w:ascii="宋体"/>
          <w:color w:val="auto"/>
          <w:highlight w:val="none"/>
        </w:rPr>
      </w:pPr>
      <w:r>
        <w:rPr>
          <w:rStyle w:val="45"/>
          <w:rFonts w:hint="eastAsia" w:ascii="宋体"/>
          <w:color w:val="auto"/>
          <w:highlight w:val="none"/>
        </w:rPr>
        <w:t>维护期内，提供平台升级及优化服务。</w:t>
      </w:r>
    </w:p>
    <w:p w14:paraId="4296B977">
      <w:pPr>
        <w:numPr>
          <w:ilvl w:val="0"/>
          <w:numId w:val="2"/>
        </w:numPr>
        <w:tabs>
          <w:tab w:val="left" w:pos="420"/>
          <w:tab w:val="clear" w:pos="0"/>
        </w:tabs>
        <w:autoSpaceDE/>
        <w:autoSpaceDN/>
        <w:ind w:left="420" w:firstLine="420" w:firstLineChars="0"/>
        <w:rPr>
          <w:rStyle w:val="45"/>
          <w:rFonts w:ascii="宋体"/>
          <w:color w:val="auto"/>
          <w:highlight w:val="none"/>
        </w:rPr>
      </w:pPr>
      <w:r>
        <w:rPr>
          <w:rStyle w:val="45"/>
          <w:rFonts w:hint="eastAsia" w:ascii="宋体"/>
          <w:color w:val="auto"/>
          <w:highlight w:val="none"/>
        </w:rPr>
        <w:t>系统上线后，提供二次系统和产品的培训，时间为每次1天。在维护期内，也可以根据用户需求，随时到客户现场进行系统和产品的培训。</w:t>
      </w:r>
    </w:p>
    <w:p w14:paraId="4A1470E0">
      <w:pPr>
        <w:numPr>
          <w:ilvl w:val="0"/>
          <w:numId w:val="2"/>
        </w:numPr>
        <w:tabs>
          <w:tab w:val="left" w:pos="420"/>
          <w:tab w:val="clear" w:pos="0"/>
        </w:tabs>
        <w:autoSpaceDE/>
        <w:autoSpaceDN/>
        <w:ind w:left="420" w:firstLine="420" w:firstLineChars="0"/>
        <w:rPr>
          <w:rFonts w:ascii="宋体"/>
          <w:color w:val="auto"/>
          <w:highlight w:val="none"/>
        </w:rPr>
      </w:pPr>
      <w:r>
        <w:rPr>
          <w:rStyle w:val="45"/>
          <w:rFonts w:hint="eastAsia" w:ascii="宋体"/>
          <w:color w:val="auto"/>
          <w:highlight w:val="none"/>
        </w:rPr>
        <w:t>维护期内，每季度派工程师现场巡检一次，并在巡检后提交巡检报告，针对巡检中发现的问题立即组织整改。</w:t>
      </w:r>
    </w:p>
    <w:p w14:paraId="19EDCA57">
      <w:pPr>
        <w:rPr>
          <w:rFonts w:ascii="宋体"/>
          <w:color w:val="auto"/>
          <w:highlight w:val="none"/>
        </w:rPr>
      </w:pPr>
      <w:r>
        <w:rPr>
          <w:rFonts w:hint="eastAsia" w:ascii="宋体"/>
          <w:color w:val="auto"/>
          <w:highlight w:val="none"/>
        </w:rPr>
        <w:t>支持方式和手段</w:t>
      </w:r>
    </w:p>
    <w:p w14:paraId="2EE5E13F">
      <w:pPr>
        <w:numPr>
          <w:ilvl w:val="0"/>
          <w:numId w:val="3"/>
        </w:numPr>
        <w:tabs>
          <w:tab w:val="left" w:pos="420"/>
          <w:tab w:val="clear" w:pos="0"/>
        </w:tabs>
        <w:autoSpaceDE/>
        <w:autoSpaceDN/>
        <w:ind w:left="420" w:firstLine="420"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55360D84">
      <w:pPr>
        <w:numPr>
          <w:ilvl w:val="0"/>
          <w:numId w:val="3"/>
        </w:numPr>
        <w:tabs>
          <w:tab w:val="left" w:pos="420"/>
          <w:tab w:val="clear" w:pos="0"/>
        </w:tabs>
        <w:autoSpaceDE/>
        <w:autoSpaceDN/>
        <w:ind w:left="420" w:firstLine="420"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71EEA26F">
      <w:pPr>
        <w:numPr>
          <w:ilvl w:val="0"/>
          <w:numId w:val="3"/>
        </w:numPr>
        <w:tabs>
          <w:tab w:val="left" w:pos="420"/>
          <w:tab w:val="clear" w:pos="0"/>
        </w:tabs>
        <w:autoSpaceDE/>
        <w:autoSpaceDN/>
        <w:ind w:left="420" w:firstLine="420"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6EC8103A">
      <w:pPr>
        <w:numPr>
          <w:ilvl w:val="0"/>
          <w:numId w:val="3"/>
        </w:numPr>
        <w:tabs>
          <w:tab w:val="left" w:pos="420"/>
          <w:tab w:val="clear" w:pos="0"/>
        </w:tabs>
        <w:autoSpaceDE/>
        <w:autoSpaceDN/>
        <w:ind w:left="420" w:firstLine="420"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0E47EE1C">
      <w:pPr>
        <w:numPr>
          <w:ilvl w:val="0"/>
          <w:numId w:val="3"/>
        </w:numPr>
        <w:tabs>
          <w:tab w:val="left" w:pos="420"/>
          <w:tab w:val="clear" w:pos="0"/>
        </w:tabs>
        <w:autoSpaceDE/>
        <w:autoSpaceDN/>
        <w:ind w:left="420" w:firstLine="420"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5"/>
          <w:rFonts w:hint="eastAsia" w:asci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10B5660F">
      <w:pPr>
        <w:numPr>
          <w:ilvl w:val="0"/>
          <w:numId w:val="3"/>
        </w:numPr>
        <w:tabs>
          <w:tab w:val="left" w:pos="420"/>
          <w:tab w:val="clear" w:pos="0"/>
        </w:tabs>
        <w:autoSpaceDE/>
        <w:autoSpaceDN/>
        <w:ind w:left="420" w:firstLine="420" w:firstLineChars="0"/>
        <w:rPr>
          <w:rFonts w:ascii="宋体"/>
          <w:color w:val="auto"/>
          <w:highlight w:val="none"/>
        </w:rPr>
      </w:pPr>
      <w:r>
        <w:rPr>
          <w:rFonts w:hint="eastAsia" w:ascii="宋体"/>
          <w:color w:val="auto"/>
          <w:highlight w:val="none"/>
        </w:rPr>
        <w:t>故障处理流程</w:t>
      </w:r>
    </w:p>
    <w:p w14:paraId="191CC85A">
      <w:pPr>
        <w:ind w:left="420"/>
        <w:rPr>
          <w:rFonts w:ascii="宋体"/>
          <w:color w:val="auto"/>
          <w:highlight w:val="none"/>
        </w:rPr>
        <w:sectPr>
          <w:headerReference r:id="rId7" w:type="first"/>
          <w:footerReference r:id="rId10" w:type="first"/>
          <w:headerReference r:id="rId6" w:type="default"/>
          <w:footerReference r:id="rId8" w:type="default"/>
          <w:footerReference r:id="rId9" w:type="even"/>
          <w:pgSz w:w="11906" w:h="16838"/>
          <w:pgMar w:top="1440" w:right="1797" w:bottom="1440" w:left="1797" w:header="851" w:footer="992" w:gutter="0"/>
          <w:cols w:space="720" w:num="1"/>
          <w:docGrid w:type="lines" w:linePitch="326" w:charSpace="1844"/>
        </w:sectPr>
      </w:pPr>
      <w:r>
        <w:rPr>
          <w:rFonts w:hint="eastAsia" w:ascii="宋体"/>
          <w:color w:val="auto"/>
          <w:highlight w:val="none"/>
        </w:rPr>
        <w:t>通过现象定位错误原因，编写处理说明书（包含处理完成时间）。</w:t>
      </w:r>
    </w:p>
    <w:p w14:paraId="15009396">
      <w:pPr>
        <w:rPr>
          <w:color w:val="auto"/>
          <w:highlight w:val="none"/>
        </w:rPr>
      </w:pPr>
      <w:bookmarkStart w:id="281" w:name="_Toc84948053"/>
      <w:bookmarkStart w:id="282" w:name="_Toc63757485"/>
      <w:r>
        <w:rPr>
          <w:rStyle w:val="45"/>
          <w:rFonts w:hint="eastAsia" w:ascii="宋体"/>
          <w:color w:val="auto"/>
          <w:sz w:val="30"/>
          <w:highlight w:val="none"/>
        </w:rPr>
        <w:t>附件五：服务水平协议（SLA）</w:t>
      </w:r>
      <w:bookmarkEnd w:id="281"/>
      <w:bookmarkEnd w:id="282"/>
    </w:p>
    <w:p w14:paraId="5C21DB53">
      <w:pPr>
        <w:rPr>
          <w:rFonts w:ascii="宋体"/>
          <w:b/>
          <w:bCs/>
          <w:color w:val="auto"/>
          <w:szCs w:val="24"/>
          <w:highlight w:val="none"/>
        </w:rPr>
      </w:pPr>
      <w:bookmarkStart w:id="283" w:name="_Toc254884639"/>
      <w:r>
        <w:rPr>
          <w:rFonts w:hint="eastAsia" w:ascii="宋体"/>
          <w:b/>
          <w:bCs/>
          <w:color w:val="auto"/>
          <w:kern w:val="32"/>
          <w:szCs w:val="24"/>
          <w:highlight w:val="none"/>
        </w:rPr>
        <w:t>1. 目标</w:t>
      </w:r>
      <w:bookmarkEnd w:id="283"/>
    </w:p>
    <w:p w14:paraId="0CC685C0">
      <w:pPr>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6FDBAF78">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明确甲方对外包乙方所提供服务水平的期望</w:t>
      </w:r>
    </w:p>
    <w:p w14:paraId="17F2D667">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规范和加强甲方对乙方所提供服务水平的控制</w:t>
      </w:r>
    </w:p>
    <w:p w14:paraId="3117E843">
      <w:pPr>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44F6BC84">
      <w:pPr>
        <w:rPr>
          <w:rFonts w:ascii="宋体"/>
          <w:b/>
          <w:bCs/>
          <w:color w:val="auto"/>
          <w:kern w:val="32"/>
          <w:szCs w:val="24"/>
          <w:highlight w:val="none"/>
        </w:rPr>
      </w:pPr>
      <w:bookmarkStart w:id="284" w:name="_Toc254884640"/>
      <w:r>
        <w:rPr>
          <w:rFonts w:hint="eastAsia" w:ascii="宋体"/>
          <w:b/>
          <w:bCs/>
          <w:color w:val="auto"/>
          <w:kern w:val="32"/>
          <w:szCs w:val="24"/>
          <w:highlight w:val="none"/>
        </w:rPr>
        <w:t>2. 协议期限</w:t>
      </w:r>
      <w:bookmarkEnd w:id="284"/>
    </w:p>
    <w:p w14:paraId="0FE776A2">
      <w:pPr>
        <w:ind w:firstLine="318"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7C3CA498">
      <w:pPr>
        <w:rPr>
          <w:rFonts w:ascii="宋体"/>
          <w:b/>
          <w:bCs/>
          <w:color w:val="auto"/>
          <w:kern w:val="32"/>
          <w:szCs w:val="24"/>
          <w:highlight w:val="none"/>
        </w:rPr>
      </w:pPr>
      <w:bookmarkStart w:id="285" w:name="_Toc254884641"/>
      <w:r>
        <w:rPr>
          <w:rFonts w:hint="eastAsia" w:ascii="宋体"/>
          <w:b/>
          <w:bCs/>
          <w:color w:val="auto"/>
          <w:kern w:val="32"/>
          <w:szCs w:val="24"/>
          <w:highlight w:val="none"/>
        </w:rPr>
        <w:t>3. 双方职责</w:t>
      </w:r>
      <w:bookmarkEnd w:id="285"/>
    </w:p>
    <w:p w14:paraId="5265AE52">
      <w:pPr>
        <w:rPr>
          <w:rFonts w:ascii="宋体"/>
          <w:b/>
          <w:bCs/>
          <w:color w:val="auto"/>
          <w:kern w:val="32"/>
          <w:szCs w:val="24"/>
          <w:highlight w:val="none"/>
        </w:rPr>
      </w:pPr>
      <w:bookmarkStart w:id="286" w:name="_Toc254884642"/>
      <w:r>
        <w:rPr>
          <w:rFonts w:hint="eastAsia" w:ascii="宋体"/>
          <w:b/>
          <w:bCs/>
          <w:color w:val="auto"/>
          <w:kern w:val="32"/>
          <w:szCs w:val="24"/>
          <w:highlight w:val="none"/>
        </w:rPr>
        <w:t>3.1乙方</w:t>
      </w:r>
      <w:bookmarkEnd w:id="286"/>
    </w:p>
    <w:p w14:paraId="5EB68E7E">
      <w:pPr>
        <w:rPr>
          <w:rFonts w:ascii="宋体"/>
          <w:color w:val="auto"/>
          <w:szCs w:val="24"/>
          <w:highlight w:val="none"/>
        </w:rPr>
      </w:pPr>
      <w:r>
        <w:rPr>
          <w:rFonts w:hint="eastAsia" w:ascii="宋体"/>
          <w:color w:val="auto"/>
          <w:szCs w:val="24"/>
          <w:highlight w:val="none"/>
        </w:rPr>
        <w:t>除本协议描述的服务水平衡量和目标外，乙方还应：</w:t>
      </w:r>
    </w:p>
    <w:p w14:paraId="6847A8AC">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尽快向甲方管理层汇报发现的问题；</w:t>
      </w:r>
    </w:p>
    <w:p w14:paraId="36A57446">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6AF4E135">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组织架构变更</w:t>
      </w:r>
    </w:p>
    <w:p w14:paraId="607E7A3D">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技术变更</w:t>
      </w:r>
    </w:p>
    <w:p w14:paraId="190BDCB6">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职能变更</w:t>
      </w:r>
    </w:p>
    <w:p w14:paraId="74B53E59">
      <w:pPr>
        <w:widowControl/>
        <w:numPr>
          <w:ilvl w:val="0"/>
          <w:numId w:val="5"/>
        </w:numPr>
        <w:autoSpaceDE/>
        <w:autoSpaceDN/>
        <w:ind w:left="1129" w:firstLine="420" w:firstLineChars="0"/>
        <w:jc w:val="left"/>
        <w:rPr>
          <w:rFonts w:ascii="宋体"/>
          <w:color w:val="auto"/>
          <w:szCs w:val="24"/>
          <w:highlight w:val="none"/>
        </w:rPr>
      </w:pPr>
      <w:r>
        <w:rPr>
          <w:rFonts w:ascii="宋体"/>
          <w:color w:val="auto"/>
          <w:szCs w:val="24"/>
          <w:highlight w:val="none"/>
        </w:rPr>
        <w:t>其他可能影响对甲方服务的突发事件</w:t>
      </w:r>
    </w:p>
    <w:p w14:paraId="315854DB">
      <w:pPr>
        <w:widowControl/>
        <w:numPr>
          <w:ilvl w:val="0"/>
          <w:numId w:val="4"/>
        </w:numPr>
        <w:autoSpaceDE/>
        <w:autoSpaceDN/>
        <w:ind w:left="709" w:firstLine="420" w:firstLineChars="0"/>
        <w:jc w:val="left"/>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2DEE508B">
      <w:pPr>
        <w:rPr>
          <w:rFonts w:ascii="宋体"/>
          <w:color w:val="auto"/>
          <w:szCs w:val="24"/>
          <w:highlight w:val="none"/>
        </w:rPr>
      </w:pPr>
    </w:p>
    <w:p w14:paraId="21470900">
      <w:pPr>
        <w:rPr>
          <w:rFonts w:ascii="宋体"/>
          <w:b/>
          <w:bCs/>
          <w:color w:val="auto"/>
          <w:kern w:val="32"/>
          <w:szCs w:val="24"/>
          <w:highlight w:val="none"/>
        </w:rPr>
      </w:pPr>
      <w:r>
        <w:rPr>
          <w:rFonts w:hint="eastAsia" w:ascii="宋体"/>
          <w:b/>
          <w:bCs/>
          <w:color w:val="auto"/>
          <w:kern w:val="32"/>
          <w:szCs w:val="24"/>
          <w:highlight w:val="none"/>
        </w:rPr>
        <w:t>3.2甲方</w:t>
      </w:r>
    </w:p>
    <w:p w14:paraId="6D3C378D">
      <w:pPr>
        <w:widowControl/>
        <w:numPr>
          <w:ilvl w:val="0"/>
          <w:numId w:val="4"/>
        </w:numPr>
        <w:autoSpaceDE/>
        <w:autoSpaceDN/>
        <w:ind w:left="709" w:firstLine="420" w:firstLineChars="0"/>
        <w:jc w:val="left"/>
        <w:rPr>
          <w:rFonts w:ascii="宋体"/>
          <w:color w:val="auto"/>
          <w:szCs w:val="24"/>
          <w:highlight w:val="none"/>
        </w:rPr>
      </w:pPr>
      <w:r>
        <w:rPr>
          <w:rFonts w:hint="eastAsia" w:ascii="宋体"/>
          <w:color w:val="auto"/>
          <w:szCs w:val="24"/>
          <w:highlight w:val="none"/>
        </w:rPr>
        <w:t>甲方将尽快将问题汇报给乙方管理层；</w:t>
      </w:r>
    </w:p>
    <w:p w14:paraId="7DCC8B5A">
      <w:pPr>
        <w:widowControl/>
        <w:numPr>
          <w:ilvl w:val="0"/>
          <w:numId w:val="4"/>
        </w:numPr>
        <w:autoSpaceDE/>
        <w:autoSpaceDN/>
        <w:ind w:left="709" w:firstLine="420" w:firstLineChars="0"/>
        <w:jc w:val="left"/>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316D2501">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组织架构变更</w:t>
      </w:r>
    </w:p>
    <w:p w14:paraId="687A1E96">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技术变更</w:t>
      </w:r>
    </w:p>
    <w:p w14:paraId="54C119EC">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职能变更</w:t>
      </w:r>
    </w:p>
    <w:p w14:paraId="270D8D6A">
      <w:pPr>
        <w:rPr>
          <w:rFonts w:ascii="宋体"/>
          <w:b/>
          <w:bCs/>
          <w:color w:val="auto"/>
          <w:kern w:val="32"/>
          <w:szCs w:val="24"/>
          <w:highlight w:val="none"/>
        </w:rPr>
      </w:pPr>
      <w:bookmarkStart w:id="287" w:name="_Toc254884644"/>
      <w:r>
        <w:rPr>
          <w:rFonts w:hint="eastAsia" w:ascii="宋体"/>
          <w:b/>
          <w:bCs/>
          <w:color w:val="auto"/>
          <w:kern w:val="32"/>
          <w:szCs w:val="24"/>
          <w:highlight w:val="none"/>
        </w:rPr>
        <w:t>4. 服务内容</w:t>
      </w:r>
      <w:bookmarkEnd w:id="287"/>
    </w:p>
    <w:tbl>
      <w:tblPr>
        <w:tblStyle w:val="20"/>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1588"/>
        <w:gridCol w:w="6285"/>
      </w:tblGrid>
      <w:tr w14:paraId="6238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897" w:type="dxa"/>
            <w:gridSpan w:val="3"/>
            <w:tcBorders>
              <w:tl2br w:val="nil"/>
              <w:tr2bl w:val="nil"/>
            </w:tcBorders>
            <w:vAlign w:val="center"/>
          </w:tcPr>
          <w:p w14:paraId="701E5997">
            <w:pPr>
              <w:jc w:val="center"/>
              <w:rPr>
                <w:rFonts w:ascii="宋体"/>
                <w:color w:val="auto"/>
                <w:szCs w:val="24"/>
                <w:highlight w:val="none"/>
              </w:rPr>
            </w:pPr>
            <w:r>
              <w:rPr>
                <w:rFonts w:hint="eastAsia" w:ascii="宋体"/>
                <w:b/>
                <w:bCs/>
                <w:color w:val="auto"/>
                <w:kern w:val="32"/>
                <w:szCs w:val="24"/>
                <w:highlight w:val="none"/>
              </w:rPr>
              <w:t>4.1技术管理</w:t>
            </w:r>
          </w:p>
        </w:tc>
      </w:tr>
      <w:tr w14:paraId="2A13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1024" w:type="dxa"/>
            <w:tcBorders>
              <w:tl2br w:val="nil"/>
              <w:tr2bl w:val="nil"/>
            </w:tcBorders>
            <w:vAlign w:val="center"/>
          </w:tcPr>
          <w:p w14:paraId="5C2CC005">
            <w:pPr>
              <w:ind w:firstLine="0" w:firstLineChars="0"/>
              <w:jc w:val="left"/>
              <w:rPr>
                <w:rFonts w:ascii="宋体"/>
                <w:color w:val="auto"/>
                <w:szCs w:val="24"/>
                <w:highlight w:val="none"/>
              </w:rPr>
            </w:pPr>
            <w:r>
              <w:rPr>
                <w:rFonts w:hint="eastAsia" w:ascii="宋体"/>
                <w:color w:val="auto"/>
                <w:szCs w:val="24"/>
                <w:highlight w:val="none"/>
              </w:rPr>
              <w:t>4.1.1</w:t>
            </w:r>
          </w:p>
        </w:tc>
        <w:tc>
          <w:tcPr>
            <w:tcW w:w="1588" w:type="dxa"/>
            <w:tcBorders>
              <w:tl2br w:val="nil"/>
              <w:tr2bl w:val="nil"/>
            </w:tcBorders>
            <w:vAlign w:val="center"/>
          </w:tcPr>
          <w:p w14:paraId="3D5573E3">
            <w:pPr>
              <w:ind w:firstLine="0" w:firstLineChars="0"/>
              <w:rPr>
                <w:rFonts w:ascii="宋体"/>
                <w:color w:val="auto"/>
                <w:szCs w:val="24"/>
                <w:highlight w:val="none"/>
              </w:rPr>
            </w:pPr>
            <w:r>
              <w:rPr>
                <w:rFonts w:hint="eastAsia" w:ascii="宋体"/>
                <w:color w:val="auto"/>
                <w:szCs w:val="24"/>
                <w:highlight w:val="none"/>
              </w:rPr>
              <w:t>项目执行控制</w:t>
            </w:r>
          </w:p>
        </w:tc>
        <w:tc>
          <w:tcPr>
            <w:tcW w:w="6285" w:type="dxa"/>
            <w:tcBorders>
              <w:tl2br w:val="nil"/>
              <w:tr2bl w:val="nil"/>
            </w:tcBorders>
            <w:vAlign w:val="center"/>
          </w:tcPr>
          <w:p w14:paraId="6E5CA193">
            <w:pPr>
              <w:jc w:val="center"/>
              <w:rPr>
                <w:rFonts w:ascii="宋体"/>
                <w:color w:val="auto"/>
                <w:szCs w:val="24"/>
                <w:highlight w:val="none"/>
              </w:rPr>
            </w:pPr>
            <w:r>
              <w:rPr>
                <w:rFonts w:hint="eastAsia" w:ascii="宋体"/>
                <w:color w:val="auto"/>
                <w:szCs w:val="24"/>
                <w:highlight w:val="none"/>
              </w:rPr>
              <w:t>管理目标、沟通和范围</w:t>
            </w:r>
          </w:p>
        </w:tc>
      </w:tr>
      <w:tr w14:paraId="1C9CA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1024" w:type="dxa"/>
            <w:tcBorders>
              <w:tl2br w:val="nil"/>
              <w:tr2bl w:val="nil"/>
            </w:tcBorders>
            <w:vAlign w:val="center"/>
          </w:tcPr>
          <w:p w14:paraId="6BFBF631">
            <w:pPr>
              <w:ind w:firstLine="0" w:firstLineChars="0"/>
              <w:jc w:val="left"/>
              <w:rPr>
                <w:rFonts w:ascii="宋体"/>
                <w:color w:val="auto"/>
                <w:szCs w:val="24"/>
                <w:highlight w:val="none"/>
              </w:rPr>
            </w:pPr>
            <w:r>
              <w:rPr>
                <w:rFonts w:hint="eastAsia" w:ascii="宋体"/>
                <w:color w:val="auto"/>
                <w:szCs w:val="24"/>
                <w:highlight w:val="none"/>
              </w:rPr>
              <w:t>4.1.2</w:t>
            </w:r>
          </w:p>
        </w:tc>
        <w:tc>
          <w:tcPr>
            <w:tcW w:w="1588" w:type="dxa"/>
            <w:tcBorders>
              <w:tl2br w:val="nil"/>
              <w:tr2bl w:val="nil"/>
            </w:tcBorders>
            <w:vAlign w:val="center"/>
          </w:tcPr>
          <w:p w14:paraId="361725D7">
            <w:pPr>
              <w:ind w:firstLine="0" w:firstLineChars="0"/>
              <w:rPr>
                <w:rFonts w:ascii="宋体"/>
                <w:color w:val="auto"/>
                <w:szCs w:val="24"/>
                <w:highlight w:val="none"/>
              </w:rPr>
            </w:pPr>
            <w:r>
              <w:rPr>
                <w:rFonts w:hint="eastAsia" w:ascii="宋体"/>
                <w:color w:val="auto"/>
                <w:szCs w:val="24"/>
                <w:highlight w:val="none"/>
              </w:rPr>
              <w:t>系统部署</w:t>
            </w:r>
          </w:p>
        </w:tc>
        <w:tc>
          <w:tcPr>
            <w:tcW w:w="6285" w:type="dxa"/>
            <w:tcBorders>
              <w:tl2br w:val="nil"/>
              <w:tr2bl w:val="nil"/>
            </w:tcBorders>
            <w:vAlign w:val="center"/>
          </w:tcPr>
          <w:p w14:paraId="7832214B">
            <w:pPr>
              <w:jc w:val="center"/>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7B42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1024" w:type="dxa"/>
            <w:tcBorders>
              <w:tl2br w:val="nil"/>
              <w:tr2bl w:val="nil"/>
            </w:tcBorders>
            <w:vAlign w:val="center"/>
          </w:tcPr>
          <w:p w14:paraId="5A7B3D68">
            <w:pPr>
              <w:ind w:firstLine="0" w:firstLineChars="0"/>
              <w:jc w:val="left"/>
              <w:rPr>
                <w:rFonts w:ascii="宋体"/>
                <w:color w:val="auto"/>
                <w:szCs w:val="24"/>
                <w:highlight w:val="none"/>
              </w:rPr>
            </w:pPr>
            <w:r>
              <w:rPr>
                <w:rFonts w:hint="eastAsia" w:ascii="宋体"/>
                <w:color w:val="auto"/>
                <w:szCs w:val="24"/>
                <w:highlight w:val="none"/>
              </w:rPr>
              <w:t>4.1.3</w:t>
            </w:r>
          </w:p>
        </w:tc>
        <w:tc>
          <w:tcPr>
            <w:tcW w:w="1588" w:type="dxa"/>
            <w:tcBorders>
              <w:tl2br w:val="nil"/>
              <w:tr2bl w:val="nil"/>
            </w:tcBorders>
            <w:vAlign w:val="center"/>
          </w:tcPr>
          <w:p w14:paraId="1BEC5409">
            <w:pPr>
              <w:ind w:firstLine="0" w:firstLineChars="0"/>
              <w:rPr>
                <w:rFonts w:ascii="宋体"/>
                <w:color w:val="auto"/>
                <w:szCs w:val="24"/>
                <w:highlight w:val="none"/>
              </w:rPr>
            </w:pPr>
            <w:r>
              <w:rPr>
                <w:rFonts w:hint="eastAsia" w:ascii="宋体"/>
                <w:color w:val="auto"/>
                <w:szCs w:val="24"/>
                <w:highlight w:val="none"/>
              </w:rPr>
              <w:t>管理系统</w:t>
            </w:r>
          </w:p>
        </w:tc>
        <w:tc>
          <w:tcPr>
            <w:tcW w:w="6285" w:type="dxa"/>
            <w:tcBorders>
              <w:tl2br w:val="nil"/>
              <w:tr2bl w:val="nil"/>
            </w:tcBorders>
            <w:vAlign w:val="center"/>
          </w:tcPr>
          <w:p w14:paraId="5CD1215D">
            <w:pPr>
              <w:jc w:val="center"/>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35EB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3A1323BD">
            <w:pPr>
              <w:jc w:val="center"/>
              <w:rPr>
                <w:rFonts w:ascii="宋体"/>
                <w:b/>
                <w:color w:val="auto"/>
                <w:szCs w:val="24"/>
                <w:highlight w:val="none"/>
              </w:rPr>
            </w:pPr>
            <w:r>
              <w:rPr>
                <w:rFonts w:hint="eastAsia" w:ascii="宋体"/>
                <w:b/>
                <w:color w:val="auto"/>
                <w:szCs w:val="24"/>
                <w:highlight w:val="none"/>
              </w:rPr>
              <w:t>4.2系统处理</w:t>
            </w:r>
          </w:p>
        </w:tc>
      </w:tr>
      <w:tr w14:paraId="12D6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1024" w:type="dxa"/>
            <w:tcBorders>
              <w:tl2br w:val="nil"/>
              <w:tr2bl w:val="nil"/>
            </w:tcBorders>
            <w:vAlign w:val="center"/>
          </w:tcPr>
          <w:p w14:paraId="0B37E40A">
            <w:pPr>
              <w:ind w:firstLine="0" w:firstLineChars="0"/>
              <w:rPr>
                <w:rFonts w:ascii="宋体"/>
                <w:color w:val="auto"/>
                <w:szCs w:val="24"/>
                <w:highlight w:val="none"/>
              </w:rPr>
            </w:pPr>
            <w:r>
              <w:rPr>
                <w:rFonts w:hint="eastAsia" w:ascii="宋体"/>
                <w:color w:val="auto"/>
                <w:szCs w:val="24"/>
                <w:highlight w:val="none"/>
              </w:rPr>
              <w:t>4.2.1</w:t>
            </w:r>
          </w:p>
        </w:tc>
        <w:tc>
          <w:tcPr>
            <w:tcW w:w="1588" w:type="dxa"/>
            <w:tcBorders>
              <w:tl2br w:val="nil"/>
              <w:tr2bl w:val="nil"/>
            </w:tcBorders>
            <w:vAlign w:val="center"/>
          </w:tcPr>
          <w:p w14:paraId="3F26C080">
            <w:pPr>
              <w:ind w:firstLine="0" w:firstLineChars="0"/>
              <w:rPr>
                <w:rFonts w:ascii="宋体"/>
                <w:color w:val="auto"/>
                <w:szCs w:val="24"/>
                <w:highlight w:val="none"/>
              </w:rPr>
            </w:pPr>
            <w:r>
              <w:rPr>
                <w:rFonts w:hint="eastAsia" w:ascii="宋体"/>
                <w:color w:val="auto"/>
                <w:szCs w:val="24"/>
                <w:highlight w:val="none"/>
              </w:rPr>
              <w:t>备份</w:t>
            </w:r>
          </w:p>
        </w:tc>
        <w:tc>
          <w:tcPr>
            <w:tcW w:w="6285" w:type="dxa"/>
            <w:tcBorders>
              <w:tl2br w:val="nil"/>
              <w:tr2bl w:val="nil"/>
            </w:tcBorders>
            <w:vAlign w:val="center"/>
          </w:tcPr>
          <w:p w14:paraId="1C92F839">
            <w:pPr>
              <w:jc w:val="center"/>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67EE9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24" w:type="dxa"/>
            <w:tcBorders>
              <w:tl2br w:val="nil"/>
              <w:tr2bl w:val="nil"/>
            </w:tcBorders>
            <w:vAlign w:val="center"/>
          </w:tcPr>
          <w:p w14:paraId="3A320805">
            <w:pPr>
              <w:ind w:firstLine="0" w:firstLineChars="0"/>
              <w:rPr>
                <w:rFonts w:ascii="宋体"/>
                <w:color w:val="auto"/>
                <w:szCs w:val="24"/>
                <w:highlight w:val="none"/>
              </w:rPr>
            </w:pPr>
            <w:r>
              <w:rPr>
                <w:rFonts w:hint="eastAsia" w:ascii="宋体"/>
                <w:color w:val="auto"/>
                <w:szCs w:val="24"/>
                <w:highlight w:val="none"/>
              </w:rPr>
              <w:t>4.2.2</w:t>
            </w:r>
          </w:p>
        </w:tc>
        <w:tc>
          <w:tcPr>
            <w:tcW w:w="1588" w:type="dxa"/>
            <w:tcBorders>
              <w:tl2br w:val="nil"/>
              <w:tr2bl w:val="nil"/>
            </w:tcBorders>
            <w:vAlign w:val="center"/>
          </w:tcPr>
          <w:p w14:paraId="4CAC071C">
            <w:pPr>
              <w:ind w:firstLine="0" w:firstLineChars="0"/>
              <w:rPr>
                <w:rFonts w:ascii="宋体"/>
                <w:color w:val="auto"/>
                <w:szCs w:val="24"/>
                <w:highlight w:val="none"/>
              </w:rPr>
            </w:pPr>
            <w:r>
              <w:rPr>
                <w:rFonts w:hint="eastAsia" w:ascii="宋体"/>
                <w:color w:val="auto"/>
                <w:szCs w:val="24"/>
                <w:highlight w:val="none"/>
              </w:rPr>
              <w:t>恢复</w:t>
            </w:r>
          </w:p>
        </w:tc>
        <w:tc>
          <w:tcPr>
            <w:tcW w:w="6285" w:type="dxa"/>
            <w:tcBorders>
              <w:tl2br w:val="nil"/>
              <w:tr2bl w:val="nil"/>
            </w:tcBorders>
            <w:vAlign w:val="center"/>
          </w:tcPr>
          <w:p w14:paraId="47F903F9">
            <w:pPr>
              <w:jc w:val="center"/>
              <w:rPr>
                <w:rFonts w:ascii="宋体"/>
                <w:color w:val="auto"/>
                <w:szCs w:val="24"/>
                <w:highlight w:val="none"/>
              </w:rPr>
            </w:pPr>
            <w:r>
              <w:rPr>
                <w:rFonts w:hint="eastAsia" w:ascii="宋体"/>
                <w:color w:val="auto"/>
                <w:szCs w:val="24"/>
                <w:highlight w:val="none"/>
              </w:rPr>
              <w:t>设计系统的恢复策略，完成其有效性验证</w:t>
            </w:r>
          </w:p>
        </w:tc>
      </w:tr>
      <w:tr w14:paraId="7C07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7A37E6B4">
            <w:pPr>
              <w:jc w:val="center"/>
              <w:rPr>
                <w:rFonts w:ascii="宋体"/>
                <w:b/>
                <w:color w:val="auto"/>
                <w:szCs w:val="24"/>
                <w:highlight w:val="none"/>
              </w:rPr>
            </w:pPr>
            <w:r>
              <w:rPr>
                <w:rFonts w:hint="eastAsia" w:ascii="宋体"/>
                <w:b/>
                <w:color w:val="auto"/>
                <w:szCs w:val="24"/>
                <w:highlight w:val="none"/>
              </w:rPr>
              <w:t>4.3软件开发及测试</w:t>
            </w:r>
          </w:p>
        </w:tc>
      </w:tr>
      <w:tr w14:paraId="465A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1024" w:type="dxa"/>
            <w:tcBorders>
              <w:tl2br w:val="nil"/>
              <w:tr2bl w:val="nil"/>
            </w:tcBorders>
            <w:vAlign w:val="center"/>
          </w:tcPr>
          <w:p w14:paraId="3B68B484">
            <w:pPr>
              <w:ind w:firstLine="0" w:firstLineChars="0"/>
              <w:rPr>
                <w:rFonts w:ascii="宋体"/>
                <w:color w:val="auto"/>
                <w:szCs w:val="24"/>
                <w:highlight w:val="none"/>
              </w:rPr>
            </w:pPr>
            <w:r>
              <w:rPr>
                <w:rFonts w:hint="eastAsia" w:ascii="宋体"/>
                <w:color w:val="auto"/>
                <w:szCs w:val="24"/>
                <w:highlight w:val="none"/>
              </w:rPr>
              <w:t>4.3.1</w:t>
            </w:r>
          </w:p>
        </w:tc>
        <w:tc>
          <w:tcPr>
            <w:tcW w:w="1588" w:type="dxa"/>
            <w:tcBorders>
              <w:tl2br w:val="nil"/>
              <w:tr2bl w:val="nil"/>
            </w:tcBorders>
            <w:vAlign w:val="center"/>
          </w:tcPr>
          <w:p w14:paraId="0B49219D">
            <w:pPr>
              <w:ind w:firstLine="0" w:firstLineChars="0"/>
              <w:rPr>
                <w:rFonts w:ascii="宋体"/>
                <w:color w:val="auto"/>
                <w:szCs w:val="24"/>
                <w:highlight w:val="none"/>
              </w:rPr>
            </w:pPr>
            <w:r>
              <w:rPr>
                <w:rFonts w:hint="eastAsia" w:ascii="宋体"/>
                <w:color w:val="auto"/>
                <w:szCs w:val="24"/>
                <w:highlight w:val="none"/>
              </w:rPr>
              <w:t>软件管理</w:t>
            </w:r>
          </w:p>
        </w:tc>
        <w:tc>
          <w:tcPr>
            <w:tcW w:w="6285" w:type="dxa"/>
            <w:tcBorders>
              <w:tl2br w:val="nil"/>
              <w:tr2bl w:val="nil"/>
            </w:tcBorders>
            <w:vAlign w:val="center"/>
          </w:tcPr>
          <w:p w14:paraId="3A05FF5D">
            <w:pPr>
              <w:jc w:val="center"/>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5342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exact"/>
          <w:jc w:val="center"/>
        </w:trPr>
        <w:tc>
          <w:tcPr>
            <w:tcW w:w="1024" w:type="dxa"/>
            <w:tcBorders>
              <w:tl2br w:val="nil"/>
              <w:tr2bl w:val="nil"/>
            </w:tcBorders>
            <w:vAlign w:val="center"/>
          </w:tcPr>
          <w:p w14:paraId="4DCF8E29">
            <w:pPr>
              <w:ind w:firstLine="0" w:firstLineChars="0"/>
              <w:rPr>
                <w:rFonts w:ascii="宋体"/>
                <w:color w:val="auto"/>
                <w:szCs w:val="24"/>
                <w:highlight w:val="none"/>
              </w:rPr>
            </w:pPr>
            <w:r>
              <w:rPr>
                <w:rFonts w:hint="eastAsia" w:ascii="宋体"/>
                <w:color w:val="auto"/>
                <w:szCs w:val="24"/>
                <w:highlight w:val="none"/>
              </w:rPr>
              <w:t>4.3.2</w:t>
            </w:r>
          </w:p>
        </w:tc>
        <w:tc>
          <w:tcPr>
            <w:tcW w:w="1588" w:type="dxa"/>
            <w:tcBorders>
              <w:tl2br w:val="nil"/>
              <w:tr2bl w:val="nil"/>
            </w:tcBorders>
            <w:vAlign w:val="center"/>
          </w:tcPr>
          <w:p w14:paraId="4141D673">
            <w:pPr>
              <w:ind w:firstLine="0" w:firstLineChars="0"/>
              <w:rPr>
                <w:rFonts w:ascii="宋体"/>
                <w:color w:val="auto"/>
                <w:szCs w:val="24"/>
                <w:highlight w:val="none"/>
              </w:rPr>
            </w:pPr>
            <w:r>
              <w:rPr>
                <w:rFonts w:hint="eastAsia" w:ascii="宋体"/>
                <w:color w:val="auto"/>
                <w:szCs w:val="24"/>
                <w:highlight w:val="none"/>
              </w:rPr>
              <w:t>系统接口开发</w:t>
            </w:r>
          </w:p>
        </w:tc>
        <w:tc>
          <w:tcPr>
            <w:tcW w:w="6285" w:type="dxa"/>
            <w:tcBorders>
              <w:tl2br w:val="nil"/>
              <w:tr2bl w:val="nil"/>
            </w:tcBorders>
            <w:vAlign w:val="center"/>
          </w:tcPr>
          <w:p w14:paraId="10CF1159">
            <w:pPr>
              <w:jc w:val="center"/>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61749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jc w:val="center"/>
        </w:trPr>
        <w:tc>
          <w:tcPr>
            <w:tcW w:w="1024" w:type="dxa"/>
            <w:tcBorders>
              <w:tl2br w:val="nil"/>
              <w:tr2bl w:val="nil"/>
            </w:tcBorders>
            <w:vAlign w:val="center"/>
          </w:tcPr>
          <w:p w14:paraId="1B5C7627">
            <w:pPr>
              <w:ind w:firstLine="0" w:firstLineChars="0"/>
              <w:rPr>
                <w:rFonts w:ascii="宋体"/>
                <w:color w:val="auto"/>
                <w:szCs w:val="24"/>
                <w:highlight w:val="none"/>
              </w:rPr>
            </w:pPr>
            <w:r>
              <w:rPr>
                <w:rFonts w:hint="eastAsia" w:ascii="宋体"/>
                <w:color w:val="auto"/>
                <w:szCs w:val="24"/>
                <w:highlight w:val="none"/>
              </w:rPr>
              <w:t>4.3.3</w:t>
            </w:r>
          </w:p>
        </w:tc>
        <w:tc>
          <w:tcPr>
            <w:tcW w:w="1588" w:type="dxa"/>
            <w:tcBorders>
              <w:tl2br w:val="nil"/>
              <w:tr2bl w:val="nil"/>
            </w:tcBorders>
            <w:vAlign w:val="center"/>
          </w:tcPr>
          <w:p w14:paraId="6724D113">
            <w:pPr>
              <w:ind w:firstLine="0" w:firstLineChars="0"/>
              <w:rPr>
                <w:rFonts w:ascii="宋体"/>
                <w:color w:val="auto"/>
                <w:szCs w:val="24"/>
                <w:highlight w:val="none"/>
              </w:rPr>
            </w:pPr>
            <w:r>
              <w:rPr>
                <w:rFonts w:hint="eastAsia" w:ascii="宋体"/>
                <w:color w:val="auto"/>
                <w:szCs w:val="24"/>
                <w:highlight w:val="none"/>
              </w:rPr>
              <w:t>代码开发和测试</w:t>
            </w:r>
          </w:p>
        </w:tc>
        <w:tc>
          <w:tcPr>
            <w:tcW w:w="6285" w:type="dxa"/>
            <w:tcBorders>
              <w:tl2br w:val="nil"/>
              <w:tr2bl w:val="nil"/>
            </w:tcBorders>
            <w:vAlign w:val="center"/>
          </w:tcPr>
          <w:p w14:paraId="202EA418">
            <w:pPr>
              <w:jc w:val="center"/>
              <w:rPr>
                <w:rFonts w:ascii="宋体"/>
                <w:color w:val="auto"/>
                <w:szCs w:val="24"/>
                <w:highlight w:val="none"/>
              </w:rPr>
            </w:pPr>
            <w:r>
              <w:rPr>
                <w:rFonts w:hint="eastAsia" w:ascii="宋体"/>
                <w:color w:val="auto"/>
                <w:szCs w:val="24"/>
                <w:highlight w:val="none"/>
              </w:rPr>
              <w:t>编写代码并且完成开发自测与系统测试</w:t>
            </w:r>
          </w:p>
        </w:tc>
      </w:tr>
      <w:tr w14:paraId="42779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1024" w:type="dxa"/>
            <w:tcBorders>
              <w:tl2br w:val="nil"/>
              <w:tr2bl w:val="nil"/>
            </w:tcBorders>
            <w:vAlign w:val="center"/>
          </w:tcPr>
          <w:p w14:paraId="1BAEDD2F">
            <w:pPr>
              <w:ind w:firstLine="0" w:firstLineChars="0"/>
              <w:rPr>
                <w:rFonts w:ascii="宋体"/>
                <w:color w:val="auto"/>
                <w:szCs w:val="24"/>
                <w:highlight w:val="none"/>
              </w:rPr>
            </w:pPr>
            <w:r>
              <w:rPr>
                <w:rFonts w:hint="eastAsia" w:ascii="宋体"/>
                <w:color w:val="auto"/>
                <w:szCs w:val="24"/>
                <w:highlight w:val="none"/>
              </w:rPr>
              <w:t>4.3.4</w:t>
            </w:r>
          </w:p>
        </w:tc>
        <w:tc>
          <w:tcPr>
            <w:tcW w:w="1588" w:type="dxa"/>
            <w:tcBorders>
              <w:tl2br w:val="nil"/>
              <w:tr2bl w:val="nil"/>
            </w:tcBorders>
            <w:vAlign w:val="center"/>
          </w:tcPr>
          <w:p w14:paraId="3754F7D8">
            <w:pPr>
              <w:ind w:firstLine="0" w:firstLineChars="0"/>
              <w:rPr>
                <w:rFonts w:ascii="宋体"/>
                <w:color w:val="auto"/>
                <w:szCs w:val="24"/>
                <w:highlight w:val="none"/>
              </w:rPr>
            </w:pPr>
            <w:r>
              <w:rPr>
                <w:rFonts w:hint="eastAsia" w:ascii="宋体"/>
                <w:color w:val="auto"/>
                <w:szCs w:val="24"/>
                <w:highlight w:val="none"/>
              </w:rPr>
              <w:t>知识转移</w:t>
            </w:r>
          </w:p>
        </w:tc>
        <w:tc>
          <w:tcPr>
            <w:tcW w:w="6285" w:type="dxa"/>
            <w:tcBorders>
              <w:tl2br w:val="nil"/>
              <w:tr2bl w:val="nil"/>
            </w:tcBorders>
            <w:vAlign w:val="center"/>
          </w:tcPr>
          <w:p w14:paraId="7506CE2F">
            <w:pPr>
              <w:jc w:val="center"/>
              <w:rPr>
                <w:rFonts w:ascii="宋体"/>
                <w:color w:val="auto"/>
                <w:szCs w:val="24"/>
                <w:highlight w:val="none"/>
              </w:rPr>
            </w:pPr>
            <w:r>
              <w:rPr>
                <w:rFonts w:hint="eastAsia" w:ascii="宋体"/>
                <w:color w:val="auto"/>
                <w:szCs w:val="24"/>
                <w:highlight w:val="none"/>
              </w:rPr>
              <w:t>负责现场培训</w:t>
            </w:r>
          </w:p>
        </w:tc>
      </w:tr>
      <w:tr w14:paraId="49551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97" w:type="dxa"/>
            <w:gridSpan w:val="3"/>
            <w:tcBorders>
              <w:tl2br w:val="nil"/>
              <w:tr2bl w:val="nil"/>
            </w:tcBorders>
            <w:vAlign w:val="center"/>
          </w:tcPr>
          <w:p w14:paraId="3440EDB5">
            <w:pPr>
              <w:jc w:val="center"/>
              <w:rPr>
                <w:rFonts w:ascii="宋体"/>
                <w:b/>
                <w:color w:val="auto"/>
                <w:szCs w:val="24"/>
                <w:highlight w:val="none"/>
              </w:rPr>
            </w:pPr>
            <w:r>
              <w:rPr>
                <w:rFonts w:hint="eastAsia" w:ascii="宋体"/>
                <w:b/>
                <w:color w:val="auto"/>
                <w:szCs w:val="24"/>
                <w:highlight w:val="none"/>
              </w:rPr>
              <w:t>4.4 支持和维护</w:t>
            </w:r>
          </w:p>
        </w:tc>
      </w:tr>
      <w:tr w14:paraId="4179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exact"/>
          <w:jc w:val="center"/>
        </w:trPr>
        <w:tc>
          <w:tcPr>
            <w:tcW w:w="1024" w:type="dxa"/>
            <w:tcBorders>
              <w:tl2br w:val="nil"/>
              <w:tr2bl w:val="nil"/>
            </w:tcBorders>
            <w:vAlign w:val="center"/>
          </w:tcPr>
          <w:p w14:paraId="429BC51B">
            <w:pPr>
              <w:ind w:firstLine="0" w:firstLineChars="0"/>
              <w:rPr>
                <w:rFonts w:ascii="宋体"/>
                <w:color w:val="auto"/>
                <w:szCs w:val="24"/>
                <w:highlight w:val="none"/>
              </w:rPr>
            </w:pPr>
            <w:r>
              <w:rPr>
                <w:rFonts w:hint="eastAsia" w:ascii="宋体"/>
                <w:color w:val="auto"/>
                <w:szCs w:val="24"/>
                <w:highlight w:val="none"/>
              </w:rPr>
              <w:t>4.4.1</w:t>
            </w:r>
          </w:p>
        </w:tc>
        <w:tc>
          <w:tcPr>
            <w:tcW w:w="1588" w:type="dxa"/>
            <w:tcBorders>
              <w:tl2br w:val="nil"/>
              <w:tr2bl w:val="nil"/>
            </w:tcBorders>
            <w:vAlign w:val="center"/>
          </w:tcPr>
          <w:p w14:paraId="3942DDCE">
            <w:pPr>
              <w:ind w:firstLine="0" w:firstLineChars="0"/>
              <w:rPr>
                <w:rFonts w:ascii="宋体"/>
                <w:color w:val="auto"/>
                <w:szCs w:val="24"/>
                <w:highlight w:val="none"/>
              </w:rPr>
            </w:pPr>
            <w:r>
              <w:rPr>
                <w:rFonts w:hint="eastAsia" w:ascii="宋体"/>
                <w:color w:val="auto"/>
                <w:szCs w:val="24"/>
                <w:highlight w:val="none"/>
              </w:rPr>
              <w:t>变更管理</w:t>
            </w:r>
          </w:p>
        </w:tc>
        <w:tc>
          <w:tcPr>
            <w:tcW w:w="6285" w:type="dxa"/>
            <w:tcBorders>
              <w:tl2br w:val="nil"/>
              <w:tr2bl w:val="nil"/>
            </w:tcBorders>
            <w:vAlign w:val="center"/>
          </w:tcPr>
          <w:p w14:paraId="1B2E1617">
            <w:pPr>
              <w:jc w:val="center"/>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704F3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exact"/>
          <w:jc w:val="center"/>
        </w:trPr>
        <w:tc>
          <w:tcPr>
            <w:tcW w:w="1024" w:type="dxa"/>
            <w:tcBorders>
              <w:tl2br w:val="nil"/>
              <w:tr2bl w:val="nil"/>
            </w:tcBorders>
            <w:vAlign w:val="center"/>
          </w:tcPr>
          <w:p w14:paraId="04E97D67">
            <w:pPr>
              <w:ind w:firstLine="0" w:firstLineChars="0"/>
              <w:rPr>
                <w:rFonts w:ascii="宋体"/>
                <w:color w:val="auto"/>
                <w:szCs w:val="24"/>
                <w:highlight w:val="none"/>
              </w:rPr>
            </w:pPr>
            <w:r>
              <w:rPr>
                <w:rFonts w:hint="eastAsia" w:ascii="宋体"/>
                <w:color w:val="auto"/>
                <w:szCs w:val="24"/>
                <w:highlight w:val="none"/>
              </w:rPr>
              <w:t>4.4.2</w:t>
            </w:r>
          </w:p>
        </w:tc>
        <w:tc>
          <w:tcPr>
            <w:tcW w:w="1588" w:type="dxa"/>
            <w:tcBorders>
              <w:tl2br w:val="nil"/>
              <w:tr2bl w:val="nil"/>
            </w:tcBorders>
            <w:vAlign w:val="center"/>
          </w:tcPr>
          <w:p w14:paraId="63F65486">
            <w:pPr>
              <w:ind w:firstLine="0" w:firstLineChars="0"/>
              <w:rPr>
                <w:rFonts w:ascii="宋体"/>
                <w:color w:val="auto"/>
                <w:szCs w:val="24"/>
                <w:highlight w:val="none"/>
              </w:rPr>
            </w:pPr>
            <w:r>
              <w:rPr>
                <w:rFonts w:hint="eastAsia" w:ascii="宋体"/>
                <w:color w:val="auto"/>
                <w:szCs w:val="24"/>
                <w:highlight w:val="none"/>
              </w:rPr>
              <w:t>系统监控</w:t>
            </w:r>
          </w:p>
        </w:tc>
        <w:tc>
          <w:tcPr>
            <w:tcW w:w="6285" w:type="dxa"/>
            <w:tcBorders>
              <w:tl2br w:val="nil"/>
              <w:tr2bl w:val="nil"/>
            </w:tcBorders>
            <w:vAlign w:val="center"/>
          </w:tcPr>
          <w:p w14:paraId="1DED4FF5">
            <w:pPr>
              <w:jc w:val="center"/>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4818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1024" w:type="dxa"/>
            <w:tcBorders>
              <w:tl2br w:val="nil"/>
              <w:tr2bl w:val="nil"/>
            </w:tcBorders>
            <w:vAlign w:val="center"/>
          </w:tcPr>
          <w:p w14:paraId="2B90BFFF">
            <w:pPr>
              <w:ind w:firstLine="0" w:firstLineChars="0"/>
              <w:rPr>
                <w:rFonts w:ascii="宋体"/>
                <w:color w:val="auto"/>
                <w:szCs w:val="24"/>
                <w:highlight w:val="none"/>
              </w:rPr>
            </w:pPr>
            <w:r>
              <w:rPr>
                <w:rFonts w:hint="eastAsia" w:ascii="宋体"/>
                <w:color w:val="auto"/>
                <w:szCs w:val="24"/>
                <w:highlight w:val="none"/>
              </w:rPr>
              <w:t>4.4.3</w:t>
            </w:r>
          </w:p>
        </w:tc>
        <w:tc>
          <w:tcPr>
            <w:tcW w:w="1588" w:type="dxa"/>
            <w:tcBorders>
              <w:tl2br w:val="nil"/>
              <w:tr2bl w:val="nil"/>
            </w:tcBorders>
            <w:vAlign w:val="center"/>
          </w:tcPr>
          <w:p w14:paraId="4D880AE1">
            <w:pPr>
              <w:ind w:firstLine="0" w:firstLineChars="0"/>
              <w:rPr>
                <w:rFonts w:ascii="宋体"/>
                <w:color w:val="auto"/>
                <w:szCs w:val="24"/>
                <w:highlight w:val="none"/>
              </w:rPr>
            </w:pPr>
            <w:r>
              <w:rPr>
                <w:rFonts w:hint="eastAsia" w:ascii="宋体"/>
                <w:color w:val="auto"/>
                <w:szCs w:val="24"/>
                <w:highlight w:val="none"/>
              </w:rPr>
              <w:t>发布管理</w:t>
            </w:r>
          </w:p>
        </w:tc>
        <w:tc>
          <w:tcPr>
            <w:tcW w:w="6285" w:type="dxa"/>
            <w:tcBorders>
              <w:tl2br w:val="nil"/>
              <w:tr2bl w:val="nil"/>
            </w:tcBorders>
            <w:vAlign w:val="center"/>
          </w:tcPr>
          <w:p w14:paraId="487021F0">
            <w:pPr>
              <w:jc w:val="center"/>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5874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exact"/>
          <w:jc w:val="center"/>
        </w:trPr>
        <w:tc>
          <w:tcPr>
            <w:tcW w:w="1024" w:type="dxa"/>
            <w:tcBorders>
              <w:tl2br w:val="nil"/>
              <w:tr2bl w:val="nil"/>
            </w:tcBorders>
            <w:vAlign w:val="center"/>
          </w:tcPr>
          <w:p w14:paraId="64B0D779">
            <w:pPr>
              <w:ind w:firstLine="0" w:firstLineChars="0"/>
              <w:rPr>
                <w:rFonts w:ascii="宋体"/>
                <w:color w:val="auto"/>
                <w:szCs w:val="24"/>
                <w:highlight w:val="none"/>
              </w:rPr>
            </w:pPr>
            <w:r>
              <w:rPr>
                <w:rFonts w:hint="eastAsia" w:ascii="宋体"/>
                <w:color w:val="auto"/>
                <w:szCs w:val="24"/>
                <w:highlight w:val="none"/>
              </w:rPr>
              <w:t>4.4.4</w:t>
            </w:r>
          </w:p>
        </w:tc>
        <w:tc>
          <w:tcPr>
            <w:tcW w:w="1588" w:type="dxa"/>
            <w:tcBorders>
              <w:tl2br w:val="nil"/>
              <w:tr2bl w:val="nil"/>
            </w:tcBorders>
            <w:vAlign w:val="center"/>
          </w:tcPr>
          <w:p w14:paraId="608DB0E3">
            <w:pPr>
              <w:ind w:firstLine="0" w:firstLineChars="0"/>
              <w:rPr>
                <w:rFonts w:ascii="宋体"/>
                <w:color w:val="auto"/>
                <w:szCs w:val="24"/>
                <w:highlight w:val="none"/>
              </w:rPr>
            </w:pPr>
            <w:r>
              <w:rPr>
                <w:rFonts w:hint="eastAsia" w:ascii="宋体"/>
                <w:color w:val="auto"/>
                <w:szCs w:val="24"/>
                <w:highlight w:val="none"/>
              </w:rPr>
              <w:t>安全管理</w:t>
            </w:r>
          </w:p>
        </w:tc>
        <w:tc>
          <w:tcPr>
            <w:tcW w:w="6285" w:type="dxa"/>
            <w:tcBorders>
              <w:tl2br w:val="nil"/>
              <w:tr2bl w:val="nil"/>
            </w:tcBorders>
            <w:vAlign w:val="center"/>
          </w:tcPr>
          <w:p w14:paraId="115586B5">
            <w:pPr>
              <w:jc w:val="center"/>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441E0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897" w:type="dxa"/>
            <w:gridSpan w:val="3"/>
            <w:tcBorders>
              <w:tl2br w:val="nil"/>
              <w:tr2bl w:val="nil"/>
            </w:tcBorders>
            <w:vAlign w:val="center"/>
          </w:tcPr>
          <w:p w14:paraId="2E7B2C89">
            <w:pPr>
              <w:jc w:val="center"/>
              <w:rPr>
                <w:rFonts w:ascii="宋体"/>
                <w:b/>
                <w:color w:val="auto"/>
                <w:szCs w:val="24"/>
                <w:highlight w:val="none"/>
              </w:rPr>
            </w:pPr>
            <w:r>
              <w:rPr>
                <w:rFonts w:hint="eastAsia" w:ascii="宋体"/>
                <w:b/>
                <w:color w:val="auto"/>
                <w:szCs w:val="24"/>
                <w:highlight w:val="none"/>
              </w:rPr>
              <w:t>4.5 后续支持</w:t>
            </w:r>
          </w:p>
        </w:tc>
      </w:tr>
      <w:tr w14:paraId="2E00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2BAEA684">
            <w:pPr>
              <w:ind w:firstLine="0" w:firstLineChars="0"/>
              <w:rPr>
                <w:rFonts w:ascii="宋体"/>
                <w:color w:val="auto"/>
                <w:szCs w:val="24"/>
                <w:highlight w:val="none"/>
              </w:rPr>
            </w:pPr>
            <w:r>
              <w:rPr>
                <w:rFonts w:hint="eastAsia" w:ascii="宋体"/>
                <w:color w:val="auto"/>
                <w:szCs w:val="24"/>
                <w:highlight w:val="none"/>
              </w:rPr>
              <w:t>4.5.1</w:t>
            </w:r>
          </w:p>
        </w:tc>
        <w:tc>
          <w:tcPr>
            <w:tcW w:w="1588" w:type="dxa"/>
            <w:tcBorders>
              <w:tl2br w:val="nil"/>
              <w:tr2bl w:val="nil"/>
            </w:tcBorders>
            <w:vAlign w:val="center"/>
          </w:tcPr>
          <w:p w14:paraId="46656331">
            <w:pPr>
              <w:ind w:firstLine="0" w:firstLineChars="0"/>
              <w:rPr>
                <w:rFonts w:ascii="宋体"/>
                <w:color w:val="auto"/>
                <w:szCs w:val="24"/>
                <w:highlight w:val="none"/>
              </w:rPr>
            </w:pPr>
            <w:r>
              <w:rPr>
                <w:rFonts w:hint="eastAsia" w:ascii="宋体"/>
                <w:color w:val="auto"/>
                <w:szCs w:val="24"/>
                <w:highlight w:val="none"/>
              </w:rPr>
              <w:t>版本安装、更新和升级</w:t>
            </w:r>
          </w:p>
        </w:tc>
        <w:tc>
          <w:tcPr>
            <w:tcW w:w="6285" w:type="dxa"/>
            <w:tcBorders>
              <w:tl2br w:val="nil"/>
              <w:tr2bl w:val="nil"/>
            </w:tcBorders>
            <w:vAlign w:val="center"/>
          </w:tcPr>
          <w:p w14:paraId="498FC446">
            <w:pPr>
              <w:jc w:val="center"/>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60BF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6C75B087">
            <w:pPr>
              <w:ind w:firstLine="0" w:firstLineChars="0"/>
              <w:rPr>
                <w:rFonts w:ascii="宋体"/>
                <w:color w:val="auto"/>
                <w:szCs w:val="24"/>
                <w:highlight w:val="none"/>
              </w:rPr>
            </w:pPr>
            <w:r>
              <w:rPr>
                <w:rFonts w:hint="eastAsia" w:ascii="宋体"/>
                <w:color w:val="auto"/>
                <w:szCs w:val="24"/>
                <w:highlight w:val="none"/>
              </w:rPr>
              <w:t>4.5.2</w:t>
            </w:r>
          </w:p>
        </w:tc>
        <w:tc>
          <w:tcPr>
            <w:tcW w:w="1588" w:type="dxa"/>
            <w:tcBorders>
              <w:tl2br w:val="nil"/>
              <w:tr2bl w:val="nil"/>
            </w:tcBorders>
            <w:vAlign w:val="center"/>
          </w:tcPr>
          <w:p w14:paraId="00C41ACE">
            <w:pPr>
              <w:ind w:firstLine="0" w:firstLineChars="0"/>
              <w:rPr>
                <w:rFonts w:ascii="宋体"/>
                <w:color w:val="auto"/>
                <w:szCs w:val="24"/>
                <w:highlight w:val="none"/>
              </w:rPr>
            </w:pPr>
            <w:r>
              <w:rPr>
                <w:rFonts w:hint="eastAsia" w:ascii="宋体"/>
                <w:color w:val="auto"/>
                <w:szCs w:val="24"/>
                <w:highlight w:val="none"/>
              </w:rPr>
              <w:t>安全漏洞整改</w:t>
            </w:r>
          </w:p>
        </w:tc>
        <w:tc>
          <w:tcPr>
            <w:tcW w:w="6285" w:type="dxa"/>
            <w:tcBorders>
              <w:tl2br w:val="nil"/>
              <w:tr2bl w:val="nil"/>
            </w:tcBorders>
            <w:vAlign w:val="center"/>
          </w:tcPr>
          <w:p w14:paraId="5BCBC0C8">
            <w:pPr>
              <w:jc w:val="center"/>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58C1E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1024" w:type="dxa"/>
            <w:tcBorders>
              <w:tl2br w:val="nil"/>
              <w:tr2bl w:val="nil"/>
            </w:tcBorders>
            <w:vAlign w:val="center"/>
          </w:tcPr>
          <w:p w14:paraId="6C6C6BF3">
            <w:pPr>
              <w:ind w:firstLine="0" w:firstLineChars="0"/>
              <w:rPr>
                <w:rFonts w:ascii="宋体"/>
                <w:color w:val="auto"/>
                <w:szCs w:val="24"/>
                <w:highlight w:val="none"/>
              </w:rPr>
            </w:pPr>
            <w:r>
              <w:rPr>
                <w:rFonts w:hint="eastAsia" w:ascii="宋体"/>
                <w:color w:val="auto"/>
                <w:szCs w:val="24"/>
                <w:highlight w:val="none"/>
              </w:rPr>
              <w:t>4.5.3</w:t>
            </w:r>
          </w:p>
        </w:tc>
        <w:tc>
          <w:tcPr>
            <w:tcW w:w="1588" w:type="dxa"/>
            <w:tcBorders>
              <w:tl2br w:val="nil"/>
              <w:tr2bl w:val="nil"/>
            </w:tcBorders>
            <w:vAlign w:val="center"/>
          </w:tcPr>
          <w:p w14:paraId="6813D183">
            <w:pPr>
              <w:ind w:firstLine="0" w:firstLineChars="0"/>
              <w:rPr>
                <w:rFonts w:ascii="宋体"/>
                <w:color w:val="auto"/>
                <w:szCs w:val="24"/>
                <w:highlight w:val="none"/>
              </w:rPr>
            </w:pPr>
            <w:r>
              <w:rPr>
                <w:rFonts w:hint="eastAsia" w:ascii="宋体"/>
                <w:color w:val="auto"/>
                <w:szCs w:val="24"/>
                <w:highlight w:val="none"/>
              </w:rPr>
              <w:t>服务台支持</w:t>
            </w:r>
          </w:p>
        </w:tc>
        <w:tc>
          <w:tcPr>
            <w:tcW w:w="6285" w:type="dxa"/>
            <w:tcBorders>
              <w:tl2br w:val="nil"/>
              <w:tr2bl w:val="nil"/>
            </w:tcBorders>
            <w:vAlign w:val="center"/>
          </w:tcPr>
          <w:p w14:paraId="42627B7E">
            <w:pPr>
              <w:jc w:val="center"/>
              <w:rPr>
                <w:rFonts w:ascii="宋体"/>
                <w:color w:val="auto"/>
                <w:szCs w:val="24"/>
                <w:highlight w:val="none"/>
              </w:rPr>
            </w:pPr>
            <w:r>
              <w:rPr>
                <w:rFonts w:hint="eastAsia" w:ascii="宋体"/>
                <w:color w:val="auto"/>
                <w:szCs w:val="24"/>
                <w:highlight w:val="none"/>
              </w:rPr>
              <w:t>提供7×24小时的技术支持服务</w:t>
            </w:r>
          </w:p>
        </w:tc>
      </w:tr>
      <w:tr w14:paraId="4CDC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jc w:val="center"/>
        </w:trPr>
        <w:tc>
          <w:tcPr>
            <w:tcW w:w="1024" w:type="dxa"/>
            <w:tcBorders>
              <w:tl2br w:val="nil"/>
              <w:tr2bl w:val="nil"/>
            </w:tcBorders>
            <w:vAlign w:val="center"/>
          </w:tcPr>
          <w:p w14:paraId="42CA72B0">
            <w:pPr>
              <w:ind w:firstLine="0" w:firstLineChars="0"/>
              <w:rPr>
                <w:rFonts w:ascii="宋体"/>
                <w:color w:val="auto"/>
                <w:szCs w:val="24"/>
                <w:highlight w:val="none"/>
              </w:rPr>
            </w:pPr>
            <w:r>
              <w:rPr>
                <w:rFonts w:hint="eastAsia" w:ascii="宋体"/>
                <w:color w:val="auto"/>
                <w:szCs w:val="24"/>
                <w:highlight w:val="none"/>
              </w:rPr>
              <w:t>4.5.4</w:t>
            </w:r>
          </w:p>
        </w:tc>
        <w:tc>
          <w:tcPr>
            <w:tcW w:w="1588" w:type="dxa"/>
            <w:tcBorders>
              <w:tl2br w:val="nil"/>
              <w:tr2bl w:val="nil"/>
            </w:tcBorders>
            <w:vAlign w:val="center"/>
          </w:tcPr>
          <w:p w14:paraId="5CB33A67">
            <w:pPr>
              <w:ind w:firstLine="0" w:firstLineChars="0"/>
              <w:rPr>
                <w:rFonts w:ascii="宋体"/>
                <w:color w:val="auto"/>
                <w:szCs w:val="24"/>
                <w:highlight w:val="none"/>
              </w:rPr>
            </w:pPr>
            <w:r>
              <w:rPr>
                <w:rFonts w:hint="eastAsia" w:ascii="宋体"/>
                <w:color w:val="auto"/>
                <w:szCs w:val="24"/>
                <w:highlight w:val="none"/>
              </w:rPr>
              <w:t>巡检服务</w:t>
            </w:r>
          </w:p>
        </w:tc>
        <w:tc>
          <w:tcPr>
            <w:tcW w:w="6285" w:type="dxa"/>
            <w:tcBorders>
              <w:tl2br w:val="nil"/>
              <w:tr2bl w:val="nil"/>
            </w:tcBorders>
            <w:vAlign w:val="center"/>
          </w:tcPr>
          <w:p w14:paraId="0052949C">
            <w:pPr>
              <w:jc w:val="center"/>
              <w:rPr>
                <w:rFonts w:ascii="宋体"/>
                <w:color w:val="auto"/>
                <w:szCs w:val="24"/>
                <w:highlight w:val="none"/>
              </w:rPr>
            </w:pPr>
            <w:r>
              <w:rPr>
                <w:rFonts w:hint="eastAsia" w:ascii="宋体"/>
                <w:color w:val="auto"/>
                <w:szCs w:val="24"/>
                <w:highlight w:val="none"/>
              </w:rPr>
              <w:t>提供系统运行状况报告</w:t>
            </w:r>
          </w:p>
        </w:tc>
      </w:tr>
      <w:tr w14:paraId="6176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exact"/>
          <w:jc w:val="center"/>
        </w:trPr>
        <w:tc>
          <w:tcPr>
            <w:tcW w:w="1024" w:type="dxa"/>
            <w:tcBorders>
              <w:tl2br w:val="nil"/>
              <w:tr2bl w:val="nil"/>
            </w:tcBorders>
            <w:vAlign w:val="center"/>
          </w:tcPr>
          <w:p w14:paraId="46762AA1">
            <w:pPr>
              <w:ind w:firstLine="0" w:firstLineChars="0"/>
              <w:rPr>
                <w:rFonts w:ascii="宋体"/>
                <w:color w:val="auto"/>
                <w:szCs w:val="24"/>
                <w:highlight w:val="none"/>
              </w:rPr>
            </w:pPr>
            <w:r>
              <w:rPr>
                <w:rFonts w:hint="eastAsia" w:ascii="宋体"/>
                <w:color w:val="auto"/>
                <w:szCs w:val="24"/>
                <w:highlight w:val="none"/>
              </w:rPr>
              <w:t>4.5.5</w:t>
            </w:r>
          </w:p>
        </w:tc>
        <w:tc>
          <w:tcPr>
            <w:tcW w:w="1588" w:type="dxa"/>
            <w:tcBorders>
              <w:tl2br w:val="nil"/>
              <w:tr2bl w:val="nil"/>
            </w:tcBorders>
            <w:vAlign w:val="center"/>
          </w:tcPr>
          <w:p w14:paraId="55EA498F">
            <w:pPr>
              <w:ind w:firstLine="0" w:firstLineChars="0"/>
              <w:rPr>
                <w:rFonts w:ascii="宋体"/>
                <w:color w:val="auto"/>
                <w:szCs w:val="24"/>
                <w:highlight w:val="none"/>
              </w:rPr>
            </w:pPr>
            <w:r>
              <w:rPr>
                <w:rFonts w:hint="eastAsia" w:ascii="宋体"/>
                <w:color w:val="auto"/>
                <w:szCs w:val="24"/>
                <w:highlight w:val="none"/>
              </w:rPr>
              <w:t>现场问题解决</w:t>
            </w:r>
          </w:p>
        </w:tc>
        <w:tc>
          <w:tcPr>
            <w:tcW w:w="6285" w:type="dxa"/>
            <w:tcBorders>
              <w:tl2br w:val="nil"/>
              <w:tr2bl w:val="nil"/>
            </w:tcBorders>
            <w:vAlign w:val="center"/>
          </w:tcPr>
          <w:p w14:paraId="06087510">
            <w:pPr>
              <w:jc w:val="center"/>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4E4D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jc w:val="center"/>
        </w:trPr>
        <w:tc>
          <w:tcPr>
            <w:tcW w:w="1024" w:type="dxa"/>
            <w:tcBorders>
              <w:tl2br w:val="nil"/>
              <w:tr2bl w:val="nil"/>
            </w:tcBorders>
            <w:vAlign w:val="center"/>
          </w:tcPr>
          <w:p w14:paraId="6C116C48">
            <w:pPr>
              <w:ind w:firstLine="0" w:firstLineChars="0"/>
              <w:rPr>
                <w:rFonts w:ascii="宋体"/>
                <w:color w:val="auto"/>
                <w:szCs w:val="24"/>
                <w:highlight w:val="none"/>
              </w:rPr>
            </w:pPr>
            <w:r>
              <w:rPr>
                <w:rFonts w:hint="eastAsia" w:ascii="宋体"/>
                <w:color w:val="auto"/>
                <w:szCs w:val="24"/>
                <w:highlight w:val="none"/>
              </w:rPr>
              <w:t>4.5.6</w:t>
            </w:r>
          </w:p>
        </w:tc>
        <w:tc>
          <w:tcPr>
            <w:tcW w:w="1588" w:type="dxa"/>
            <w:tcBorders>
              <w:tl2br w:val="nil"/>
              <w:tr2bl w:val="nil"/>
            </w:tcBorders>
            <w:vAlign w:val="center"/>
          </w:tcPr>
          <w:p w14:paraId="7D1FB53B">
            <w:pPr>
              <w:ind w:firstLine="0" w:firstLineChars="0"/>
              <w:rPr>
                <w:rFonts w:ascii="宋体"/>
                <w:color w:val="auto"/>
                <w:szCs w:val="24"/>
                <w:highlight w:val="none"/>
              </w:rPr>
            </w:pPr>
            <w:r>
              <w:rPr>
                <w:rFonts w:hint="eastAsia" w:ascii="宋体"/>
                <w:color w:val="auto"/>
                <w:szCs w:val="24"/>
                <w:highlight w:val="none"/>
              </w:rPr>
              <w:t>响应要求</w:t>
            </w:r>
          </w:p>
        </w:tc>
        <w:tc>
          <w:tcPr>
            <w:tcW w:w="6285" w:type="dxa"/>
            <w:tcBorders>
              <w:tl2br w:val="nil"/>
              <w:tr2bl w:val="nil"/>
            </w:tcBorders>
            <w:vAlign w:val="center"/>
          </w:tcPr>
          <w:p w14:paraId="231D66A3">
            <w:pPr>
              <w:jc w:val="center"/>
              <w:rPr>
                <w:rFonts w:ascii="宋体"/>
                <w:color w:val="auto"/>
                <w:szCs w:val="24"/>
                <w:highlight w:val="none"/>
              </w:rPr>
            </w:pPr>
            <w:r>
              <w:rPr>
                <w:rFonts w:hint="eastAsia" w:ascii="宋体"/>
                <w:color w:val="auto"/>
                <w:szCs w:val="24"/>
                <w:highlight w:val="none"/>
              </w:rPr>
              <w:t>要求按服务水平和指标及时响应：</w:t>
            </w:r>
          </w:p>
          <w:p w14:paraId="7BA88387">
            <w:pPr>
              <w:jc w:val="center"/>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00B9E09D">
            <w:pPr>
              <w:jc w:val="center"/>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3F6E54C7">
            <w:pPr>
              <w:jc w:val="center"/>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542E9134">
            <w:pPr>
              <w:jc w:val="center"/>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5F60EFB7">
      <w:pPr>
        <w:rPr>
          <w:rFonts w:ascii="宋体"/>
          <w:b/>
          <w:bCs/>
          <w:color w:val="auto"/>
          <w:kern w:val="32"/>
          <w:szCs w:val="24"/>
          <w:highlight w:val="none"/>
        </w:rPr>
      </w:pPr>
      <w:bookmarkStart w:id="288" w:name="_Toc254884645"/>
      <w:r>
        <w:rPr>
          <w:rFonts w:hint="eastAsia" w:ascii="宋体"/>
          <w:b/>
          <w:bCs/>
          <w:color w:val="auto"/>
          <w:kern w:val="32"/>
          <w:szCs w:val="24"/>
          <w:highlight w:val="none"/>
        </w:rPr>
        <w:t>5. 问题管理流程</w:t>
      </w:r>
      <w:bookmarkEnd w:id="288"/>
    </w:p>
    <w:p w14:paraId="00459385">
      <w:pPr>
        <w:rPr>
          <w:rFonts w:ascii="宋体"/>
          <w:b/>
          <w:bCs/>
          <w:color w:val="auto"/>
          <w:kern w:val="32"/>
          <w:szCs w:val="24"/>
          <w:highlight w:val="none"/>
        </w:rPr>
      </w:pPr>
      <w:bookmarkStart w:id="289" w:name="_Toc254884646"/>
      <w:r>
        <w:rPr>
          <w:rFonts w:hint="eastAsia" w:ascii="宋体"/>
          <w:b/>
          <w:bCs/>
          <w:color w:val="auto"/>
          <w:kern w:val="32"/>
          <w:szCs w:val="24"/>
          <w:highlight w:val="none"/>
        </w:rPr>
        <w:t>5.1问题处理流程</w:t>
      </w:r>
      <w:bookmarkEnd w:id="289"/>
    </w:p>
    <w:p w14:paraId="2CCDAA5F">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7526BB10">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590DA05C">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383D4215">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78027D4D">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0573FE46">
      <w:pPr>
        <w:rPr>
          <w:rFonts w:ascii="宋体"/>
          <w:b/>
          <w:bCs/>
          <w:color w:val="auto"/>
          <w:kern w:val="32"/>
          <w:szCs w:val="24"/>
          <w:highlight w:val="none"/>
        </w:rPr>
      </w:pPr>
      <w:bookmarkStart w:id="290" w:name="_Toc254884647"/>
      <w:r>
        <w:rPr>
          <w:rFonts w:hint="eastAsia" w:ascii="宋体"/>
          <w:b/>
          <w:bCs/>
          <w:color w:val="auto"/>
          <w:kern w:val="32"/>
          <w:szCs w:val="24"/>
          <w:highlight w:val="none"/>
        </w:rPr>
        <w:t>5.2问题升级流程</w:t>
      </w:r>
      <w:bookmarkEnd w:id="290"/>
    </w:p>
    <w:p w14:paraId="353D3742">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甲方或者乙方都有可能首先提出该流程；</w:t>
      </w:r>
    </w:p>
    <w:p w14:paraId="2FEB3B9D">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05ED42BC">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4BBFE052">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6C520D6E">
      <w:pPr>
        <w:rPr>
          <w:rFonts w:ascii="宋体"/>
          <w:b/>
          <w:bCs/>
          <w:color w:val="auto"/>
          <w:kern w:val="32"/>
          <w:szCs w:val="24"/>
          <w:highlight w:val="none"/>
        </w:rPr>
      </w:pPr>
      <w:bookmarkStart w:id="291" w:name="_Toc254884648"/>
      <w:r>
        <w:rPr>
          <w:rFonts w:hint="eastAsia" w:ascii="宋体"/>
          <w:b/>
          <w:bCs/>
          <w:color w:val="auto"/>
          <w:kern w:val="32"/>
          <w:szCs w:val="24"/>
          <w:highlight w:val="none"/>
        </w:rPr>
        <w:t>5.3联络表</w:t>
      </w:r>
      <w:bookmarkEnd w:id="291"/>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33DD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74F9E34">
            <w:pPr>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0EE7FAB2">
            <w:pPr>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D012B8B">
            <w:pPr>
              <w:jc w:val="center"/>
              <w:rPr>
                <w:rFonts w:ascii="宋体"/>
                <w:b/>
                <w:color w:val="auto"/>
                <w:szCs w:val="24"/>
                <w:highlight w:val="none"/>
              </w:rPr>
            </w:pPr>
            <w:r>
              <w:rPr>
                <w:rFonts w:hint="eastAsia" w:ascii="宋体"/>
                <w:b/>
                <w:color w:val="auto"/>
                <w:szCs w:val="24"/>
                <w:highlight w:val="none"/>
              </w:rPr>
              <w:t>电话</w:t>
            </w:r>
          </w:p>
        </w:tc>
      </w:tr>
      <w:tr w14:paraId="5967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F0A819D">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EF8CF25">
            <w:pPr>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F1C69CB">
            <w:pPr>
              <w:jc w:val="center"/>
              <w:rPr>
                <w:rFonts w:ascii="宋体"/>
                <w:color w:val="auto"/>
                <w:szCs w:val="24"/>
                <w:highlight w:val="none"/>
              </w:rPr>
            </w:pPr>
          </w:p>
        </w:tc>
      </w:tr>
      <w:tr w14:paraId="555E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9AF2B54">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26479C8">
            <w:pPr>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539D387">
            <w:pPr>
              <w:jc w:val="center"/>
              <w:rPr>
                <w:rFonts w:ascii="宋体"/>
                <w:color w:val="auto"/>
                <w:szCs w:val="24"/>
                <w:highlight w:val="none"/>
              </w:rPr>
            </w:pPr>
          </w:p>
        </w:tc>
      </w:tr>
      <w:tr w14:paraId="6F74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A84A6D6">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1C4EF2F">
            <w:pPr>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1F625EA">
            <w:pPr>
              <w:jc w:val="center"/>
              <w:rPr>
                <w:rFonts w:ascii="宋体"/>
                <w:color w:val="auto"/>
                <w:szCs w:val="24"/>
                <w:highlight w:val="none"/>
              </w:rPr>
            </w:pPr>
          </w:p>
        </w:tc>
      </w:tr>
      <w:tr w14:paraId="29CF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AA8B5CD">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11A409B">
            <w:pPr>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516556A">
            <w:pPr>
              <w:jc w:val="center"/>
              <w:rPr>
                <w:rFonts w:ascii="宋体"/>
                <w:color w:val="auto"/>
                <w:szCs w:val="24"/>
                <w:highlight w:val="none"/>
              </w:rPr>
            </w:pPr>
          </w:p>
        </w:tc>
      </w:tr>
    </w:tbl>
    <w:p w14:paraId="79C12951">
      <w:pPr>
        <w:rPr>
          <w:rFonts w:ascii="宋体"/>
          <w:b/>
          <w:bCs/>
          <w:color w:val="auto"/>
          <w:kern w:val="32"/>
          <w:szCs w:val="24"/>
          <w:highlight w:val="none"/>
        </w:rPr>
      </w:pPr>
      <w:bookmarkStart w:id="292"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292"/>
    </w:p>
    <w:p w14:paraId="5DFA4F1D">
      <w:pPr>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5D6541DB">
      <w:pPr>
        <w:rPr>
          <w:rFonts w:ascii="宋体"/>
          <w:b/>
          <w:bCs/>
          <w:color w:val="auto"/>
          <w:kern w:val="32"/>
          <w:szCs w:val="24"/>
          <w:highlight w:val="none"/>
        </w:rPr>
      </w:pPr>
      <w:bookmarkStart w:id="293" w:name="_Toc254884650"/>
      <w:r>
        <w:rPr>
          <w:rFonts w:hint="eastAsia" w:ascii="宋体"/>
          <w:b/>
          <w:bCs/>
          <w:color w:val="auto"/>
          <w:kern w:val="32"/>
          <w:szCs w:val="24"/>
          <w:highlight w:val="none"/>
        </w:rPr>
        <w:t>7. 服务水平和指标</w:t>
      </w:r>
      <w:bookmarkEnd w:id="293"/>
    </w:p>
    <w:p w14:paraId="2CCE92D0">
      <w:pPr>
        <w:rPr>
          <w:rFonts w:ascii="宋体"/>
          <w:color w:val="auto"/>
          <w:szCs w:val="24"/>
          <w:highlight w:val="none"/>
        </w:rPr>
      </w:pPr>
      <w:r>
        <w:rPr>
          <w:rFonts w:hint="eastAsia" w:ascii="宋体"/>
          <w:color w:val="auto"/>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4A84AA4">
      <w:pPr>
        <w:rPr>
          <w:rFonts w:ascii="宋体"/>
          <w:color w:val="auto"/>
          <w:szCs w:val="24"/>
          <w:highlight w:val="none"/>
        </w:rPr>
        <w:sectPr>
          <w:footerReference r:id="rId11" w:type="default"/>
          <w:pgSz w:w="11906" w:h="16838"/>
          <w:pgMar w:top="1384" w:right="1800" w:bottom="1440" w:left="1800" w:header="851" w:footer="992" w:gutter="0"/>
          <w:cols w:space="720" w:num="1"/>
          <w:docGrid w:type="lines" w:linePitch="326" w:charSpace="6144"/>
        </w:sectPr>
      </w:pPr>
    </w:p>
    <w:tbl>
      <w:tblPr>
        <w:tblStyle w:val="20"/>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14:paraId="01B0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40D4151">
            <w:pPr>
              <w:spacing w:line="240" w:lineRule="auto"/>
              <w:ind w:firstLine="0" w:firstLineChars="0"/>
              <w:jc w:val="center"/>
              <w:rPr>
                <w:rFonts w:ascii="宋体"/>
                <w:b/>
                <w:color w:val="auto"/>
                <w:szCs w:val="21"/>
                <w:highlight w:val="none"/>
              </w:rPr>
            </w:pPr>
            <w:r>
              <w:rPr>
                <w:rFonts w:ascii="宋体"/>
                <w:b/>
                <w:color w:val="auto"/>
                <w:szCs w:val="21"/>
                <w:highlight w:val="none"/>
              </w:rPr>
              <w:t>序号</w:t>
            </w:r>
          </w:p>
        </w:tc>
        <w:tc>
          <w:tcPr>
            <w:tcW w:w="1134" w:type="dxa"/>
            <w:vAlign w:val="center"/>
          </w:tcPr>
          <w:p w14:paraId="55B1E037">
            <w:pPr>
              <w:spacing w:line="240" w:lineRule="auto"/>
              <w:ind w:firstLine="0" w:firstLineChars="0"/>
              <w:jc w:val="center"/>
              <w:rPr>
                <w:rFonts w:ascii="宋体"/>
                <w:b/>
                <w:color w:val="auto"/>
                <w:szCs w:val="21"/>
                <w:highlight w:val="none"/>
              </w:rPr>
            </w:pPr>
            <w:r>
              <w:rPr>
                <w:rFonts w:ascii="宋体"/>
                <w:b/>
                <w:color w:val="auto"/>
                <w:szCs w:val="21"/>
                <w:highlight w:val="none"/>
              </w:rPr>
              <w:t>评价维度</w:t>
            </w:r>
          </w:p>
        </w:tc>
        <w:tc>
          <w:tcPr>
            <w:tcW w:w="1559" w:type="dxa"/>
            <w:vAlign w:val="center"/>
          </w:tcPr>
          <w:p w14:paraId="05E37657">
            <w:pPr>
              <w:spacing w:line="240" w:lineRule="auto"/>
              <w:ind w:firstLine="0" w:firstLineChars="0"/>
              <w:jc w:val="center"/>
              <w:rPr>
                <w:rFonts w:ascii="宋体"/>
                <w:b/>
                <w:color w:val="auto"/>
                <w:szCs w:val="21"/>
                <w:highlight w:val="none"/>
              </w:rPr>
            </w:pPr>
            <w:r>
              <w:rPr>
                <w:rFonts w:ascii="宋体"/>
                <w:b/>
                <w:color w:val="auto"/>
                <w:szCs w:val="21"/>
                <w:highlight w:val="none"/>
              </w:rPr>
              <w:t>评价指标</w:t>
            </w:r>
          </w:p>
        </w:tc>
        <w:tc>
          <w:tcPr>
            <w:tcW w:w="2268" w:type="dxa"/>
            <w:vAlign w:val="center"/>
          </w:tcPr>
          <w:p w14:paraId="4052BF74">
            <w:pPr>
              <w:spacing w:line="240" w:lineRule="auto"/>
              <w:ind w:firstLine="0" w:firstLineChars="0"/>
              <w:jc w:val="center"/>
              <w:rPr>
                <w:rFonts w:ascii="宋体"/>
                <w:b/>
                <w:color w:val="auto"/>
                <w:szCs w:val="21"/>
                <w:highlight w:val="none"/>
              </w:rPr>
            </w:pPr>
            <w:r>
              <w:rPr>
                <w:rFonts w:ascii="宋体"/>
                <w:b/>
                <w:color w:val="auto"/>
                <w:szCs w:val="21"/>
                <w:highlight w:val="none"/>
              </w:rPr>
              <w:t>指标定义</w:t>
            </w:r>
          </w:p>
        </w:tc>
        <w:tc>
          <w:tcPr>
            <w:tcW w:w="3686" w:type="dxa"/>
            <w:vAlign w:val="center"/>
          </w:tcPr>
          <w:p w14:paraId="00D7A602">
            <w:pPr>
              <w:spacing w:line="240" w:lineRule="auto"/>
              <w:ind w:firstLine="0" w:firstLineChars="0"/>
              <w:jc w:val="center"/>
              <w:rPr>
                <w:rFonts w:ascii="宋体"/>
                <w:b/>
                <w:color w:val="auto"/>
                <w:szCs w:val="21"/>
                <w:highlight w:val="none"/>
              </w:rPr>
            </w:pPr>
            <w:r>
              <w:rPr>
                <w:rFonts w:ascii="宋体"/>
                <w:b/>
                <w:color w:val="auto"/>
                <w:szCs w:val="21"/>
                <w:highlight w:val="none"/>
              </w:rPr>
              <w:t>评分</w:t>
            </w:r>
            <w:r>
              <w:rPr>
                <w:rFonts w:hint="eastAsia" w:ascii="宋体"/>
                <w:b/>
                <w:color w:val="auto"/>
                <w:szCs w:val="21"/>
                <w:highlight w:val="none"/>
              </w:rPr>
              <w:t>/价</w:t>
            </w:r>
            <w:r>
              <w:rPr>
                <w:rFonts w:ascii="宋体"/>
                <w:b/>
                <w:color w:val="auto"/>
                <w:szCs w:val="21"/>
                <w:highlight w:val="none"/>
              </w:rPr>
              <w:t>标准</w:t>
            </w:r>
          </w:p>
        </w:tc>
        <w:tc>
          <w:tcPr>
            <w:tcW w:w="2410" w:type="dxa"/>
            <w:vAlign w:val="center"/>
          </w:tcPr>
          <w:p w14:paraId="49F34EB7">
            <w:pPr>
              <w:spacing w:line="240" w:lineRule="auto"/>
              <w:ind w:firstLine="0" w:firstLineChars="0"/>
              <w:jc w:val="center"/>
              <w:rPr>
                <w:rFonts w:ascii="宋体"/>
                <w:b/>
                <w:color w:val="auto"/>
                <w:szCs w:val="21"/>
                <w:highlight w:val="none"/>
              </w:rPr>
            </w:pPr>
            <w:r>
              <w:rPr>
                <w:rFonts w:hint="eastAsia" w:ascii="宋体"/>
                <w:b/>
                <w:color w:val="auto"/>
                <w:szCs w:val="21"/>
                <w:highlight w:val="none"/>
              </w:rPr>
              <w:t>违约金标准</w:t>
            </w:r>
          </w:p>
        </w:tc>
        <w:tc>
          <w:tcPr>
            <w:tcW w:w="1134" w:type="dxa"/>
            <w:vAlign w:val="center"/>
          </w:tcPr>
          <w:p w14:paraId="1AA7F0D6">
            <w:pPr>
              <w:spacing w:line="240" w:lineRule="auto"/>
              <w:ind w:firstLine="0" w:firstLineChars="0"/>
              <w:jc w:val="center"/>
              <w:rPr>
                <w:rFonts w:ascii="宋体"/>
                <w:b/>
                <w:color w:val="auto"/>
                <w:szCs w:val="21"/>
                <w:highlight w:val="none"/>
              </w:rPr>
            </w:pPr>
            <w:r>
              <w:rPr>
                <w:rFonts w:ascii="宋体"/>
                <w:b/>
                <w:color w:val="auto"/>
                <w:szCs w:val="21"/>
                <w:highlight w:val="none"/>
              </w:rPr>
              <w:t>评价结果</w:t>
            </w:r>
          </w:p>
        </w:tc>
        <w:tc>
          <w:tcPr>
            <w:tcW w:w="1086" w:type="dxa"/>
            <w:vAlign w:val="center"/>
          </w:tcPr>
          <w:p w14:paraId="24A44F30">
            <w:pPr>
              <w:spacing w:line="240" w:lineRule="auto"/>
              <w:ind w:firstLine="0" w:firstLineChars="0"/>
              <w:jc w:val="center"/>
              <w:rPr>
                <w:rFonts w:ascii="宋体"/>
                <w:b/>
                <w:color w:val="auto"/>
                <w:szCs w:val="21"/>
                <w:highlight w:val="none"/>
              </w:rPr>
            </w:pPr>
            <w:r>
              <w:rPr>
                <w:rFonts w:ascii="宋体"/>
                <w:b/>
                <w:color w:val="auto"/>
                <w:szCs w:val="21"/>
                <w:highlight w:val="none"/>
              </w:rPr>
              <w:t>评价得分</w:t>
            </w:r>
          </w:p>
        </w:tc>
      </w:tr>
      <w:tr w14:paraId="1238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80B8308">
            <w:pPr>
              <w:spacing w:line="240" w:lineRule="auto"/>
              <w:ind w:firstLine="0" w:firstLineChars="0"/>
              <w:jc w:val="center"/>
              <w:rPr>
                <w:rFonts w:ascii="宋体"/>
                <w:color w:val="auto"/>
                <w:szCs w:val="21"/>
                <w:highlight w:val="none"/>
              </w:rPr>
            </w:pPr>
            <w:r>
              <w:rPr>
                <w:rFonts w:hint="eastAsia" w:ascii="宋体"/>
                <w:color w:val="auto"/>
                <w:szCs w:val="21"/>
                <w:highlight w:val="none"/>
              </w:rPr>
              <w:t>1</w:t>
            </w:r>
          </w:p>
        </w:tc>
        <w:tc>
          <w:tcPr>
            <w:tcW w:w="1134" w:type="dxa"/>
            <w:vMerge w:val="restart"/>
            <w:tcBorders>
              <w:left w:val="single" w:color="auto" w:sz="4" w:space="0"/>
            </w:tcBorders>
            <w:vAlign w:val="center"/>
          </w:tcPr>
          <w:p w14:paraId="7E300417">
            <w:pPr>
              <w:spacing w:line="240" w:lineRule="auto"/>
              <w:ind w:firstLine="0" w:firstLineChars="0"/>
              <w:jc w:val="both"/>
              <w:rPr>
                <w:rFonts w:ascii="宋体"/>
                <w:color w:val="auto"/>
                <w:szCs w:val="21"/>
                <w:highlight w:val="none"/>
              </w:rPr>
            </w:pPr>
            <w:r>
              <w:rPr>
                <w:rFonts w:hint="eastAsia" w:ascii="宋体"/>
                <w:color w:val="auto"/>
                <w:szCs w:val="21"/>
                <w:highlight w:val="none"/>
              </w:rPr>
              <w:t>服务质量</w:t>
            </w:r>
          </w:p>
        </w:tc>
        <w:tc>
          <w:tcPr>
            <w:tcW w:w="1559" w:type="dxa"/>
            <w:tcBorders>
              <w:left w:val="single" w:color="auto" w:sz="4" w:space="0"/>
            </w:tcBorders>
            <w:vAlign w:val="center"/>
          </w:tcPr>
          <w:p w14:paraId="09D2C362">
            <w:pPr>
              <w:spacing w:line="240" w:lineRule="auto"/>
              <w:ind w:firstLine="0" w:firstLineChars="0"/>
              <w:rPr>
                <w:rFonts w:ascii="宋体"/>
                <w:color w:val="auto"/>
                <w:szCs w:val="21"/>
                <w:highlight w:val="none"/>
              </w:rPr>
            </w:pPr>
            <w:r>
              <w:rPr>
                <w:rFonts w:ascii="宋体"/>
                <w:color w:val="auto"/>
                <w:szCs w:val="21"/>
                <w:highlight w:val="none"/>
              </w:rPr>
              <w:t>交付成果质量</w:t>
            </w:r>
          </w:p>
        </w:tc>
        <w:tc>
          <w:tcPr>
            <w:tcW w:w="2268" w:type="dxa"/>
            <w:tcBorders>
              <w:left w:val="single" w:color="auto" w:sz="4" w:space="0"/>
            </w:tcBorders>
            <w:vAlign w:val="center"/>
          </w:tcPr>
          <w:p w14:paraId="06E0DDA0">
            <w:pPr>
              <w:spacing w:line="240" w:lineRule="auto"/>
              <w:ind w:firstLine="0" w:firstLineChars="0"/>
              <w:rPr>
                <w:rFonts w:ascii="宋体"/>
                <w:color w:val="auto"/>
                <w:szCs w:val="21"/>
                <w:highlight w:val="none"/>
              </w:rPr>
            </w:pPr>
            <w:r>
              <w:rPr>
                <w:rFonts w:ascii="宋体"/>
                <w:color w:val="auto"/>
                <w:szCs w:val="21"/>
                <w:highlight w:val="none"/>
              </w:rPr>
              <w:t>用于记录</w:t>
            </w:r>
            <w:r>
              <w:rPr>
                <w:rFonts w:hint="eastAsia" w:ascii="宋体"/>
                <w:color w:val="auto"/>
                <w:szCs w:val="21"/>
                <w:highlight w:val="none"/>
              </w:rPr>
              <w:t>乙方</w:t>
            </w:r>
            <w:r>
              <w:rPr>
                <w:rFonts w:ascii="宋体"/>
                <w:color w:val="auto"/>
                <w:szCs w:val="21"/>
                <w:highlight w:val="none"/>
              </w:rPr>
              <w:t>所提交的项目交付成果与</w:t>
            </w:r>
            <w:r>
              <w:rPr>
                <w:rFonts w:hint="eastAsia" w:ascii="宋体"/>
                <w:color w:val="auto"/>
                <w:szCs w:val="21"/>
                <w:highlight w:val="none"/>
              </w:rPr>
              <w:t>甲方</w:t>
            </w:r>
            <w:r>
              <w:rPr>
                <w:rFonts w:ascii="宋体"/>
                <w:color w:val="auto"/>
                <w:szCs w:val="21"/>
                <w:highlight w:val="none"/>
              </w:rPr>
              <w:t>要求的项目交付成果的契合度或交付成果质量与合同所约定要求的项目交付成果质量的满足程度</w:t>
            </w:r>
          </w:p>
        </w:tc>
        <w:tc>
          <w:tcPr>
            <w:tcW w:w="3686" w:type="dxa"/>
            <w:tcBorders>
              <w:left w:val="single" w:color="auto" w:sz="4" w:space="0"/>
            </w:tcBorders>
            <w:vAlign w:val="center"/>
          </w:tcPr>
          <w:p w14:paraId="5BC51B5E">
            <w:pPr>
              <w:spacing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能够主动快速与</w:t>
            </w:r>
            <w:r>
              <w:rPr>
                <w:rFonts w:hint="eastAsia" w:ascii="宋体"/>
                <w:color w:val="auto"/>
                <w:szCs w:val="21"/>
                <w:highlight w:val="none"/>
              </w:rPr>
              <w:t>甲方</w:t>
            </w:r>
            <w:r>
              <w:rPr>
                <w:rFonts w:ascii="宋体"/>
                <w:color w:val="auto"/>
                <w:szCs w:val="21"/>
                <w:highlight w:val="none"/>
              </w:rPr>
              <w:t>进行有效的沟通，交付成果高度契合需求，完全满足并超出合同约定的预期目标，给</w:t>
            </w:r>
            <w:r>
              <w:rPr>
                <w:rFonts w:hint="eastAsia" w:ascii="宋体"/>
                <w:color w:val="auto"/>
                <w:szCs w:val="21"/>
                <w:highlight w:val="none"/>
              </w:rPr>
              <w:t>甲方</w:t>
            </w:r>
            <w:r>
              <w:rPr>
                <w:rFonts w:ascii="宋体"/>
                <w:color w:val="auto"/>
                <w:szCs w:val="21"/>
                <w:highlight w:val="none"/>
              </w:rPr>
              <w:t>带来显著的附加价值</w:t>
            </w:r>
            <w:r>
              <w:rPr>
                <w:rFonts w:hint="eastAsia" w:ascii="宋体"/>
                <w:color w:val="auto"/>
                <w:szCs w:val="21"/>
                <w:highlight w:val="none"/>
              </w:rPr>
              <w:t>；</w:t>
            </w:r>
          </w:p>
          <w:p w14:paraId="5461CAC5">
            <w:pPr>
              <w:spacing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能够快速响应需求，交付成果达到合同约定的预期目标，基本契合需求，满足合同约定的预期目标</w:t>
            </w:r>
            <w:r>
              <w:rPr>
                <w:rFonts w:hint="eastAsia" w:ascii="宋体"/>
                <w:color w:val="auto"/>
                <w:szCs w:val="21"/>
                <w:highlight w:val="none"/>
              </w:rPr>
              <w:t>；</w:t>
            </w:r>
          </w:p>
          <w:p w14:paraId="23763FD0">
            <w:pPr>
              <w:spacing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能够按要求响应需求，交付成果</w:t>
            </w:r>
            <w:r>
              <w:rPr>
                <w:rFonts w:hint="eastAsia" w:ascii="宋体"/>
                <w:color w:val="auto"/>
                <w:szCs w:val="21"/>
                <w:highlight w:val="none"/>
              </w:rPr>
              <w:t>基本满足</w:t>
            </w:r>
            <w:r>
              <w:rPr>
                <w:rFonts w:ascii="宋体"/>
                <w:color w:val="auto"/>
                <w:szCs w:val="21"/>
                <w:highlight w:val="none"/>
              </w:rPr>
              <w:t>需求，但是总体可满足合同约定的预期目标</w:t>
            </w:r>
            <w:r>
              <w:rPr>
                <w:rFonts w:hint="eastAsia" w:ascii="宋体"/>
                <w:color w:val="auto"/>
                <w:szCs w:val="21"/>
                <w:highlight w:val="none"/>
              </w:rPr>
              <w:t>；</w:t>
            </w:r>
          </w:p>
          <w:p w14:paraId="506392C8">
            <w:pPr>
              <w:spacing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w:t>
            </w:r>
            <w:r>
              <w:rPr>
                <w:rFonts w:hint="eastAsia" w:ascii="宋体"/>
                <w:color w:val="auto"/>
                <w:szCs w:val="21"/>
                <w:highlight w:val="none"/>
              </w:rPr>
              <w:t>乙方未</w:t>
            </w:r>
            <w:r>
              <w:rPr>
                <w:rFonts w:ascii="宋体"/>
                <w:color w:val="auto"/>
                <w:szCs w:val="21"/>
                <w:highlight w:val="none"/>
              </w:rPr>
              <w:t>能够按要求响应需求，</w:t>
            </w:r>
            <w:r>
              <w:rPr>
                <w:rFonts w:hint="eastAsia" w:ascii="宋体"/>
                <w:color w:val="auto"/>
                <w:szCs w:val="21"/>
                <w:highlight w:val="none"/>
              </w:rPr>
              <w:t>或</w:t>
            </w:r>
            <w:r>
              <w:rPr>
                <w:rFonts w:ascii="宋体"/>
                <w:color w:val="auto"/>
                <w:szCs w:val="21"/>
                <w:highlight w:val="none"/>
              </w:rPr>
              <w:t>交付成果与需求</w:t>
            </w:r>
            <w:r>
              <w:rPr>
                <w:rFonts w:hint="eastAsia" w:ascii="宋体"/>
                <w:color w:val="auto"/>
                <w:szCs w:val="21"/>
                <w:highlight w:val="none"/>
              </w:rPr>
              <w:t>契合度</w:t>
            </w:r>
            <w:r>
              <w:rPr>
                <w:rFonts w:ascii="宋体"/>
                <w:color w:val="auto"/>
                <w:szCs w:val="21"/>
                <w:highlight w:val="none"/>
              </w:rPr>
              <w:t>差距较大，无法达到合同约定的预期目标</w:t>
            </w:r>
            <w:r>
              <w:rPr>
                <w:rFonts w:hint="eastAsia" w:ascii="宋体"/>
                <w:color w:val="auto"/>
                <w:szCs w:val="21"/>
                <w:highlight w:val="none"/>
              </w:rPr>
              <w:t>。</w:t>
            </w:r>
          </w:p>
        </w:tc>
        <w:tc>
          <w:tcPr>
            <w:tcW w:w="2410" w:type="dxa"/>
            <w:tcBorders>
              <w:left w:val="single" w:color="auto" w:sz="4" w:space="0"/>
            </w:tcBorders>
            <w:vAlign w:val="center"/>
          </w:tcPr>
          <w:p w14:paraId="5E1576C6">
            <w:pPr>
              <w:spacing w:line="240" w:lineRule="auto"/>
              <w:ind w:firstLine="0" w:firstLineChars="0"/>
              <w:rPr>
                <w:rFonts w:ascii="宋体"/>
                <w:color w:val="auto"/>
                <w:szCs w:val="21"/>
                <w:highlight w:val="none"/>
              </w:rPr>
            </w:pPr>
            <w:r>
              <w:rPr>
                <w:rFonts w:hint="eastAsia" w:ascii="宋体"/>
                <w:color w:val="auto"/>
                <w:szCs w:val="21"/>
                <w:highlight w:val="none"/>
              </w:rPr>
              <w:t>交付成果每缺少一项扣除乙方金额人民币2</w:t>
            </w:r>
            <w:r>
              <w:rPr>
                <w:rFonts w:ascii="宋体"/>
                <w:color w:val="auto"/>
                <w:szCs w:val="21"/>
                <w:highlight w:val="none"/>
              </w:rPr>
              <w:t>000</w:t>
            </w:r>
            <w:r>
              <w:rPr>
                <w:rFonts w:hint="eastAsia" w:ascii="宋体"/>
                <w:color w:val="auto"/>
                <w:szCs w:val="21"/>
                <w:highlight w:val="none"/>
              </w:rPr>
              <w:t>元；每有一项交付成果质量不合格扣除乙方金额人民币2</w:t>
            </w:r>
            <w:r>
              <w:rPr>
                <w:rFonts w:ascii="宋体"/>
                <w:color w:val="auto"/>
                <w:szCs w:val="21"/>
                <w:highlight w:val="none"/>
              </w:rPr>
              <w:t>000</w:t>
            </w:r>
            <w:r>
              <w:rPr>
                <w:rFonts w:hint="eastAsia" w:ascii="宋体"/>
                <w:color w:val="auto"/>
                <w:szCs w:val="21"/>
                <w:highlight w:val="none"/>
              </w:rPr>
              <w:t>元。</w:t>
            </w:r>
          </w:p>
        </w:tc>
        <w:tc>
          <w:tcPr>
            <w:tcW w:w="1134" w:type="dxa"/>
            <w:tcBorders>
              <w:left w:val="single" w:color="auto" w:sz="4" w:space="0"/>
            </w:tcBorders>
            <w:vAlign w:val="center"/>
          </w:tcPr>
          <w:p w14:paraId="39D1A581">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5FD332DE">
            <w:pPr>
              <w:spacing w:line="240" w:lineRule="auto"/>
              <w:ind w:firstLine="0" w:firstLineChars="0"/>
              <w:jc w:val="both"/>
              <w:rPr>
                <w:rFonts w:ascii="宋体"/>
                <w:color w:val="auto"/>
                <w:szCs w:val="21"/>
                <w:highlight w:val="none"/>
              </w:rPr>
            </w:pPr>
          </w:p>
        </w:tc>
      </w:tr>
      <w:tr w14:paraId="37DA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E4FDF61">
            <w:pPr>
              <w:spacing w:line="240" w:lineRule="auto"/>
              <w:ind w:firstLine="0" w:firstLineChars="0"/>
              <w:jc w:val="center"/>
              <w:rPr>
                <w:rFonts w:ascii="宋体"/>
                <w:color w:val="auto"/>
                <w:szCs w:val="21"/>
                <w:highlight w:val="none"/>
              </w:rPr>
            </w:pPr>
            <w:r>
              <w:rPr>
                <w:rFonts w:hint="eastAsia" w:ascii="宋体"/>
                <w:color w:val="auto"/>
                <w:szCs w:val="21"/>
                <w:highlight w:val="none"/>
              </w:rPr>
              <w:t>2</w:t>
            </w:r>
          </w:p>
        </w:tc>
        <w:tc>
          <w:tcPr>
            <w:tcW w:w="1134" w:type="dxa"/>
            <w:vMerge w:val="continue"/>
            <w:tcBorders>
              <w:left w:val="single" w:color="auto" w:sz="4" w:space="0"/>
            </w:tcBorders>
            <w:vAlign w:val="center"/>
          </w:tcPr>
          <w:p w14:paraId="1D32D93E">
            <w:pPr>
              <w:rPr>
                <w:color w:val="auto"/>
                <w:highlight w:val="none"/>
              </w:rPr>
            </w:pPr>
          </w:p>
        </w:tc>
        <w:tc>
          <w:tcPr>
            <w:tcW w:w="1559" w:type="dxa"/>
            <w:tcBorders>
              <w:left w:val="single" w:color="auto" w:sz="4" w:space="0"/>
            </w:tcBorders>
            <w:vAlign w:val="center"/>
          </w:tcPr>
          <w:p w14:paraId="14D5F084">
            <w:pPr>
              <w:spacing w:line="240" w:lineRule="auto"/>
              <w:ind w:firstLine="0" w:firstLineChars="0"/>
              <w:rPr>
                <w:rFonts w:ascii="宋体"/>
                <w:color w:val="auto"/>
                <w:szCs w:val="21"/>
                <w:highlight w:val="none"/>
              </w:rPr>
            </w:pPr>
            <w:r>
              <w:rPr>
                <w:rFonts w:ascii="宋体"/>
                <w:color w:val="auto"/>
                <w:szCs w:val="21"/>
                <w:highlight w:val="none"/>
              </w:rPr>
              <w:t>成果交付延期情况</w:t>
            </w:r>
          </w:p>
        </w:tc>
        <w:tc>
          <w:tcPr>
            <w:tcW w:w="2268" w:type="dxa"/>
            <w:tcBorders>
              <w:left w:val="single" w:color="auto" w:sz="4" w:space="0"/>
            </w:tcBorders>
            <w:vAlign w:val="center"/>
          </w:tcPr>
          <w:p w14:paraId="2DE92105">
            <w:pPr>
              <w:spacing w:line="240" w:lineRule="auto"/>
              <w:ind w:firstLine="0" w:firstLineChars="0"/>
              <w:rPr>
                <w:rFonts w:ascii="宋体"/>
                <w:color w:val="auto"/>
                <w:szCs w:val="21"/>
                <w:highlight w:val="none"/>
              </w:rPr>
            </w:pPr>
            <w:r>
              <w:rPr>
                <w:rFonts w:ascii="宋体"/>
                <w:color w:val="auto"/>
                <w:szCs w:val="21"/>
                <w:highlight w:val="none"/>
              </w:rPr>
              <w:t>用于记录</w:t>
            </w:r>
            <w:r>
              <w:rPr>
                <w:rFonts w:hint="eastAsia" w:ascii="宋体"/>
                <w:color w:val="auto"/>
                <w:szCs w:val="21"/>
                <w:highlight w:val="none"/>
              </w:rPr>
              <w:t>因乙方原因导致</w:t>
            </w:r>
            <w:r>
              <w:rPr>
                <w:rFonts w:ascii="宋体"/>
                <w:color w:val="auto"/>
                <w:szCs w:val="21"/>
                <w:highlight w:val="none"/>
              </w:rPr>
              <w:t>项目交付成果时间与合同规定时间之间的差距</w:t>
            </w:r>
          </w:p>
        </w:tc>
        <w:tc>
          <w:tcPr>
            <w:tcW w:w="3686" w:type="dxa"/>
            <w:tcBorders>
              <w:left w:val="single" w:color="auto" w:sz="4" w:space="0"/>
            </w:tcBorders>
            <w:vAlign w:val="center"/>
          </w:tcPr>
          <w:p w14:paraId="31DCBB77">
            <w:pPr>
              <w:spacing w:line="240" w:lineRule="auto"/>
              <w:ind w:firstLine="0" w:firstLineChars="0"/>
              <w:rPr>
                <w:rFonts w:ascii="宋体"/>
                <w:color w:val="auto"/>
                <w:szCs w:val="21"/>
                <w:highlight w:val="none"/>
              </w:rPr>
            </w:pPr>
            <w:r>
              <w:rPr>
                <w:rFonts w:hint="eastAsia" w:ascii="宋体"/>
                <w:color w:val="auto"/>
                <w:szCs w:val="21"/>
                <w:highlight w:val="none"/>
              </w:rPr>
              <w:t>实</w:t>
            </w:r>
            <w:r>
              <w:rPr>
                <w:rFonts w:ascii="宋体"/>
                <w:color w:val="auto"/>
                <w:szCs w:val="21"/>
                <w:highlight w:val="none"/>
              </w:rPr>
              <w:t>际交付成果日期与合同约定交付日期之差</w:t>
            </w:r>
          </w:p>
          <w:p w14:paraId="346B2CC8">
            <w:pPr>
              <w:spacing w:line="240" w:lineRule="auto"/>
              <w:ind w:firstLine="0" w:firstLineChars="0"/>
              <w:rPr>
                <w:rFonts w:ascii="宋体"/>
                <w:color w:val="auto"/>
                <w:szCs w:val="21"/>
                <w:highlight w:val="none"/>
              </w:rPr>
            </w:pPr>
            <w:r>
              <w:rPr>
                <w:rFonts w:hint="eastAsia" w:ascii="宋体"/>
                <w:b/>
                <w:bCs/>
                <w:color w:val="auto"/>
                <w:szCs w:val="21"/>
                <w:highlight w:val="none"/>
              </w:rPr>
              <w:t>【得分上限5分】</w:t>
            </w:r>
          </w:p>
          <w:p w14:paraId="148BA126">
            <w:pPr>
              <w:spacing w:line="240" w:lineRule="auto"/>
              <w:ind w:firstLine="0" w:firstLineChars="0"/>
              <w:rPr>
                <w:rFonts w:ascii="宋体"/>
                <w:color w:val="auto"/>
                <w:szCs w:val="21"/>
                <w:highlight w:val="none"/>
              </w:rPr>
            </w:pPr>
            <w:r>
              <w:rPr>
                <w:rFonts w:hint="eastAsia" w:ascii="宋体"/>
                <w:b/>
                <w:bCs/>
                <w:color w:val="auto"/>
                <w:szCs w:val="21"/>
                <w:highlight w:val="none"/>
              </w:rPr>
              <w:t>无延期：</w:t>
            </w:r>
            <w:r>
              <w:rPr>
                <w:rFonts w:hint="eastAsia" w:ascii="宋体"/>
                <w:color w:val="auto"/>
                <w:szCs w:val="21"/>
                <w:highlight w:val="none"/>
              </w:rPr>
              <w:t>指未出现延期，该项指标满分；</w:t>
            </w:r>
          </w:p>
          <w:p w14:paraId="41A0164A">
            <w:pPr>
              <w:spacing w:line="240" w:lineRule="auto"/>
              <w:ind w:firstLine="0" w:firstLineChars="0"/>
              <w:rPr>
                <w:rFonts w:ascii="宋体"/>
                <w:color w:val="auto"/>
                <w:szCs w:val="21"/>
                <w:highlight w:val="none"/>
              </w:rPr>
            </w:pPr>
            <w:r>
              <w:rPr>
                <w:rFonts w:hint="eastAsia" w:ascii="宋体"/>
                <w:b/>
                <w:bCs/>
                <w:color w:val="auto"/>
                <w:szCs w:val="21"/>
                <w:highlight w:val="none"/>
              </w:rPr>
              <w:t>0＜延期≤3个月：</w:t>
            </w:r>
            <w:r>
              <w:rPr>
                <w:rFonts w:hint="eastAsia" w:ascii="宋体"/>
                <w:color w:val="auto"/>
                <w:szCs w:val="21"/>
                <w:highlight w:val="none"/>
              </w:rPr>
              <w:t>扣2分，指出现延期3个月</w:t>
            </w:r>
            <w:r>
              <w:rPr>
                <w:rFonts w:ascii="宋体"/>
                <w:color w:val="auto"/>
                <w:szCs w:val="21"/>
                <w:highlight w:val="none"/>
              </w:rPr>
              <w:t>（含）</w:t>
            </w:r>
            <w:r>
              <w:rPr>
                <w:rFonts w:hint="eastAsia" w:ascii="宋体"/>
                <w:color w:val="auto"/>
                <w:szCs w:val="21"/>
                <w:highlight w:val="none"/>
              </w:rPr>
              <w:t>以内；</w:t>
            </w:r>
          </w:p>
          <w:p w14:paraId="7C685D71">
            <w:pPr>
              <w:spacing w:line="240" w:lineRule="auto"/>
              <w:ind w:firstLine="0" w:firstLineChars="0"/>
              <w:rPr>
                <w:rFonts w:ascii="宋体"/>
                <w:color w:val="auto"/>
                <w:szCs w:val="21"/>
                <w:highlight w:val="none"/>
              </w:rPr>
            </w:pPr>
            <w:r>
              <w:rPr>
                <w:rFonts w:hint="eastAsia" w:ascii="宋体"/>
                <w:b/>
                <w:bCs/>
                <w:color w:val="auto"/>
                <w:szCs w:val="21"/>
                <w:highlight w:val="none"/>
              </w:rPr>
              <w:t>3＜延期≤6个月：</w:t>
            </w:r>
            <w:r>
              <w:rPr>
                <w:rFonts w:hint="eastAsia" w:ascii="宋体"/>
                <w:color w:val="auto"/>
                <w:szCs w:val="21"/>
                <w:highlight w:val="none"/>
              </w:rPr>
              <w:t>扣3分，指出现延期大于3个月且小于等于6个月；</w:t>
            </w:r>
          </w:p>
          <w:p w14:paraId="1D30AD3B">
            <w:pPr>
              <w:spacing w:line="240" w:lineRule="auto"/>
              <w:ind w:firstLine="0" w:firstLineChars="0"/>
              <w:rPr>
                <w:rFonts w:ascii="宋体"/>
                <w:b/>
                <w:bCs/>
                <w:color w:val="auto"/>
                <w:szCs w:val="21"/>
                <w:highlight w:val="none"/>
              </w:rPr>
            </w:pPr>
            <w:r>
              <w:rPr>
                <w:rFonts w:hint="eastAsia" w:ascii="宋体"/>
                <w:b/>
                <w:bCs/>
                <w:color w:val="auto"/>
                <w:szCs w:val="21"/>
                <w:highlight w:val="none"/>
              </w:rPr>
              <w:t>延期6个月以上：</w:t>
            </w:r>
            <w:r>
              <w:rPr>
                <w:rFonts w:hint="eastAsia" w:ascii="宋体"/>
                <w:color w:val="auto"/>
                <w:szCs w:val="21"/>
                <w:highlight w:val="none"/>
              </w:rPr>
              <w:t>扣5分，指出现延期6个月以上。</w:t>
            </w:r>
          </w:p>
        </w:tc>
        <w:tc>
          <w:tcPr>
            <w:tcW w:w="2410" w:type="dxa"/>
            <w:tcBorders>
              <w:left w:val="single" w:color="auto" w:sz="4" w:space="0"/>
            </w:tcBorders>
            <w:vAlign w:val="center"/>
          </w:tcPr>
          <w:p w14:paraId="4DAC74DE">
            <w:pPr>
              <w:spacing w:line="240" w:lineRule="auto"/>
              <w:ind w:firstLine="0" w:firstLineChars="0"/>
              <w:rPr>
                <w:rFonts w:ascii="宋体"/>
                <w:b/>
                <w:bCs/>
                <w:color w:val="auto"/>
                <w:szCs w:val="21"/>
                <w:highlight w:val="none"/>
              </w:rPr>
            </w:pPr>
            <w:r>
              <w:rPr>
                <w:rFonts w:hint="eastAsia" w:ascii="宋体"/>
                <w:color w:val="auto"/>
                <w:szCs w:val="21"/>
                <w:highlight w:val="none"/>
              </w:rPr>
              <w:t>若延期超过1个月，每延期增加一天扣除合同总金额的0.1%（注：最多扣除不超过合同总金额的10%）。</w:t>
            </w:r>
          </w:p>
        </w:tc>
        <w:tc>
          <w:tcPr>
            <w:tcW w:w="1134" w:type="dxa"/>
            <w:tcBorders>
              <w:left w:val="single" w:color="auto" w:sz="4" w:space="0"/>
            </w:tcBorders>
            <w:vAlign w:val="center"/>
          </w:tcPr>
          <w:p w14:paraId="620206DC">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33C7B4D6">
            <w:pPr>
              <w:spacing w:line="240" w:lineRule="auto"/>
              <w:ind w:firstLine="0" w:firstLineChars="0"/>
              <w:jc w:val="both"/>
              <w:rPr>
                <w:rFonts w:ascii="宋体"/>
                <w:color w:val="auto"/>
                <w:szCs w:val="21"/>
                <w:highlight w:val="none"/>
              </w:rPr>
            </w:pPr>
          </w:p>
        </w:tc>
      </w:tr>
      <w:tr w14:paraId="0F97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DD6DB1A">
            <w:pPr>
              <w:spacing w:line="240" w:lineRule="auto"/>
              <w:ind w:firstLine="0" w:firstLineChars="0"/>
              <w:jc w:val="center"/>
              <w:rPr>
                <w:rFonts w:ascii="宋体"/>
                <w:color w:val="auto"/>
                <w:szCs w:val="21"/>
                <w:highlight w:val="none"/>
              </w:rPr>
            </w:pPr>
            <w:r>
              <w:rPr>
                <w:rFonts w:hint="eastAsia" w:ascii="宋体"/>
                <w:color w:val="auto"/>
                <w:szCs w:val="21"/>
                <w:highlight w:val="none"/>
              </w:rPr>
              <w:t>3</w:t>
            </w:r>
          </w:p>
        </w:tc>
        <w:tc>
          <w:tcPr>
            <w:tcW w:w="1134" w:type="dxa"/>
            <w:vMerge w:val="continue"/>
            <w:tcBorders>
              <w:left w:val="single" w:color="auto" w:sz="4" w:space="0"/>
            </w:tcBorders>
            <w:vAlign w:val="center"/>
          </w:tcPr>
          <w:p w14:paraId="4FD73B5F">
            <w:pPr>
              <w:rPr>
                <w:color w:val="auto"/>
                <w:highlight w:val="none"/>
              </w:rPr>
            </w:pPr>
          </w:p>
        </w:tc>
        <w:tc>
          <w:tcPr>
            <w:tcW w:w="1559" w:type="dxa"/>
            <w:tcBorders>
              <w:left w:val="single" w:color="auto" w:sz="4" w:space="0"/>
            </w:tcBorders>
            <w:vAlign w:val="center"/>
          </w:tcPr>
          <w:p w14:paraId="54BF5597">
            <w:pPr>
              <w:spacing w:line="240" w:lineRule="auto"/>
              <w:ind w:firstLine="0" w:firstLineChars="0"/>
              <w:rPr>
                <w:rFonts w:ascii="宋体"/>
                <w:color w:val="auto"/>
                <w:szCs w:val="21"/>
                <w:highlight w:val="none"/>
              </w:rPr>
            </w:pPr>
            <w:r>
              <w:rPr>
                <w:rFonts w:ascii="宋体"/>
                <w:color w:val="auto"/>
                <w:szCs w:val="21"/>
                <w:highlight w:val="none"/>
              </w:rPr>
              <w:t>产品缺陷密度</w:t>
            </w:r>
          </w:p>
        </w:tc>
        <w:tc>
          <w:tcPr>
            <w:tcW w:w="2268" w:type="dxa"/>
            <w:tcBorders>
              <w:left w:val="single" w:color="auto" w:sz="4" w:space="0"/>
            </w:tcBorders>
            <w:vAlign w:val="center"/>
          </w:tcPr>
          <w:p w14:paraId="326F003A">
            <w:pPr>
              <w:spacing w:line="240" w:lineRule="auto"/>
              <w:ind w:firstLine="0" w:firstLineChars="0"/>
              <w:rPr>
                <w:rFonts w:ascii="宋体"/>
                <w:color w:val="auto"/>
                <w:szCs w:val="21"/>
                <w:highlight w:val="none"/>
              </w:rPr>
            </w:pPr>
            <w:r>
              <w:rPr>
                <w:rFonts w:ascii="宋体"/>
                <w:color w:val="auto"/>
                <w:szCs w:val="21"/>
                <w:highlight w:val="none"/>
              </w:rPr>
              <w:t>用于记录统计周期内单位功能</w:t>
            </w:r>
            <w:r>
              <w:rPr>
                <w:rFonts w:hint="eastAsia" w:ascii="宋体"/>
                <w:color w:val="auto"/>
                <w:szCs w:val="21"/>
                <w:highlight w:val="none"/>
              </w:rPr>
              <w:t>（案例）</w:t>
            </w:r>
            <w:r>
              <w:rPr>
                <w:rFonts w:ascii="宋体"/>
                <w:color w:val="auto"/>
                <w:szCs w:val="21"/>
                <w:highlight w:val="none"/>
              </w:rPr>
              <w:t>点发现的缺陷数量</w:t>
            </w:r>
          </w:p>
        </w:tc>
        <w:tc>
          <w:tcPr>
            <w:tcW w:w="3686" w:type="dxa"/>
            <w:tcBorders>
              <w:left w:val="single" w:color="auto" w:sz="4" w:space="0"/>
            </w:tcBorders>
            <w:vAlign w:val="center"/>
          </w:tcPr>
          <w:p w14:paraId="04883399">
            <w:pPr>
              <w:spacing w:line="240" w:lineRule="auto"/>
              <w:ind w:firstLine="0" w:firstLineChars="0"/>
              <w:rPr>
                <w:rFonts w:ascii="宋体"/>
                <w:color w:val="auto"/>
                <w:szCs w:val="21"/>
                <w:highlight w:val="none"/>
              </w:rPr>
            </w:pPr>
            <w:r>
              <w:rPr>
                <w:rFonts w:hint="eastAsia" w:ascii="宋体"/>
                <w:color w:val="auto"/>
                <w:szCs w:val="21"/>
                <w:highlight w:val="none"/>
              </w:rPr>
              <w:t>产</w:t>
            </w:r>
            <w:r>
              <w:rPr>
                <w:rFonts w:ascii="宋体"/>
                <w:color w:val="auto"/>
                <w:szCs w:val="21"/>
                <w:highlight w:val="none"/>
              </w:rPr>
              <w:t>品缺陷密度=统计周期内发现的该系统有效缺陷数/统计周期内该系统功能点总数</w:t>
            </w:r>
            <w:r>
              <w:rPr>
                <w:rFonts w:hint="eastAsia" w:ascii="宋体"/>
                <w:color w:val="auto"/>
                <w:szCs w:val="21"/>
                <w:highlight w:val="none"/>
              </w:rPr>
              <w:t>（案例数）</w:t>
            </w:r>
          </w:p>
          <w:p w14:paraId="1A0092B9">
            <w:pPr>
              <w:spacing w:line="240" w:lineRule="auto"/>
              <w:ind w:firstLine="0" w:firstLineChars="0"/>
              <w:rPr>
                <w:rFonts w:ascii="宋体"/>
                <w:b/>
                <w:color w:val="auto"/>
                <w:szCs w:val="21"/>
                <w:highlight w:val="none"/>
              </w:rPr>
            </w:pPr>
            <w:r>
              <w:rPr>
                <w:rFonts w:hint="eastAsia" w:ascii="宋体"/>
                <w:b/>
                <w:color w:val="auto"/>
                <w:szCs w:val="21"/>
                <w:highlight w:val="none"/>
              </w:rPr>
              <w:t>10分【0-5%】</w:t>
            </w:r>
          </w:p>
          <w:p w14:paraId="7BC02803">
            <w:pPr>
              <w:spacing w:line="240" w:lineRule="auto"/>
              <w:ind w:firstLine="0" w:firstLineChars="0"/>
              <w:rPr>
                <w:rFonts w:ascii="宋体"/>
                <w:b/>
                <w:color w:val="auto"/>
                <w:szCs w:val="21"/>
                <w:highlight w:val="none"/>
              </w:rPr>
            </w:pPr>
            <w:r>
              <w:rPr>
                <w:rFonts w:hint="eastAsia" w:ascii="宋体"/>
                <w:b/>
                <w:color w:val="auto"/>
                <w:szCs w:val="21"/>
                <w:highlight w:val="none"/>
              </w:rPr>
              <w:t>5分【5%-20%】</w:t>
            </w:r>
          </w:p>
          <w:p w14:paraId="4393CEDE">
            <w:pPr>
              <w:spacing w:line="240" w:lineRule="auto"/>
              <w:ind w:firstLine="0" w:firstLineChars="0"/>
              <w:rPr>
                <w:rFonts w:ascii="宋体"/>
                <w:b/>
                <w:color w:val="auto"/>
                <w:szCs w:val="21"/>
                <w:highlight w:val="none"/>
              </w:rPr>
            </w:pPr>
            <w:r>
              <w:rPr>
                <w:rFonts w:hint="eastAsia" w:ascii="宋体"/>
                <w:b/>
                <w:color w:val="auto"/>
                <w:szCs w:val="21"/>
                <w:highlight w:val="none"/>
              </w:rPr>
              <w:t>0分【超过20%】</w:t>
            </w:r>
          </w:p>
        </w:tc>
        <w:tc>
          <w:tcPr>
            <w:tcW w:w="2410" w:type="dxa"/>
            <w:tcBorders>
              <w:left w:val="single" w:color="auto" w:sz="4" w:space="0"/>
            </w:tcBorders>
            <w:vAlign w:val="center"/>
          </w:tcPr>
          <w:p w14:paraId="04229D63">
            <w:pPr>
              <w:spacing w:line="240" w:lineRule="auto"/>
              <w:ind w:firstLine="0" w:firstLineChars="0"/>
              <w:rPr>
                <w:rFonts w:ascii="宋体"/>
                <w:color w:val="auto"/>
                <w:szCs w:val="21"/>
                <w:highlight w:val="none"/>
              </w:rPr>
            </w:pPr>
            <w:r>
              <w:rPr>
                <w:rFonts w:hint="eastAsia" w:ascii="宋体"/>
                <w:color w:val="auto"/>
                <w:szCs w:val="21"/>
                <w:highlight w:val="none"/>
              </w:rPr>
              <w:t>产</w:t>
            </w:r>
            <w:r>
              <w:rPr>
                <w:rFonts w:ascii="宋体"/>
                <w:color w:val="auto"/>
                <w:szCs w:val="21"/>
                <w:highlight w:val="none"/>
              </w:rPr>
              <w:t>品缺</w:t>
            </w:r>
            <w:r>
              <w:rPr>
                <w:rFonts w:hint="eastAsia" w:ascii="宋体"/>
                <w:color w:val="auto"/>
                <w:szCs w:val="21"/>
                <w:highlight w:val="none"/>
              </w:rPr>
              <w:t>陷</w:t>
            </w:r>
            <w:r>
              <w:rPr>
                <w:rFonts w:ascii="宋体"/>
                <w:color w:val="auto"/>
                <w:szCs w:val="21"/>
                <w:highlight w:val="none"/>
              </w:rPr>
              <w:t>密度</w:t>
            </w:r>
            <w:r>
              <w:rPr>
                <w:rFonts w:hint="eastAsia" w:ascii="宋体"/>
                <w:color w:val="auto"/>
                <w:szCs w:val="21"/>
                <w:highlight w:val="none"/>
              </w:rPr>
              <w:t>超过20%，缺陷密度每增加1%扣除合同总金额的0.1%。</w:t>
            </w:r>
          </w:p>
        </w:tc>
        <w:tc>
          <w:tcPr>
            <w:tcW w:w="1134" w:type="dxa"/>
            <w:tcBorders>
              <w:left w:val="single" w:color="auto" w:sz="4" w:space="0"/>
            </w:tcBorders>
            <w:vAlign w:val="center"/>
          </w:tcPr>
          <w:p w14:paraId="58A0F67D">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3B81975E">
            <w:pPr>
              <w:spacing w:line="240" w:lineRule="auto"/>
              <w:ind w:firstLine="0" w:firstLineChars="0"/>
              <w:jc w:val="both"/>
              <w:rPr>
                <w:rFonts w:ascii="宋体"/>
                <w:color w:val="auto"/>
                <w:szCs w:val="21"/>
                <w:highlight w:val="none"/>
              </w:rPr>
            </w:pPr>
          </w:p>
        </w:tc>
      </w:tr>
      <w:tr w14:paraId="3E93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80B2844">
            <w:pPr>
              <w:spacing w:line="240" w:lineRule="auto"/>
              <w:ind w:firstLine="0" w:firstLineChars="0"/>
              <w:jc w:val="center"/>
              <w:rPr>
                <w:rFonts w:ascii="宋体"/>
                <w:color w:val="auto"/>
                <w:szCs w:val="21"/>
                <w:highlight w:val="none"/>
              </w:rPr>
            </w:pPr>
            <w:r>
              <w:rPr>
                <w:rFonts w:hint="eastAsia" w:ascii="宋体"/>
                <w:color w:val="auto"/>
                <w:szCs w:val="21"/>
                <w:highlight w:val="none"/>
              </w:rPr>
              <w:t>4</w:t>
            </w:r>
          </w:p>
        </w:tc>
        <w:tc>
          <w:tcPr>
            <w:tcW w:w="1134" w:type="dxa"/>
            <w:vMerge w:val="continue"/>
            <w:tcBorders>
              <w:left w:val="single" w:color="auto" w:sz="4" w:space="0"/>
            </w:tcBorders>
            <w:vAlign w:val="center"/>
          </w:tcPr>
          <w:p w14:paraId="76210180">
            <w:pPr>
              <w:rPr>
                <w:color w:val="auto"/>
                <w:highlight w:val="none"/>
              </w:rPr>
            </w:pPr>
          </w:p>
        </w:tc>
        <w:tc>
          <w:tcPr>
            <w:tcW w:w="1559" w:type="dxa"/>
            <w:tcBorders>
              <w:left w:val="single" w:color="auto" w:sz="4" w:space="0"/>
            </w:tcBorders>
            <w:vAlign w:val="center"/>
          </w:tcPr>
          <w:p w14:paraId="0A14535C">
            <w:pPr>
              <w:spacing w:line="240" w:lineRule="auto"/>
              <w:ind w:firstLine="0" w:firstLineChars="0"/>
              <w:rPr>
                <w:rFonts w:ascii="宋体"/>
                <w:color w:val="auto"/>
                <w:szCs w:val="21"/>
                <w:highlight w:val="none"/>
              </w:rPr>
            </w:pPr>
            <w:r>
              <w:rPr>
                <w:rFonts w:ascii="宋体"/>
                <w:color w:val="auto"/>
                <w:szCs w:val="21"/>
                <w:highlight w:val="none"/>
              </w:rPr>
              <w:t>缺陷</w:t>
            </w:r>
            <w:r>
              <w:rPr>
                <w:rFonts w:hint="eastAsia" w:ascii="宋体"/>
                <w:color w:val="auto"/>
                <w:szCs w:val="21"/>
                <w:highlight w:val="none"/>
              </w:rPr>
              <w:t>解决率</w:t>
            </w:r>
          </w:p>
        </w:tc>
        <w:tc>
          <w:tcPr>
            <w:tcW w:w="2268" w:type="dxa"/>
            <w:tcBorders>
              <w:left w:val="single" w:color="auto" w:sz="4" w:space="0"/>
            </w:tcBorders>
            <w:vAlign w:val="center"/>
          </w:tcPr>
          <w:p w14:paraId="04D638BE">
            <w:pPr>
              <w:spacing w:line="240" w:lineRule="auto"/>
              <w:ind w:firstLine="0" w:firstLineChars="0"/>
              <w:rPr>
                <w:rFonts w:ascii="宋体"/>
                <w:color w:val="auto"/>
                <w:szCs w:val="21"/>
                <w:highlight w:val="none"/>
              </w:rPr>
            </w:pPr>
            <w:r>
              <w:rPr>
                <w:rFonts w:ascii="宋体"/>
                <w:color w:val="auto"/>
                <w:szCs w:val="21"/>
                <w:highlight w:val="none"/>
              </w:rPr>
              <w:t>用于记录统计周期内测试发现的缺陷中已解决缺陷的比例</w:t>
            </w:r>
          </w:p>
        </w:tc>
        <w:tc>
          <w:tcPr>
            <w:tcW w:w="3686" w:type="dxa"/>
            <w:tcBorders>
              <w:left w:val="single" w:color="auto" w:sz="4" w:space="0"/>
            </w:tcBorders>
            <w:vAlign w:val="center"/>
          </w:tcPr>
          <w:p w14:paraId="77ADE0BD">
            <w:pPr>
              <w:spacing w:line="240" w:lineRule="auto"/>
              <w:ind w:firstLine="0" w:firstLineChars="0"/>
              <w:rPr>
                <w:rFonts w:ascii="宋体"/>
                <w:color w:val="auto"/>
                <w:szCs w:val="21"/>
                <w:highlight w:val="none"/>
              </w:rPr>
            </w:pPr>
            <w:r>
              <w:rPr>
                <w:rFonts w:ascii="宋体"/>
                <w:color w:val="auto"/>
                <w:szCs w:val="21"/>
                <w:highlight w:val="none"/>
              </w:rPr>
              <w:t>缺陷解决率=统计周期内测试发现的有效缺陷中已解决的数量/统计周期内测试发现的有效缺陷总数量</w:t>
            </w:r>
          </w:p>
          <w:p w14:paraId="634EE6A8">
            <w:pPr>
              <w:spacing w:line="240" w:lineRule="auto"/>
              <w:ind w:firstLine="0" w:firstLineChars="0"/>
              <w:rPr>
                <w:rFonts w:ascii="宋体"/>
                <w:b/>
                <w:color w:val="auto"/>
                <w:szCs w:val="21"/>
                <w:highlight w:val="none"/>
              </w:rPr>
            </w:pPr>
            <w:r>
              <w:rPr>
                <w:rFonts w:hint="eastAsia" w:ascii="宋体"/>
                <w:b/>
                <w:color w:val="auto"/>
                <w:szCs w:val="21"/>
                <w:highlight w:val="none"/>
              </w:rPr>
              <w:t>10分【98%-100%】</w:t>
            </w:r>
          </w:p>
          <w:p w14:paraId="46DCA62C">
            <w:pPr>
              <w:spacing w:line="240" w:lineRule="auto"/>
              <w:ind w:firstLine="0" w:firstLineChars="0"/>
              <w:rPr>
                <w:rFonts w:ascii="宋体"/>
                <w:b/>
                <w:color w:val="auto"/>
                <w:szCs w:val="21"/>
                <w:highlight w:val="none"/>
              </w:rPr>
            </w:pPr>
            <w:r>
              <w:rPr>
                <w:rFonts w:hint="eastAsia" w:ascii="宋体"/>
                <w:b/>
                <w:color w:val="auto"/>
                <w:szCs w:val="21"/>
                <w:highlight w:val="none"/>
              </w:rPr>
              <w:t>5分【95%-97%】</w:t>
            </w:r>
          </w:p>
          <w:p w14:paraId="104D2DAC">
            <w:pPr>
              <w:spacing w:line="240" w:lineRule="auto"/>
              <w:ind w:firstLine="0" w:firstLineChars="0"/>
              <w:rPr>
                <w:rFonts w:ascii="宋体"/>
                <w:b/>
                <w:color w:val="auto"/>
                <w:szCs w:val="21"/>
                <w:highlight w:val="none"/>
              </w:rPr>
            </w:pPr>
            <w:r>
              <w:rPr>
                <w:rFonts w:hint="eastAsia" w:ascii="宋体"/>
                <w:b/>
                <w:color w:val="auto"/>
                <w:szCs w:val="21"/>
                <w:highlight w:val="none"/>
              </w:rPr>
              <w:t>0分【低于95%】</w:t>
            </w:r>
          </w:p>
        </w:tc>
        <w:tc>
          <w:tcPr>
            <w:tcW w:w="2410" w:type="dxa"/>
            <w:tcBorders>
              <w:left w:val="single" w:color="auto" w:sz="4" w:space="0"/>
            </w:tcBorders>
            <w:vAlign w:val="center"/>
          </w:tcPr>
          <w:p w14:paraId="1F7FC559">
            <w:pPr>
              <w:spacing w:line="240" w:lineRule="auto"/>
              <w:ind w:firstLine="0" w:firstLineChars="0"/>
              <w:rPr>
                <w:rFonts w:ascii="宋体"/>
                <w:color w:val="auto"/>
                <w:szCs w:val="21"/>
                <w:highlight w:val="none"/>
              </w:rPr>
            </w:pPr>
            <w:r>
              <w:rPr>
                <w:rFonts w:hint="eastAsia" w:ascii="宋体"/>
                <w:color w:val="auto"/>
                <w:szCs w:val="21"/>
                <w:highlight w:val="none"/>
              </w:rPr>
              <w:t>若</w:t>
            </w:r>
            <w:r>
              <w:rPr>
                <w:rFonts w:ascii="宋体"/>
                <w:color w:val="auto"/>
                <w:szCs w:val="21"/>
                <w:highlight w:val="none"/>
              </w:rPr>
              <w:t>缺陷解决率</w:t>
            </w:r>
            <w:r>
              <w:rPr>
                <w:rFonts w:hint="eastAsia" w:ascii="宋体"/>
                <w:bCs/>
                <w:color w:val="auto"/>
                <w:szCs w:val="21"/>
                <w:highlight w:val="none"/>
              </w:rPr>
              <w:t>低于95</w:t>
            </w:r>
            <w:r>
              <w:rPr>
                <w:rFonts w:hint="eastAsia" w:ascii="宋体"/>
                <w:color w:val="auto"/>
                <w:szCs w:val="21"/>
                <w:highlight w:val="none"/>
              </w:rPr>
              <w:t>%，</w:t>
            </w:r>
            <w:r>
              <w:rPr>
                <w:rFonts w:ascii="宋体"/>
                <w:color w:val="auto"/>
                <w:szCs w:val="21"/>
                <w:highlight w:val="none"/>
              </w:rPr>
              <w:t>缺陷</w:t>
            </w:r>
            <w:r>
              <w:rPr>
                <w:rFonts w:hint="eastAsia" w:ascii="宋体"/>
                <w:color w:val="auto"/>
                <w:szCs w:val="21"/>
                <w:highlight w:val="none"/>
              </w:rPr>
              <w:t>解决率每低1%扣除合同总金额的0.1%。</w:t>
            </w:r>
          </w:p>
        </w:tc>
        <w:tc>
          <w:tcPr>
            <w:tcW w:w="1134" w:type="dxa"/>
            <w:tcBorders>
              <w:left w:val="single" w:color="auto" w:sz="4" w:space="0"/>
            </w:tcBorders>
            <w:vAlign w:val="center"/>
          </w:tcPr>
          <w:p w14:paraId="49ABD7E6">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2D736BA3">
            <w:pPr>
              <w:spacing w:line="240" w:lineRule="auto"/>
              <w:ind w:firstLine="0" w:firstLineChars="0"/>
              <w:jc w:val="both"/>
              <w:rPr>
                <w:rFonts w:ascii="宋体"/>
                <w:color w:val="auto"/>
                <w:szCs w:val="21"/>
                <w:highlight w:val="none"/>
              </w:rPr>
            </w:pPr>
          </w:p>
        </w:tc>
      </w:tr>
      <w:tr w14:paraId="2076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1B2E2A1">
            <w:pPr>
              <w:spacing w:line="240" w:lineRule="auto"/>
              <w:ind w:firstLine="0" w:firstLineChars="0"/>
              <w:jc w:val="center"/>
              <w:rPr>
                <w:rFonts w:ascii="宋体"/>
                <w:color w:val="auto"/>
                <w:szCs w:val="21"/>
                <w:highlight w:val="none"/>
              </w:rPr>
            </w:pPr>
            <w:r>
              <w:rPr>
                <w:rFonts w:hint="eastAsia" w:ascii="宋体"/>
                <w:color w:val="auto"/>
                <w:szCs w:val="21"/>
                <w:highlight w:val="none"/>
              </w:rPr>
              <w:t>5</w:t>
            </w:r>
          </w:p>
        </w:tc>
        <w:tc>
          <w:tcPr>
            <w:tcW w:w="1134" w:type="dxa"/>
            <w:vMerge w:val="restart"/>
            <w:tcBorders>
              <w:left w:val="single" w:color="auto" w:sz="4" w:space="0"/>
            </w:tcBorders>
            <w:vAlign w:val="center"/>
          </w:tcPr>
          <w:p w14:paraId="7F918ECC">
            <w:pPr>
              <w:spacing w:line="240" w:lineRule="auto"/>
              <w:ind w:firstLine="0" w:firstLineChars="0"/>
              <w:jc w:val="both"/>
              <w:rPr>
                <w:rFonts w:ascii="宋体"/>
                <w:color w:val="auto"/>
                <w:szCs w:val="21"/>
                <w:highlight w:val="none"/>
              </w:rPr>
            </w:pPr>
            <w:r>
              <w:rPr>
                <w:rFonts w:hint="eastAsia" w:ascii="宋体"/>
                <w:color w:val="auto"/>
                <w:szCs w:val="21"/>
                <w:highlight w:val="none"/>
              </w:rPr>
              <w:t>协议履行</w:t>
            </w:r>
          </w:p>
        </w:tc>
        <w:tc>
          <w:tcPr>
            <w:tcW w:w="1559" w:type="dxa"/>
            <w:tcBorders>
              <w:left w:val="single" w:color="auto" w:sz="4" w:space="0"/>
            </w:tcBorders>
            <w:vAlign w:val="center"/>
          </w:tcPr>
          <w:p w14:paraId="10182960">
            <w:pPr>
              <w:spacing w:line="240" w:lineRule="auto"/>
              <w:ind w:firstLine="0" w:firstLineChars="0"/>
              <w:rPr>
                <w:rFonts w:ascii="宋体"/>
                <w:color w:val="auto"/>
                <w:szCs w:val="21"/>
                <w:highlight w:val="none"/>
              </w:rPr>
            </w:pPr>
            <w:r>
              <w:rPr>
                <w:rFonts w:ascii="宋体"/>
                <w:color w:val="auto"/>
                <w:szCs w:val="21"/>
                <w:highlight w:val="none"/>
              </w:rPr>
              <w:t>重大事项报告</w:t>
            </w:r>
          </w:p>
        </w:tc>
        <w:tc>
          <w:tcPr>
            <w:tcW w:w="2268" w:type="dxa"/>
            <w:tcBorders>
              <w:left w:val="single" w:color="auto" w:sz="4" w:space="0"/>
            </w:tcBorders>
            <w:vAlign w:val="center"/>
          </w:tcPr>
          <w:p w14:paraId="1DD3E5AA">
            <w:pPr>
              <w:spacing w:line="240" w:lineRule="auto"/>
              <w:ind w:firstLine="0" w:firstLineChars="0"/>
              <w:rPr>
                <w:rFonts w:ascii="宋体"/>
                <w:color w:val="auto"/>
                <w:szCs w:val="21"/>
                <w:highlight w:val="none"/>
              </w:rPr>
            </w:pPr>
            <w:r>
              <w:rPr>
                <w:rFonts w:hint="eastAsia" w:ascii="宋体"/>
                <w:color w:val="auto"/>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56E91AD8">
            <w:pPr>
              <w:spacing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指无重大事项或当发生重大事项时，能够于24小时内</w:t>
            </w:r>
            <w:r>
              <w:rPr>
                <w:rFonts w:hint="eastAsia" w:ascii="宋体"/>
                <w:color w:val="auto"/>
                <w:szCs w:val="21"/>
                <w:highlight w:val="none"/>
              </w:rPr>
              <w:t>告知甲方；</w:t>
            </w:r>
          </w:p>
          <w:p w14:paraId="07154F1F">
            <w:pPr>
              <w:spacing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指当发生重大事项时，能够于一周内告知</w:t>
            </w:r>
            <w:r>
              <w:rPr>
                <w:rFonts w:hint="eastAsia" w:ascii="宋体"/>
                <w:color w:val="auto"/>
                <w:szCs w:val="21"/>
                <w:highlight w:val="none"/>
              </w:rPr>
              <w:t>甲方；</w:t>
            </w:r>
          </w:p>
          <w:p w14:paraId="2C4BA3F0">
            <w:pPr>
              <w:spacing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指当发生重大事项时，能够于一</w:t>
            </w:r>
            <w:r>
              <w:rPr>
                <w:rFonts w:hint="eastAsia" w:ascii="宋体"/>
                <w:color w:val="auto"/>
                <w:szCs w:val="21"/>
                <w:highlight w:val="none"/>
              </w:rPr>
              <w:t>月</w:t>
            </w:r>
            <w:r>
              <w:rPr>
                <w:rFonts w:ascii="宋体"/>
                <w:color w:val="auto"/>
                <w:szCs w:val="21"/>
                <w:highlight w:val="none"/>
              </w:rPr>
              <w:t>内告知</w:t>
            </w:r>
            <w:r>
              <w:rPr>
                <w:rFonts w:hint="eastAsia" w:ascii="宋体"/>
                <w:color w:val="auto"/>
                <w:szCs w:val="21"/>
                <w:highlight w:val="none"/>
              </w:rPr>
              <w:t>甲方；</w:t>
            </w:r>
          </w:p>
          <w:p w14:paraId="667B7381">
            <w:pPr>
              <w:spacing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指当发生重大事项时，</w:t>
            </w:r>
            <w:r>
              <w:rPr>
                <w:rFonts w:hint="eastAsia" w:ascii="宋体"/>
                <w:color w:val="auto"/>
                <w:szCs w:val="21"/>
                <w:highlight w:val="none"/>
              </w:rPr>
              <w:t>未</w:t>
            </w:r>
            <w:r>
              <w:rPr>
                <w:rFonts w:ascii="宋体"/>
                <w:color w:val="auto"/>
                <w:szCs w:val="21"/>
                <w:highlight w:val="none"/>
              </w:rPr>
              <w:t>告知</w:t>
            </w:r>
            <w:r>
              <w:rPr>
                <w:rFonts w:hint="eastAsia" w:ascii="宋体"/>
                <w:color w:val="auto"/>
                <w:szCs w:val="21"/>
                <w:highlight w:val="none"/>
              </w:rPr>
              <w:t>甲方。</w:t>
            </w:r>
          </w:p>
        </w:tc>
        <w:tc>
          <w:tcPr>
            <w:tcW w:w="2410" w:type="dxa"/>
            <w:tcBorders>
              <w:left w:val="single" w:color="auto" w:sz="4" w:space="0"/>
            </w:tcBorders>
            <w:vAlign w:val="center"/>
          </w:tcPr>
          <w:p w14:paraId="382DF9B7">
            <w:pPr>
              <w:spacing w:line="240" w:lineRule="auto"/>
              <w:ind w:firstLine="0" w:firstLineChars="0"/>
              <w:rPr>
                <w:rFonts w:ascii="宋体"/>
                <w:color w:val="auto"/>
                <w:szCs w:val="21"/>
                <w:highlight w:val="none"/>
              </w:rPr>
            </w:pPr>
            <w:r>
              <w:rPr>
                <w:rFonts w:hint="eastAsia" w:ascii="宋体"/>
                <w:color w:val="auto"/>
                <w:szCs w:val="21"/>
                <w:highlight w:val="none"/>
              </w:rPr>
              <w:t>评价为较差/差时，甲方根据实际情况有权终止合同，并要求乙方赔偿实际损失。</w:t>
            </w:r>
          </w:p>
        </w:tc>
        <w:tc>
          <w:tcPr>
            <w:tcW w:w="1134" w:type="dxa"/>
            <w:tcBorders>
              <w:left w:val="single" w:color="auto" w:sz="4" w:space="0"/>
            </w:tcBorders>
            <w:vAlign w:val="center"/>
          </w:tcPr>
          <w:p w14:paraId="38457B8C">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07C4AD97">
            <w:pPr>
              <w:spacing w:line="240" w:lineRule="auto"/>
              <w:ind w:firstLine="0" w:firstLineChars="0"/>
              <w:jc w:val="both"/>
              <w:rPr>
                <w:rFonts w:ascii="宋体"/>
                <w:color w:val="auto"/>
                <w:szCs w:val="21"/>
                <w:highlight w:val="none"/>
              </w:rPr>
            </w:pPr>
          </w:p>
        </w:tc>
      </w:tr>
      <w:tr w14:paraId="2566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905326F">
            <w:pPr>
              <w:spacing w:line="240" w:lineRule="auto"/>
              <w:ind w:firstLine="0" w:firstLineChars="0"/>
              <w:jc w:val="center"/>
              <w:rPr>
                <w:rFonts w:ascii="宋体"/>
                <w:color w:val="auto"/>
                <w:szCs w:val="21"/>
                <w:highlight w:val="none"/>
              </w:rPr>
            </w:pPr>
            <w:r>
              <w:rPr>
                <w:rFonts w:hint="eastAsia" w:ascii="宋体"/>
                <w:color w:val="auto"/>
                <w:szCs w:val="21"/>
                <w:highlight w:val="none"/>
              </w:rPr>
              <w:t>6</w:t>
            </w:r>
          </w:p>
        </w:tc>
        <w:tc>
          <w:tcPr>
            <w:tcW w:w="1134" w:type="dxa"/>
            <w:vMerge w:val="continue"/>
            <w:tcBorders>
              <w:left w:val="single" w:color="auto" w:sz="4" w:space="0"/>
            </w:tcBorders>
            <w:vAlign w:val="center"/>
          </w:tcPr>
          <w:p w14:paraId="065F04B0">
            <w:pPr>
              <w:rPr>
                <w:color w:val="auto"/>
                <w:highlight w:val="none"/>
              </w:rPr>
            </w:pPr>
          </w:p>
        </w:tc>
        <w:tc>
          <w:tcPr>
            <w:tcW w:w="1559" w:type="dxa"/>
            <w:tcBorders>
              <w:left w:val="single" w:color="auto" w:sz="4" w:space="0"/>
            </w:tcBorders>
            <w:vAlign w:val="center"/>
          </w:tcPr>
          <w:p w14:paraId="61A254C3">
            <w:pPr>
              <w:spacing w:line="240" w:lineRule="auto"/>
              <w:ind w:firstLine="0" w:firstLineChars="0"/>
              <w:rPr>
                <w:rFonts w:ascii="宋体"/>
                <w:color w:val="auto"/>
                <w:szCs w:val="21"/>
                <w:highlight w:val="none"/>
              </w:rPr>
            </w:pPr>
            <w:r>
              <w:rPr>
                <w:rFonts w:ascii="宋体"/>
                <w:color w:val="auto"/>
                <w:szCs w:val="21"/>
                <w:highlight w:val="none"/>
              </w:rPr>
              <w:t>重大</w:t>
            </w:r>
            <w:r>
              <w:rPr>
                <w:rFonts w:hint="eastAsia" w:ascii="宋体"/>
                <w:color w:val="auto"/>
                <w:szCs w:val="21"/>
                <w:highlight w:val="none"/>
              </w:rPr>
              <w:t>事件及质量缺陷</w:t>
            </w:r>
          </w:p>
        </w:tc>
        <w:tc>
          <w:tcPr>
            <w:tcW w:w="2268" w:type="dxa"/>
            <w:tcBorders>
              <w:left w:val="single" w:color="auto" w:sz="4" w:space="0"/>
            </w:tcBorders>
            <w:vAlign w:val="center"/>
          </w:tcPr>
          <w:p w14:paraId="716CB61D">
            <w:pPr>
              <w:spacing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w:t>
            </w:r>
            <w:r>
              <w:rPr>
                <w:rFonts w:hint="eastAsia" w:ascii="宋体"/>
                <w:color w:val="auto"/>
                <w:szCs w:val="21"/>
                <w:highlight w:val="none"/>
              </w:rPr>
              <w:t>乙方在服务</w:t>
            </w:r>
            <w:r>
              <w:rPr>
                <w:rFonts w:ascii="宋体"/>
                <w:color w:val="auto"/>
                <w:szCs w:val="21"/>
                <w:highlight w:val="none"/>
              </w:rPr>
              <w:t>期内出现</w:t>
            </w:r>
            <w:r>
              <w:rPr>
                <w:rFonts w:hint="eastAsia" w:ascii="宋体"/>
                <w:color w:val="auto"/>
                <w:szCs w:val="21"/>
                <w:highlight w:val="none"/>
              </w:rPr>
              <w:t>以下重大事件及质量缺陷次数：</w:t>
            </w:r>
          </w:p>
          <w:p w14:paraId="06F4CD32">
            <w:pPr>
              <w:spacing w:line="240" w:lineRule="auto"/>
              <w:ind w:firstLine="0" w:firstLineChars="0"/>
              <w:rPr>
                <w:rFonts w:ascii="宋体"/>
                <w:color w:val="auto"/>
                <w:szCs w:val="21"/>
                <w:highlight w:val="none"/>
              </w:rPr>
            </w:pPr>
            <w:r>
              <w:rPr>
                <w:rFonts w:hint="eastAsia" w:ascii="宋体"/>
                <w:color w:val="auto"/>
                <w:szCs w:val="21"/>
                <w:highlight w:val="none"/>
              </w:rPr>
              <w:t>a.应用软件出现I</w:t>
            </w:r>
            <w:r>
              <w:rPr>
                <w:rFonts w:ascii="宋体"/>
                <w:color w:val="auto"/>
                <w:szCs w:val="21"/>
                <w:highlight w:val="none"/>
              </w:rPr>
              <w:t>II</w:t>
            </w:r>
            <w:r>
              <w:rPr>
                <w:rFonts w:hint="eastAsia" w:ascii="宋体"/>
                <w:color w:val="auto"/>
                <w:szCs w:val="21"/>
                <w:highlight w:val="none"/>
              </w:rPr>
              <w:t>级（含）以上的运营中断事件；</w:t>
            </w:r>
          </w:p>
          <w:p w14:paraId="13E9985B">
            <w:pPr>
              <w:spacing w:line="240" w:lineRule="auto"/>
              <w:ind w:firstLine="0" w:firstLineChars="0"/>
              <w:rPr>
                <w:rFonts w:ascii="宋体"/>
                <w:color w:val="auto"/>
                <w:szCs w:val="21"/>
                <w:highlight w:val="none"/>
              </w:rPr>
            </w:pPr>
            <w:r>
              <w:rPr>
                <w:rFonts w:hint="eastAsia" w:ascii="宋体"/>
                <w:color w:val="auto"/>
                <w:szCs w:val="21"/>
                <w:highlight w:val="none"/>
              </w:rPr>
              <w:t>b.因乙方原因（含乙方合作的第三方）导致甲方发生网络安全事件；</w:t>
            </w:r>
          </w:p>
          <w:p w14:paraId="21D065A1">
            <w:pPr>
              <w:spacing w:line="240" w:lineRule="auto"/>
              <w:ind w:firstLine="0" w:firstLineChars="0"/>
              <w:rPr>
                <w:rFonts w:ascii="宋体"/>
                <w:color w:val="auto"/>
                <w:szCs w:val="21"/>
                <w:highlight w:val="none"/>
              </w:rPr>
            </w:pPr>
            <w:r>
              <w:rPr>
                <w:rFonts w:hint="eastAsia" w:ascii="宋体"/>
                <w:color w:val="auto"/>
                <w:szCs w:val="21"/>
                <w:highlight w:val="none"/>
              </w:rPr>
              <w:t>c.应用软件出现严重缺陷和致命缺陷。</w:t>
            </w:r>
          </w:p>
        </w:tc>
        <w:tc>
          <w:tcPr>
            <w:tcW w:w="3686" w:type="dxa"/>
            <w:tcBorders>
              <w:left w:val="single" w:color="auto" w:sz="4" w:space="0"/>
            </w:tcBorders>
            <w:vAlign w:val="center"/>
          </w:tcPr>
          <w:p w14:paraId="32703D6D">
            <w:pPr>
              <w:spacing w:line="240" w:lineRule="auto"/>
              <w:ind w:firstLine="0" w:firstLineChars="0"/>
              <w:rPr>
                <w:rFonts w:ascii="宋体"/>
                <w:b/>
                <w:bCs/>
                <w:color w:val="auto"/>
                <w:szCs w:val="21"/>
                <w:highlight w:val="none"/>
              </w:rPr>
            </w:pPr>
            <w:r>
              <w:rPr>
                <w:rFonts w:hint="eastAsia" w:ascii="宋体"/>
                <w:b/>
                <w:bCs/>
                <w:color w:val="auto"/>
                <w:szCs w:val="21"/>
                <w:highlight w:val="none"/>
              </w:rPr>
              <w:t>【得分上限10分】</w:t>
            </w:r>
          </w:p>
          <w:p w14:paraId="08D62E1A">
            <w:pPr>
              <w:spacing w:line="240" w:lineRule="auto"/>
              <w:ind w:firstLine="0" w:firstLineChars="0"/>
              <w:rPr>
                <w:rFonts w:ascii="宋体"/>
                <w:color w:val="auto"/>
                <w:szCs w:val="21"/>
                <w:highlight w:val="none"/>
              </w:rPr>
            </w:pPr>
            <w:r>
              <w:rPr>
                <w:rFonts w:hint="eastAsia" w:ascii="宋体"/>
                <w:b/>
                <w:bCs/>
                <w:color w:val="auto"/>
                <w:szCs w:val="21"/>
                <w:highlight w:val="none"/>
              </w:rPr>
              <w:t>0次：</w:t>
            </w:r>
            <w:r>
              <w:rPr>
                <w:rFonts w:hint="eastAsia" w:ascii="宋体"/>
                <w:color w:val="auto"/>
                <w:szCs w:val="21"/>
                <w:highlight w:val="none"/>
              </w:rPr>
              <w:t>指未出现</w:t>
            </w:r>
            <w:r>
              <w:rPr>
                <w:rFonts w:ascii="宋体"/>
                <w:color w:val="auto"/>
                <w:szCs w:val="21"/>
                <w:highlight w:val="none"/>
              </w:rPr>
              <w:t>重大事件</w:t>
            </w:r>
            <w:r>
              <w:rPr>
                <w:rFonts w:hint="eastAsia" w:ascii="宋体"/>
                <w:color w:val="auto"/>
                <w:szCs w:val="21"/>
                <w:highlight w:val="none"/>
              </w:rPr>
              <w:t>及质量缺陷，该项指标满分；</w:t>
            </w:r>
          </w:p>
          <w:p w14:paraId="561B6B87">
            <w:pPr>
              <w:spacing w:line="240" w:lineRule="auto"/>
              <w:ind w:firstLine="0" w:firstLineChars="0"/>
              <w:rPr>
                <w:rFonts w:ascii="宋体"/>
                <w:color w:val="auto"/>
                <w:szCs w:val="21"/>
                <w:highlight w:val="none"/>
              </w:rPr>
            </w:pPr>
            <w:r>
              <w:rPr>
                <w:rFonts w:hint="eastAsia" w:ascii="宋体"/>
                <w:b/>
                <w:bCs/>
                <w:color w:val="auto"/>
                <w:szCs w:val="21"/>
                <w:highlight w:val="none"/>
              </w:rPr>
              <w:t>1次及以上：</w:t>
            </w:r>
            <w:r>
              <w:rPr>
                <w:rFonts w:hint="eastAsia" w:ascii="宋体"/>
                <w:color w:val="auto"/>
                <w:szCs w:val="21"/>
                <w:highlight w:val="none"/>
              </w:rPr>
              <w:t>0分，指出现1次及以上任意一项</w:t>
            </w:r>
            <w:r>
              <w:rPr>
                <w:rFonts w:ascii="宋体"/>
                <w:color w:val="auto"/>
                <w:szCs w:val="21"/>
                <w:highlight w:val="none"/>
              </w:rPr>
              <w:t>重大事件</w:t>
            </w:r>
            <w:r>
              <w:rPr>
                <w:rFonts w:hint="eastAsia" w:ascii="宋体"/>
                <w:color w:val="auto"/>
                <w:szCs w:val="21"/>
                <w:highlight w:val="none"/>
              </w:rPr>
              <w:t>或质量缺陷。</w:t>
            </w:r>
          </w:p>
        </w:tc>
        <w:tc>
          <w:tcPr>
            <w:tcW w:w="2410" w:type="dxa"/>
            <w:tcBorders>
              <w:left w:val="single" w:color="auto" w:sz="4" w:space="0"/>
            </w:tcBorders>
            <w:vAlign w:val="center"/>
          </w:tcPr>
          <w:p w14:paraId="75083C8E">
            <w:pPr>
              <w:spacing w:line="240" w:lineRule="auto"/>
              <w:ind w:firstLine="0" w:firstLineChars="0"/>
              <w:rPr>
                <w:rFonts w:ascii="宋体"/>
                <w:color w:val="auto"/>
                <w:szCs w:val="21"/>
                <w:highlight w:val="none"/>
              </w:rPr>
            </w:pPr>
            <w:r>
              <w:rPr>
                <w:rFonts w:hint="eastAsia" w:ascii="宋体"/>
                <w:color w:val="auto"/>
                <w:szCs w:val="21"/>
                <w:highlight w:val="none"/>
              </w:rPr>
              <w:t>每出现一次</w:t>
            </w:r>
            <w:r>
              <w:rPr>
                <w:rFonts w:ascii="宋体"/>
                <w:color w:val="auto"/>
                <w:szCs w:val="21"/>
                <w:highlight w:val="none"/>
              </w:rPr>
              <w:t>重大事件</w:t>
            </w:r>
            <w:r>
              <w:rPr>
                <w:rFonts w:hint="eastAsia" w:ascii="宋体"/>
                <w:color w:val="auto"/>
                <w:szCs w:val="21"/>
                <w:highlight w:val="none"/>
              </w:rPr>
              <w:t>或质量缺陷，扣除乙方合同总金额不低于5%（不低于2万元），并要求乙方赔偿实际损失。</w:t>
            </w:r>
          </w:p>
        </w:tc>
        <w:tc>
          <w:tcPr>
            <w:tcW w:w="1134" w:type="dxa"/>
            <w:tcBorders>
              <w:left w:val="single" w:color="auto" w:sz="4" w:space="0"/>
            </w:tcBorders>
            <w:vAlign w:val="center"/>
          </w:tcPr>
          <w:p w14:paraId="03DFCACD">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5D756F20">
            <w:pPr>
              <w:spacing w:line="240" w:lineRule="auto"/>
              <w:ind w:firstLine="0" w:firstLineChars="0"/>
              <w:jc w:val="both"/>
              <w:rPr>
                <w:rFonts w:ascii="宋体"/>
                <w:color w:val="auto"/>
                <w:szCs w:val="21"/>
                <w:highlight w:val="none"/>
              </w:rPr>
            </w:pPr>
          </w:p>
        </w:tc>
      </w:tr>
      <w:tr w14:paraId="1987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16F679">
            <w:pPr>
              <w:spacing w:line="240" w:lineRule="auto"/>
              <w:ind w:firstLine="0" w:firstLineChars="0"/>
              <w:jc w:val="center"/>
              <w:rPr>
                <w:rFonts w:ascii="宋体"/>
                <w:color w:val="auto"/>
                <w:szCs w:val="21"/>
                <w:highlight w:val="none"/>
              </w:rPr>
            </w:pPr>
            <w:r>
              <w:rPr>
                <w:rFonts w:hint="eastAsia" w:ascii="宋体"/>
                <w:color w:val="auto"/>
                <w:szCs w:val="21"/>
                <w:highlight w:val="none"/>
              </w:rPr>
              <w:t>7</w:t>
            </w:r>
          </w:p>
        </w:tc>
        <w:tc>
          <w:tcPr>
            <w:tcW w:w="1134" w:type="dxa"/>
            <w:vMerge w:val="continue"/>
            <w:tcBorders>
              <w:left w:val="single" w:color="auto" w:sz="4" w:space="0"/>
            </w:tcBorders>
            <w:vAlign w:val="center"/>
          </w:tcPr>
          <w:p w14:paraId="6D34AFA1">
            <w:pPr>
              <w:rPr>
                <w:color w:val="auto"/>
                <w:highlight w:val="none"/>
              </w:rPr>
            </w:pPr>
          </w:p>
        </w:tc>
        <w:tc>
          <w:tcPr>
            <w:tcW w:w="1559" w:type="dxa"/>
            <w:tcBorders>
              <w:left w:val="single" w:color="auto" w:sz="4" w:space="0"/>
            </w:tcBorders>
            <w:vAlign w:val="center"/>
          </w:tcPr>
          <w:p w14:paraId="3CD69C61">
            <w:pPr>
              <w:spacing w:line="240" w:lineRule="auto"/>
              <w:ind w:firstLine="0" w:firstLineChars="0"/>
              <w:rPr>
                <w:rFonts w:ascii="宋体"/>
                <w:color w:val="auto"/>
                <w:szCs w:val="21"/>
                <w:highlight w:val="none"/>
              </w:rPr>
            </w:pPr>
            <w:r>
              <w:rPr>
                <w:rFonts w:hint="eastAsia" w:ascii="宋体"/>
                <w:color w:val="auto"/>
                <w:szCs w:val="21"/>
                <w:highlight w:val="none"/>
              </w:rPr>
              <w:t>信息安全管理</w:t>
            </w:r>
          </w:p>
        </w:tc>
        <w:tc>
          <w:tcPr>
            <w:tcW w:w="2268" w:type="dxa"/>
            <w:tcBorders>
              <w:left w:val="single" w:color="auto" w:sz="4" w:space="0"/>
            </w:tcBorders>
            <w:vAlign w:val="center"/>
          </w:tcPr>
          <w:p w14:paraId="1C99C6AD">
            <w:pPr>
              <w:spacing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w:t>
            </w:r>
            <w:r>
              <w:rPr>
                <w:rFonts w:hint="eastAsia" w:ascii="宋体"/>
                <w:color w:val="auto"/>
                <w:szCs w:val="21"/>
                <w:highlight w:val="none"/>
              </w:rPr>
              <w:t>乙方在服务</w:t>
            </w:r>
            <w:r>
              <w:rPr>
                <w:rFonts w:ascii="宋体"/>
                <w:color w:val="auto"/>
                <w:szCs w:val="21"/>
                <w:highlight w:val="none"/>
              </w:rPr>
              <w:t>期内</w:t>
            </w:r>
            <w:r>
              <w:rPr>
                <w:rFonts w:hint="eastAsia" w:ascii="宋体"/>
                <w:color w:val="auto"/>
                <w:szCs w:val="21"/>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6F36745B">
            <w:pPr>
              <w:spacing w:line="240" w:lineRule="auto"/>
              <w:ind w:firstLine="0" w:firstLineChars="0"/>
              <w:rPr>
                <w:rFonts w:ascii="宋体"/>
                <w:color w:val="auto"/>
                <w:szCs w:val="21"/>
                <w:highlight w:val="none"/>
              </w:rPr>
            </w:pPr>
            <w:r>
              <w:rPr>
                <w:rFonts w:hint="eastAsia" w:ascii="宋体"/>
                <w:color w:val="auto"/>
                <w:szCs w:val="21"/>
                <w:highlight w:val="none"/>
              </w:rPr>
              <w:t>互联网或电子银行类系统：</w:t>
            </w:r>
          </w:p>
          <w:p w14:paraId="0A58B3CB">
            <w:pPr>
              <w:spacing w:line="240" w:lineRule="auto"/>
              <w:ind w:firstLine="0" w:firstLineChars="0"/>
              <w:rPr>
                <w:rFonts w:ascii="宋体"/>
                <w:color w:val="auto"/>
                <w:szCs w:val="21"/>
                <w:highlight w:val="none"/>
              </w:rPr>
            </w:pPr>
            <w:r>
              <w:rPr>
                <w:rFonts w:hint="eastAsia" w:ascii="宋体"/>
                <w:color w:val="auto"/>
                <w:szCs w:val="21"/>
                <w:highlight w:val="none"/>
              </w:rPr>
              <w:t>1.安全漏洞及安全缺陷整改及时率=100%</w:t>
            </w:r>
          </w:p>
          <w:p w14:paraId="4D122D0F">
            <w:pPr>
              <w:spacing w:line="240" w:lineRule="auto"/>
              <w:ind w:firstLine="0" w:firstLineChars="0"/>
              <w:rPr>
                <w:rFonts w:ascii="宋体"/>
                <w:color w:val="auto"/>
                <w:szCs w:val="21"/>
                <w:highlight w:val="none"/>
              </w:rPr>
            </w:pPr>
            <w:r>
              <w:rPr>
                <w:rFonts w:hint="eastAsia" w:ascii="宋体"/>
                <w:color w:val="auto"/>
                <w:szCs w:val="21"/>
                <w:highlight w:val="none"/>
              </w:rPr>
              <w:t>2.安全漏洞及安全缺陷整改通过率=100%</w:t>
            </w:r>
          </w:p>
          <w:p w14:paraId="5B03A091">
            <w:pPr>
              <w:spacing w:line="240" w:lineRule="auto"/>
              <w:ind w:firstLine="0" w:firstLineChars="0"/>
              <w:rPr>
                <w:rFonts w:ascii="宋体"/>
                <w:color w:val="auto"/>
                <w:szCs w:val="21"/>
                <w:highlight w:val="none"/>
              </w:rPr>
            </w:pPr>
            <w:r>
              <w:rPr>
                <w:rFonts w:hint="eastAsia" w:ascii="宋体"/>
                <w:color w:val="auto"/>
                <w:szCs w:val="21"/>
                <w:highlight w:val="none"/>
              </w:rPr>
              <w:t>非互联网或电子银行类系统：</w:t>
            </w:r>
          </w:p>
          <w:p w14:paraId="51BFF6E9">
            <w:pPr>
              <w:spacing w:line="240" w:lineRule="auto"/>
              <w:ind w:firstLine="0" w:firstLineChars="0"/>
              <w:rPr>
                <w:rFonts w:ascii="宋体"/>
                <w:color w:val="auto"/>
                <w:szCs w:val="21"/>
                <w:highlight w:val="none"/>
              </w:rPr>
            </w:pPr>
            <w:r>
              <w:rPr>
                <w:rFonts w:hint="eastAsia" w:ascii="宋体"/>
                <w:color w:val="auto"/>
                <w:szCs w:val="21"/>
                <w:highlight w:val="none"/>
              </w:rPr>
              <w:t>1.中高危安全漏洞及安全缺陷整改及时率=100%</w:t>
            </w:r>
          </w:p>
          <w:p w14:paraId="25BCDE5F">
            <w:pPr>
              <w:spacing w:line="240" w:lineRule="auto"/>
              <w:ind w:firstLine="0" w:firstLineChars="0"/>
              <w:rPr>
                <w:rFonts w:ascii="宋体"/>
                <w:color w:val="auto"/>
                <w:szCs w:val="21"/>
                <w:highlight w:val="none"/>
              </w:rPr>
            </w:pPr>
            <w:r>
              <w:rPr>
                <w:rFonts w:hint="eastAsia" w:ascii="宋体"/>
                <w:color w:val="auto"/>
                <w:szCs w:val="21"/>
                <w:highlight w:val="none"/>
              </w:rPr>
              <w:t>2.中高危安全漏洞及安全缺陷整改通过率=100%</w:t>
            </w:r>
          </w:p>
          <w:p w14:paraId="2690AF3F">
            <w:pPr>
              <w:spacing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5分，指未出现安全漏洞及安全缺陷，该项指标满分；</w:t>
            </w:r>
          </w:p>
          <w:p w14:paraId="61B2BAA2">
            <w:pPr>
              <w:spacing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3分，指出现安全漏洞或安全缺陷，但整改及时率、通过率均为100%；</w:t>
            </w:r>
          </w:p>
          <w:p w14:paraId="3B2E4BFE">
            <w:pPr>
              <w:spacing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0分，指出现安全漏洞及安全缺陷，但整改及时率或通过率未达到100%。</w:t>
            </w:r>
          </w:p>
        </w:tc>
        <w:tc>
          <w:tcPr>
            <w:tcW w:w="2410" w:type="dxa"/>
            <w:tcBorders>
              <w:left w:val="single" w:color="auto" w:sz="4" w:space="0"/>
            </w:tcBorders>
            <w:vAlign w:val="center"/>
          </w:tcPr>
          <w:p w14:paraId="38CE35E3">
            <w:pPr>
              <w:spacing w:line="240" w:lineRule="auto"/>
              <w:ind w:firstLine="0" w:firstLineChars="0"/>
              <w:rPr>
                <w:rFonts w:ascii="宋体"/>
                <w:color w:val="auto"/>
                <w:szCs w:val="21"/>
                <w:highlight w:val="none"/>
              </w:rPr>
            </w:pPr>
            <w:r>
              <w:rPr>
                <w:rFonts w:hint="eastAsia" w:ascii="宋体"/>
                <w:color w:val="auto"/>
                <w:szCs w:val="21"/>
                <w:highlight w:val="none"/>
              </w:rPr>
              <w:t>若评价为较差/差时，扣除乙方金额人民币不低于2万元，并要求乙方赔偿实际损失。</w:t>
            </w:r>
          </w:p>
          <w:p w14:paraId="4EA2D110">
            <w:pPr>
              <w:spacing w:line="240" w:lineRule="auto"/>
              <w:ind w:firstLine="0" w:firstLineChars="0"/>
              <w:rPr>
                <w:rFonts w:ascii="宋体"/>
                <w:color w:val="auto"/>
                <w:szCs w:val="21"/>
                <w:highlight w:val="none"/>
              </w:rPr>
            </w:pPr>
            <w:r>
              <w:rPr>
                <w:rFonts w:hint="eastAsia" w:ascii="宋体"/>
                <w:color w:val="auto"/>
                <w:szCs w:val="21"/>
                <w:highlight w:val="none"/>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65CE9FA5">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228C874F">
            <w:pPr>
              <w:spacing w:line="240" w:lineRule="auto"/>
              <w:ind w:firstLine="0" w:firstLineChars="0"/>
              <w:jc w:val="both"/>
              <w:rPr>
                <w:rFonts w:ascii="宋体"/>
                <w:color w:val="auto"/>
                <w:szCs w:val="21"/>
                <w:highlight w:val="none"/>
              </w:rPr>
            </w:pPr>
          </w:p>
        </w:tc>
      </w:tr>
      <w:tr w14:paraId="0447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AE1215E">
            <w:pPr>
              <w:spacing w:line="240" w:lineRule="auto"/>
              <w:ind w:firstLine="0" w:firstLineChars="0"/>
              <w:jc w:val="center"/>
              <w:rPr>
                <w:rFonts w:ascii="宋体"/>
                <w:color w:val="auto"/>
                <w:szCs w:val="21"/>
                <w:highlight w:val="none"/>
              </w:rPr>
            </w:pPr>
            <w:r>
              <w:rPr>
                <w:rFonts w:hint="eastAsia" w:ascii="宋体"/>
                <w:color w:val="auto"/>
                <w:szCs w:val="21"/>
                <w:highlight w:val="none"/>
              </w:rPr>
              <w:t>8</w:t>
            </w:r>
          </w:p>
        </w:tc>
        <w:tc>
          <w:tcPr>
            <w:tcW w:w="1134" w:type="dxa"/>
            <w:vMerge w:val="continue"/>
            <w:tcBorders>
              <w:left w:val="single" w:color="auto" w:sz="4" w:space="0"/>
            </w:tcBorders>
            <w:vAlign w:val="center"/>
          </w:tcPr>
          <w:p w14:paraId="251566C6">
            <w:pPr>
              <w:rPr>
                <w:color w:val="auto"/>
                <w:highlight w:val="none"/>
              </w:rPr>
            </w:pPr>
          </w:p>
        </w:tc>
        <w:tc>
          <w:tcPr>
            <w:tcW w:w="1559" w:type="dxa"/>
            <w:tcBorders>
              <w:left w:val="single" w:color="auto" w:sz="4" w:space="0"/>
            </w:tcBorders>
            <w:vAlign w:val="center"/>
          </w:tcPr>
          <w:p w14:paraId="36EDAFBF">
            <w:pPr>
              <w:spacing w:line="240" w:lineRule="auto"/>
              <w:ind w:firstLine="0" w:firstLineChars="0"/>
              <w:rPr>
                <w:rFonts w:ascii="宋体"/>
                <w:color w:val="auto"/>
                <w:szCs w:val="21"/>
                <w:highlight w:val="none"/>
              </w:rPr>
            </w:pPr>
            <w:r>
              <w:rPr>
                <w:rFonts w:hint="eastAsia" w:ascii="宋体"/>
                <w:color w:val="auto"/>
                <w:szCs w:val="21"/>
                <w:highlight w:val="none"/>
              </w:rPr>
              <w:t>外包安全行为</w:t>
            </w:r>
          </w:p>
        </w:tc>
        <w:tc>
          <w:tcPr>
            <w:tcW w:w="2268" w:type="dxa"/>
            <w:tcBorders>
              <w:left w:val="single" w:color="auto" w:sz="4" w:space="0"/>
            </w:tcBorders>
            <w:vAlign w:val="center"/>
          </w:tcPr>
          <w:p w14:paraId="511EE45D">
            <w:pPr>
              <w:spacing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于记录在外包人员安全防护意识方面的管理有效</w:t>
            </w:r>
            <w:r>
              <w:rPr>
                <w:rFonts w:hint="eastAsia" w:ascii="宋体"/>
                <w:color w:val="auto"/>
                <w:szCs w:val="21"/>
                <w:highlight w:val="none"/>
              </w:rPr>
              <w:t>性</w:t>
            </w:r>
          </w:p>
        </w:tc>
        <w:tc>
          <w:tcPr>
            <w:tcW w:w="3686" w:type="dxa"/>
            <w:tcBorders>
              <w:left w:val="single" w:color="auto" w:sz="4" w:space="0"/>
            </w:tcBorders>
            <w:vAlign w:val="center"/>
          </w:tcPr>
          <w:p w14:paraId="12128590">
            <w:pPr>
              <w:spacing w:line="240" w:lineRule="auto"/>
              <w:ind w:firstLine="0" w:firstLineChars="0"/>
              <w:rPr>
                <w:rFonts w:ascii="宋体"/>
                <w:color w:val="auto"/>
                <w:szCs w:val="21"/>
                <w:highlight w:val="none"/>
              </w:rPr>
            </w:pPr>
            <w:r>
              <w:rPr>
                <w:rFonts w:ascii="宋体"/>
                <w:color w:val="auto"/>
                <w:szCs w:val="21"/>
                <w:highlight w:val="none"/>
              </w:rPr>
              <w:t>统计周期内安全防护失效的次数。</w:t>
            </w:r>
          </w:p>
          <w:p w14:paraId="1F4A84E9">
            <w:pPr>
              <w:spacing w:line="240" w:lineRule="auto"/>
              <w:ind w:firstLine="0" w:firstLineChars="0"/>
              <w:rPr>
                <w:rFonts w:ascii="宋体"/>
                <w:color w:val="auto"/>
                <w:szCs w:val="21"/>
                <w:highlight w:val="none"/>
              </w:rPr>
            </w:pPr>
            <w:r>
              <w:rPr>
                <w:rFonts w:hint="eastAsia" w:ascii="宋体"/>
                <w:color w:val="auto"/>
                <w:szCs w:val="21"/>
                <w:highlight w:val="none"/>
              </w:rPr>
              <w:t>（</w:t>
            </w:r>
            <w:r>
              <w:rPr>
                <w:rFonts w:ascii="宋体"/>
                <w:color w:val="auto"/>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color w:val="auto"/>
                <w:szCs w:val="21"/>
                <w:highlight w:val="none"/>
              </w:rPr>
              <w:t>c）</w:t>
            </w:r>
            <w:r>
              <w:rPr>
                <w:rFonts w:ascii="宋体"/>
                <w:color w:val="auto"/>
                <w:szCs w:val="21"/>
                <w:highlight w:val="none"/>
              </w:rPr>
              <w:t>随意搭建测试环境导致信息泄露或被作为攻击入口</w:t>
            </w:r>
            <w:r>
              <w:rPr>
                <w:rFonts w:hint="eastAsia" w:ascii="宋体"/>
                <w:color w:val="auto"/>
                <w:szCs w:val="21"/>
                <w:highlight w:val="none"/>
              </w:rPr>
              <w:t>。d）在生产运营系统上违反规定进行操作或在实施过程中留下信息系统后门等</w:t>
            </w:r>
            <w:r>
              <w:rPr>
                <w:rFonts w:ascii="宋体"/>
                <w:color w:val="auto"/>
                <w:szCs w:val="21"/>
                <w:highlight w:val="none"/>
              </w:rPr>
              <w:t>。</w:t>
            </w:r>
          </w:p>
          <w:p w14:paraId="6FF25853">
            <w:pPr>
              <w:spacing w:line="240" w:lineRule="auto"/>
              <w:ind w:firstLine="0" w:firstLineChars="0"/>
              <w:rPr>
                <w:rFonts w:ascii="宋体"/>
                <w:b/>
                <w:bCs/>
                <w:color w:val="auto"/>
                <w:szCs w:val="21"/>
                <w:highlight w:val="none"/>
              </w:rPr>
            </w:pPr>
            <w:r>
              <w:rPr>
                <w:rFonts w:hint="eastAsia" w:ascii="宋体"/>
                <w:b/>
                <w:bCs/>
                <w:color w:val="auto"/>
                <w:szCs w:val="21"/>
                <w:highlight w:val="none"/>
              </w:rPr>
              <w:t>【得分上限10分】</w:t>
            </w:r>
          </w:p>
          <w:p w14:paraId="2B117F79">
            <w:pPr>
              <w:spacing w:line="240" w:lineRule="auto"/>
              <w:ind w:firstLine="0" w:firstLineChars="0"/>
              <w:rPr>
                <w:rFonts w:ascii="宋体"/>
                <w:color w:val="auto"/>
                <w:szCs w:val="21"/>
                <w:highlight w:val="none"/>
              </w:rPr>
            </w:pPr>
            <w:r>
              <w:rPr>
                <w:rFonts w:hint="eastAsia" w:ascii="宋体"/>
                <w:b/>
                <w:bCs/>
                <w:color w:val="auto"/>
                <w:szCs w:val="21"/>
                <w:highlight w:val="none"/>
              </w:rPr>
              <w:t>0次：</w:t>
            </w:r>
            <w:r>
              <w:rPr>
                <w:rFonts w:hint="eastAsia" w:ascii="宋体"/>
                <w:color w:val="auto"/>
                <w:szCs w:val="21"/>
                <w:highlight w:val="none"/>
              </w:rPr>
              <w:t>未出现安全防护失效行为，10分；</w:t>
            </w:r>
          </w:p>
          <w:p w14:paraId="54A3FEAD">
            <w:pPr>
              <w:spacing w:line="240" w:lineRule="auto"/>
              <w:ind w:firstLine="0" w:firstLineChars="0"/>
              <w:rPr>
                <w:rFonts w:ascii="宋体"/>
                <w:color w:val="auto"/>
                <w:szCs w:val="21"/>
                <w:highlight w:val="none"/>
              </w:rPr>
            </w:pPr>
            <w:r>
              <w:rPr>
                <w:rFonts w:hint="eastAsia" w:ascii="宋体"/>
                <w:b/>
                <w:bCs/>
                <w:color w:val="auto"/>
                <w:szCs w:val="21"/>
                <w:highlight w:val="none"/>
              </w:rPr>
              <w:t>1次及以上</w:t>
            </w:r>
            <w:r>
              <w:rPr>
                <w:rFonts w:hint="eastAsia" w:ascii="宋体"/>
                <w:color w:val="auto"/>
                <w:szCs w:val="21"/>
                <w:highlight w:val="none"/>
              </w:rPr>
              <w:t>：出现安全防护失效行为，每出现一次扣5分，最多扣10分。</w:t>
            </w:r>
          </w:p>
        </w:tc>
        <w:tc>
          <w:tcPr>
            <w:tcW w:w="2410" w:type="dxa"/>
            <w:tcBorders>
              <w:left w:val="single" w:color="auto" w:sz="4" w:space="0"/>
            </w:tcBorders>
            <w:vAlign w:val="center"/>
          </w:tcPr>
          <w:p w14:paraId="25741D3A">
            <w:pPr>
              <w:spacing w:line="240" w:lineRule="auto"/>
              <w:ind w:firstLine="0" w:firstLineChars="0"/>
              <w:rPr>
                <w:rFonts w:ascii="宋体"/>
                <w:color w:val="auto"/>
                <w:szCs w:val="21"/>
                <w:highlight w:val="none"/>
              </w:rPr>
            </w:pPr>
            <w:r>
              <w:rPr>
                <w:rFonts w:hint="eastAsia" w:ascii="宋体"/>
                <w:color w:val="auto"/>
                <w:szCs w:val="21"/>
                <w:highlight w:val="none"/>
              </w:rPr>
              <w:t>若出现信息安全防护失效行为未导致严重后果的，扣除乙方金额人民币不低于1万元；</w:t>
            </w:r>
          </w:p>
          <w:p w14:paraId="31762CBC">
            <w:pPr>
              <w:spacing w:line="240" w:lineRule="auto"/>
              <w:ind w:firstLine="0" w:firstLineChars="0"/>
              <w:rPr>
                <w:rFonts w:ascii="宋体"/>
                <w:color w:val="auto"/>
                <w:szCs w:val="21"/>
                <w:highlight w:val="none"/>
              </w:rPr>
            </w:pPr>
            <w:r>
              <w:rPr>
                <w:rFonts w:hint="eastAsia" w:ascii="宋体"/>
                <w:color w:val="auto"/>
                <w:szCs w:val="21"/>
                <w:highlight w:val="none"/>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31BF83DC">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451BEEFF">
            <w:pPr>
              <w:spacing w:line="240" w:lineRule="auto"/>
              <w:ind w:firstLine="0" w:firstLineChars="0"/>
              <w:jc w:val="both"/>
              <w:rPr>
                <w:rFonts w:ascii="宋体"/>
                <w:color w:val="auto"/>
                <w:szCs w:val="21"/>
                <w:highlight w:val="none"/>
              </w:rPr>
            </w:pPr>
          </w:p>
        </w:tc>
      </w:tr>
      <w:tr w14:paraId="038B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10FA70">
            <w:pPr>
              <w:spacing w:line="240" w:lineRule="auto"/>
              <w:ind w:firstLine="0" w:firstLineChars="0"/>
              <w:jc w:val="center"/>
              <w:rPr>
                <w:rFonts w:ascii="宋体"/>
                <w:color w:val="auto"/>
                <w:szCs w:val="21"/>
                <w:highlight w:val="none"/>
              </w:rPr>
            </w:pPr>
            <w:r>
              <w:rPr>
                <w:rFonts w:hint="eastAsia" w:ascii="宋体"/>
                <w:color w:val="auto"/>
                <w:szCs w:val="21"/>
                <w:highlight w:val="none"/>
              </w:rPr>
              <w:t>9</w:t>
            </w:r>
          </w:p>
        </w:tc>
        <w:tc>
          <w:tcPr>
            <w:tcW w:w="1134" w:type="dxa"/>
            <w:vMerge w:val="continue"/>
            <w:tcBorders>
              <w:left w:val="single" w:color="auto" w:sz="4" w:space="0"/>
            </w:tcBorders>
            <w:vAlign w:val="center"/>
          </w:tcPr>
          <w:p w14:paraId="3BC48D49">
            <w:pPr>
              <w:rPr>
                <w:color w:val="auto"/>
                <w:highlight w:val="none"/>
              </w:rPr>
            </w:pPr>
          </w:p>
        </w:tc>
        <w:tc>
          <w:tcPr>
            <w:tcW w:w="1559" w:type="dxa"/>
            <w:tcBorders>
              <w:left w:val="single" w:color="auto" w:sz="4" w:space="0"/>
            </w:tcBorders>
            <w:vAlign w:val="center"/>
          </w:tcPr>
          <w:p w14:paraId="745A5D85">
            <w:pPr>
              <w:spacing w:line="240" w:lineRule="auto"/>
              <w:ind w:firstLine="0" w:firstLineChars="0"/>
              <w:rPr>
                <w:rFonts w:ascii="宋体"/>
                <w:color w:val="auto"/>
                <w:szCs w:val="21"/>
                <w:highlight w:val="none"/>
              </w:rPr>
            </w:pPr>
            <w:r>
              <w:rPr>
                <w:rFonts w:hint="eastAsia" w:ascii="宋体"/>
                <w:color w:val="auto"/>
                <w:szCs w:val="21"/>
                <w:highlight w:val="none"/>
              </w:rPr>
              <w:t>响应与解决及时性</w:t>
            </w:r>
          </w:p>
        </w:tc>
        <w:tc>
          <w:tcPr>
            <w:tcW w:w="2268" w:type="dxa"/>
            <w:tcBorders>
              <w:left w:val="single" w:color="auto" w:sz="4" w:space="0"/>
            </w:tcBorders>
            <w:vAlign w:val="center"/>
          </w:tcPr>
          <w:p w14:paraId="196ACE9F">
            <w:pPr>
              <w:spacing w:line="240" w:lineRule="auto"/>
              <w:ind w:firstLine="0" w:firstLineChars="0"/>
              <w:rPr>
                <w:rFonts w:ascii="宋体"/>
                <w:color w:val="auto"/>
                <w:szCs w:val="21"/>
                <w:highlight w:val="none"/>
              </w:rPr>
            </w:pPr>
            <w:r>
              <w:rPr>
                <w:rFonts w:ascii="宋体"/>
                <w:color w:val="auto"/>
                <w:szCs w:val="21"/>
                <w:highlight w:val="none"/>
              </w:rPr>
              <w:t>用于记录</w:t>
            </w:r>
            <w:r>
              <w:rPr>
                <w:rFonts w:hint="eastAsia" w:ascii="宋体"/>
                <w:color w:val="auto"/>
                <w:szCs w:val="21"/>
                <w:highlight w:val="none"/>
              </w:rPr>
              <w:t>乙方</w:t>
            </w:r>
            <w:r>
              <w:rPr>
                <w:rFonts w:ascii="宋体"/>
                <w:color w:val="auto"/>
                <w:szCs w:val="21"/>
                <w:highlight w:val="none"/>
              </w:rPr>
              <w:t>或服务项目对</w:t>
            </w:r>
            <w:r>
              <w:rPr>
                <w:rFonts w:hint="eastAsia" w:ascii="宋体"/>
                <w:color w:val="auto"/>
                <w:szCs w:val="21"/>
                <w:highlight w:val="none"/>
              </w:rPr>
              <w:t>甲方</w:t>
            </w:r>
            <w:r>
              <w:rPr>
                <w:rFonts w:ascii="宋体"/>
                <w:color w:val="auto"/>
                <w:szCs w:val="21"/>
                <w:highlight w:val="none"/>
              </w:rPr>
              <w:t>的响应与解决的及时性</w:t>
            </w:r>
          </w:p>
        </w:tc>
        <w:tc>
          <w:tcPr>
            <w:tcW w:w="3686" w:type="dxa"/>
            <w:tcBorders>
              <w:left w:val="single" w:color="auto" w:sz="4" w:space="0"/>
            </w:tcBorders>
            <w:vAlign w:val="center"/>
          </w:tcPr>
          <w:p w14:paraId="6C6D052C">
            <w:pPr>
              <w:spacing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或服务项目能够迅速响应需求，主动快速与</w:t>
            </w:r>
            <w:r>
              <w:rPr>
                <w:rFonts w:hint="eastAsia" w:ascii="宋体"/>
                <w:color w:val="auto"/>
                <w:szCs w:val="21"/>
                <w:highlight w:val="none"/>
              </w:rPr>
              <w:t>甲方</w:t>
            </w:r>
            <w:r>
              <w:rPr>
                <w:rFonts w:ascii="宋体"/>
                <w:color w:val="auto"/>
                <w:szCs w:val="21"/>
                <w:highlight w:val="none"/>
              </w:rPr>
              <w:t>进行有效的沟通，第一时间从专业角度给出解决方案并解决问题</w:t>
            </w:r>
            <w:r>
              <w:rPr>
                <w:rFonts w:hint="eastAsia" w:ascii="宋体"/>
                <w:color w:val="auto"/>
                <w:szCs w:val="21"/>
                <w:highlight w:val="none"/>
              </w:rPr>
              <w:t>；</w:t>
            </w:r>
          </w:p>
          <w:p w14:paraId="1449F143">
            <w:pPr>
              <w:spacing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或服务项目能够按要求响应需求，及时与</w:t>
            </w:r>
            <w:r>
              <w:rPr>
                <w:rFonts w:hint="eastAsia" w:ascii="宋体"/>
                <w:color w:val="auto"/>
                <w:szCs w:val="21"/>
                <w:highlight w:val="none"/>
              </w:rPr>
              <w:t>甲方</w:t>
            </w:r>
            <w:r>
              <w:rPr>
                <w:rFonts w:ascii="宋体"/>
                <w:color w:val="auto"/>
                <w:szCs w:val="21"/>
                <w:highlight w:val="none"/>
              </w:rPr>
              <w:t>进行有效的沟通，快速给出处理方案并解决问题</w:t>
            </w:r>
            <w:r>
              <w:rPr>
                <w:rFonts w:hint="eastAsia" w:ascii="宋体"/>
                <w:color w:val="auto"/>
                <w:szCs w:val="21"/>
                <w:highlight w:val="none"/>
              </w:rPr>
              <w:t>；</w:t>
            </w:r>
          </w:p>
          <w:p w14:paraId="0FE9F127">
            <w:pPr>
              <w:spacing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或服务项目能够基本按要求响应需求</w:t>
            </w:r>
            <w:r>
              <w:rPr>
                <w:rFonts w:hint="eastAsia" w:ascii="宋体"/>
                <w:color w:val="auto"/>
                <w:szCs w:val="21"/>
                <w:highlight w:val="none"/>
              </w:rPr>
              <w:t>，</w:t>
            </w:r>
            <w:r>
              <w:rPr>
                <w:rFonts w:ascii="宋体"/>
                <w:color w:val="auto"/>
                <w:szCs w:val="21"/>
                <w:highlight w:val="none"/>
              </w:rPr>
              <w:t>保持与</w:t>
            </w:r>
            <w:r>
              <w:rPr>
                <w:rFonts w:hint="eastAsia" w:ascii="宋体"/>
                <w:color w:val="auto"/>
                <w:szCs w:val="21"/>
                <w:highlight w:val="none"/>
              </w:rPr>
              <w:t>甲方</w:t>
            </w:r>
            <w:r>
              <w:rPr>
                <w:rFonts w:ascii="宋体"/>
                <w:color w:val="auto"/>
                <w:szCs w:val="21"/>
                <w:highlight w:val="none"/>
              </w:rPr>
              <w:t>的沟通，按时解决问题</w:t>
            </w:r>
            <w:r>
              <w:rPr>
                <w:rFonts w:hint="eastAsia" w:ascii="宋体"/>
                <w:color w:val="auto"/>
                <w:szCs w:val="21"/>
                <w:highlight w:val="none"/>
              </w:rPr>
              <w:t>；</w:t>
            </w:r>
          </w:p>
          <w:p w14:paraId="00586730">
            <w:pPr>
              <w:spacing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或服务项目未及时响应需求，或响应需求后无法</w:t>
            </w:r>
            <w:r>
              <w:rPr>
                <w:rFonts w:hint="eastAsia" w:ascii="宋体"/>
                <w:color w:val="auto"/>
                <w:szCs w:val="21"/>
                <w:highlight w:val="none"/>
              </w:rPr>
              <w:t>及时</w:t>
            </w:r>
            <w:r>
              <w:rPr>
                <w:rFonts w:ascii="宋体"/>
                <w:color w:val="auto"/>
                <w:szCs w:val="21"/>
                <w:highlight w:val="none"/>
              </w:rPr>
              <w:t>解决问题</w:t>
            </w:r>
            <w:r>
              <w:rPr>
                <w:rFonts w:hint="eastAsia" w:ascii="宋体"/>
                <w:color w:val="auto"/>
                <w:szCs w:val="21"/>
                <w:highlight w:val="none"/>
              </w:rPr>
              <w:t>。</w:t>
            </w:r>
          </w:p>
        </w:tc>
        <w:tc>
          <w:tcPr>
            <w:tcW w:w="2410" w:type="dxa"/>
            <w:tcBorders>
              <w:left w:val="single" w:color="auto" w:sz="4" w:space="0"/>
            </w:tcBorders>
            <w:vAlign w:val="center"/>
          </w:tcPr>
          <w:p w14:paraId="745FCAE4">
            <w:pPr>
              <w:spacing w:line="240" w:lineRule="auto"/>
              <w:ind w:firstLine="0" w:firstLineChars="0"/>
              <w:rPr>
                <w:rFonts w:ascii="宋体"/>
                <w:color w:val="auto"/>
                <w:szCs w:val="21"/>
                <w:highlight w:val="none"/>
              </w:rPr>
            </w:pPr>
            <w:r>
              <w:rPr>
                <w:rFonts w:hint="eastAsia" w:ascii="宋体"/>
                <w:color w:val="auto"/>
                <w:szCs w:val="21"/>
                <w:highlight w:val="none"/>
              </w:rPr>
              <w:t>评价为较差/差，即乙方</w:t>
            </w:r>
            <w:r>
              <w:rPr>
                <w:rFonts w:ascii="宋体"/>
                <w:color w:val="auto"/>
                <w:szCs w:val="21"/>
                <w:highlight w:val="none"/>
              </w:rPr>
              <w:t>或服务项目未及时响应需求，或响应需求后无法</w:t>
            </w:r>
            <w:r>
              <w:rPr>
                <w:rFonts w:hint="eastAsia" w:ascii="宋体"/>
                <w:color w:val="auto"/>
                <w:szCs w:val="21"/>
                <w:highlight w:val="none"/>
              </w:rPr>
              <w:t>及时</w:t>
            </w:r>
            <w:r>
              <w:rPr>
                <w:rFonts w:ascii="宋体"/>
                <w:color w:val="auto"/>
                <w:szCs w:val="21"/>
                <w:highlight w:val="none"/>
              </w:rPr>
              <w:t>解决问题</w:t>
            </w:r>
            <w:r>
              <w:rPr>
                <w:rFonts w:hint="eastAsia" w:ascii="宋体"/>
                <w:color w:val="auto"/>
                <w:szCs w:val="21"/>
                <w:highlight w:val="none"/>
              </w:rPr>
              <w:t>，扣除乙方金额人民币不低于1000元。</w:t>
            </w:r>
          </w:p>
        </w:tc>
        <w:tc>
          <w:tcPr>
            <w:tcW w:w="1134" w:type="dxa"/>
            <w:tcBorders>
              <w:left w:val="single" w:color="auto" w:sz="4" w:space="0"/>
            </w:tcBorders>
            <w:vAlign w:val="center"/>
          </w:tcPr>
          <w:p w14:paraId="5F198A88">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55377B88">
            <w:pPr>
              <w:spacing w:line="240" w:lineRule="auto"/>
              <w:ind w:firstLine="0" w:firstLineChars="0"/>
              <w:jc w:val="both"/>
              <w:rPr>
                <w:rFonts w:ascii="宋体"/>
                <w:color w:val="auto"/>
                <w:szCs w:val="21"/>
                <w:highlight w:val="none"/>
              </w:rPr>
            </w:pPr>
          </w:p>
        </w:tc>
      </w:tr>
      <w:tr w14:paraId="0E5E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587BE7">
            <w:pPr>
              <w:spacing w:line="240" w:lineRule="auto"/>
              <w:ind w:firstLine="0" w:firstLineChars="0"/>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0</w:t>
            </w:r>
          </w:p>
        </w:tc>
        <w:tc>
          <w:tcPr>
            <w:tcW w:w="1134" w:type="dxa"/>
            <w:vMerge w:val="continue"/>
            <w:tcBorders>
              <w:left w:val="single" w:color="auto" w:sz="4" w:space="0"/>
            </w:tcBorders>
            <w:vAlign w:val="center"/>
          </w:tcPr>
          <w:p w14:paraId="29653581">
            <w:pPr>
              <w:rPr>
                <w:color w:val="auto"/>
                <w:highlight w:val="none"/>
              </w:rPr>
            </w:pPr>
          </w:p>
        </w:tc>
        <w:tc>
          <w:tcPr>
            <w:tcW w:w="1559" w:type="dxa"/>
            <w:tcBorders>
              <w:left w:val="single" w:color="auto" w:sz="4" w:space="0"/>
            </w:tcBorders>
            <w:vAlign w:val="center"/>
          </w:tcPr>
          <w:p w14:paraId="47ACFE7D">
            <w:pPr>
              <w:spacing w:line="240" w:lineRule="auto"/>
              <w:ind w:firstLine="0" w:firstLineChars="0"/>
              <w:rPr>
                <w:rFonts w:ascii="宋体"/>
                <w:color w:val="auto"/>
                <w:szCs w:val="21"/>
                <w:highlight w:val="none"/>
              </w:rPr>
            </w:pPr>
            <w:r>
              <w:rPr>
                <w:rFonts w:hint="eastAsia" w:ascii="宋体"/>
                <w:color w:val="auto"/>
                <w:szCs w:val="21"/>
                <w:highlight w:val="none"/>
              </w:rPr>
              <w:t>需求排期率</w:t>
            </w:r>
          </w:p>
        </w:tc>
        <w:tc>
          <w:tcPr>
            <w:tcW w:w="2268" w:type="dxa"/>
            <w:tcBorders>
              <w:left w:val="single" w:color="auto" w:sz="4" w:space="0"/>
            </w:tcBorders>
            <w:vAlign w:val="center"/>
          </w:tcPr>
          <w:p w14:paraId="57E60164">
            <w:pPr>
              <w:spacing w:line="240" w:lineRule="auto"/>
              <w:ind w:firstLine="0" w:firstLineChars="0"/>
              <w:rPr>
                <w:rFonts w:ascii="宋体"/>
                <w:color w:val="auto"/>
                <w:szCs w:val="21"/>
                <w:highlight w:val="none"/>
              </w:rPr>
            </w:pPr>
            <w:r>
              <w:rPr>
                <w:rFonts w:ascii="宋体"/>
                <w:color w:val="auto"/>
                <w:szCs w:val="21"/>
                <w:highlight w:val="none"/>
              </w:rPr>
              <w:t>用于记录统计周期内对</w:t>
            </w:r>
            <w:r>
              <w:rPr>
                <w:rFonts w:hint="eastAsia" w:ascii="宋体"/>
                <w:color w:val="auto"/>
                <w:szCs w:val="21"/>
                <w:highlight w:val="none"/>
              </w:rPr>
              <w:t>甲方</w:t>
            </w:r>
            <w:r>
              <w:rPr>
                <w:rFonts w:ascii="宋体"/>
                <w:color w:val="auto"/>
                <w:szCs w:val="21"/>
                <w:highlight w:val="none"/>
              </w:rPr>
              <w:t>需求进行投产计划安排的比例</w:t>
            </w:r>
          </w:p>
        </w:tc>
        <w:tc>
          <w:tcPr>
            <w:tcW w:w="3686" w:type="dxa"/>
            <w:tcBorders>
              <w:left w:val="single" w:color="auto" w:sz="4" w:space="0"/>
            </w:tcBorders>
            <w:vAlign w:val="center"/>
          </w:tcPr>
          <w:p w14:paraId="2797036A">
            <w:pPr>
              <w:spacing w:line="240" w:lineRule="auto"/>
              <w:ind w:firstLine="0" w:firstLineChars="0"/>
              <w:rPr>
                <w:rFonts w:ascii="宋体"/>
                <w:color w:val="auto"/>
                <w:szCs w:val="21"/>
                <w:highlight w:val="none"/>
              </w:rPr>
            </w:pPr>
            <w:r>
              <w:rPr>
                <w:rFonts w:ascii="宋体"/>
                <w:color w:val="auto"/>
                <w:szCs w:val="21"/>
                <w:highlight w:val="none"/>
              </w:rPr>
              <w:t>需求排期率=已排期需求数/总需求数</w:t>
            </w:r>
          </w:p>
          <w:p w14:paraId="14D92280">
            <w:pPr>
              <w:spacing w:line="240" w:lineRule="auto"/>
              <w:ind w:firstLine="0" w:firstLineChars="0"/>
              <w:rPr>
                <w:rFonts w:ascii="宋体"/>
                <w:color w:val="auto"/>
                <w:szCs w:val="21"/>
                <w:highlight w:val="none"/>
              </w:rPr>
            </w:pPr>
            <w:r>
              <w:rPr>
                <w:rFonts w:ascii="宋体"/>
                <w:color w:val="auto"/>
                <w:szCs w:val="21"/>
                <w:highlight w:val="none"/>
              </w:rPr>
              <w:t>注：已排期需求数指统计周期内已经纳入投产计划的需求个数。总需求数指统计周期内由</w:t>
            </w:r>
            <w:r>
              <w:rPr>
                <w:rFonts w:hint="eastAsia" w:ascii="宋体"/>
                <w:color w:val="auto"/>
                <w:szCs w:val="21"/>
                <w:highlight w:val="none"/>
              </w:rPr>
              <w:t>甲方</w:t>
            </w:r>
            <w:r>
              <w:rPr>
                <w:rFonts w:ascii="宋体"/>
                <w:color w:val="auto"/>
                <w:szCs w:val="21"/>
                <w:highlight w:val="none"/>
              </w:rPr>
              <w:t>提出到达服务商项目组的需求数。</w:t>
            </w:r>
          </w:p>
          <w:p w14:paraId="2D96AF00">
            <w:pPr>
              <w:spacing w:line="240" w:lineRule="auto"/>
              <w:ind w:firstLine="0" w:firstLineChars="0"/>
              <w:rPr>
                <w:rFonts w:ascii="宋体"/>
                <w:b/>
                <w:color w:val="auto"/>
                <w:szCs w:val="21"/>
                <w:highlight w:val="none"/>
              </w:rPr>
            </w:pPr>
            <w:r>
              <w:rPr>
                <w:rFonts w:hint="eastAsia" w:ascii="宋体"/>
                <w:b/>
                <w:color w:val="auto"/>
                <w:szCs w:val="21"/>
                <w:highlight w:val="none"/>
              </w:rPr>
              <w:t>5分【98%-100%】</w:t>
            </w:r>
          </w:p>
          <w:p w14:paraId="5F9D7A78">
            <w:pPr>
              <w:spacing w:line="240" w:lineRule="auto"/>
              <w:ind w:firstLine="0" w:firstLineChars="0"/>
              <w:rPr>
                <w:rFonts w:ascii="宋体"/>
                <w:b/>
                <w:color w:val="auto"/>
                <w:szCs w:val="21"/>
                <w:highlight w:val="none"/>
              </w:rPr>
            </w:pPr>
            <w:r>
              <w:rPr>
                <w:rFonts w:hint="eastAsia" w:ascii="宋体"/>
                <w:b/>
                <w:color w:val="auto"/>
                <w:szCs w:val="21"/>
                <w:highlight w:val="none"/>
              </w:rPr>
              <w:t>3分【95%-97%】</w:t>
            </w:r>
          </w:p>
          <w:p w14:paraId="69F0B2F0">
            <w:pPr>
              <w:spacing w:line="240" w:lineRule="auto"/>
              <w:ind w:firstLine="0" w:firstLineChars="0"/>
              <w:rPr>
                <w:rFonts w:ascii="宋体"/>
                <w:b/>
                <w:bCs/>
                <w:color w:val="auto"/>
                <w:szCs w:val="21"/>
                <w:highlight w:val="none"/>
              </w:rPr>
            </w:pPr>
            <w:r>
              <w:rPr>
                <w:rFonts w:hint="eastAsia" w:ascii="宋体"/>
                <w:b/>
                <w:color w:val="auto"/>
                <w:szCs w:val="21"/>
                <w:highlight w:val="none"/>
              </w:rPr>
              <w:t>0分【低于95%】</w:t>
            </w:r>
          </w:p>
        </w:tc>
        <w:tc>
          <w:tcPr>
            <w:tcW w:w="2410" w:type="dxa"/>
            <w:tcBorders>
              <w:left w:val="single" w:color="auto" w:sz="4" w:space="0"/>
            </w:tcBorders>
            <w:vAlign w:val="center"/>
          </w:tcPr>
          <w:p w14:paraId="1469F3F1">
            <w:pPr>
              <w:spacing w:line="240" w:lineRule="auto"/>
              <w:ind w:firstLine="0" w:firstLineChars="0"/>
              <w:rPr>
                <w:rFonts w:ascii="宋体"/>
                <w:color w:val="auto"/>
                <w:szCs w:val="21"/>
                <w:highlight w:val="none"/>
              </w:rPr>
            </w:pPr>
          </w:p>
        </w:tc>
        <w:tc>
          <w:tcPr>
            <w:tcW w:w="1134" w:type="dxa"/>
            <w:tcBorders>
              <w:left w:val="single" w:color="auto" w:sz="4" w:space="0"/>
            </w:tcBorders>
            <w:vAlign w:val="center"/>
          </w:tcPr>
          <w:p w14:paraId="7840A5C8">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2E9EC64A">
            <w:pPr>
              <w:spacing w:line="240" w:lineRule="auto"/>
              <w:ind w:firstLine="0" w:firstLineChars="0"/>
              <w:jc w:val="both"/>
              <w:rPr>
                <w:rFonts w:ascii="宋体"/>
                <w:color w:val="auto"/>
                <w:szCs w:val="21"/>
                <w:highlight w:val="none"/>
              </w:rPr>
            </w:pPr>
          </w:p>
        </w:tc>
      </w:tr>
      <w:tr w14:paraId="7F22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0F0AB63">
            <w:pPr>
              <w:spacing w:line="240" w:lineRule="auto"/>
              <w:ind w:firstLine="0" w:firstLineChars="0"/>
              <w:jc w:val="center"/>
              <w:rPr>
                <w:rFonts w:ascii="宋体"/>
                <w:color w:val="auto"/>
                <w:szCs w:val="21"/>
                <w:highlight w:val="none"/>
              </w:rPr>
            </w:pPr>
            <w:r>
              <w:rPr>
                <w:rFonts w:hint="eastAsia" w:ascii="宋体"/>
                <w:color w:val="auto"/>
                <w:szCs w:val="21"/>
                <w:highlight w:val="none"/>
              </w:rPr>
              <w:t>11</w:t>
            </w:r>
          </w:p>
        </w:tc>
        <w:tc>
          <w:tcPr>
            <w:tcW w:w="1134" w:type="dxa"/>
            <w:vMerge w:val="continue"/>
            <w:tcBorders>
              <w:left w:val="single" w:color="auto" w:sz="4" w:space="0"/>
            </w:tcBorders>
            <w:vAlign w:val="center"/>
          </w:tcPr>
          <w:p w14:paraId="4CE36FFD">
            <w:pPr>
              <w:rPr>
                <w:color w:val="auto"/>
                <w:highlight w:val="none"/>
              </w:rPr>
            </w:pPr>
          </w:p>
        </w:tc>
        <w:tc>
          <w:tcPr>
            <w:tcW w:w="1559" w:type="dxa"/>
            <w:tcBorders>
              <w:left w:val="single" w:color="auto" w:sz="4" w:space="0"/>
            </w:tcBorders>
            <w:vAlign w:val="center"/>
          </w:tcPr>
          <w:p w14:paraId="0422EB31">
            <w:pPr>
              <w:spacing w:line="240" w:lineRule="auto"/>
              <w:ind w:firstLine="0" w:firstLineChars="0"/>
              <w:rPr>
                <w:rFonts w:ascii="宋体"/>
                <w:color w:val="auto"/>
                <w:szCs w:val="21"/>
                <w:highlight w:val="none"/>
              </w:rPr>
            </w:pPr>
            <w:r>
              <w:rPr>
                <w:rFonts w:hint="eastAsia" w:ascii="宋体"/>
                <w:color w:val="auto"/>
                <w:szCs w:val="21"/>
                <w:highlight w:val="none"/>
              </w:rPr>
              <w:t>需求完成率</w:t>
            </w:r>
          </w:p>
        </w:tc>
        <w:tc>
          <w:tcPr>
            <w:tcW w:w="2268" w:type="dxa"/>
            <w:tcBorders>
              <w:left w:val="single" w:color="auto" w:sz="4" w:space="0"/>
            </w:tcBorders>
            <w:vAlign w:val="center"/>
          </w:tcPr>
          <w:p w14:paraId="7775F668">
            <w:pPr>
              <w:spacing w:line="240" w:lineRule="auto"/>
              <w:ind w:firstLine="0" w:firstLineChars="0"/>
              <w:rPr>
                <w:rFonts w:ascii="宋体"/>
                <w:color w:val="auto"/>
                <w:szCs w:val="21"/>
                <w:highlight w:val="none"/>
              </w:rPr>
            </w:pPr>
            <w:r>
              <w:rPr>
                <w:rFonts w:ascii="宋体"/>
                <w:color w:val="auto"/>
                <w:szCs w:val="21"/>
                <w:highlight w:val="none"/>
              </w:rPr>
              <w:t>用于记录统计周期内</w:t>
            </w:r>
            <w:r>
              <w:rPr>
                <w:rFonts w:hint="eastAsia" w:ascii="宋体"/>
                <w:color w:val="auto"/>
                <w:szCs w:val="21"/>
                <w:highlight w:val="none"/>
              </w:rPr>
              <w:t>甲方</w:t>
            </w:r>
            <w:r>
              <w:rPr>
                <w:rFonts w:ascii="宋体"/>
                <w:color w:val="auto"/>
                <w:szCs w:val="21"/>
                <w:highlight w:val="none"/>
              </w:rPr>
              <w:t>需求完成投产的比例</w:t>
            </w:r>
          </w:p>
        </w:tc>
        <w:tc>
          <w:tcPr>
            <w:tcW w:w="3686" w:type="dxa"/>
            <w:tcBorders>
              <w:left w:val="single" w:color="auto" w:sz="4" w:space="0"/>
            </w:tcBorders>
            <w:vAlign w:val="center"/>
          </w:tcPr>
          <w:p w14:paraId="7603490A">
            <w:pPr>
              <w:spacing w:line="240" w:lineRule="auto"/>
              <w:ind w:firstLine="0" w:firstLineChars="0"/>
              <w:rPr>
                <w:rFonts w:ascii="宋体"/>
                <w:color w:val="auto"/>
                <w:szCs w:val="21"/>
                <w:highlight w:val="none"/>
              </w:rPr>
            </w:pPr>
            <w:r>
              <w:rPr>
                <w:rFonts w:hint="eastAsia" w:ascii="宋体"/>
                <w:color w:val="auto"/>
                <w:szCs w:val="21"/>
                <w:highlight w:val="none"/>
              </w:rPr>
              <w:t>需</w:t>
            </w:r>
            <w:r>
              <w:rPr>
                <w:rFonts w:ascii="宋体"/>
                <w:color w:val="auto"/>
                <w:szCs w:val="21"/>
                <w:highlight w:val="none"/>
              </w:rPr>
              <w:t>求完成率=流程完结需求数/总需求数</w:t>
            </w:r>
          </w:p>
          <w:p w14:paraId="7CFF12A6">
            <w:pPr>
              <w:spacing w:line="240" w:lineRule="auto"/>
              <w:ind w:firstLine="0" w:firstLineChars="0"/>
              <w:rPr>
                <w:rFonts w:ascii="宋体"/>
                <w:color w:val="auto"/>
                <w:szCs w:val="21"/>
                <w:highlight w:val="none"/>
              </w:rPr>
            </w:pPr>
            <w:r>
              <w:rPr>
                <w:rFonts w:ascii="宋体"/>
                <w:color w:val="auto"/>
                <w:szCs w:val="21"/>
                <w:highlight w:val="none"/>
              </w:rPr>
              <w:t>注：流程完结需求数指统计周期内已完成投产的需求个数</w:t>
            </w:r>
            <w:r>
              <w:rPr>
                <w:rFonts w:hint="eastAsia" w:ascii="宋体"/>
                <w:color w:val="auto"/>
                <w:szCs w:val="21"/>
                <w:highlight w:val="none"/>
              </w:rPr>
              <w:t>；</w:t>
            </w:r>
            <w:r>
              <w:rPr>
                <w:rFonts w:ascii="宋体"/>
                <w:color w:val="auto"/>
                <w:szCs w:val="21"/>
                <w:highlight w:val="none"/>
              </w:rPr>
              <w:t>总需求数指统计周期内由</w:t>
            </w:r>
            <w:r>
              <w:rPr>
                <w:rFonts w:hint="eastAsia" w:ascii="宋体"/>
                <w:color w:val="auto"/>
                <w:szCs w:val="21"/>
                <w:highlight w:val="none"/>
              </w:rPr>
              <w:t>甲方</w:t>
            </w:r>
            <w:r>
              <w:rPr>
                <w:rFonts w:ascii="宋体"/>
                <w:color w:val="auto"/>
                <w:szCs w:val="21"/>
                <w:highlight w:val="none"/>
              </w:rPr>
              <w:t>提出到达服务商项目组的需求个数。</w:t>
            </w:r>
          </w:p>
          <w:p w14:paraId="6CDEF0F8">
            <w:pPr>
              <w:spacing w:line="240" w:lineRule="auto"/>
              <w:ind w:firstLine="0" w:firstLineChars="0"/>
              <w:rPr>
                <w:rFonts w:ascii="宋体"/>
                <w:b/>
                <w:color w:val="auto"/>
                <w:szCs w:val="21"/>
                <w:highlight w:val="none"/>
              </w:rPr>
            </w:pPr>
            <w:r>
              <w:rPr>
                <w:rFonts w:hint="eastAsia" w:ascii="宋体"/>
                <w:b/>
                <w:color w:val="auto"/>
                <w:szCs w:val="21"/>
                <w:highlight w:val="none"/>
              </w:rPr>
              <w:t>5分【98%-100%】</w:t>
            </w:r>
          </w:p>
          <w:p w14:paraId="6223CE14">
            <w:pPr>
              <w:spacing w:line="240" w:lineRule="auto"/>
              <w:ind w:firstLine="0" w:firstLineChars="0"/>
              <w:rPr>
                <w:rFonts w:ascii="宋体"/>
                <w:b/>
                <w:color w:val="auto"/>
                <w:szCs w:val="21"/>
                <w:highlight w:val="none"/>
              </w:rPr>
            </w:pPr>
            <w:r>
              <w:rPr>
                <w:rFonts w:hint="eastAsia" w:ascii="宋体"/>
                <w:b/>
                <w:color w:val="auto"/>
                <w:szCs w:val="21"/>
                <w:highlight w:val="none"/>
              </w:rPr>
              <w:t>3分【95%-97%】</w:t>
            </w:r>
          </w:p>
          <w:p w14:paraId="31F9D8E2">
            <w:pPr>
              <w:spacing w:line="240" w:lineRule="auto"/>
              <w:ind w:firstLine="0" w:firstLineChars="0"/>
              <w:rPr>
                <w:rFonts w:ascii="宋体"/>
                <w:b/>
                <w:bCs/>
                <w:color w:val="auto"/>
                <w:szCs w:val="21"/>
                <w:highlight w:val="none"/>
              </w:rPr>
            </w:pPr>
            <w:r>
              <w:rPr>
                <w:rFonts w:hint="eastAsia" w:ascii="宋体"/>
                <w:b/>
                <w:color w:val="auto"/>
                <w:szCs w:val="21"/>
                <w:highlight w:val="none"/>
              </w:rPr>
              <w:t>0分【低于95%】</w:t>
            </w:r>
          </w:p>
        </w:tc>
        <w:tc>
          <w:tcPr>
            <w:tcW w:w="2410" w:type="dxa"/>
            <w:tcBorders>
              <w:left w:val="single" w:color="auto" w:sz="4" w:space="0"/>
            </w:tcBorders>
            <w:vAlign w:val="center"/>
          </w:tcPr>
          <w:p w14:paraId="1F1755AB">
            <w:pPr>
              <w:spacing w:line="240" w:lineRule="auto"/>
              <w:ind w:firstLine="0" w:firstLineChars="0"/>
              <w:rPr>
                <w:rFonts w:ascii="宋体"/>
                <w:color w:val="auto"/>
                <w:szCs w:val="21"/>
                <w:highlight w:val="none"/>
              </w:rPr>
            </w:pPr>
          </w:p>
        </w:tc>
        <w:tc>
          <w:tcPr>
            <w:tcW w:w="1134" w:type="dxa"/>
            <w:tcBorders>
              <w:left w:val="single" w:color="auto" w:sz="4" w:space="0"/>
            </w:tcBorders>
            <w:vAlign w:val="center"/>
          </w:tcPr>
          <w:p w14:paraId="68196F4D">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2E11C2DF">
            <w:pPr>
              <w:spacing w:line="240" w:lineRule="auto"/>
              <w:ind w:firstLine="0" w:firstLineChars="0"/>
              <w:jc w:val="both"/>
              <w:rPr>
                <w:rFonts w:ascii="宋体"/>
                <w:color w:val="auto"/>
                <w:szCs w:val="21"/>
                <w:highlight w:val="none"/>
              </w:rPr>
            </w:pPr>
          </w:p>
        </w:tc>
      </w:tr>
      <w:tr w14:paraId="6DB7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4B3009F">
            <w:pPr>
              <w:spacing w:line="240" w:lineRule="auto"/>
              <w:ind w:firstLine="0" w:firstLineChars="0"/>
              <w:jc w:val="center"/>
              <w:rPr>
                <w:rFonts w:ascii="宋体"/>
                <w:color w:val="auto"/>
                <w:szCs w:val="21"/>
                <w:highlight w:val="none"/>
              </w:rPr>
            </w:pPr>
            <w:r>
              <w:rPr>
                <w:rFonts w:hint="eastAsia" w:ascii="宋体"/>
                <w:color w:val="auto"/>
                <w:szCs w:val="21"/>
                <w:highlight w:val="none"/>
              </w:rPr>
              <w:t>12</w:t>
            </w:r>
          </w:p>
        </w:tc>
        <w:tc>
          <w:tcPr>
            <w:tcW w:w="1134" w:type="dxa"/>
            <w:vMerge w:val="continue"/>
            <w:tcBorders>
              <w:left w:val="single" w:color="auto" w:sz="4" w:space="0"/>
            </w:tcBorders>
            <w:vAlign w:val="center"/>
          </w:tcPr>
          <w:p w14:paraId="561593FE">
            <w:pPr>
              <w:rPr>
                <w:color w:val="auto"/>
                <w:highlight w:val="none"/>
              </w:rPr>
            </w:pPr>
          </w:p>
        </w:tc>
        <w:tc>
          <w:tcPr>
            <w:tcW w:w="1559" w:type="dxa"/>
            <w:tcBorders>
              <w:left w:val="single" w:color="auto" w:sz="4" w:space="0"/>
            </w:tcBorders>
            <w:vAlign w:val="center"/>
          </w:tcPr>
          <w:p w14:paraId="692826C4">
            <w:pPr>
              <w:spacing w:line="240" w:lineRule="auto"/>
              <w:ind w:firstLine="0" w:firstLineChars="0"/>
              <w:rPr>
                <w:rFonts w:ascii="宋体"/>
                <w:color w:val="auto"/>
                <w:szCs w:val="21"/>
                <w:highlight w:val="none"/>
              </w:rPr>
            </w:pPr>
            <w:r>
              <w:rPr>
                <w:rFonts w:hint="eastAsia" w:ascii="宋体"/>
                <w:color w:val="auto"/>
                <w:szCs w:val="21"/>
                <w:highlight w:val="none"/>
              </w:rPr>
              <w:t>人员行为规范性</w:t>
            </w:r>
          </w:p>
        </w:tc>
        <w:tc>
          <w:tcPr>
            <w:tcW w:w="2268" w:type="dxa"/>
            <w:tcBorders>
              <w:left w:val="single" w:color="auto" w:sz="4" w:space="0"/>
            </w:tcBorders>
            <w:vAlign w:val="center"/>
          </w:tcPr>
          <w:p w14:paraId="0DE1AA70">
            <w:pPr>
              <w:spacing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于记录外包场地日常管理或</w:t>
            </w:r>
            <w:r>
              <w:rPr>
                <w:rFonts w:hint="eastAsia" w:ascii="宋体"/>
                <w:color w:val="auto"/>
                <w:szCs w:val="21"/>
                <w:highlight w:val="none"/>
              </w:rPr>
              <w:t>检查</w:t>
            </w:r>
            <w:r>
              <w:rPr>
                <w:rFonts w:ascii="宋体"/>
                <w:color w:val="auto"/>
                <w:szCs w:val="21"/>
                <w:highlight w:val="none"/>
              </w:rPr>
              <w:t>过程中发现外包人员</w:t>
            </w:r>
            <w:r>
              <w:rPr>
                <w:rFonts w:hint="eastAsia" w:ascii="宋体"/>
                <w:color w:val="auto"/>
                <w:szCs w:val="21"/>
                <w:highlight w:val="none"/>
              </w:rPr>
              <w:t>行为</w:t>
            </w:r>
            <w:r>
              <w:rPr>
                <w:rFonts w:ascii="宋体"/>
                <w:color w:val="auto"/>
                <w:szCs w:val="21"/>
                <w:highlight w:val="none"/>
              </w:rPr>
              <w:t>违</w:t>
            </w:r>
            <w:r>
              <w:rPr>
                <w:rFonts w:hint="eastAsia" w:ascii="宋体"/>
                <w:color w:val="auto"/>
                <w:szCs w:val="21"/>
                <w:highlight w:val="none"/>
              </w:rPr>
              <w:t>规（包括但不限于办公纪律、造成办公环境物理安全隐患等）</w:t>
            </w:r>
            <w:r>
              <w:rPr>
                <w:rFonts w:ascii="宋体"/>
                <w:color w:val="auto"/>
                <w:szCs w:val="21"/>
                <w:highlight w:val="none"/>
              </w:rPr>
              <w:t>的次数</w:t>
            </w:r>
          </w:p>
        </w:tc>
        <w:tc>
          <w:tcPr>
            <w:tcW w:w="3686" w:type="dxa"/>
            <w:tcBorders>
              <w:left w:val="single" w:color="auto" w:sz="4" w:space="0"/>
            </w:tcBorders>
            <w:vAlign w:val="center"/>
          </w:tcPr>
          <w:p w14:paraId="3C33A477">
            <w:pPr>
              <w:spacing w:line="240" w:lineRule="auto"/>
              <w:ind w:firstLine="0" w:firstLineChars="0"/>
              <w:rPr>
                <w:rFonts w:ascii="宋体"/>
                <w:b/>
                <w:bCs/>
                <w:color w:val="auto"/>
                <w:szCs w:val="21"/>
                <w:highlight w:val="none"/>
              </w:rPr>
            </w:pPr>
            <w:r>
              <w:rPr>
                <w:rFonts w:hint="eastAsia" w:ascii="宋体"/>
                <w:b/>
                <w:bCs/>
                <w:color w:val="auto"/>
                <w:szCs w:val="21"/>
                <w:highlight w:val="none"/>
              </w:rPr>
              <w:t>【得分上限1</w:t>
            </w:r>
            <w:r>
              <w:rPr>
                <w:rFonts w:ascii="宋体"/>
                <w:b/>
                <w:bCs/>
                <w:color w:val="auto"/>
                <w:szCs w:val="21"/>
                <w:highlight w:val="none"/>
              </w:rPr>
              <w:t>0</w:t>
            </w:r>
            <w:r>
              <w:rPr>
                <w:rFonts w:hint="eastAsia" w:ascii="宋体"/>
                <w:b/>
                <w:bCs/>
                <w:color w:val="auto"/>
                <w:szCs w:val="21"/>
                <w:highlight w:val="none"/>
              </w:rPr>
              <w:t>分】</w:t>
            </w:r>
          </w:p>
          <w:p w14:paraId="79A9E58C">
            <w:pPr>
              <w:spacing w:line="240" w:lineRule="auto"/>
              <w:ind w:firstLine="0" w:firstLineChars="0"/>
              <w:rPr>
                <w:rFonts w:ascii="宋体"/>
                <w:color w:val="auto"/>
                <w:szCs w:val="21"/>
                <w:highlight w:val="none"/>
              </w:rPr>
            </w:pPr>
            <w:r>
              <w:rPr>
                <w:rFonts w:hint="eastAsia" w:ascii="宋体"/>
                <w:b/>
                <w:bCs/>
                <w:color w:val="auto"/>
                <w:szCs w:val="21"/>
                <w:highlight w:val="none"/>
              </w:rPr>
              <w:t>0次：</w:t>
            </w:r>
            <w:r>
              <w:rPr>
                <w:rFonts w:hint="eastAsia" w:ascii="宋体"/>
                <w:color w:val="auto"/>
                <w:szCs w:val="21"/>
                <w:highlight w:val="none"/>
              </w:rPr>
              <w:t>指未出现外包人员行为违规，该项指标满分；</w:t>
            </w:r>
          </w:p>
          <w:p w14:paraId="75779C89">
            <w:pPr>
              <w:spacing w:line="240" w:lineRule="auto"/>
              <w:ind w:firstLine="0" w:firstLineChars="0"/>
              <w:rPr>
                <w:rFonts w:ascii="宋体"/>
                <w:color w:val="auto"/>
                <w:szCs w:val="21"/>
                <w:highlight w:val="none"/>
              </w:rPr>
            </w:pPr>
            <w:r>
              <w:rPr>
                <w:rFonts w:hint="eastAsia" w:ascii="宋体"/>
                <w:b/>
                <w:bCs/>
                <w:color w:val="auto"/>
                <w:szCs w:val="21"/>
                <w:highlight w:val="none"/>
              </w:rPr>
              <w:t>1次及以上：</w:t>
            </w:r>
            <w:r>
              <w:rPr>
                <w:rFonts w:hint="eastAsia" w:ascii="宋体"/>
                <w:color w:val="auto"/>
                <w:szCs w:val="21"/>
                <w:highlight w:val="none"/>
              </w:rPr>
              <w:t>指检查发现外包人员行为违规1次及以上（每人次扣5分，最高扣除1</w:t>
            </w:r>
            <w:r>
              <w:rPr>
                <w:rFonts w:ascii="宋体"/>
                <w:color w:val="auto"/>
                <w:szCs w:val="21"/>
                <w:highlight w:val="none"/>
              </w:rPr>
              <w:t>0</w:t>
            </w:r>
            <w:r>
              <w:rPr>
                <w:rFonts w:hint="eastAsia" w:ascii="宋体"/>
                <w:color w:val="auto"/>
                <w:szCs w:val="21"/>
                <w:highlight w:val="none"/>
              </w:rPr>
              <w:t>分）</w:t>
            </w:r>
          </w:p>
        </w:tc>
        <w:tc>
          <w:tcPr>
            <w:tcW w:w="2410" w:type="dxa"/>
            <w:tcBorders>
              <w:left w:val="single" w:color="auto" w:sz="4" w:space="0"/>
            </w:tcBorders>
            <w:vAlign w:val="center"/>
          </w:tcPr>
          <w:p w14:paraId="6E0164FA">
            <w:pPr>
              <w:spacing w:line="240" w:lineRule="auto"/>
              <w:ind w:firstLine="0" w:firstLineChars="0"/>
              <w:rPr>
                <w:rFonts w:ascii="宋体"/>
                <w:color w:val="auto"/>
                <w:szCs w:val="21"/>
                <w:highlight w:val="none"/>
              </w:rPr>
            </w:pPr>
            <w:r>
              <w:rPr>
                <w:rFonts w:hint="eastAsia" w:ascii="宋体"/>
                <w:color w:val="auto"/>
                <w:szCs w:val="21"/>
                <w:highlight w:val="none"/>
              </w:rPr>
              <w:t>每出现一次人员行为</w:t>
            </w:r>
            <w:r>
              <w:rPr>
                <w:rFonts w:ascii="宋体"/>
                <w:color w:val="auto"/>
                <w:szCs w:val="21"/>
                <w:highlight w:val="none"/>
              </w:rPr>
              <w:t>违规</w:t>
            </w:r>
            <w:r>
              <w:rPr>
                <w:rFonts w:hint="eastAsia" w:ascii="宋体"/>
                <w:color w:val="auto"/>
                <w:szCs w:val="21"/>
                <w:highlight w:val="none"/>
              </w:rPr>
              <w:t>，扣除乙方金额人民币不低于500元。</w:t>
            </w:r>
          </w:p>
        </w:tc>
        <w:tc>
          <w:tcPr>
            <w:tcW w:w="1134" w:type="dxa"/>
            <w:tcBorders>
              <w:left w:val="single" w:color="auto" w:sz="4" w:space="0"/>
            </w:tcBorders>
            <w:vAlign w:val="center"/>
          </w:tcPr>
          <w:p w14:paraId="6E18EF93">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3900F933">
            <w:pPr>
              <w:spacing w:line="240" w:lineRule="auto"/>
              <w:ind w:firstLine="0" w:firstLineChars="0"/>
              <w:jc w:val="both"/>
              <w:rPr>
                <w:rFonts w:ascii="宋体"/>
                <w:color w:val="auto"/>
                <w:szCs w:val="21"/>
                <w:highlight w:val="none"/>
              </w:rPr>
            </w:pPr>
          </w:p>
        </w:tc>
      </w:tr>
      <w:tr w14:paraId="63BD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83E21C">
            <w:pPr>
              <w:spacing w:line="240" w:lineRule="auto"/>
              <w:ind w:firstLine="0" w:firstLineChars="0"/>
              <w:jc w:val="center"/>
              <w:rPr>
                <w:rFonts w:ascii="宋体"/>
                <w:color w:val="auto"/>
                <w:szCs w:val="21"/>
                <w:highlight w:val="none"/>
              </w:rPr>
            </w:pPr>
            <w:r>
              <w:rPr>
                <w:rFonts w:hint="eastAsia" w:ascii="宋体"/>
                <w:color w:val="auto"/>
                <w:szCs w:val="21"/>
                <w:highlight w:val="none"/>
              </w:rPr>
              <w:t>13</w:t>
            </w:r>
          </w:p>
        </w:tc>
        <w:tc>
          <w:tcPr>
            <w:tcW w:w="1134" w:type="dxa"/>
            <w:vMerge w:val="continue"/>
            <w:tcBorders>
              <w:left w:val="single" w:color="auto" w:sz="4" w:space="0"/>
            </w:tcBorders>
            <w:vAlign w:val="center"/>
          </w:tcPr>
          <w:p w14:paraId="3784ED6B">
            <w:pPr>
              <w:rPr>
                <w:color w:val="auto"/>
                <w:highlight w:val="none"/>
              </w:rPr>
            </w:pPr>
          </w:p>
        </w:tc>
        <w:tc>
          <w:tcPr>
            <w:tcW w:w="1559" w:type="dxa"/>
            <w:tcBorders>
              <w:left w:val="single" w:color="auto" w:sz="4" w:space="0"/>
            </w:tcBorders>
            <w:vAlign w:val="center"/>
          </w:tcPr>
          <w:p w14:paraId="21176B83">
            <w:pPr>
              <w:spacing w:line="240" w:lineRule="auto"/>
              <w:ind w:firstLine="0" w:firstLineChars="0"/>
              <w:rPr>
                <w:rFonts w:ascii="宋体"/>
                <w:color w:val="auto"/>
                <w:szCs w:val="21"/>
                <w:highlight w:val="none"/>
              </w:rPr>
            </w:pPr>
            <w:r>
              <w:rPr>
                <w:rFonts w:hint="eastAsia" w:ascii="宋体"/>
                <w:color w:val="auto"/>
                <w:szCs w:val="21"/>
                <w:highlight w:val="none"/>
              </w:rPr>
              <w:t>人员变动率</w:t>
            </w:r>
          </w:p>
        </w:tc>
        <w:tc>
          <w:tcPr>
            <w:tcW w:w="2268" w:type="dxa"/>
            <w:tcBorders>
              <w:left w:val="single" w:color="auto" w:sz="4" w:space="0"/>
            </w:tcBorders>
            <w:vAlign w:val="center"/>
          </w:tcPr>
          <w:p w14:paraId="164EC607">
            <w:pPr>
              <w:spacing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于记录统计周期内</w:t>
            </w:r>
            <w:r>
              <w:rPr>
                <w:rFonts w:hint="eastAsia" w:ascii="宋体"/>
                <w:color w:val="auto"/>
                <w:szCs w:val="21"/>
                <w:highlight w:val="none"/>
              </w:rPr>
              <w:t>乙方未经甲方同意</w:t>
            </w:r>
            <w:r>
              <w:rPr>
                <w:rFonts w:ascii="宋体"/>
                <w:color w:val="auto"/>
                <w:szCs w:val="21"/>
                <w:highlight w:val="none"/>
              </w:rPr>
              <w:t>更换外包人员数量占</w:t>
            </w:r>
            <w:r>
              <w:rPr>
                <w:rFonts w:hint="eastAsia" w:ascii="宋体"/>
                <w:color w:val="auto"/>
                <w:szCs w:val="21"/>
                <w:highlight w:val="none"/>
              </w:rPr>
              <w:t>乙方</w:t>
            </w:r>
            <w:r>
              <w:rPr>
                <w:rFonts w:ascii="宋体"/>
                <w:color w:val="auto"/>
                <w:szCs w:val="21"/>
                <w:highlight w:val="none"/>
              </w:rPr>
              <w:t>驻场外包人员总数量的比率</w:t>
            </w:r>
          </w:p>
        </w:tc>
        <w:tc>
          <w:tcPr>
            <w:tcW w:w="3686" w:type="dxa"/>
            <w:tcBorders>
              <w:left w:val="single" w:color="auto" w:sz="4" w:space="0"/>
            </w:tcBorders>
            <w:vAlign w:val="center"/>
          </w:tcPr>
          <w:p w14:paraId="36DE951C">
            <w:pPr>
              <w:spacing w:line="240" w:lineRule="auto"/>
              <w:ind w:firstLine="0" w:firstLineChars="0"/>
              <w:rPr>
                <w:rFonts w:ascii="宋体"/>
                <w:color w:val="auto"/>
                <w:szCs w:val="21"/>
                <w:highlight w:val="none"/>
              </w:rPr>
            </w:pPr>
            <w:r>
              <w:rPr>
                <w:rFonts w:hint="eastAsia" w:ascii="宋体"/>
                <w:color w:val="auto"/>
                <w:szCs w:val="21"/>
                <w:highlight w:val="none"/>
              </w:rPr>
              <w:t>人</w:t>
            </w:r>
            <w:r>
              <w:rPr>
                <w:rFonts w:ascii="宋体"/>
                <w:color w:val="auto"/>
                <w:szCs w:val="21"/>
                <w:highlight w:val="none"/>
              </w:rPr>
              <w:t>员变动率=</w:t>
            </w:r>
            <w:r>
              <w:rPr>
                <w:rFonts w:hint="eastAsia" w:ascii="宋体"/>
                <w:color w:val="auto"/>
                <w:szCs w:val="21"/>
                <w:highlight w:val="none"/>
              </w:rPr>
              <w:t>乙方未经甲方同意</w:t>
            </w:r>
            <w:r>
              <w:rPr>
                <w:rFonts w:ascii="宋体"/>
                <w:color w:val="auto"/>
                <w:szCs w:val="21"/>
                <w:highlight w:val="none"/>
              </w:rPr>
              <w:t>更换外包人员数量/</w:t>
            </w:r>
            <w:r>
              <w:rPr>
                <w:rFonts w:hint="eastAsia" w:ascii="宋体"/>
                <w:color w:val="auto"/>
                <w:szCs w:val="21"/>
                <w:highlight w:val="none"/>
              </w:rPr>
              <w:t>乙方</w:t>
            </w:r>
            <w:r>
              <w:rPr>
                <w:rFonts w:ascii="宋体"/>
                <w:color w:val="auto"/>
                <w:szCs w:val="21"/>
                <w:highlight w:val="none"/>
              </w:rPr>
              <w:t>驻场外包人员总数量</w:t>
            </w:r>
          </w:p>
          <w:p w14:paraId="2C5EBF18">
            <w:pPr>
              <w:spacing w:line="240" w:lineRule="auto"/>
              <w:ind w:firstLine="0" w:firstLineChars="0"/>
              <w:rPr>
                <w:rFonts w:ascii="宋体"/>
                <w:b/>
                <w:color w:val="auto"/>
                <w:szCs w:val="21"/>
                <w:highlight w:val="none"/>
              </w:rPr>
            </w:pPr>
            <w:r>
              <w:rPr>
                <w:rFonts w:hint="eastAsia" w:ascii="宋体"/>
                <w:b/>
                <w:color w:val="auto"/>
                <w:szCs w:val="21"/>
                <w:highlight w:val="none"/>
              </w:rPr>
              <w:t>10分【0-20%】</w:t>
            </w:r>
          </w:p>
          <w:p w14:paraId="54ECAF59">
            <w:pPr>
              <w:spacing w:line="240" w:lineRule="auto"/>
              <w:ind w:firstLine="0" w:firstLineChars="0"/>
              <w:rPr>
                <w:rFonts w:ascii="宋体"/>
                <w:b/>
                <w:color w:val="auto"/>
                <w:szCs w:val="21"/>
                <w:highlight w:val="none"/>
              </w:rPr>
            </w:pPr>
            <w:r>
              <w:rPr>
                <w:rFonts w:hint="eastAsia" w:ascii="宋体"/>
                <w:b/>
                <w:color w:val="auto"/>
                <w:szCs w:val="21"/>
                <w:highlight w:val="none"/>
              </w:rPr>
              <w:t>5分【20%-40%】</w:t>
            </w:r>
          </w:p>
          <w:p w14:paraId="72A75A7A">
            <w:pPr>
              <w:spacing w:line="240" w:lineRule="auto"/>
              <w:ind w:firstLine="0" w:firstLineChars="0"/>
              <w:rPr>
                <w:rFonts w:ascii="宋体"/>
                <w:b/>
                <w:color w:val="auto"/>
                <w:szCs w:val="21"/>
                <w:highlight w:val="none"/>
              </w:rPr>
            </w:pPr>
            <w:r>
              <w:rPr>
                <w:rFonts w:hint="eastAsia" w:ascii="宋体"/>
                <w:b/>
                <w:color w:val="auto"/>
                <w:szCs w:val="21"/>
                <w:highlight w:val="none"/>
              </w:rPr>
              <w:t>0分【超过40%】</w:t>
            </w:r>
          </w:p>
        </w:tc>
        <w:tc>
          <w:tcPr>
            <w:tcW w:w="2410" w:type="dxa"/>
            <w:tcBorders>
              <w:left w:val="single" w:color="auto" w:sz="4" w:space="0"/>
            </w:tcBorders>
            <w:vAlign w:val="center"/>
          </w:tcPr>
          <w:p w14:paraId="29891EE8">
            <w:pPr>
              <w:spacing w:line="240" w:lineRule="auto"/>
              <w:ind w:firstLine="0" w:firstLineChars="0"/>
              <w:rPr>
                <w:rFonts w:ascii="宋体"/>
                <w:color w:val="auto"/>
                <w:szCs w:val="21"/>
                <w:highlight w:val="none"/>
              </w:rPr>
            </w:pPr>
            <w:r>
              <w:rPr>
                <w:rFonts w:hint="eastAsia" w:ascii="宋体"/>
                <w:color w:val="auto"/>
                <w:szCs w:val="21"/>
                <w:highlight w:val="none"/>
              </w:rPr>
              <w:t>技术骨干或项目经理未经甲方同意变动，扣除乙方金额人民币不低于3万元；其余人员变动率超过40</w:t>
            </w:r>
            <w:r>
              <w:rPr>
                <w:rFonts w:ascii="宋体"/>
                <w:color w:val="auto"/>
                <w:szCs w:val="21"/>
                <w:highlight w:val="none"/>
              </w:rPr>
              <w:t>%</w:t>
            </w:r>
            <w:r>
              <w:rPr>
                <w:rFonts w:hint="eastAsia" w:ascii="宋体"/>
                <w:color w:val="auto"/>
                <w:szCs w:val="21"/>
                <w:highlight w:val="none"/>
              </w:rPr>
              <w:t>，扣除不低于合同总金额的1%。</w:t>
            </w:r>
          </w:p>
        </w:tc>
        <w:tc>
          <w:tcPr>
            <w:tcW w:w="1134" w:type="dxa"/>
            <w:tcBorders>
              <w:left w:val="single" w:color="auto" w:sz="4" w:space="0"/>
            </w:tcBorders>
            <w:vAlign w:val="center"/>
          </w:tcPr>
          <w:p w14:paraId="79DD4342">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3C8A83B0">
            <w:pPr>
              <w:spacing w:line="240" w:lineRule="auto"/>
              <w:ind w:firstLine="0" w:firstLineChars="0"/>
              <w:jc w:val="both"/>
              <w:rPr>
                <w:rFonts w:ascii="宋体"/>
                <w:color w:val="auto"/>
                <w:szCs w:val="21"/>
                <w:highlight w:val="none"/>
              </w:rPr>
            </w:pPr>
          </w:p>
        </w:tc>
      </w:tr>
      <w:tr w14:paraId="49C2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72734A">
            <w:pPr>
              <w:spacing w:line="240" w:lineRule="auto"/>
              <w:ind w:firstLine="0" w:firstLineChars="0"/>
              <w:jc w:val="center"/>
              <w:rPr>
                <w:rFonts w:ascii="宋体"/>
                <w:color w:val="auto"/>
                <w:szCs w:val="21"/>
                <w:highlight w:val="none"/>
              </w:rPr>
            </w:pPr>
            <w:r>
              <w:rPr>
                <w:rFonts w:hint="eastAsia" w:ascii="宋体"/>
                <w:color w:val="auto"/>
                <w:szCs w:val="21"/>
                <w:highlight w:val="none"/>
              </w:rPr>
              <w:t>14</w:t>
            </w:r>
          </w:p>
        </w:tc>
        <w:tc>
          <w:tcPr>
            <w:tcW w:w="1134" w:type="dxa"/>
            <w:vMerge w:val="continue"/>
            <w:tcBorders>
              <w:left w:val="single" w:color="auto" w:sz="4" w:space="0"/>
            </w:tcBorders>
            <w:vAlign w:val="center"/>
          </w:tcPr>
          <w:p w14:paraId="0DC5EC6A">
            <w:pPr>
              <w:rPr>
                <w:color w:val="auto"/>
                <w:highlight w:val="none"/>
              </w:rPr>
            </w:pPr>
          </w:p>
        </w:tc>
        <w:tc>
          <w:tcPr>
            <w:tcW w:w="1559" w:type="dxa"/>
            <w:tcBorders>
              <w:left w:val="single" w:color="auto" w:sz="4" w:space="0"/>
            </w:tcBorders>
            <w:vAlign w:val="center"/>
          </w:tcPr>
          <w:p w14:paraId="6A812FDB">
            <w:pPr>
              <w:spacing w:line="240" w:lineRule="auto"/>
              <w:ind w:firstLine="0" w:firstLineChars="0"/>
              <w:rPr>
                <w:rFonts w:ascii="宋体"/>
                <w:color w:val="auto"/>
                <w:szCs w:val="21"/>
                <w:highlight w:val="none"/>
              </w:rPr>
            </w:pPr>
            <w:r>
              <w:rPr>
                <w:rFonts w:hint="eastAsia" w:ascii="宋体"/>
                <w:color w:val="auto"/>
                <w:szCs w:val="21"/>
                <w:highlight w:val="none"/>
              </w:rPr>
              <w:t>人员满意度评价</w:t>
            </w:r>
          </w:p>
        </w:tc>
        <w:tc>
          <w:tcPr>
            <w:tcW w:w="2268" w:type="dxa"/>
            <w:tcBorders>
              <w:left w:val="single" w:color="auto" w:sz="4" w:space="0"/>
            </w:tcBorders>
            <w:vAlign w:val="center"/>
          </w:tcPr>
          <w:p w14:paraId="14EAD088">
            <w:pPr>
              <w:spacing w:line="240" w:lineRule="auto"/>
              <w:ind w:firstLine="0" w:firstLineChars="0"/>
              <w:rPr>
                <w:rFonts w:ascii="宋体"/>
                <w:color w:val="auto"/>
                <w:szCs w:val="21"/>
                <w:highlight w:val="none"/>
              </w:rPr>
            </w:pPr>
            <w:r>
              <w:rPr>
                <w:rFonts w:hint="eastAsia" w:ascii="宋体"/>
                <w:color w:val="auto"/>
                <w:szCs w:val="21"/>
                <w:highlight w:val="none"/>
              </w:rPr>
              <w:t>甲方</w:t>
            </w:r>
            <w:r>
              <w:rPr>
                <w:rFonts w:ascii="宋体"/>
                <w:color w:val="auto"/>
                <w:szCs w:val="21"/>
                <w:highlight w:val="none"/>
              </w:rPr>
              <w:t>对</w:t>
            </w:r>
            <w:r>
              <w:rPr>
                <w:rFonts w:hint="eastAsia" w:ascii="宋体"/>
                <w:color w:val="auto"/>
                <w:szCs w:val="21"/>
                <w:highlight w:val="none"/>
              </w:rPr>
              <w:t>乙方</w:t>
            </w:r>
            <w:r>
              <w:rPr>
                <w:rFonts w:ascii="宋体"/>
                <w:color w:val="auto"/>
                <w:szCs w:val="21"/>
                <w:highlight w:val="none"/>
              </w:rPr>
              <w:t>外包人员表现的满意度评价</w:t>
            </w:r>
          </w:p>
        </w:tc>
        <w:tc>
          <w:tcPr>
            <w:tcW w:w="3686" w:type="dxa"/>
            <w:tcBorders>
              <w:left w:val="single" w:color="auto" w:sz="4" w:space="0"/>
            </w:tcBorders>
            <w:vAlign w:val="center"/>
          </w:tcPr>
          <w:p w14:paraId="65135041">
            <w:pPr>
              <w:spacing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w:t>
            </w:r>
            <w:r>
              <w:rPr>
                <w:rFonts w:hint="eastAsia" w:ascii="宋体"/>
                <w:color w:val="auto"/>
                <w:szCs w:val="21"/>
                <w:highlight w:val="none"/>
              </w:rPr>
              <w:t>工作效率高，态度积极主动，</w:t>
            </w:r>
            <w:r>
              <w:rPr>
                <w:rFonts w:ascii="宋体"/>
                <w:color w:val="auto"/>
                <w:szCs w:val="21"/>
                <w:highlight w:val="none"/>
              </w:rPr>
              <w:t>保质保量完成工作任务</w:t>
            </w:r>
            <w:r>
              <w:rPr>
                <w:rFonts w:hint="eastAsia" w:ascii="宋体"/>
                <w:color w:val="auto"/>
                <w:szCs w:val="21"/>
                <w:highlight w:val="none"/>
              </w:rPr>
              <w:t>，</w:t>
            </w:r>
            <w:r>
              <w:rPr>
                <w:rFonts w:ascii="宋体"/>
                <w:color w:val="auto"/>
                <w:szCs w:val="21"/>
                <w:highlight w:val="none"/>
              </w:rPr>
              <w:t>对团队有突出贡献，日常行为能起到模范带头作用</w:t>
            </w:r>
            <w:r>
              <w:rPr>
                <w:rFonts w:hint="eastAsia" w:ascii="宋体"/>
                <w:color w:val="auto"/>
                <w:szCs w:val="21"/>
                <w:highlight w:val="none"/>
              </w:rPr>
              <w:t>的；</w:t>
            </w:r>
          </w:p>
          <w:p w14:paraId="51AF73E9">
            <w:pPr>
              <w:spacing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w:t>
            </w:r>
            <w:r>
              <w:rPr>
                <w:rFonts w:hint="eastAsia" w:ascii="宋体"/>
                <w:color w:val="auto"/>
                <w:szCs w:val="21"/>
                <w:highlight w:val="none"/>
              </w:rPr>
              <w:t>工作效率较高，态度比较主动，较好</w:t>
            </w:r>
            <w:r>
              <w:rPr>
                <w:rFonts w:ascii="宋体"/>
                <w:color w:val="auto"/>
                <w:szCs w:val="21"/>
                <w:highlight w:val="none"/>
              </w:rPr>
              <w:t>完成工作任务</w:t>
            </w:r>
            <w:r>
              <w:rPr>
                <w:rFonts w:hint="eastAsia" w:ascii="宋体"/>
                <w:color w:val="auto"/>
                <w:szCs w:val="21"/>
                <w:highlight w:val="none"/>
              </w:rPr>
              <w:t>，</w:t>
            </w:r>
            <w:r>
              <w:rPr>
                <w:rFonts w:ascii="宋体"/>
                <w:color w:val="auto"/>
                <w:szCs w:val="21"/>
                <w:highlight w:val="none"/>
              </w:rPr>
              <w:t>对团队有</w:t>
            </w:r>
            <w:r>
              <w:rPr>
                <w:rFonts w:hint="eastAsia" w:ascii="宋体"/>
                <w:color w:val="auto"/>
                <w:szCs w:val="21"/>
                <w:highlight w:val="none"/>
              </w:rPr>
              <w:t>一定</w:t>
            </w:r>
            <w:r>
              <w:rPr>
                <w:rFonts w:ascii="宋体"/>
                <w:color w:val="auto"/>
                <w:szCs w:val="21"/>
                <w:highlight w:val="none"/>
              </w:rPr>
              <w:t>贡献，日常行为</w:t>
            </w:r>
            <w:r>
              <w:rPr>
                <w:rFonts w:hint="eastAsia" w:ascii="宋体"/>
                <w:color w:val="auto"/>
                <w:szCs w:val="21"/>
                <w:highlight w:val="none"/>
              </w:rPr>
              <w:t>表现较好的；</w:t>
            </w:r>
          </w:p>
          <w:p w14:paraId="031CBAA3">
            <w:pPr>
              <w:spacing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w:t>
            </w:r>
            <w:r>
              <w:rPr>
                <w:rFonts w:hint="eastAsia" w:ascii="宋体"/>
                <w:color w:val="auto"/>
                <w:szCs w:val="21"/>
                <w:highlight w:val="none"/>
              </w:rPr>
              <w:t>工作效率一般，态度合格，能够按时</w:t>
            </w:r>
            <w:r>
              <w:rPr>
                <w:rFonts w:ascii="宋体"/>
                <w:color w:val="auto"/>
                <w:szCs w:val="21"/>
                <w:highlight w:val="none"/>
              </w:rPr>
              <w:t>完成工作任务</w:t>
            </w:r>
            <w:r>
              <w:rPr>
                <w:rFonts w:hint="eastAsia" w:ascii="宋体"/>
                <w:color w:val="auto"/>
                <w:szCs w:val="21"/>
                <w:highlight w:val="none"/>
              </w:rPr>
              <w:t>的；</w:t>
            </w:r>
          </w:p>
          <w:p w14:paraId="0926C7C6">
            <w:pPr>
              <w:spacing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w:t>
            </w:r>
            <w:r>
              <w:rPr>
                <w:rFonts w:hint="eastAsia" w:ascii="宋体"/>
                <w:color w:val="auto"/>
                <w:szCs w:val="21"/>
                <w:highlight w:val="none"/>
              </w:rPr>
              <w:t>工作效率低下，态度懈怠散漫，不能按时</w:t>
            </w:r>
            <w:r>
              <w:rPr>
                <w:rFonts w:ascii="宋体"/>
                <w:color w:val="auto"/>
                <w:szCs w:val="21"/>
                <w:highlight w:val="none"/>
              </w:rPr>
              <w:t>完成工作任务</w:t>
            </w:r>
            <w:r>
              <w:rPr>
                <w:rFonts w:hint="eastAsia" w:ascii="宋体"/>
                <w:color w:val="auto"/>
                <w:szCs w:val="21"/>
                <w:highlight w:val="none"/>
              </w:rPr>
              <w:t>的。</w:t>
            </w:r>
          </w:p>
        </w:tc>
        <w:tc>
          <w:tcPr>
            <w:tcW w:w="2410" w:type="dxa"/>
            <w:tcBorders>
              <w:left w:val="single" w:color="auto" w:sz="4" w:space="0"/>
            </w:tcBorders>
            <w:vAlign w:val="center"/>
          </w:tcPr>
          <w:p w14:paraId="6804FA23">
            <w:pPr>
              <w:spacing w:line="240" w:lineRule="auto"/>
              <w:ind w:firstLine="0" w:firstLineChars="0"/>
              <w:rPr>
                <w:rFonts w:ascii="宋体"/>
                <w:color w:val="auto"/>
                <w:szCs w:val="21"/>
                <w:highlight w:val="none"/>
              </w:rPr>
            </w:pPr>
            <w:r>
              <w:rPr>
                <w:rFonts w:hint="eastAsia" w:ascii="宋体"/>
                <w:color w:val="auto"/>
                <w:szCs w:val="21"/>
                <w:highlight w:val="none"/>
              </w:rPr>
              <w:t>评价为较差/差时，甲方有权要求乙方更换人员并赔偿实际损失。</w:t>
            </w:r>
          </w:p>
        </w:tc>
        <w:tc>
          <w:tcPr>
            <w:tcW w:w="1134" w:type="dxa"/>
            <w:tcBorders>
              <w:left w:val="single" w:color="auto" w:sz="4" w:space="0"/>
            </w:tcBorders>
            <w:vAlign w:val="center"/>
          </w:tcPr>
          <w:p w14:paraId="380D120E">
            <w:pPr>
              <w:spacing w:line="240" w:lineRule="auto"/>
              <w:ind w:firstLine="0" w:firstLineChars="0"/>
              <w:jc w:val="both"/>
              <w:rPr>
                <w:rFonts w:ascii="宋体"/>
                <w:color w:val="auto"/>
                <w:szCs w:val="21"/>
                <w:highlight w:val="none"/>
              </w:rPr>
            </w:pPr>
          </w:p>
        </w:tc>
        <w:tc>
          <w:tcPr>
            <w:tcW w:w="1086" w:type="dxa"/>
            <w:tcBorders>
              <w:left w:val="single" w:color="auto" w:sz="4" w:space="0"/>
            </w:tcBorders>
            <w:vAlign w:val="center"/>
          </w:tcPr>
          <w:p w14:paraId="3CD10CE0">
            <w:pPr>
              <w:spacing w:line="240" w:lineRule="auto"/>
              <w:ind w:firstLine="0" w:firstLineChars="0"/>
              <w:jc w:val="both"/>
              <w:rPr>
                <w:rFonts w:ascii="宋体"/>
                <w:color w:val="auto"/>
                <w:szCs w:val="21"/>
                <w:highlight w:val="none"/>
              </w:rPr>
            </w:pPr>
          </w:p>
        </w:tc>
      </w:tr>
      <w:tr w14:paraId="6EC3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14ED3E77">
            <w:pPr>
              <w:spacing w:line="240" w:lineRule="auto"/>
              <w:ind w:firstLine="0" w:firstLineChars="0"/>
              <w:jc w:val="both"/>
              <w:rPr>
                <w:rFonts w:ascii="宋体"/>
                <w:color w:val="auto"/>
                <w:szCs w:val="21"/>
                <w:highlight w:val="none"/>
              </w:rPr>
            </w:pPr>
            <w:r>
              <w:rPr>
                <w:rFonts w:hint="eastAsia" w:ascii="宋体"/>
                <w:color w:val="auto"/>
                <w:szCs w:val="21"/>
                <w:highlight w:val="none"/>
              </w:rPr>
              <w:t>综合得分：</w:t>
            </w:r>
          </w:p>
        </w:tc>
        <w:tc>
          <w:tcPr>
            <w:tcW w:w="1086" w:type="dxa"/>
            <w:tcBorders>
              <w:left w:val="single" w:color="auto" w:sz="4" w:space="0"/>
            </w:tcBorders>
            <w:vAlign w:val="center"/>
          </w:tcPr>
          <w:p w14:paraId="5715593B">
            <w:pPr>
              <w:spacing w:line="240" w:lineRule="auto"/>
              <w:ind w:firstLine="0" w:firstLineChars="0"/>
              <w:jc w:val="both"/>
              <w:rPr>
                <w:rFonts w:ascii="宋体"/>
                <w:color w:val="auto"/>
                <w:szCs w:val="21"/>
                <w:highlight w:val="none"/>
              </w:rPr>
            </w:pPr>
          </w:p>
        </w:tc>
      </w:tr>
      <w:tr w14:paraId="31D9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vAlign w:val="center"/>
          </w:tcPr>
          <w:p w14:paraId="5DAC32E2">
            <w:pPr>
              <w:spacing w:line="240" w:lineRule="auto"/>
              <w:ind w:firstLine="0" w:firstLineChars="0"/>
              <w:jc w:val="both"/>
              <w:rPr>
                <w:rFonts w:ascii="宋体"/>
                <w:color w:val="auto"/>
                <w:szCs w:val="21"/>
                <w:highlight w:val="none"/>
              </w:rPr>
            </w:pPr>
            <w:r>
              <w:rPr>
                <w:rFonts w:hint="eastAsia" w:ascii="宋体"/>
                <w:color w:val="auto"/>
                <w:szCs w:val="21"/>
                <w:highlight w:val="none"/>
              </w:rPr>
              <w:t>综合评价结果：</w:t>
            </w:r>
          </w:p>
          <w:p w14:paraId="32656F06">
            <w:pPr>
              <w:spacing w:line="240" w:lineRule="auto"/>
              <w:ind w:firstLine="0" w:firstLineChars="0"/>
              <w:jc w:val="both"/>
              <w:rPr>
                <w:rFonts w:ascii="宋体"/>
                <w:color w:val="auto"/>
                <w:szCs w:val="21"/>
                <w:highlight w:val="none"/>
              </w:rPr>
            </w:pPr>
            <w:r>
              <w:rPr>
                <w:rFonts w:hint="eastAsia" w:ascii="宋体"/>
                <w:color w:val="auto"/>
                <w:szCs w:val="21"/>
                <w:highlight w:val="none"/>
              </w:rPr>
              <w:t>（注：根据评价得分填写评价等级，填写完成后删除此内容）</w:t>
            </w:r>
          </w:p>
          <w:p w14:paraId="1C4B5FE1">
            <w:pPr>
              <w:spacing w:line="240" w:lineRule="auto"/>
              <w:ind w:firstLine="0" w:firstLineChars="0"/>
              <w:jc w:val="both"/>
              <w:rPr>
                <w:rFonts w:ascii="宋体"/>
                <w:color w:val="auto"/>
                <w:szCs w:val="21"/>
                <w:highlight w:val="none"/>
              </w:rPr>
            </w:pPr>
            <w:r>
              <w:rPr>
                <w:rFonts w:hint="eastAsia" w:ascii="宋体"/>
                <w:color w:val="auto"/>
                <w:szCs w:val="21"/>
                <w:highlight w:val="none"/>
              </w:rPr>
              <w:t>综合评价描述：</w:t>
            </w:r>
          </w:p>
          <w:p w14:paraId="4D39415F">
            <w:pPr>
              <w:spacing w:line="240" w:lineRule="auto"/>
              <w:ind w:firstLine="0" w:firstLineChars="0"/>
              <w:jc w:val="both"/>
              <w:rPr>
                <w:rFonts w:ascii="宋体"/>
                <w:color w:val="auto"/>
                <w:szCs w:val="21"/>
                <w:highlight w:val="none"/>
              </w:rPr>
            </w:pPr>
            <w:r>
              <w:rPr>
                <w:rFonts w:hint="eastAsia" w:ascii="宋体"/>
                <w:color w:val="auto"/>
                <w:szCs w:val="21"/>
                <w:highlight w:val="none"/>
              </w:rPr>
              <w:t>（注：不满足服务要求的情况，需详细阐述不满足的内容及扣除合同违约金，填写完成后删除此内容）</w:t>
            </w:r>
          </w:p>
          <w:p w14:paraId="04F7B4F6">
            <w:pPr>
              <w:spacing w:line="240" w:lineRule="auto"/>
              <w:ind w:firstLine="0" w:firstLineChars="0"/>
              <w:jc w:val="both"/>
              <w:rPr>
                <w:rFonts w:ascii="宋体"/>
                <w:color w:val="auto"/>
                <w:szCs w:val="21"/>
                <w:highlight w:val="none"/>
              </w:rPr>
            </w:pPr>
          </w:p>
          <w:p w14:paraId="7F76A75B">
            <w:pPr>
              <w:wordWrap w:val="0"/>
              <w:autoSpaceDE w:val="0"/>
              <w:autoSpaceDN w:val="0"/>
              <w:spacing w:line="240" w:lineRule="auto"/>
              <w:ind w:firstLine="0" w:firstLineChars="0"/>
              <w:jc w:val="both"/>
              <w:rPr>
                <w:rFonts w:ascii="宋体"/>
                <w:color w:val="auto"/>
                <w:szCs w:val="21"/>
                <w:highlight w:val="none"/>
              </w:rPr>
            </w:pPr>
            <w:r>
              <w:rPr>
                <w:rFonts w:hint="eastAsia" w:ascii="宋体"/>
                <w:color w:val="auto"/>
                <w:szCs w:val="21"/>
                <w:highlight w:val="none"/>
              </w:rPr>
              <w:t xml:space="preserve">评价人：                                       </w:t>
            </w:r>
          </w:p>
        </w:tc>
      </w:tr>
    </w:tbl>
    <w:p w14:paraId="2DA14B05">
      <w:pPr>
        <w:rPr>
          <w:rFonts w:ascii="宋体"/>
          <w:color w:val="auto"/>
          <w:highlight w:val="none"/>
        </w:rPr>
      </w:pPr>
      <w:r>
        <w:rPr>
          <w:rFonts w:hint="eastAsia" w:ascii="宋体"/>
          <w:color w:val="auto"/>
          <w:highlight w:val="none"/>
        </w:rPr>
        <w:t>注：综合评价等级划分优秀、良好、合格、差</w:t>
      </w:r>
    </w:p>
    <w:p w14:paraId="226ED98B">
      <w:pPr>
        <w:rPr>
          <w:rFonts w:ascii="宋体"/>
          <w:color w:val="auto"/>
          <w:highlight w:val="none"/>
        </w:rPr>
      </w:pPr>
      <w:r>
        <w:rPr>
          <w:rFonts w:hint="eastAsia" w:ascii="宋体"/>
          <w:color w:val="auto"/>
          <w:highlight w:val="none"/>
        </w:rPr>
        <w:t>优秀：评价得分达90分以上；</w:t>
      </w:r>
    </w:p>
    <w:p w14:paraId="12F6DE1A">
      <w:pPr>
        <w:rPr>
          <w:rFonts w:ascii="宋体"/>
          <w:color w:val="auto"/>
          <w:highlight w:val="none"/>
        </w:rPr>
      </w:pPr>
      <w:r>
        <w:rPr>
          <w:rFonts w:hint="eastAsia" w:ascii="宋体"/>
          <w:color w:val="auto"/>
          <w:highlight w:val="none"/>
        </w:rPr>
        <w:t>良好：评价得分达75-90分；</w:t>
      </w:r>
    </w:p>
    <w:p w14:paraId="471FEDDE">
      <w:pPr>
        <w:rPr>
          <w:rFonts w:ascii="宋体"/>
          <w:color w:val="auto"/>
          <w:highlight w:val="none"/>
        </w:rPr>
      </w:pPr>
      <w:r>
        <w:rPr>
          <w:rFonts w:hint="eastAsia" w:ascii="宋体"/>
          <w:color w:val="auto"/>
          <w:highlight w:val="none"/>
        </w:rPr>
        <w:t>合格：评价得分达60-75分；</w:t>
      </w:r>
    </w:p>
    <w:p w14:paraId="02FBD23E">
      <w:pPr>
        <w:rPr>
          <w:rFonts w:ascii="宋体"/>
          <w:color w:val="auto"/>
          <w:highlight w:val="none"/>
        </w:rPr>
      </w:pPr>
      <w:r>
        <w:rPr>
          <w:rFonts w:hint="eastAsia" w:ascii="宋体"/>
          <w:color w:val="auto"/>
          <w:highlight w:val="none"/>
        </w:rPr>
        <w:t>差：评价得分在60分以下。</w:t>
      </w:r>
    </w:p>
    <w:p w14:paraId="48E44E60">
      <w:pPr>
        <w:rPr>
          <w:rFonts w:ascii="宋体"/>
          <w:color w:val="auto"/>
          <w:highlight w:val="none"/>
        </w:rPr>
      </w:pPr>
      <w:r>
        <w:rPr>
          <w:rFonts w:hint="eastAsia" w:ascii="宋体"/>
          <w:color w:val="auto"/>
          <w:highlight w:val="none"/>
        </w:rPr>
        <w:t>评价结果将作为服务提供商后续准入的重要参考依据。</w:t>
      </w:r>
    </w:p>
    <w:p w14:paraId="7982CA7E">
      <w:pPr>
        <w:rPr>
          <w:rFonts w:ascii="宋体"/>
          <w:color w:val="auto"/>
          <w:szCs w:val="24"/>
          <w:highlight w:val="none"/>
        </w:rPr>
        <w:sectPr>
          <w:pgSz w:w="16838" w:h="11906" w:orient="landscape"/>
          <w:pgMar w:top="1800" w:right="1384" w:bottom="1800" w:left="1440" w:header="851" w:footer="992" w:gutter="0"/>
          <w:cols w:space="720" w:num="1"/>
          <w:docGrid w:type="lines" w:linePitch="326" w:charSpace="6144"/>
        </w:sectPr>
      </w:pPr>
    </w:p>
    <w:p w14:paraId="3CDE60CC">
      <w:pPr>
        <w:rPr>
          <w:rStyle w:val="45"/>
          <w:rFonts w:ascii="宋体"/>
          <w:color w:val="auto"/>
          <w:sz w:val="24"/>
          <w:highlight w:val="none"/>
        </w:rPr>
      </w:pPr>
      <w:r>
        <w:rPr>
          <w:rStyle w:val="45"/>
          <w:rFonts w:hint="eastAsia" w:ascii="宋体"/>
          <w:color w:val="auto"/>
          <w:sz w:val="30"/>
          <w:highlight w:val="none"/>
        </w:rPr>
        <w:t>附件六：服务连续性预案</w:t>
      </w:r>
    </w:p>
    <w:p w14:paraId="7454D1B9">
      <w:pPr>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1F292E38">
      <w:pPr>
        <w:rPr>
          <w:rFonts w:ascii="宋体"/>
          <w:b/>
          <w:color w:val="auto"/>
          <w:szCs w:val="24"/>
          <w:highlight w:val="none"/>
        </w:rPr>
      </w:pPr>
      <w:r>
        <w:rPr>
          <w:rFonts w:hint="eastAsia" w:ascii="宋体"/>
          <w:b/>
          <w:color w:val="auto"/>
          <w:szCs w:val="24"/>
          <w:highlight w:val="none"/>
        </w:rPr>
        <w:t>一、目的</w:t>
      </w:r>
    </w:p>
    <w:p w14:paraId="0CEDA384">
      <w:pPr>
        <w:ind w:firstLine="41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508BEBE4">
      <w:pPr>
        <w:rPr>
          <w:rFonts w:ascii="宋体"/>
          <w:b/>
          <w:color w:val="auto"/>
          <w:szCs w:val="24"/>
          <w:highlight w:val="none"/>
        </w:rPr>
      </w:pPr>
      <w:r>
        <w:rPr>
          <w:rFonts w:hint="eastAsia" w:ascii="宋体"/>
          <w:b/>
          <w:color w:val="auto"/>
          <w:szCs w:val="24"/>
          <w:highlight w:val="none"/>
        </w:rPr>
        <w:t>二、应急组织架构及职责</w:t>
      </w:r>
    </w:p>
    <w:p w14:paraId="0E04B0EE">
      <w:pPr>
        <w:rPr>
          <w:rFonts w:ascii="宋体"/>
          <w:b/>
          <w:color w:val="auto"/>
          <w:szCs w:val="24"/>
          <w:highlight w:val="none"/>
        </w:rPr>
      </w:pPr>
      <w:r>
        <w:rPr>
          <w:rFonts w:hint="eastAsia" w:ascii="宋体"/>
          <w:b/>
          <w:color w:val="auto"/>
          <w:szCs w:val="24"/>
          <w:highlight w:val="none"/>
        </w:rPr>
        <w:t>（一）决策层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49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AD12421">
            <w:pPr>
              <w:ind w:firstLine="419" w:firstLineChars="233"/>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237B0FD7">
            <w:pPr>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8DD31CB">
            <w:pPr>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B1A4048">
            <w:pPr>
              <w:jc w:val="center"/>
              <w:rPr>
                <w:rFonts w:ascii="宋体"/>
                <w:color w:val="auto"/>
                <w:szCs w:val="24"/>
                <w:highlight w:val="none"/>
              </w:rPr>
            </w:pPr>
            <w:r>
              <w:rPr>
                <w:rFonts w:hint="eastAsia" w:ascii="宋体"/>
                <w:color w:val="auto"/>
                <w:szCs w:val="24"/>
                <w:highlight w:val="none"/>
              </w:rPr>
              <w:t>职责</w:t>
            </w:r>
          </w:p>
        </w:tc>
      </w:tr>
      <w:tr w14:paraId="72AE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7FF3C15">
            <w:pPr>
              <w:widowControl/>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748B780">
            <w:pPr>
              <w:widowControl/>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997E94E">
            <w:pPr>
              <w:widowControl/>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96EDE48">
            <w:pPr>
              <w:widowControl/>
              <w:jc w:val="center"/>
              <w:rPr>
                <w:rFonts w:ascii="宋体"/>
                <w:color w:val="auto"/>
                <w:szCs w:val="24"/>
                <w:highlight w:val="none"/>
              </w:rPr>
            </w:pPr>
          </w:p>
        </w:tc>
      </w:tr>
      <w:tr w14:paraId="0F5D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DD571EE">
            <w:pPr>
              <w:widowControl/>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DCB9095">
            <w:pPr>
              <w:widowControl/>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BD0078B">
            <w:pPr>
              <w:widowControl/>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4EB73A2">
            <w:pPr>
              <w:widowControl/>
              <w:jc w:val="center"/>
              <w:rPr>
                <w:rFonts w:ascii="宋体"/>
                <w:color w:val="auto"/>
                <w:szCs w:val="24"/>
                <w:highlight w:val="none"/>
              </w:rPr>
            </w:pPr>
          </w:p>
        </w:tc>
      </w:tr>
      <w:tr w14:paraId="5CEC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2F21005">
            <w:pPr>
              <w:widowControl/>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4441276">
            <w:pPr>
              <w:widowControl/>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8CFC210">
            <w:pPr>
              <w:widowControl/>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ABB4715">
            <w:pPr>
              <w:widowControl/>
              <w:jc w:val="center"/>
              <w:rPr>
                <w:rFonts w:ascii="宋体"/>
                <w:color w:val="auto"/>
                <w:szCs w:val="24"/>
                <w:highlight w:val="none"/>
              </w:rPr>
            </w:pPr>
          </w:p>
        </w:tc>
      </w:tr>
    </w:tbl>
    <w:p w14:paraId="23E4E9AE">
      <w:pPr>
        <w:rPr>
          <w:rFonts w:ascii="宋体"/>
          <w:b/>
          <w:color w:val="auto"/>
          <w:szCs w:val="24"/>
          <w:highlight w:val="none"/>
        </w:rPr>
      </w:pPr>
      <w:r>
        <w:rPr>
          <w:rFonts w:hint="eastAsia" w:ascii="宋体"/>
          <w:b/>
          <w:color w:val="auto"/>
          <w:szCs w:val="24"/>
          <w:highlight w:val="none"/>
        </w:rPr>
        <w:t>（二）危机处理层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F95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2892BBE">
            <w:pPr>
              <w:ind w:firstLine="41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2B28C3D">
            <w:pPr>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579126BE">
            <w:pPr>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2212D9D1">
            <w:pPr>
              <w:jc w:val="center"/>
              <w:rPr>
                <w:rFonts w:ascii="宋体"/>
                <w:color w:val="auto"/>
                <w:szCs w:val="24"/>
                <w:highlight w:val="none"/>
              </w:rPr>
            </w:pPr>
            <w:r>
              <w:rPr>
                <w:rFonts w:hint="eastAsia" w:ascii="宋体"/>
                <w:color w:val="auto"/>
                <w:szCs w:val="24"/>
                <w:highlight w:val="none"/>
              </w:rPr>
              <w:t>职责</w:t>
            </w:r>
          </w:p>
        </w:tc>
      </w:tr>
      <w:tr w14:paraId="6ACA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C983187">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1B20795">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3F21FA6">
            <w:pPr>
              <w:widowControl/>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95E99E4">
            <w:pPr>
              <w:widowControl/>
              <w:jc w:val="center"/>
              <w:rPr>
                <w:rFonts w:ascii="宋体"/>
                <w:color w:val="auto"/>
                <w:szCs w:val="24"/>
                <w:highlight w:val="none"/>
              </w:rPr>
            </w:pPr>
          </w:p>
        </w:tc>
      </w:tr>
      <w:tr w14:paraId="7FF0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7011748">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8410BD9">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F60F982">
            <w:pPr>
              <w:widowControl/>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07AC0352">
            <w:pPr>
              <w:widowControl/>
              <w:jc w:val="center"/>
              <w:rPr>
                <w:rFonts w:ascii="宋体"/>
                <w:color w:val="auto"/>
                <w:szCs w:val="24"/>
                <w:highlight w:val="none"/>
              </w:rPr>
            </w:pPr>
          </w:p>
        </w:tc>
      </w:tr>
    </w:tbl>
    <w:p w14:paraId="021617BB">
      <w:pPr>
        <w:rPr>
          <w:rFonts w:ascii="宋体"/>
          <w:b/>
          <w:color w:val="auto"/>
          <w:szCs w:val="24"/>
          <w:highlight w:val="none"/>
        </w:rPr>
      </w:pPr>
      <w:r>
        <w:rPr>
          <w:rFonts w:hint="eastAsia" w:ascii="宋体"/>
          <w:b/>
          <w:color w:val="auto"/>
          <w:szCs w:val="24"/>
          <w:highlight w:val="none"/>
        </w:rPr>
        <w:t>（三）具体业务层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7EC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1BF4E8A">
            <w:pPr>
              <w:ind w:firstLine="41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AFA16AC">
            <w:pPr>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A1AC931">
            <w:pPr>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62012ED">
            <w:pPr>
              <w:jc w:val="center"/>
              <w:rPr>
                <w:rFonts w:ascii="宋体"/>
                <w:color w:val="auto"/>
                <w:szCs w:val="24"/>
                <w:highlight w:val="none"/>
              </w:rPr>
            </w:pPr>
            <w:r>
              <w:rPr>
                <w:rFonts w:hint="eastAsia" w:ascii="宋体"/>
                <w:color w:val="auto"/>
                <w:szCs w:val="24"/>
                <w:highlight w:val="none"/>
              </w:rPr>
              <w:t>职责</w:t>
            </w:r>
          </w:p>
        </w:tc>
      </w:tr>
      <w:tr w14:paraId="1D2B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C7E0B6E">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FDA7E39">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E5DE468">
            <w:pPr>
              <w:widowControl/>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1B8F241">
            <w:pPr>
              <w:widowControl/>
              <w:jc w:val="center"/>
              <w:rPr>
                <w:rFonts w:ascii="宋体"/>
                <w:color w:val="auto"/>
                <w:szCs w:val="24"/>
                <w:highlight w:val="none"/>
              </w:rPr>
            </w:pPr>
          </w:p>
        </w:tc>
      </w:tr>
      <w:tr w14:paraId="0DBC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0C513136">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70B81C0">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CC256CD">
            <w:pPr>
              <w:widowControl/>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E4FCA58">
            <w:pPr>
              <w:widowControl/>
              <w:jc w:val="center"/>
              <w:rPr>
                <w:rFonts w:ascii="宋体"/>
                <w:color w:val="auto"/>
                <w:szCs w:val="24"/>
                <w:highlight w:val="none"/>
              </w:rPr>
            </w:pPr>
          </w:p>
        </w:tc>
      </w:tr>
    </w:tbl>
    <w:p w14:paraId="5C42AE78">
      <w:pPr>
        <w:rPr>
          <w:rFonts w:ascii="宋体"/>
          <w:b/>
          <w:color w:val="auto"/>
          <w:szCs w:val="24"/>
          <w:highlight w:val="none"/>
        </w:rPr>
      </w:pPr>
      <w:r>
        <w:rPr>
          <w:rFonts w:hint="eastAsia" w:ascii="宋体"/>
          <w:b/>
          <w:color w:val="auto"/>
          <w:szCs w:val="24"/>
          <w:highlight w:val="none"/>
        </w:rPr>
        <w:t>（四）应急领导小组职责</w:t>
      </w:r>
    </w:p>
    <w:p w14:paraId="50F69E7C">
      <w:pPr>
        <w:ind w:firstLine="41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0BCDBF36">
      <w:pPr>
        <w:ind w:firstLine="41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70A69234">
      <w:pPr>
        <w:ind w:firstLine="41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62278320">
      <w:pPr>
        <w:ind w:firstLine="41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7AE8C63F">
      <w:pPr>
        <w:ind w:firstLine="41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489751E2">
      <w:pPr>
        <w:ind w:firstLine="41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F5BE4ED">
      <w:pPr>
        <w:rPr>
          <w:rFonts w:ascii="宋体"/>
          <w:b/>
          <w:color w:val="auto"/>
          <w:szCs w:val="24"/>
          <w:highlight w:val="none"/>
        </w:rPr>
      </w:pPr>
      <w:r>
        <w:rPr>
          <w:rFonts w:hint="eastAsia" w:ascii="宋体"/>
          <w:b/>
          <w:color w:val="auto"/>
          <w:szCs w:val="24"/>
          <w:highlight w:val="none"/>
        </w:rPr>
        <w:t>三、应急场景</w:t>
      </w:r>
    </w:p>
    <w:p w14:paraId="19CBD07A">
      <w:pPr>
        <w:rPr>
          <w:rFonts w:ascii="宋体"/>
          <w:b/>
          <w:color w:val="auto"/>
          <w:szCs w:val="24"/>
          <w:highlight w:val="none"/>
        </w:rPr>
      </w:pPr>
      <w:r>
        <w:rPr>
          <w:rFonts w:hint="eastAsia" w:ascii="宋体"/>
          <w:b/>
          <w:color w:val="auto"/>
          <w:szCs w:val="24"/>
          <w:highlight w:val="none"/>
        </w:rPr>
        <w:t>（一）单个核心成员或某个角色无法提供正常服务</w:t>
      </w:r>
    </w:p>
    <w:p w14:paraId="696BA326">
      <w:pPr>
        <w:ind w:firstLine="419" w:firstLineChars="233"/>
        <w:rPr>
          <w:rFonts w:ascii="宋体"/>
          <w:color w:val="auto"/>
          <w:szCs w:val="24"/>
          <w:highlight w:val="none"/>
        </w:rPr>
      </w:pPr>
      <w:r>
        <w:rPr>
          <w:rFonts w:hint="eastAsia" w:ascii="宋体"/>
          <w:color w:val="auto"/>
          <w:szCs w:val="24"/>
          <w:highlight w:val="none"/>
        </w:rPr>
        <w:t>1.影响程度：外包服务部分中断</w:t>
      </w:r>
    </w:p>
    <w:p w14:paraId="639147BB">
      <w:pPr>
        <w:ind w:firstLine="419" w:firstLineChars="233"/>
        <w:rPr>
          <w:rFonts w:ascii="宋体"/>
          <w:color w:val="auto"/>
          <w:szCs w:val="24"/>
          <w:highlight w:val="none"/>
        </w:rPr>
      </w:pPr>
      <w:r>
        <w:rPr>
          <w:rFonts w:hint="eastAsia" w:ascii="宋体"/>
          <w:color w:val="auto"/>
          <w:szCs w:val="24"/>
          <w:highlight w:val="none"/>
        </w:rPr>
        <w:t>2.规避措施：</w:t>
      </w:r>
    </w:p>
    <w:p w14:paraId="6BF43A5B">
      <w:pPr>
        <w:ind w:firstLine="41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）乙方在2小时内协调重庆本地高于该成员资历水平的的员工来甲方现场进行顶替，直到合适的补充人员入场能够接替该成员的工作为止，否则按照SLA第</w:t>
      </w:r>
      <w:r>
        <w:rPr>
          <w:rFonts w:ascii="宋体"/>
          <w:color w:val="auto"/>
          <w:szCs w:val="24"/>
          <w:highlight w:val="none"/>
        </w:rPr>
        <w:t>13</w:t>
      </w:r>
      <w:r>
        <w:rPr>
          <w:rFonts w:hint="eastAsia" w:ascii="宋体"/>
          <w:color w:val="auto"/>
          <w:szCs w:val="24"/>
          <w:highlight w:val="none"/>
        </w:rPr>
        <w:t>条更换人员的相关条款进行罚款。</w:t>
      </w:r>
    </w:p>
    <w:p w14:paraId="3F5CA8F4">
      <w:pPr>
        <w:ind w:firstLine="41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172AF14D">
      <w:pPr>
        <w:rPr>
          <w:rFonts w:ascii="宋体"/>
          <w:b/>
          <w:color w:val="auto"/>
          <w:szCs w:val="24"/>
          <w:highlight w:val="none"/>
        </w:rPr>
      </w:pPr>
      <w:r>
        <w:rPr>
          <w:rFonts w:hint="eastAsia" w:ascii="宋体"/>
          <w:b/>
          <w:color w:val="auto"/>
          <w:szCs w:val="24"/>
          <w:highlight w:val="none"/>
        </w:rPr>
        <w:t>（二）乙方服务团队无法提供正常服务，但乙方仍具备履约能力</w:t>
      </w:r>
    </w:p>
    <w:p w14:paraId="548DF3AD">
      <w:pPr>
        <w:ind w:firstLine="419" w:firstLineChars="233"/>
        <w:rPr>
          <w:rFonts w:ascii="宋体"/>
          <w:color w:val="auto"/>
          <w:szCs w:val="24"/>
          <w:highlight w:val="none"/>
        </w:rPr>
      </w:pPr>
      <w:r>
        <w:rPr>
          <w:rFonts w:hint="eastAsia" w:ascii="宋体"/>
          <w:color w:val="auto"/>
          <w:szCs w:val="24"/>
          <w:highlight w:val="none"/>
        </w:rPr>
        <w:t>1.影响程度：外包服务完全中断</w:t>
      </w:r>
    </w:p>
    <w:p w14:paraId="4A5853F5">
      <w:pPr>
        <w:ind w:firstLine="419" w:firstLineChars="233"/>
        <w:rPr>
          <w:rFonts w:ascii="宋体"/>
          <w:color w:val="auto"/>
          <w:szCs w:val="24"/>
          <w:highlight w:val="none"/>
        </w:rPr>
      </w:pPr>
      <w:r>
        <w:rPr>
          <w:rFonts w:hint="eastAsia" w:ascii="宋体"/>
          <w:color w:val="auto"/>
          <w:szCs w:val="24"/>
          <w:highlight w:val="none"/>
        </w:rPr>
        <w:t>2.规避措施：</w:t>
      </w:r>
    </w:p>
    <w:p w14:paraId="362F5260">
      <w:pPr>
        <w:ind w:firstLine="41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38D3B33E">
      <w:pPr>
        <w:ind w:firstLine="41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60E7FD30">
      <w:pPr>
        <w:ind w:firstLine="41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2426BF5E">
      <w:pPr>
        <w:ind w:firstLine="41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DF16704">
      <w:pPr>
        <w:rPr>
          <w:rFonts w:ascii="宋体"/>
          <w:b/>
          <w:color w:val="auto"/>
          <w:szCs w:val="24"/>
          <w:highlight w:val="none"/>
        </w:rPr>
      </w:pPr>
      <w:r>
        <w:rPr>
          <w:rFonts w:hint="eastAsia" w:ascii="宋体"/>
          <w:b/>
          <w:color w:val="auto"/>
          <w:szCs w:val="24"/>
          <w:highlight w:val="none"/>
        </w:rPr>
        <w:t>（三）乙方服务团队无法提供正常服务且乙方不具备恢复服务能力或意愿</w:t>
      </w:r>
    </w:p>
    <w:p w14:paraId="787F8308">
      <w:pPr>
        <w:ind w:firstLine="419" w:firstLineChars="233"/>
        <w:rPr>
          <w:rFonts w:ascii="宋体"/>
          <w:color w:val="auto"/>
          <w:szCs w:val="24"/>
          <w:highlight w:val="none"/>
        </w:rPr>
      </w:pPr>
      <w:r>
        <w:rPr>
          <w:rFonts w:hint="eastAsia" w:ascii="宋体"/>
          <w:color w:val="auto"/>
          <w:szCs w:val="24"/>
          <w:highlight w:val="none"/>
        </w:rPr>
        <w:t>1.影响程度：外包服务完全中断</w:t>
      </w:r>
    </w:p>
    <w:p w14:paraId="1FF805F6">
      <w:pPr>
        <w:ind w:firstLine="419" w:firstLineChars="233"/>
        <w:rPr>
          <w:rFonts w:ascii="宋体"/>
          <w:color w:val="auto"/>
          <w:szCs w:val="24"/>
          <w:highlight w:val="none"/>
        </w:rPr>
      </w:pPr>
      <w:r>
        <w:rPr>
          <w:rFonts w:hint="eastAsia" w:ascii="宋体"/>
          <w:color w:val="auto"/>
          <w:szCs w:val="24"/>
          <w:highlight w:val="none"/>
        </w:rPr>
        <w:t>2.规避措施：</w:t>
      </w:r>
    </w:p>
    <w:p w14:paraId="7B3F1BB6">
      <w:pPr>
        <w:ind w:firstLine="41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2E1FA999">
      <w:pPr>
        <w:ind w:firstLine="41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163EBF8C">
      <w:pPr>
        <w:ind w:firstLine="41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4C884157">
      <w:pPr>
        <w:rPr>
          <w:rFonts w:ascii="宋体"/>
          <w:b/>
          <w:color w:val="auto"/>
          <w:szCs w:val="24"/>
          <w:highlight w:val="none"/>
        </w:rPr>
      </w:pPr>
      <w:r>
        <w:rPr>
          <w:rFonts w:hint="eastAsia" w:ascii="宋体"/>
          <w:b/>
          <w:color w:val="auto"/>
          <w:szCs w:val="24"/>
          <w:highlight w:val="none"/>
        </w:rPr>
        <w:t>（四）乙方因资质变更、被收购、兼并或破产等原因致使其无法继续提供服务</w:t>
      </w:r>
    </w:p>
    <w:p w14:paraId="396518A2">
      <w:pPr>
        <w:ind w:firstLine="419" w:firstLineChars="233"/>
        <w:rPr>
          <w:rFonts w:ascii="宋体"/>
          <w:color w:val="auto"/>
          <w:szCs w:val="24"/>
          <w:highlight w:val="none"/>
        </w:rPr>
      </w:pPr>
      <w:r>
        <w:rPr>
          <w:rFonts w:hint="eastAsia" w:ascii="宋体"/>
          <w:color w:val="auto"/>
          <w:szCs w:val="24"/>
          <w:highlight w:val="none"/>
        </w:rPr>
        <w:t>1.影响程度：外包服务完全中断</w:t>
      </w:r>
    </w:p>
    <w:p w14:paraId="6035A173">
      <w:pPr>
        <w:ind w:firstLine="419" w:firstLineChars="233"/>
        <w:rPr>
          <w:rFonts w:ascii="宋体"/>
          <w:color w:val="auto"/>
          <w:szCs w:val="24"/>
          <w:highlight w:val="none"/>
        </w:rPr>
      </w:pPr>
      <w:r>
        <w:rPr>
          <w:rFonts w:hint="eastAsia" w:ascii="宋体"/>
          <w:color w:val="auto"/>
          <w:szCs w:val="24"/>
          <w:highlight w:val="none"/>
        </w:rPr>
        <w:t>2.规避措施：</w:t>
      </w:r>
    </w:p>
    <w:p w14:paraId="0D8D1D96">
      <w:pPr>
        <w:ind w:firstLine="41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5C7A9DC6">
      <w:pPr>
        <w:ind w:firstLine="41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194633CE">
      <w:pPr>
        <w:ind w:firstLine="41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5494B7F4">
      <w:pPr>
        <w:ind w:firstLine="41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7456BF73">
      <w:pPr>
        <w:rPr>
          <w:rFonts w:ascii="宋体"/>
          <w:b/>
          <w:color w:val="auto"/>
          <w:szCs w:val="24"/>
          <w:highlight w:val="none"/>
        </w:rPr>
      </w:pPr>
      <w:r>
        <w:rPr>
          <w:rFonts w:hint="eastAsia" w:ascii="宋体"/>
          <w:b/>
          <w:color w:val="auto"/>
          <w:szCs w:val="24"/>
          <w:highlight w:val="none"/>
        </w:rPr>
        <w:t>（五）乙方因不可抗力导致其主动退出（国家相关法律法规调整、遭受大规模自然灾害等）</w:t>
      </w:r>
    </w:p>
    <w:p w14:paraId="4346E9D7">
      <w:pPr>
        <w:ind w:firstLine="419" w:firstLineChars="233"/>
        <w:rPr>
          <w:rFonts w:ascii="宋体"/>
          <w:color w:val="auto"/>
          <w:szCs w:val="24"/>
          <w:highlight w:val="none"/>
        </w:rPr>
      </w:pPr>
      <w:r>
        <w:rPr>
          <w:rFonts w:hint="eastAsia" w:ascii="宋体"/>
          <w:color w:val="auto"/>
          <w:szCs w:val="24"/>
          <w:highlight w:val="none"/>
        </w:rPr>
        <w:t>1.影响程度：外包服务完全中断</w:t>
      </w:r>
    </w:p>
    <w:p w14:paraId="1ED66F99">
      <w:pPr>
        <w:ind w:firstLine="419" w:firstLineChars="233"/>
        <w:rPr>
          <w:rFonts w:ascii="宋体"/>
          <w:color w:val="auto"/>
          <w:szCs w:val="24"/>
          <w:highlight w:val="none"/>
        </w:rPr>
      </w:pPr>
      <w:r>
        <w:rPr>
          <w:rFonts w:hint="eastAsia" w:ascii="宋体"/>
          <w:color w:val="auto"/>
          <w:szCs w:val="24"/>
          <w:highlight w:val="none"/>
        </w:rPr>
        <w:t>2.规避措施：</w:t>
      </w:r>
    </w:p>
    <w:p w14:paraId="668259DA">
      <w:pPr>
        <w:ind w:firstLine="41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4B895915">
      <w:pPr>
        <w:ind w:firstLine="41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795158C4">
      <w:pPr>
        <w:ind w:firstLine="41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21EB0B25">
      <w:pPr>
        <w:rPr>
          <w:rFonts w:ascii="宋体"/>
          <w:color w:val="auto"/>
          <w:szCs w:val="24"/>
          <w:highlight w:val="none"/>
        </w:rPr>
      </w:pPr>
      <w:r>
        <w:rPr>
          <w:rFonts w:hint="eastAsia" w:ascii="宋体"/>
          <w:b/>
          <w:color w:val="auto"/>
          <w:szCs w:val="24"/>
          <w:highlight w:val="none"/>
        </w:rPr>
        <w:t>四、应急处理阶段</w:t>
      </w:r>
    </w:p>
    <w:p w14:paraId="00FF2304">
      <w:pPr>
        <w:rPr>
          <w:rFonts w:ascii="宋体"/>
          <w:b/>
          <w:color w:val="auto"/>
          <w:szCs w:val="24"/>
          <w:highlight w:val="none"/>
        </w:rPr>
      </w:pPr>
      <w:r>
        <w:rPr>
          <w:rFonts w:hint="eastAsia" w:ascii="宋体"/>
          <w:b/>
          <w:color w:val="auto"/>
          <w:szCs w:val="24"/>
          <w:highlight w:val="none"/>
        </w:rPr>
        <w:t>（一）项目实施过程中应急服务</w:t>
      </w:r>
    </w:p>
    <w:p w14:paraId="32EE5FC5">
      <w:pPr>
        <w:ind w:firstLine="41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89AF004">
      <w:pPr>
        <w:ind w:firstLine="41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3CD870BF">
      <w:pPr>
        <w:rPr>
          <w:rFonts w:ascii="宋体"/>
          <w:b/>
          <w:color w:val="auto"/>
          <w:szCs w:val="24"/>
          <w:highlight w:val="none"/>
        </w:rPr>
      </w:pPr>
      <w:r>
        <w:rPr>
          <w:rFonts w:hint="eastAsia" w:ascii="宋体"/>
          <w:b/>
          <w:color w:val="auto"/>
          <w:szCs w:val="24"/>
          <w:highlight w:val="none"/>
        </w:rPr>
        <w:t>（二）系统上线后应急服务</w:t>
      </w:r>
    </w:p>
    <w:p w14:paraId="5ED358FC">
      <w:pPr>
        <w:ind w:firstLine="41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597CEE48">
      <w:pPr>
        <w:ind w:firstLine="419" w:firstLineChars="233"/>
        <w:rPr>
          <w:rFonts w:ascii="宋体"/>
          <w:color w:val="auto"/>
          <w:szCs w:val="24"/>
          <w:highlight w:val="none"/>
        </w:rPr>
      </w:pPr>
      <w:r>
        <w:rPr>
          <w:rFonts w:hint="eastAsia" w:ascii="宋体"/>
          <w:color w:val="auto"/>
          <w:szCs w:val="24"/>
          <w:highlight w:val="none"/>
        </w:rPr>
        <w:t>姓名:        手机号码：        邮箱：</w:t>
      </w:r>
    </w:p>
    <w:p w14:paraId="1BBB7026">
      <w:pPr>
        <w:ind w:firstLine="419" w:firstLineChars="233"/>
        <w:rPr>
          <w:rFonts w:ascii="宋体"/>
          <w:color w:val="auto"/>
          <w:szCs w:val="24"/>
          <w:highlight w:val="none"/>
        </w:rPr>
      </w:pPr>
      <w:r>
        <w:rPr>
          <w:rFonts w:hint="eastAsia" w:ascii="宋体"/>
          <w:color w:val="auto"/>
          <w:szCs w:val="24"/>
          <w:highlight w:val="none"/>
        </w:rPr>
        <w:t>姓名:        手机号码：        邮箱：</w:t>
      </w:r>
    </w:p>
    <w:p w14:paraId="752B4FA7">
      <w:pPr>
        <w:rPr>
          <w:color w:val="auto"/>
          <w:highlight w:val="none"/>
        </w:rPr>
      </w:pPr>
      <w:r>
        <w:rPr>
          <w:color w:val="auto"/>
          <w:kern w:val="0"/>
          <w:szCs w:val="24"/>
          <w:highlight w:val="none"/>
        </w:rPr>
        <w:br w:type="page"/>
      </w:r>
    </w:p>
    <w:p w14:paraId="33C9E9A6">
      <w:pPr>
        <w:rPr>
          <w:rFonts w:hint="eastAsia"/>
          <w:color w:val="auto"/>
          <w:highlight w:val="none"/>
        </w:rPr>
      </w:pPr>
    </w:p>
    <w:p w14:paraId="2909171F">
      <w:pPr>
        <w:pStyle w:val="3"/>
        <w:bidi w:val="0"/>
        <w:rPr>
          <w:color w:val="auto"/>
          <w:highlight w:val="none"/>
          <w:lang w:val="en-US"/>
        </w:rPr>
      </w:pPr>
      <w:bookmarkStart w:id="294" w:name="_Toc25975"/>
      <w:bookmarkStart w:id="295" w:name="_Toc8711"/>
      <w:bookmarkStart w:id="296" w:name="_Toc7493"/>
      <w:r>
        <w:rPr>
          <w:rFonts w:hint="eastAsia"/>
          <w:color w:val="auto"/>
          <w:highlight w:val="none"/>
          <w:lang w:eastAsia="zh-CN"/>
        </w:rPr>
        <w:t>第五章</w:t>
      </w:r>
      <w:r>
        <w:rPr>
          <w:rFonts w:hint="eastAsia"/>
          <w:color w:val="auto"/>
          <w:highlight w:val="none"/>
        </w:rPr>
        <w:t xml:space="preserve"> </w:t>
      </w:r>
      <w:r>
        <w:rPr>
          <w:rFonts w:hint="eastAsia"/>
          <w:color w:val="auto"/>
          <w:highlight w:val="none"/>
          <w:lang w:val="en-US" w:eastAsia="zh-CN"/>
        </w:rPr>
        <w:t>项目要求</w:t>
      </w:r>
      <w:bookmarkEnd w:id="294"/>
      <w:bookmarkEnd w:id="295"/>
      <w:bookmarkEnd w:id="296"/>
    </w:p>
    <w:p w14:paraId="2D24B4E6">
      <w:pPr>
        <w:pStyle w:val="4"/>
        <w:bidi w:val="0"/>
        <w:rPr>
          <w:rFonts w:hint="eastAsia"/>
          <w:color w:val="auto"/>
          <w:highlight w:val="none"/>
          <w:lang w:val="en-US" w:eastAsia="zh-CN"/>
        </w:rPr>
      </w:pPr>
      <w:r>
        <w:rPr>
          <w:rFonts w:hint="eastAsia"/>
          <w:color w:val="auto"/>
          <w:highlight w:val="none"/>
          <w:lang w:val="en-US" w:eastAsia="zh-CN"/>
        </w:rPr>
        <w:t>1.项目概况</w:t>
      </w:r>
    </w:p>
    <w:p w14:paraId="4E3D7DD4">
      <w:pPr>
        <w:bidi w:val="0"/>
        <w:rPr>
          <w:rFonts w:hint="eastAsia"/>
          <w:color w:val="auto"/>
          <w:highlight w:val="none"/>
          <w:lang w:val="en-US" w:eastAsia="zh-CN"/>
        </w:rPr>
      </w:pPr>
      <w:r>
        <w:rPr>
          <w:rFonts w:hint="eastAsia" w:ascii="Times New Roman" w:hAnsi="Times New Roman" w:eastAsia="宋体" w:cs="Cambria Math"/>
          <w:color w:val="auto"/>
          <w:sz w:val="21"/>
          <w:szCs w:val="20"/>
          <w:highlight w:val="none"/>
        </w:rPr>
        <w:t>为了确保</w:t>
      </w:r>
      <w:r>
        <w:rPr>
          <w:rFonts w:hAnsi="Times New Roman"/>
          <w:color w:val="auto"/>
          <w:highlight w:val="none"/>
        </w:rPr>
        <w:t>行方</w:t>
      </w:r>
      <w:r>
        <w:rPr>
          <w:rFonts w:hint="eastAsia" w:ascii="Times New Roman" w:hAnsi="Times New Roman" w:eastAsia="宋体" w:cs="Cambria Math"/>
          <w:color w:val="auto"/>
          <w:sz w:val="21"/>
          <w:szCs w:val="20"/>
          <w:highlight w:val="none"/>
        </w:rPr>
        <w:t>能够逐步满足业务连续性领域的行业合规监管要求，同时满足</w:t>
      </w:r>
      <w:r>
        <w:rPr>
          <w:rFonts w:hAnsi="Times New Roman"/>
          <w:color w:val="auto"/>
          <w:highlight w:val="none"/>
        </w:rPr>
        <w:t>行方</w:t>
      </w:r>
      <w:r>
        <w:rPr>
          <w:rFonts w:hint="eastAsia" w:ascii="Times New Roman" w:hAnsi="Times New Roman" w:eastAsia="宋体" w:cs="Cambria Math"/>
          <w:color w:val="auto"/>
          <w:sz w:val="21"/>
          <w:szCs w:val="20"/>
          <w:highlight w:val="none"/>
        </w:rPr>
        <w:t>自身信息科技风险管理的要求。需根据近几年的业务开展情况及未来的发展趋势，对</w:t>
      </w:r>
      <w:r>
        <w:rPr>
          <w:rFonts w:hAnsi="Times New Roman"/>
          <w:color w:val="auto"/>
          <w:highlight w:val="none"/>
        </w:rPr>
        <w:t>行方</w:t>
      </w:r>
      <w:r>
        <w:rPr>
          <w:rFonts w:hint="eastAsia" w:ascii="Times New Roman" w:hAnsi="Times New Roman" w:eastAsia="宋体" w:cs="Cambria Math"/>
          <w:color w:val="auto"/>
          <w:sz w:val="21"/>
          <w:szCs w:val="20"/>
          <w:highlight w:val="none"/>
        </w:rPr>
        <w:t>的业务连续性管理体系进行优化，完善相关制度、预案和管理工具等方面的工作。</w:t>
      </w:r>
    </w:p>
    <w:p w14:paraId="02C91CEE">
      <w:pPr>
        <w:pStyle w:val="4"/>
        <w:bidi w:val="0"/>
        <w:rPr>
          <w:rFonts w:hint="eastAsia"/>
          <w:color w:val="auto"/>
          <w:highlight w:val="none"/>
          <w:lang w:val="en-US" w:eastAsia="zh-CN"/>
        </w:rPr>
      </w:pPr>
      <w:r>
        <w:rPr>
          <w:rFonts w:hint="eastAsia"/>
          <w:color w:val="auto"/>
          <w:highlight w:val="none"/>
          <w:lang w:val="en-US" w:eastAsia="zh-CN"/>
        </w:rPr>
        <w:t>2 项目目标</w:t>
      </w:r>
    </w:p>
    <w:p w14:paraId="30F30F14">
      <w:pPr>
        <w:bidi w:val="0"/>
        <w:rPr>
          <w:rFonts w:hint="eastAsia"/>
          <w:color w:val="auto"/>
          <w:highlight w:val="none"/>
          <w:lang w:val="en-US" w:eastAsia="zh-CN"/>
        </w:rPr>
      </w:pPr>
      <w:r>
        <w:rPr>
          <w:rFonts w:hint="eastAsia" w:ascii="Times New Roman" w:hAnsi="Times New Roman" w:eastAsia="宋体"/>
          <w:bCs/>
          <w:color w:val="auto"/>
          <w:sz w:val="21"/>
          <w:szCs w:val="20"/>
          <w:highlight w:val="none"/>
        </w:rPr>
        <w:t>本项目建设主要</w:t>
      </w:r>
      <w:r>
        <w:rPr>
          <w:rFonts w:hint="eastAsia" w:ascii="Times New Roman" w:hAnsi="Times New Roman" w:eastAsia="宋体"/>
          <w:color w:val="auto"/>
          <w:sz w:val="21"/>
          <w:szCs w:val="20"/>
          <w:highlight w:val="none"/>
          <w:lang w:val="en-US" w:eastAsia="zh-CN"/>
        </w:rPr>
        <w:t>包括三部分，一是业务连续性管理工具建设，采购标准化的业务连续性管理软件产品，并根据咨询成果进行相适应的二次开发，同时与</w:t>
      </w:r>
      <w:r>
        <w:rPr>
          <w:rFonts w:hint="eastAsia" w:hAnsi="Times New Roman"/>
          <w:color w:val="auto"/>
          <w:highlight w:val="none"/>
        </w:rPr>
        <w:t>行方</w:t>
      </w:r>
      <w:r>
        <w:rPr>
          <w:rFonts w:hint="eastAsia" w:ascii="Times New Roman" w:hAnsi="Times New Roman" w:eastAsia="宋体"/>
          <w:color w:val="auto"/>
          <w:sz w:val="21"/>
          <w:szCs w:val="20"/>
          <w:highlight w:val="none"/>
          <w:lang w:val="en-US" w:eastAsia="zh-CN"/>
        </w:rPr>
        <w:t>办公平台、人力资源系统、信息科技项目管理系统（二代）等系统进行对接；二是提供相配套的业务连续性体系优化咨询服务，对</w:t>
      </w:r>
      <w:r>
        <w:rPr>
          <w:rFonts w:hint="eastAsia" w:hAnsi="Times New Roman"/>
          <w:color w:val="auto"/>
          <w:highlight w:val="none"/>
        </w:rPr>
        <w:t>行方</w:t>
      </w:r>
      <w:r>
        <w:rPr>
          <w:rFonts w:hint="eastAsia" w:ascii="Times New Roman" w:hAnsi="Times New Roman" w:eastAsia="宋体"/>
          <w:color w:val="auto"/>
          <w:sz w:val="21"/>
          <w:szCs w:val="20"/>
          <w:highlight w:val="none"/>
          <w:lang w:val="en-US" w:eastAsia="zh-CN"/>
        </w:rPr>
        <w:t>业务连续性管理现状进行调研，并提供优化建议，同时开展全行业务的业务影响分析、风险评估等工作，形成业务连续性计划，并实现业务连续性管理体系工具化落地；三是提供ISO22301业务连续性管理体系认证服务（咨询服务），确保</w:t>
      </w:r>
      <w:r>
        <w:rPr>
          <w:rFonts w:hint="eastAsia" w:hAnsi="Times New Roman"/>
          <w:color w:val="auto"/>
          <w:highlight w:val="none"/>
        </w:rPr>
        <w:t>行方</w:t>
      </w:r>
      <w:r>
        <w:rPr>
          <w:rFonts w:hint="eastAsia" w:ascii="Times New Roman" w:hAnsi="Times New Roman" w:eastAsia="宋体"/>
          <w:color w:val="auto"/>
          <w:sz w:val="21"/>
          <w:szCs w:val="20"/>
          <w:highlight w:val="none"/>
          <w:lang w:val="en-US" w:eastAsia="zh-CN"/>
        </w:rPr>
        <w:t>通过体系认证</w:t>
      </w:r>
      <w:r>
        <w:rPr>
          <w:rFonts w:hint="eastAsia" w:ascii="Times New Roman" w:hAnsi="Times New Roman" w:eastAsia="宋体"/>
          <w:color w:val="auto"/>
          <w:sz w:val="21"/>
          <w:szCs w:val="20"/>
          <w:highlight w:val="none"/>
        </w:rPr>
        <w:t>。</w:t>
      </w:r>
    </w:p>
    <w:p w14:paraId="78568610">
      <w:pPr>
        <w:pStyle w:val="4"/>
        <w:bidi w:val="0"/>
        <w:rPr>
          <w:rFonts w:hint="eastAsia"/>
          <w:color w:val="auto"/>
          <w:highlight w:val="none"/>
          <w:lang w:val="en-US" w:eastAsia="zh-CN"/>
        </w:rPr>
      </w:pPr>
      <w:r>
        <w:rPr>
          <w:rFonts w:hint="eastAsia"/>
          <w:color w:val="auto"/>
          <w:highlight w:val="none"/>
          <w:lang w:val="en-US" w:eastAsia="zh-CN"/>
        </w:rPr>
        <w:t>3. 项目要求</w:t>
      </w:r>
    </w:p>
    <w:p w14:paraId="6E2C1241">
      <w:pPr>
        <w:pStyle w:val="4"/>
        <w:ind w:left="0"/>
        <w:rPr>
          <w:color w:val="auto"/>
          <w:highlight w:val="none"/>
        </w:rPr>
      </w:pPr>
      <w:r>
        <w:rPr>
          <w:color w:val="auto"/>
          <w:highlight w:val="none"/>
        </w:rPr>
        <w:t>3.1</w:t>
      </w:r>
      <w:r>
        <w:rPr>
          <w:rFonts w:hint="eastAsia"/>
          <w:color w:val="auto"/>
          <w:highlight w:val="none"/>
        </w:rPr>
        <w:t>业务需求</w:t>
      </w:r>
    </w:p>
    <w:p w14:paraId="5CD35E82">
      <w:pPr>
        <w:rPr>
          <w:color w:val="auto"/>
          <w:highlight w:val="none"/>
        </w:rPr>
      </w:pPr>
      <w:r>
        <w:rPr>
          <w:color w:val="auto"/>
          <w:highlight w:val="none"/>
        </w:rPr>
        <w:t>（一）</w:t>
      </w:r>
      <w:r>
        <w:rPr>
          <w:rFonts w:hint="eastAsia"/>
          <w:color w:val="auto"/>
          <w:highlight w:val="none"/>
        </w:rPr>
        <w:t>业务连续性管理体系咨询服务</w:t>
      </w:r>
    </w:p>
    <w:p w14:paraId="615D86FD">
      <w:pPr>
        <w:rPr>
          <w:color w:val="auto"/>
          <w:highlight w:val="none"/>
        </w:rPr>
      </w:pPr>
      <w:r>
        <w:rPr>
          <w:rFonts w:hint="eastAsia"/>
          <w:color w:val="auto"/>
          <w:highlight w:val="none"/>
        </w:rPr>
        <w:t>结合行方灾备及业务连续性管理现状，需要系统性的调研和梳理行方业务连续性管理现状，包括业务连续性管理组织架构、职责分工、应急响应机制、日常管理机制等内容，充分了解、评估和分析现有管理体系存在的问题和关键环节。结合业务连续性需求分析结果，规划和构建相应的管理制度、策略、业务连续计划、总体应急预案和专项应急预案，完善业务连续性管理体系。主要工作内容包括：</w:t>
      </w:r>
    </w:p>
    <w:p w14:paraId="6093C716">
      <w:pPr>
        <w:rPr>
          <w:color w:val="auto"/>
          <w:highlight w:val="none"/>
        </w:rPr>
      </w:pPr>
      <w:r>
        <w:rPr>
          <w:color w:val="auto"/>
          <w:highlight w:val="none"/>
        </w:rPr>
        <w:t>（1）</w:t>
      </w:r>
      <w:r>
        <w:rPr>
          <w:rFonts w:hint="eastAsia"/>
          <w:color w:val="auto"/>
          <w:highlight w:val="none"/>
        </w:rPr>
        <w:t>搜集整理现有业务连续性管理资料、信息，现状调研和差距分析；进行业务连续性成熟度评估。</w:t>
      </w:r>
    </w:p>
    <w:p w14:paraId="204C4BD2">
      <w:pPr>
        <w:rPr>
          <w:color w:val="auto"/>
          <w:highlight w:val="none"/>
        </w:rPr>
      </w:pPr>
      <w:r>
        <w:rPr>
          <w:color w:val="auto"/>
          <w:highlight w:val="none"/>
        </w:rPr>
        <w:t>（2）</w:t>
      </w:r>
      <w:r>
        <w:rPr>
          <w:rFonts w:hint="eastAsia"/>
          <w:color w:val="auto"/>
          <w:highlight w:val="none"/>
        </w:rPr>
        <w:t>进行业务影响分析，梳理行方关键业务，关键业务的RTO和RPO，关键业务的建设资源以及关键业务的恢复等级；同时映射出信息系统的RTO和RPO。</w:t>
      </w:r>
    </w:p>
    <w:p w14:paraId="6D7E2FEC">
      <w:pPr>
        <w:rPr>
          <w:color w:val="auto"/>
          <w:highlight w:val="none"/>
        </w:rPr>
      </w:pPr>
      <w:r>
        <w:rPr>
          <w:color w:val="auto"/>
          <w:highlight w:val="none"/>
        </w:rPr>
        <w:t>（3）</w:t>
      </w:r>
      <w:r>
        <w:rPr>
          <w:rFonts w:hint="eastAsia"/>
          <w:color w:val="auto"/>
          <w:highlight w:val="none"/>
        </w:rPr>
        <w:t xml:space="preserve">开展业务连续性风险评估，分析行方重要业务可能面临的业务连续性风险，确定风险敞口，建议风险防范和控制措施，尽量避免业务受到突发事件的冲击，确保业务的恢复能力。 </w:t>
      </w:r>
    </w:p>
    <w:p w14:paraId="005CBB76">
      <w:pPr>
        <w:rPr>
          <w:color w:val="auto"/>
          <w:highlight w:val="none"/>
        </w:rPr>
      </w:pPr>
      <w:r>
        <w:rPr>
          <w:color w:val="auto"/>
          <w:highlight w:val="none"/>
        </w:rPr>
        <w:t>（4）</w:t>
      </w:r>
      <w:r>
        <w:rPr>
          <w:rFonts w:hint="eastAsia"/>
          <w:color w:val="auto"/>
          <w:highlight w:val="none"/>
        </w:rPr>
        <w:t>依据业务影响分析、业务连续性风险评估结果、参照监管要求和行业标杆，结合行方的风险成本平衡原则制定业务连续性管理策略，以及关键管理要素。</w:t>
      </w:r>
    </w:p>
    <w:p w14:paraId="62C85616">
      <w:pPr>
        <w:rPr>
          <w:color w:val="auto"/>
          <w:highlight w:val="none"/>
        </w:rPr>
      </w:pPr>
      <w:r>
        <w:rPr>
          <w:color w:val="auto"/>
          <w:highlight w:val="none"/>
        </w:rPr>
        <w:t>（5）</w:t>
      </w:r>
      <w:r>
        <w:rPr>
          <w:rFonts w:hint="eastAsia"/>
          <w:color w:val="auto"/>
          <w:highlight w:val="none"/>
        </w:rPr>
        <w:t>构建完整的业务连续性管理体系，制定业务连续性管理</w:t>
      </w:r>
      <w:r>
        <w:rPr>
          <w:color w:val="auto"/>
          <w:highlight w:val="none"/>
        </w:rPr>
        <w:t>制度</w:t>
      </w:r>
      <w:r>
        <w:rPr>
          <w:rFonts w:hint="eastAsia"/>
          <w:color w:val="auto"/>
          <w:highlight w:val="none"/>
        </w:rPr>
        <w:t>及业务连续性计划；</w:t>
      </w:r>
    </w:p>
    <w:p w14:paraId="4B71628D">
      <w:pPr>
        <w:rPr>
          <w:color w:val="auto"/>
          <w:highlight w:val="none"/>
        </w:rPr>
      </w:pPr>
      <w:r>
        <w:rPr>
          <w:color w:val="auto"/>
          <w:highlight w:val="none"/>
        </w:rPr>
        <w:t>（6）</w:t>
      </w:r>
      <w:r>
        <w:rPr>
          <w:rFonts w:hint="eastAsia"/>
          <w:color w:val="auto"/>
          <w:highlight w:val="none"/>
        </w:rPr>
        <w:t>梳理和规范业务连续性计划和应急预案的制定流程，提供相应的工作模板，开发不限于总体应急响应预案、信息系统专项应急预案、业务专项应急预案、沟通保障专项应急预案等整套的预案体系；</w:t>
      </w:r>
    </w:p>
    <w:p w14:paraId="1C5F9B41">
      <w:pPr>
        <w:rPr>
          <w:rFonts w:hint="eastAsia"/>
          <w:color w:val="auto"/>
          <w:highlight w:val="none"/>
        </w:rPr>
      </w:pPr>
      <w:r>
        <w:rPr>
          <w:color w:val="auto"/>
          <w:highlight w:val="none"/>
        </w:rPr>
        <w:t>（7）提供</w:t>
      </w:r>
      <w:r>
        <w:rPr>
          <w:rFonts w:hint="eastAsia"/>
          <w:color w:val="auto"/>
          <w:highlight w:val="none"/>
        </w:rPr>
        <w:t>业务连续性培训和演练</w:t>
      </w:r>
      <w:r>
        <w:rPr>
          <w:color w:val="auto"/>
          <w:highlight w:val="none"/>
        </w:rPr>
        <w:t>指导</w:t>
      </w:r>
      <w:r>
        <w:rPr>
          <w:rFonts w:hint="eastAsia"/>
          <w:color w:val="auto"/>
          <w:highlight w:val="none"/>
        </w:rPr>
        <w:t>以及</w:t>
      </w:r>
      <w:r>
        <w:rPr>
          <w:color w:val="auto"/>
          <w:highlight w:val="none"/>
        </w:rPr>
        <w:t>将</w:t>
      </w:r>
      <w:r>
        <w:rPr>
          <w:rFonts w:hint="eastAsia"/>
          <w:color w:val="auto"/>
          <w:highlight w:val="none"/>
        </w:rPr>
        <w:t>咨询成果配套落地</w:t>
      </w:r>
      <w:r>
        <w:rPr>
          <w:color w:val="auto"/>
          <w:highlight w:val="none"/>
        </w:rPr>
        <w:t>，指导业务连续性管理系统建设</w:t>
      </w:r>
      <w:r>
        <w:rPr>
          <w:rFonts w:hint="eastAsia"/>
          <w:color w:val="auto"/>
          <w:highlight w:val="none"/>
        </w:rPr>
        <w:t>。</w:t>
      </w:r>
    </w:p>
    <w:p w14:paraId="501E00AB">
      <w:pPr>
        <w:rPr>
          <w:color w:val="auto"/>
          <w:highlight w:val="none"/>
        </w:rPr>
      </w:pPr>
      <w:r>
        <w:rPr>
          <w:color w:val="auto"/>
          <w:highlight w:val="none"/>
        </w:rPr>
        <w:t>（二）</w:t>
      </w:r>
      <w:r>
        <w:rPr>
          <w:rFonts w:hint="eastAsia"/>
          <w:color w:val="auto"/>
          <w:highlight w:val="none"/>
        </w:rPr>
        <w:t>业务连续性管理系统建设</w:t>
      </w:r>
    </w:p>
    <w:p w14:paraId="747AE75C">
      <w:pPr>
        <w:rPr>
          <w:color w:val="auto"/>
          <w:highlight w:val="none"/>
        </w:rPr>
      </w:pPr>
      <w:r>
        <w:rPr>
          <w:rFonts w:hint="eastAsia"/>
          <w:color w:val="auto"/>
          <w:highlight w:val="none"/>
        </w:rPr>
        <w:t>行方业务连续性管理系统建设需要结合业务连续性咨询成果和业务连续性管理流程，梳理行方业务连续性管理系统建设需求，基于成熟的业务连续性管理软件为蓝本，定制开发行方的业务连续性管理系统，并且对系统功能进行测试并部署上线。</w:t>
      </w:r>
    </w:p>
    <w:p w14:paraId="29B27451">
      <w:pPr>
        <w:rPr>
          <w:color w:val="auto"/>
          <w:highlight w:val="none"/>
        </w:rPr>
      </w:pPr>
      <w:r>
        <w:rPr>
          <w:rFonts w:hint="eastAsia"/>
          <w:color w:val="auto"/>
          <w:highlight w:val="none"/>
        </w:rPr>
        <w:t>业务连续性系统建设需要根据行方的业务连续性管理需求和实际情况，对业务连续性管理工具软件功能进行量身定制，以满足行方业务连续性管理要求及用户使用习惯等。系统软件要求具备业务连续性管理体系管理、应急场景管理、应急资源管理、专项预案管理、演练管理、应急管理、统计分析等功能；系统软件要求具备业务连续性日常管理模块、预案管理模块、演练管理模块和应急管理模块。业务连续性管理日常管理模块，主要解决行方针对业务连续性体系的合规和常态维护问题，实现对业务连续性管理体系的PDCA维护。预案管理模块是重点解决行方预案管理体系化、标准化和工具化问题，实现“活”预案、“活”的组织、人员、流程和沟通。演练管理模块是解决行方针对演练的全过程如何进行规范化和流程化的管理问题；该功能主要是从规范和合规的视角对演练工作的全过程进行流程化控制管理。应急管理模块要求实现在演练和突发事件场景下，为行方提供应急沟通管理、应急响应和决策、应急处置过程指挥控制、以及对内、对外联络的工具化支持；能够有效整合应急组织、应急预案、资源保障、沟通保障和处置流程。</w:t>
      </w:r>
    </w:p>
    <w:p w14:paraId="03989074">
      <w:pPr>
        <w:rPr>
          <w:color w:val="auto"/>
          <w:highlight w:val="none"/>
        </w:rPr>
      </w:pPr>
      <w:bookmarkStart w:id="297" w:name="_Toc527550322"/>
      <w:bookmarkStart w:id="298" w:name="_Toc83630015"/>
      <w:bookmarkStart w:id="299" w:name="_Toc92721600"/>
      <w:bookmarkStart w:id="300" w:name="_Toc83630513"/>
      <w:r>
        <w:rPr>
          <w:color w:val="auto"/>
          <w:highlight w:val="none"/>
        </w:rPr>
        <w:t>功能模块</w:t>
      </w:r>
      <w:bookmarkEnd w:id="297"/>
      <w:bookmarkEnd w:id="298"/>
      <w:bookmarkEnd w:id="299"/>
      <w:bookmarkEnd w:id="300"/>
    </w:p>
    <w:p w14:paraId="69E97503">
      <w:pPr>
        <w:rPr>
          <w:color w:val="auto"/>
          <w:highlight w:val="none"/>
        </w:rPr>
      </w:pPr>
      <w:r>
        <w:rPr>
          <w:rFonts w:hint="eastAsia"/>
          <w:color w:val="auto"/>
          <w:highlight w:val="none"/>
        </w:rPr>
        <w:t>（1）业务连续性日常管理</w:t>
      </w:r>
    </w:p>
    <w:p w14:paraId="6B2EC7AC">
      <w:pPr>
        <w:rPr>
          <w:color w:val="auto"/>
          <w:highlight w:val="none"/>
        </w:rPr>
      </w:pPr>
      <w:r>
        <w:rPr>
          <w:rFonts w:hint="eastAsia"/>
          <w:color w:val="auto"/>
          <w:highlight w:val="none"/>
        </w:rPr>
        <w:t>业务连续性的日常管理功能，主要包括：待办事项（应急预案修订、问题整改、演练计划等提醒）、常用信息查询、知识库管理以及组织架构管理等。</w:t>
      </w:r>
    </w:p>
    <w:p w14:paraId="6A6A5CE1">
      <w:pPr>
        <w:rPr>
          <w:color w:val="auto"/>
          <w:highlight w:val="none"/>
        </w:rPr>
      </w:pPr>
      <w:r>
        <w:rPr>
          <w:color w:val="auto"/>
          <w:highlight w:val="none"/>
        </w:rPr>
        <w:t>（2.）业务连续性能力成熟度评估</w:t>
      </w:r>
    </w:p>
    <w:p w14:paraId="5416CFEB">
      <w:pPr>
        <w:rPr>
          <w:color w:val="auto"/>
          <w:highlight w:val="none"/>
        </w:rPr>
      </w:pPr>
      <w:r>
        <w:rPr>
          <w:color w:val="auto"/>
          <w:highlight w:val="none"/>
        </w:rPr>
        <w:t>提供业务连续性能力指标评估，包括能力指标、评估流程、评估结论等，形成能力成熟度评估报告。评估报告</w:t>
      </w:r>
      <w:r>
        <w:rPr>
          <w:rFonts w:hint="eastAsia"/>
          <w:color w:val="auto"/>
          <w:highlight w:val="none"/>
        </w:rPr>
        <w:t>支持下载、上传，支持word、pdf等常见格式。</w:t>
      </w:r>
    </w:p>
    <w:p w14:paraId="0F9360F2">
      <w:pPr>
        <w:rPr>
          <w:color w:val="auto"/>
          <w:highlight w:val="none"/>
        </w:rPr>
      </w:pPr>
      <w:r>
        <w:rPr>
          <w:rFonts w:hint="eastAsia"/>
          <w:color w:val="auto"/>
          <w:highlight w:val="none"/>
        </w:rPr>
        <w:t>（</w:t>
      </w:r>
      <w:r>
        <w:rPr>
          <w:color w:val="auto"/>
          <w:highlight w:val="none"/>
        </w:rPr>
        <w:t>3</w:t>
      </w:r>
      <w:r>
        <w:rPr>
          <w:rFonts w:hint="eastAsia"/>
          <w:color w:val="auto"/>
          <w:highlight w:val="none"/>
        </w:rPr>
        <w:t>）业务影响分析</w:t>
      </w:r>
    </w:p>
    <w:p w14:paraId="43508BFB">
      <w:pPr>
        <w:rPr>
          <w:color w:val="auto"/>
          <w:highlight w:val="none"/>
        </w:rPr>
      </w:pPr>
      <w:r>
        <w:rPr>
          <w:rFonts w:hint="eastAsia"/>
          <w:color w:val="auto"/>
          <w:highlight w:val="none"/>
        </w:rPr>
        <w:t>提供在线业务影响分析BIA工作流，包括任务发起、信息填报、不同维度信息维护和展示、结果计算、报告产出、复核、审批等环节，并根据业务重要性等级对全行信息系统的重要性等级进行评定，包括各业务信息系统的RPO和RTO，以及重要业务恢复优先级、重要信息系统的恢复优先级、业务与系统关联关系等，形成业务影响分析报告。</w:t>
      </w:r>
      <w:r>
        <w:rPr>
          <w:color w:val="auto"/>
          <w:highlight w:val="none"/>
        </w:rPr>
        <w:t>当业务发生变化时，能够对单业务开展专项业务影响分析。</w:t>
      </w:r>
      <w:r>
        <w:rPr>
          <w:rFonts w:hint="eastAsia"/>
          <w:color w:val="auto"/>
          <w:highlight w:val="none"/>
        </w:rPr>
        <w:t>业务影响分析报告支持下载、上传，支持word、pdf等常见格式。</w:t>
      </w:r>
    </w:p>
    <w:p w14:paraId="4068E943">
      <w:pPr>
        <w:rPr>
          <w:color w:val="auto"/>
          <w:highlight w:val="none"/>
        </w:rPr>
      </w:pPr>
      <w:r>
        <w:rPr>
          <w:rFonts w:hint="eastAsia"/>
          <w:color w:val="auto"/>
          <w:highlight w:val="none"/>
        </w:rPr>
        <w:t>（</w:t>
      </w:r>
      <w:r>
        <w:rPr>
          <w:color w:val="auto"/>
          <w:highlight w:val="none"/>
        </w:rPr>
        <w:t>4</w:t>
      </w:r>
      <w:r>
        <w:rPr>
          <w:rFonts w:hint="eastAsia"/>
          <w:color w:val="auto"/>
          <w:highlight w:val="none"/>
        </w:rPr>
        <w:t>）风险评估</w:t>
      </w:r>
    </w:p>
    <w:p w14:paraId="75376427">
      <w:pPr>
        <w:rPr>
          <w:color w:val="auto"/>
          <w:highlight w:val="none"/>
        </w:rPr>
      </w:pPr>
      <w:r>
        <w:rPr>
          <w:rFonts w:hint="eastAsia"/>
          <w:color w:val="auto"/>
          <w:highlight w:val="none"/>
        </w:rPr>
        <w:t>提供在线风险评估RA工作流，包括任务发起、信息填报、不同维度信息维护和展示、结果计算、报告产出、复核、审批等环节，识别威胁发生的可能性和造成的影响，识别风险等级并产出报告。风险评估报告支持下载、上传，支持word、pdf等常见格式。</w:t>
      </w:r>
    </w:p>
    <w:p w14:paraId="68DA3330">
      <w:pPr>
        <w:rPr>
          <w:color w:val="auto"/>
          <w:highlight w:val="none"/>
        </w:rPr>
      </w:pPr>
      <w:r>
        <w:rPr>
          <w:rFonts w:hint="eastAsia"/>
          <w:color w:val="auto"/>
          <w:highlight w:val="none"/>
        </w:rPr>
        <w:t>（</w:t>
      </w:r>
      <w:r>
        <w:rPr>
          <w:color w:val="auto"/>
          <w:highlight w:val="none"/>
        </w:rPr>
        <w:t>5</w:t>
      </w:r>
      <w:r>
        <w:rPr>
          <w:rFonts w:hint="eastAsia"/>
          <w:color w:val="auto"/>
          <w:highlight w:val="none"/>
        </w:rPr>
        <w:t>）应急预案管理</w:t>
      </w:r>
    </w:p>
    <w:p w14:paraId="26CF1B44">
      <w:pPr>
        <w:rPr>
          <w:color w:val="auto"/>
          <w:highlight w:val="none"/>
        </w:rPr>
      </w:pPr>
      <w:r>
        <w:rPr>
          <w:rFonts w:hint="eastAsia"/>
          <w:color w:val="auto"/>
          <w:highlight w:val="none"/>
        </w:rPr>
        <w:t>支持应急预案编撰、发布、变更等线上化管理，区分总体应急预案和各专项应急预案，形成应急预案知识库，支持在不同应急场景下对预案进行调用。</w:t>
      </w:r>
      <w:r>
        <w:rPr>
          <w:color w:val="auto"/>
          <w:highlight w:val="none"/>
        </w:rPr>
        <w:t>支持应急预案组织架构管理，能够根据角色动态更新应急预案中的组织架构。</w:t>
      </w:r>
    </w:p>
    <w:p w14:paraId="4EDF8BD1">
      <w:pPr>
        <w:rPr>
          <w:color w:val="auto"/>
          <w:highlight w:val="none"/>
        </w:rPr>
      </w:pPr>
      <w:r>
        <w:rPr>
          <w:rFonts w:hint="eastAsia"/>
          <w:color w:val="auto"/>
          <w:highlight w:val="none"/>
        </w:rPr>
        <w:t>（</w:t>
      </w:r>
      <w:r>
        <w:rPr>
          <w:color w:val="auto"/>
          <w:highlight w:val="none"/>
        </w:rPr>
        <w:t>6</w:t>
      </w:r>
      <w:r>
        <w:rPr>
          <w:rFonts w:hint="eastAsia"/>
          <w:color w:val="auto"/>
          <w:highlight w:val="none"/>
        </w:rPr>
        <w:t>）演练管理</w:t>
      </w:r>
    </w:p>
    <w:p w14:paraId="5B3FA0F9">
      <w:pPr>
        <w:rPr>
          <w:color w:val="auto"/>
          <w:highlight w:val="none"/>
        </w:rPr>
      </w:pPr>
      <w:r>
        <w:rPr>
          <w:rFonts w:hint="eastAsia"/>
          <w:color w:val="auto"/>
          <w:highlight w:val="none"/>
        </w:rPr>
        <w:t>演练管理功能应包括：一是演练计划管理，包括年度演练计划的制定、演练计划调整、计划实施提醒等；二是演练方案管理，支持演练方案的制定、审核、发布、实施等；三是演练过程管理；四是演练总结与评估管理，支持对演练进行总结与评估，提出演练中存在的不足；五是统计查询功能，支持历史演练的统计与查询功能；六是支持大屏展示，实时展示演练执行情况。</w:t>
      </w:r>
    </w:p>
    <w:p w14:paraId="46F4DBEE">
      <w:pPr>
        <w:rPr>
          <w:color w:val="auto"/>
          <w:highlight w:val="none"/>
        </w:rPr>
      </w:pPr>
      <w:r>
        <w:rPr>
          <w:rFonts w:hint="eastAsia"/>
          <w:color w:val="auto"/>
          <w:highlight w:val="none"/>
        </w:rPr>
        <w:t>（</w:t>
      </w:r>
      <w:r>
        <w:rPr>
          <w:color w:val="auto"/>
          <w:highlight w:val="none"/>
        </w:rPr>
        <w:t>7</w:t>
      </w:r>
      <w:r>
        <w:rPr>
          <w:rFonts w:hint="eastAsia"/>
          <w:color w:val="auto"/>
          <w:highlight w:val="none"/>
        </w:rPr>
        <w:t>）突发事件管理</w:t>
      </w:r>
    </w:p>
    <w:p w14:paraId="0567147D">
      <w:pPr>
        <w:rPr>
          <w:color w:val="auto"/>
          <w:highlight w:val="none"/>
        </w:rPr>
      </w:pPr>
      <w:r>
        <w:rPr>
          <w:rFonts w:hint="eastAsia"/>
          <w:color w:val="auto"/>
          <w:highlight w:val="none"/>
        </w:rPr>
        <w:t>支持突发事件的上报、流转、处置等流程管理，对事件影响、处置等情况的评估，并支持对事件报告流程的制定、调整和权限管理，以及对历史事件的查询统计。</w:t>
      </w:r>
    </w:p>
    <w:p w14:paraId="39DEC9B0">
      <w:pPr>
        <w:rPr>
          <w:color w:val="auto"/>
          <w:highlight w:val="none"/>
        </w:rPr>
      </w:pPr>
      <w:r>
        <w:rPr>
          <w:rFonts w:hint="eastAsia"/>
          <w:color w:val="auto"/>
          <w:highlight w:val="none"/>
        </w:rPr>
        <w:t>（</w:t>
      </w:r>
      <w:r>
        <w:rPr>
          <w:color w:val="auto"/>
          <w:highlight w:val="none"/>
        </w:rPr>
        <w:t>8</w:t>
      </w:r>
      <w:r>
        <w:rPr>
          <w:rFonts w:hint="eastAsia"/>
          <w:color w:val="auto"/>
          <w:highlight w:val="none"/>
        </w:rPr>
        <w:t>）报告、通知管理</w:t>
      </w:r>
    </w:p>
    <w:p w14:paraId="04AC74AF">
      <w:pPr>
        <w:rPr>
          <w:color w:val="auto"/>
          <w:highlight w:val="none"/>
        </w:rPr>
      </w:pPr>
      <w:r>
        <w:rPr>
          <w:rFonts w:hint="eastAsia"/>
          <w:color w:val="auto"/>
          <w:highlight w:val="none"/>
        </w:rPr>
        <w:t>突发事件应急处置和演练处置流程中涉及的报告、通知事项通过站内消息进行传递，移动端支持电话号码拨号。</w:t>
      </w:r>
    </w:p>
    <w:p w14:paraId="05DC0D97">
      <w:pPr>
        <w:rPr>
          <w:color w:val="auto"/>
          <w:highlight w:val="none"/>
        </w:rPr>
      </w:pPr>
      <w:r>
        <w:rPr>
          <w:rFonts w:hint="eastAsia"/>
          <w:color w:val="auto"/>
          <w:highlight w:val="none"/>
        </w:rPr>
        <w:t>系统突发事件应急处置流程与演练应急处置流程应保持一致，即应急演练能够最大限度地模拟真实中断事件的应急处置过程。</w:t>
      </w:r>
    </w:p>
    <w:p w14:paraId="6B639190">
      <w:pPr>
        <w:rPr>
          <w:color w:val="auto"/>
          <w:highlight w:val="none"/>
        </w:rPr>
      </w:pPr>
      <w:r>
        <w:rPr>
          <w:color w:val="auto"/>
          <w:highlight w:val="none"/>
        </w:rPr>
        <w:t>（9）</w:t>
      </w:r>
      <w:r>
        <w:rPr>
          <w:rFonts w:hint="eastAsia"/>
          <w:color w:val="auto"/>
          <w:highlight w:val="none"/>
        </w:rPr>
        <w:t>移动端需求</w:t>
      </w:r>
    </w:p>
    <w:p w14:paraId="44511558">
      <w:pPr>
        <w:rPr>
          <w:color w:val="auto"/>
          <w:highlight w:val="none"/>
        </w:rPr>
      </w:pPr>
      <w:r>
        <w:rPr>
          <w:color w:val="auto"/>
          <w:highlight w:val="none"/>
        </w:rPr>
        <w:t>平台需实现移动端</w:t>
      </w:r>
      <w:r>
        <w:rPr>
          <w:rFonts w:hint="eastAsia"/>
          <w:color w:val="auto"/>
          <w:highlight w:val="none"/>
        </w:rPr>
        <w:t>统一</w:t>
      </w:r>
      <w:r>
        <w:rPr>
          <w:color w:val="auto"/>
          <w:highlight w:val="none"/>
        </w:rPr>
        <w:t>入口，代办审批等实现统一方式</w:t>
      </w:r>
      <w:r>
        <w:rPr>
          <w:rFonts w:hint="eastAsia"/>
          <w:color w:val="auto"/>
          <w:highlight w:val="none"/>
        </w:rPr>
        <w:t>展示</w:t>
      </w:r>
      <w:r>
        <w:rPr>
          <w:color w:val="auto"/>
          <w:highlight w:val="none"/>
        </w:rPr>
        <w:t>，平台移动端应自适应手机屏幕、平板电脑屏幕，行方ECC大屏</w:t>
      </w:r>
      <w:r>
        <w:rPr>
          <w:rFonts w:hint="eastAsia"/>
          <w:color w:val="auto"/>
          <w:highlight w:val="none"/>
        </w:rPr>
        <w:t>。移动端至少应包括业务连续性应急演练和突发事件应急处置两个功能模块，并包括应急处置组织架构通讯录。</w:t>
      </w:r>
    </w:p>
    <w:p w14:paraId="63D2C833">
      <w:pPr>
        <w:rPr>
          <w:color w:val="auto"/>
          <w:highlight w:val="none"/>
        </w:rPr>
      </w:pPr>
      <w:r>
        <w:rPr>
          <w:color w:val="auto"/>
          <w:highlight w:val="none"/>
        </w:rPr>
        <w:t>（三）业务连续性管理体系认证</w:t>
      </w:r>
    </w:p>
    <w:p w14:paraId="7D4C66F7">
      <w:pPr>
        <w:rPr>
          <w:color w:val="auto"/>
          <w:highlight w:val="none"/>
        </w:rPr>
      </w:pPr>
      <w:r>
        <w:rPr>
          <w:color w:val="auto"/>
          <w:szCs w:val="18"/>
          <w:highlight w:val="none"/>
        </w:rPr>
        <w:t>响应人</w:t>
      </w:r>
      <w:r>
        <w:rPr>
          <w:rFonts w:hint="eastAsia"/>
          <w:color w:val="auto"/>
          <w:szCs w:val="18"/>
          <w:highlight w:val="none"/>
        </w:rPr>
        <w:t>须协助</w:t>
      </w:r>
      <w:r>
        <w:rPr>
          <w:color w:val="auto"/>
          <w:szCs w:val="18"/>
          <w:highlight w:val="none"/>
        </w:rPr>
        <w:t>采购</w:t>
      </w:r>
      <w:r>
        <w:rPr>
          <w:rFonts w:hint="eastAsia"/>
          <w:color w:val="auto"/>
          <w:szCs w:val="18"/>
          <w:highlight w:val="none"/>
        </w:rPr>
        <w:t>人取得ISO 22301业务连续性管理体系认证证书，认证流程所产生的全部费用</w:t>
      </w:r>
      <w:r>
        <w:rPr>
          <w:rFonts w:hint="eastAsia"/>
          <w:b/>
          <w:bCs/>
          <w:color w:val="auto"/>
          <w:szCs w:val="18"/>
          <w:highlight w:val="none"/>
        </w:rPr>
        <w:t>包含在此次项目中</w:t>
      </w:r>
      <w:r>
        <w:rPr>
          <w:rFonts w:hint="eastAsia"/>
          <w:color w:val="auto"/>
          <w:szCs w:val="18"/>
          <w:highlight w:val="none"/>
        </w:rPr>
        <w:t>（由</w:t>
      </w:r>
      <w:r>
        <w:rPr>
          <w:color w:val="auto"/>
          <w:szCs w:val="18"/>
          <w:highlight w:val="none"/>
        </w:rPr>
        <w:t>响应人</w:t>
      </w:r>
      <w:r>
        <w:rPr>
          <w:rFonts w:hint="eastAsia"/>
          <w:color w:val="auto"/>
          <w:szCs w:val="18"/>
          <w:highlight w:val="none"/>
        </w:rPr>
        <w:t>承担）。</w:t>
      </w:r>
    </w:p>
    <w:p w14:paraId="1A688506">
      <w:pPr>
        <w:rPr>
          <w:color w:val="auto"/>
          <w:highlight w:val="none"/>
        </w:rPr>
      </w:pPr>
      <w:r>
        <w:rPr>
          <w:color w:val="auto"/>
          <w:highlight w:val="none"/>
        </w:rPr>
        <w:t>（四）与其他系统协同</w:t>
      </w:r>
    </w:p>
    <w:p w14:paraId="2767974A">
      <w:pPr>
        <w:rPr>
          <w:color w:val="auto"/>
          <w:highlight w:val="none"/>
        </w:rPr>
      </w:pPr>
      <w:r>
        <w:rPr>
          <w:color w:val="auto"/>
          <w:highlight w:val="none"/>
        </w:rPr>
        <w:t>（1）与人力资源系统协同，同步机构、员工基本信息。</w:t>
      </w:r>
    </w:p>
    <w:p w14:paraId="535B6460">
      <w:pPr>
        <w:rPr>
          <w:color w:val="auto"/>
          <w:highlight w:val="none"/>
        </w:rPr>
      </w:pPr>
      <w:r>
        <w:rPr>
          <w:color w:val="auto"/>
          <w:highlight w:val="none"/>
        </w:rPr>
        <w:t>（2）与办公平台（OA）协同，通过嵌入式、接口方式等技术手段，完成系统间审批流程的转接和数据同步，满足不同层级审批人员的操作需要。</w:t>
      </w:r>
    </w:p>
    <w:p w14:paraId="42169D9D">
      <w:pPr>
        <w:rPr>
          <w:color w:val="auto"/>
          <w:highlight w:val="none"/>
        </w:rPr>
      </w:pPr>
      <w:r>
        <w:rPr>
          <w:color w:val="auto"/>
          <w:highlight w:val="none"/>
        </w:rPr>
        <w:t>（3）与零信任安全平台协同，提供零信任安全平台接入入口。</w:t>
      </w:r>
    </w:p>
    <w:p w14:paraId="6467B133">
      <w:pPr>
        <w:rPr>
          <w:color w:val="auto"/>
          <w:highlight w:val="none"/>
        </w:rPr>
      </w:pPr>
      <w:r>
        <w:rPr>
          <w:color w:val="auto"/>
          <w:highlight w:val="none"/>
        </w:rPr>
        <w:t>（4）与分布式应用管理平台协同，业务连续性数字化管理平台以虚拟接入方式接入分布式应用服务平台，实现与各系统的数据和接口交互。</w:t>
      </w:r>
    </w:p>
    <w:p w14:paraId="33ACBB8A">
      <w:pPr>
        <w:rPr>
          <w:color w:val="auto"/>
          <w:highlight w:val="none"/>
        </w:rPr>
      </w:pPr>
      <w:r>
        <w:rPr>
          <w:color w:val="auto"/>
          <w:highlight w:val="none"/>
        </w:rPr>
        <w:t>（5）与文档中台协同，实现业务连续性数字化管理平台中附件的在线编辑等文档操作功能。</w:t>
      </w:r>
    </w:p>
    <w:p w14:paraId="44F1E7AD">
      <w:pPr>
        <w:rPr>
          <w:color w:val="auto"/>
          <w:highlight w:val="none"/>
        </w:rPr>
      </w:pPr>
      <w:r>
        <w:rPr>
          <w:color w:val="auto"/>
          <w:highlight w:val="none"/>
        </w:rPr>
        <w:t>（6）与通用电子数据存储平台协同，存储业务连续性数字化管理平台中附件等文档信息。</w:t>
      </w:r>
    </w:p>
    <w:p w14:paraId="5D7AC469">
      <w:pPr>
        <w:rPr>
          <w:color w:val="auto"/>
          <w:highlight w:val="none"/>
        </w:rPr>
      </w:pPr>
      <w:r>
        <w:rPr>
          <w:color w:val="auto"/>
          <w:highlight w:val="none"/>
        </w:rPr>
        <w:t>（7）与信息科技项目管理系统（二代）协同，完成系统等级、RPT、RPO等数据交互。</w:t>
      </w:r>
    </w:p>
    <w:p w14:paraId="6358DB71">
      <w:pPr>
        <w:rPr>
          <w:rFonts w:hint="eastAsia" w:eastAsia="宋体"/>
          <w:color w:val="auto"/>
          <w:highlight w:val="none"/>
          <w:lang w:val="en-US" w:eastAsia="zh-CN"/>
        </w:rPr>
      </w:pPr>
      <w:r>
        <w:rPr>
          <w:rFonts w:hint="eastAsia"/>
          <w:color w:val="auto"/>
          <w:highlight w:val="none"/>
          <w:lang w:val="en-US" w:eastAsia="zh-CN"/>
        </w:rPr>
        <w:t>【对本章第3.1条内容，提供业务需求条款偏离表，</w:t>
      </w:r>
      <w:r>
        <w:rPr>
          <w:color w:val="auto"/>
          <w:highlight w:val="none"/>
          <w:lang w:val="en-US" w:eastAsia="zh-CN"/>
        </w:rPr>
        <w:t>不</w:t>
      </w:r>
      <w:r>
        <w:rPr>
          <w:rFonts w:hint="eastAsia"/>
          <w:color w:val="auto"/>
          <w:highlight w:val="none"/>
          <w:lang w:val="en-US" w:eastAsia="zh-CN"/>
        </w:rPr>
        <w:t>允许负偏离】</w:t>
      </w:r>
    </w:p>
    <w:p w14:paraId="3559EA14">
      <w:pPr>
        <w:pStyle w:val="4"/>
        <w:ind w:left="0"/>
        <w:rPr>
          <w:color w:val="auto"/>
          <w:highlight w:val="none"/>
        </w:rPr>
      </w:pPr>
      <w:r>
        <w:rPr>
          <w:color w:val="auto"/>
          <w:highlight w:val="none"/>
        </w:rPr>
        <w:t>3.2</w:t>
      </w:r>
      <w:r>
        <w:rPr>
          <w:rFonts w:hint="eastAsia"/>
          <w:color w:val="auto"/>
          <w:highlight w:val="none"/>
        </w:rPr>
        <w:t>技术要求</w:t>
      </w:r>
    </w:p>
    <w:p w14:paraId="31C517DD">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.1 </w:t>
      </w:r>
      <w:r>
        <w:rPr>
          <w:rFonts w:hint="eastAsia"/>
          <w:color w:val="auto"/>
          <w:szCs w:val="24"/>
          <w:highlight w:val="none"/>
        </w:rPr>
        <w:t>总体原则</w:t>
      </w:r>
    </w:p>
    <w:p w14:paraId="45A16673">
      <w:pPr>
        <w:rPr>
          <w:color w:val="auto"/>
          <w:szCs w:val="24"/>
          <w:highlight w:val="none"/>
        </w:rPr>
      </w:pPr>
      <w:r>
        <w:rPr>
          <w:rFonts w:hint="eastAsia"/>
          <w:color w:val="auto"/>
          <w:szCs w:val="24"/>
          <w:highlight w:val="none"/>
        </w:rPr>
        <w:t>系统的建设应遵循集成性、先进性、可扩展性、稳定性、安全性、经济性、前瞻性和可维护性相结合的原则。</w:t>
      </w:r>
    </w:p>
    <w:p w14:paraId="179D1778">
      <w:pPr>
        <w:rPr>
          <w:color w:val="auto"/>
          <w:szCs w:val="24"/>
          <w:highlight w:val="none"/>
        </w:rPr>
      </w:pPr>
      <w:r>
        <w:rPr>
          <w:color w:val="auto"/>
          <w:szCs w:val="24"/>
          <w:highlight w:val="none"/>
        </w:rPr>
        <w:t xml:space="preserve">3.2.1.1 </w:t>
      </w:r>
      <w:r>
        <w:rPr>
          <w:rFonts w:hint="eastAsia"/>
          <w:color w:val="auto"/>
          <w:szCs w:val="24"/>
          <w:highlight w:val="none"/>
        </w:rPr>
        <w:t>集成性：系统建设需充分考虑与其它系统的集成，能快速与采购人其它业务和管理系统的集成。</w:t>
      </w:r>
    </w:p>
    <w:p w14:paraId="26D2B97E">
      <w:pPr>
        <w:rPr>
          <w:color w:val="auto"/>
          <w:szCs w:val="24"/>
          <w:highlight w:val="none"/>
        </w:rPr>
      </w:pPr>
      <w:r>
        <w:rPr>
          <w:color w:val="auto"/>
          <w:szCs w:val="24"/>
          <w:highlight w:val="none"/>
        </w:rPr>
        <w:t>3.2.1.</w:t>
      </w:r>
      <w:r>
        <w:rPr>
          <w:rFonts w:hint="eastAsia"/>
          <w:color w:val="auto"/>
          <w:szCs w:val="24"/>
          <w:highlight w:val="none"/>
        </w:rPr>
        <w:t>2 先进性：软件系统的选择与开发应在满足业务需求的基础上具有易改造、易升级、易操作、易维护等特点。</w:t>
      </w:r>
      <w:r>
        <w:rPr>
          <w:color w:val="auto"/>
          <w:szCs w:val="24"/>
          <w:highlight w:val="none"/>
        </w:rPr>
        <w:t>版本需为公司最新版。</w:t>
      </w:r>
    </w:p>
    <w:p w14:paraId="429C70CF">
      <w:pPr>
        <w:rPr>
          <w:color w:val="auto"/>
          <w:szCs w:val="24"/>
          <w:highlight w:val="none"/>
        </w:rPr>
      </w:pPr>
      <w:r>
        <w:rPr>
          <w:color w:val="auto"/>
          <w:szCs w:val="24"/>
          <w:highlight w:val="none"/>
        </w:rPr>
        <w:t>3.2.1.</w:t>
      </w:r>
      <w:r>
        <w:rPr>
          <w:rFonts w:hint="eastAsia"/>
          <w:color w:val="auto"/>
          <w:szCs w:val="24"/>
          <w:highlight w:val="none"/>
        </w:rPr>
        <w:t>3 可扩展性：支持业务和系统的可扩展，支持行业应用可扩展，具有向后兼容的能力。</w:t>
      </w:r>
    </w:p>
    <w:p w14:paraId="011C6323">
      <w:pPr>
        <w:rPr>
          <w:color w:val="auto"/>
          <w:szCs w:val="24"/>
          <w:highlight w:val="none"/>
        </w:rPr>
      </w:pPr>
      <w:r>
        <w:rPr>
          <w:color w:val="auto"/>
          <w:szCs w:val="24"/>
          <w:highlight w:val="none"/>
        </w:rPr>
        <w:t>3.2.1.</w:t>
      </w:r>
      <w:r>
        <w:rPr>
          <w:rFonts w:hint="eastAsia"/>
          <w:color w:val="auto"/>
          <w:szCs w:val="24"/>
          <w:highlight w:val="none"/>
        </w:rPr>
        <w:t>4 稳定性：系统要确保系统平稳运行，支持7×24小时连续运行，满足高峰处理的需要。</w:t>
      </w:r>
    </w:p>
    <w:p w14:paraId="79A8859D">
      <w:pPr>
        <w:rPr>
          <w:color w:val="auto"/>
          <w:szCs w:val="24"/>
          <w:highlight w:val="none"/>
        </w:rPr>
      </w:pPr>
      <w:r>
        <w:rPr>
          <w:color w:val="auto"/>
          <w:szCs w:val="24"/>
          <w:highlight w:val="none"/>
        </w:rPr>
        <w:t>3.2.1.</w:t>
      </w:r>
      <w:r>
        <w:rPr>
          <w:rFonts w:hint="eastAsia"/>
          <w:color w:val="auto"/>
          <w:szCs w:val="24"/>
          <w:highlight w:val="none"/>
        </w:rPr>
        <w:t>5 安全性：</w:t>
      </w:r>
    </w:p>
    <w:p w14:paraId="67F8CBDB">
      <w:pPr>
        <w:rPr>
          <w:color w:val="auto"/>
          <w:szCs w:val="24"/>
          <w:highlight w:val="none"/>
        </w:rPr>
      </w:pPr>
      <w:r>
        <w:rPr>
          <w:color w:val="auto"/>
          <w:szCs w:val="24"/>
          <w:highlight w:val="none"/>
        </w:rPr>
        <w:t>1</w:t>
      </w:r>
      <w:r>
        <w:rPr>
          <w:rFonts w:hint="eastAsia"/>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5BC91818">
      <w:pPr>
        <w:rPr>
          <w:color w:val="auto"/>
          <w:szCs w:val="24"/>
          <w:highlight w:val="none"/>
        </w:rPr>
      </w:pPr>
      <w:r>
        <w:rPr>
          <w:color w:val="auto"/>
          <w:szCs w:val="24"/>
          <w:highlight w:val="none"/>
        </w:rPr>
        <w:t>2</w:t>
      </w:r>
      <w:r>
        <w:rPr>
          <w:rFonts w:hint="eastAsia"/>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6C1E1E9C">
      <w:pPr>
        <w:rPr>
          <w:color w:val="auto"/>
          <w:szCs w:val="24"/>
          <w:highlight w:val="none"/>
        </w:rPr>
      </w:pPr>
      <w:r>
        <w:rPr>
          <w:color w:val="auto"/>
          <w:szCs w:val="24"/>
          <w:highlight w:val="none"/>
        </w:rPr>
        <w:t>3.2.1.</w:t>
      </w:r>
      <w:r>
        <w:rPr>
          <w:rFonts w:hint="eastAsia"/>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049F18F0">
      <w:pPr>
        <w:rPr>
          <w:color w:val="auto"/>
          <w:szCs w:val="24"/>
          <w:highlight w:val="none"/>
        </w:rPr>
      </w:pPr>
      <w:r>
        <w:rPr>
          <w:color w:val="auto"/>
          <w:szCs w:val="24"/>
          <w:highlight w:val="none"/>
        </w:rPr>
        <w:t>3.2.1.</w:t>
      </w:r>
      <w:r>
        <w:rPr>
          <w:rFonts w:hint="eastAsia"/>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A4BCDDD">
      <w:pPr>
        <w:rPr>
          <w:color w:val="auto"/>
          <w:szCs w:val="24"/>
          <w:highlight w:val="none"/>
        </w:rPr>
      </w:pPr>
      <w:r>
        <w:rPr>
          <w:color w:val="auto"/>
          <w:szCs w:val="24"/>
          <w:highlight w:val="none"/>
        </w:rPr>
        <w:t>3.2.1.</w:t>
      </w:r>
      <w:r>
        <w:rPr>
          <w:rFonts w:hint="eastAsia"/>
          <w:color w:val="auto"/>
          <w:szCs w:val="24"/>
          <w:highlight w:val="none"/>
        </w:rPr>
        <w:t>8 可维护性：系统可维护，运行成本可控。</w:t>
      </w:r>
    </w:p>
    <w:p w14:paraId="048D4392">
      <w:pPr>
        <w:pStyle w:val="5"/>
        <w:rPr>
          <w:color w:val="auto"/>
          <w:szCs w:val="24"/>
          <w:highlight w:val="none"/>
        </w:rPr>
      </w:pPr>
      <w:r>
        <w:rPr>
          <w:color w:val="auto"/>
          <w:szCs w:val="24"/>
          <w:highlight w:val="none"/>
        </w:rPr>
        <w:t>3.</w:t>
      </w:r>
      <w:r>
        <w:rPr>
          <w:rFonts w:hint="eastAsia"/>
          <w:color w:val="auto"/>
          <w:szCs w:val="24"/>
          <w:highlight w:val="none"/>
        </w:rPr>
        <w:t>2.2 用户体验要求</w:t>
      </w:r>
    </w:p>
    <w:p w14:paraId="60B5231D">
      <w:pPr>
        <w:rPr>
          <w:color w:val="auto"/>
          <w:szCs w:val="24"/>
          <w:highlight w:val="none"/>
        </w:rPr>
      </w:pPr>
      <w:r>
        <w:rPr>
          <w:rFonts w:hint="eastAsia"/>
          <w:color w:val="auto"/>
          <w:szCs w:val="24"/>
          <w:highlight w:val="none"/>
        </w:rPr>
        <w:t>界面可根据用户需求灵活更改（增强标签分类特性），注重用户体验，使系统各项功能易见、易学、易用。</w:t>
      </w:r>
    </w:p>
    <w:p w14:paraId="3735C841">
      <w:pPr>
        <w:rPr>
          <w:color w:val="auto"/>
          <w:szCs w:val="24"/>
          <w:highlight w:val="none"/>
        </w:rPr>
      </w:pPr>
      <w:r>
        <w:rPr>
          <w:rFonts w:hint="eastAsia"/>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C8BA96F">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.3 </w:t>
      </w:r>
      <w:r>
        <w:rPr>
          <w:rFonts w:hint="eastAsia"/>
          <w:color w:val="auto"/>
          <w:szCs w:val="24"/>
          <w:highlight w:val="none"/>
        </w:rPr>
        <w:t>系统技术架构要求</w:t>
      </w:r>
    </w:p>
    <w:p w14:paraId="6C9FB860">
      <w:pPr>
        <w:rPr>
          <w:color w:val="auto"/>
          <w:szCs w:val="24"/>
          <w:highlight w:val="none"/>
        </w:rPr>
      </w:pPr>
      <w:r>
        <w:rPr>
          <w:rFonts w:hint="eastAsia"/>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293A06F3">
      <w:pPr>
        <w:rPr>
          <w:color w:val="auto"/>
          <w:szCs w:val="24"/>
          <w:highlight w:val="none"/>
        </w:rPr>
      </w:pPr>
      <w:r>
        <w:rPr>
          <w:rFonts w:hint="eastAsia"/>
          <w:color w:val="auto"/>
          <w:szCs w:val="24"/>
          <w:highlight w:val="none"/>
        </w:rPr>
        <w:t>2）系统技术架构合理，数据结构合理，避免数据冗余，具有良好的扩展性、维护性和稳定性。如服务限流机制、服务降级机制等服务管控机制的应用，保障系统稳定运行。</w:t>
      </w:r>
    </w:p>
    <w:p w14:paraId="071B62C8">
      <w:pPr>
        <w:rPr>
          <w:color w:val="auto"/>
          <w:szCs w:val="24"/>
          <w:highlight w:val="none"/>
        </w:rPr>
      </w:pPr>
      <w:r>
        <w:rPr>
          <w:rFonts w:hint="eastAsia"/>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1F6B301">
      <w:pPr>
        <w:rPr>
          <w:color w:val="auto"/>
          <w:szCs w:val="24"/>
          <w:highlight w:val="none"/>
        </w:rPr>
      </w:pPr>
      <w:r>
        <w:rPr>
          <w:rFonts w:hint="eastAsia"/>
          <w:color w:val="auto"/>
          <w:szCs w:val="24"/>
          <w:highlight w:val="none"/>
        </w:rPr>
        <w:t>4）支持集群部署方式，适应采购人未来业务发展的需要。应用系统之间逻辑独立、启停服务时系统间不相互影响的部署方案。应用系统还应支持双活跨数据中心的部署方案。</w:t>
      </w:r>
    </w:p>
    <w:p w14:paraId="52EFD240">
      <w:pPr>
        <w:rPr>
          <w:color w:val="auto"/>
          <w:szCs w:val="24"/>
          <w:highlight w:val="none"/>
        </w:rPr>
      </w:pPr>
      <w:r>
        <w:rPr>
          <w:rFonts w:hint="eastAsia"/>
          <w:color w:val="auto"/>
          <w:szCs w:val="24"/>
          <w:highlight w:val="none"/>
        </w:rPr>
        <w:t>5）系统支持域名部署。</w:t>
      </w:r>
    </w:p>
    <w:p w14:paraId="34E48901">
      <w:pPr>
        <w:pStyle w:val="5"/>
        <w:rPr>
          <w:color w:val="auto"/>
          <w:szCs w:val="24"/>
          <w:highlight w:val="none"/>
        </w:rPr>
      </w:pPr>
      <w:r>
        <w:rPr>
          <w:color w:val="auto"/>
          <w:szCs w:val="24"/>
          <w:highlight w:val="none"/>
        </w:rPr>
        <w:t xml:space="preserve">3.2.4 </w:t>
      </w:r>
      <w:r>
        <w:rPr>
          <w:rFonts w:hint="eastAsia"/>
          <w:color w:val="auto"/>
          <w:szCs w:val="24"/>
          <w:highlight w:val="none"/>
        </w:rPr>
        <w:t>系统性能要求</w:t>
      </w:r>
    </w:p>
    <w:p w14:paraId="4F6A43A3">
      <w:pPr>
        <w:rPr>
          <w:color w:val="auto"/>
          <w:szCs w:val="24"/>
          <w:highlight w:val="none"/>
        </w:rPr>
      </w:pPr>
      <w:r>
        <w:rPr>
          <w:rFonts w:hint="eastAsia"/>
          <w:color w:val="auto"/>
          <w:szCs w:val="24"/>
          <w:highlight w:val="none"/>
        </w:rPr>
        <w:t>1）应具有高效的运行效率，能通过负载均衡、流量控制、消息缓存等机制，提供大规模、高并发量的交易处理能力，满足登陆、查询、日终批量等性能需求；</w:t>
      </w:r>
    </w:p>
    <w:p w14:paraId="4A902497">
      <w:pPr>
        <w:rPr>
          <w:color w:val="auto"/>
          <w:szCs w:val="24"/>
          <w:highlight w:val="none"/>
        </w:rPr>
      </w:pPr>
      <w:r>
        <w:rPr>
          <w:rFonts w:hint="eastAsia"/>
          <w:color w:val="auto"/>
          <w:szCs w:val="24"/>
          <w:highlight w:val="none"/>
        </w:rPr>
        <w:t>2）系统必须提供平台级的负载均衡和容错能力；</w:t>
      </w:r>
    </w:p>
    <w:p w14:paraId="3EFEBDD6">
      <w:pPr>
        <w:rPr>
          <w:color w:val="auto"/>
          <w:szCs w:val="24"/>
          <w:highlight w:val="none"/>
        </w:rPr>
      </w:pPr>
      <w:r>
        <w:rPr>
          <w:rFonts w:hint="eastAsia"/>
          <w:color w:val="auto"/>
          <w:szCs w:val="24"/>
          <w:highlight w:val="none"/>
        </w:rPr>
        <w:t>3）主机系统能够保持7*24稳定的不间断运行，从系统软硬件平台及网络等方面来保证系统的稳定性；</w:t>
      </w:r>
    </w:p>
    <w:p w14:paraId="3EA9B430">
      <w:pPr>
        <w:rPr>
          <w:color w:val="auto"/>
          <w:szCs w:val="24"/>
          <w:highlight w:val="none"/>
        </w:rPr>
      </w:pPr>
      <w:r>
        <w:rPr>
          <w:rFonts w:hint="eastAsia"/>
          <w:color w:val="auto"/>
          <w:szCs w:val="24"/>
          <w:highlight w:val="none"/>
        </w:rPr>
        <w:t>4）可用率：系统总体平均可用率在99.99%以上。</w:t>
      </w:r>
    </w:p>
    <w:p w14:paraId="5E29370E">
      <w:pPr>
        <w:rPr>
          <w:color w:val="auto"/>
          <w:szCs w:val="24"/>
          <w:highlight w:val="none"/>
        </w:rPr>
      </w:pPr>
      <w:r>
        <w:rPr>
          <w:color w:val="auto"/>
          <w:szCs w:val="24"/>
          <w:highlight w:val="none"/>
        </w:rPr>
        <w:t>5）能支持至少500人同时在线使用系统时，客户端一般响应时间（除报表统计、数据导入）不超过5秒；报表统计时间不超过30秒。</w:t>
      </w:r>
    </w:p>
    <w:p w14:paraId="7476F678">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.5 </w:t>
      </w:r>
      <w:r>
        <w:rPr>
          <w:rFonts w:hint="eastAsia"/>
          <w:color w:val="auto"/>
          <w:szCs w:val="24"/>
          <w:highlight w:val="none"/>
        </w:rPr>
        <w:t>安全性要求</w:t>
      </w:r>
    </w:p>
    <w:p w14:paraId="6FD98340">
      <w:pPr>
        <w:rPr>
          <w:color w:val="auto"/>
          <w:szCs w:val="24"/>
          <w:highlight w:val="none"/>
        </w:rPr>
      </w:pPr>
      <w:r>
        <w:rPr>
          <w:rFonts w:hint="eastAsia"/>
          <w:color w:val="auto"/>
          <w:szCs w:val="24"/>
          <w:highlight w:val="none"/>
        </w:rPr>
        <w:t>为确保信息安全，采取的措施包括但不限于以下：</w:t>
      </w:r>
    </w:p>
    <w:p w14:paraId="2F89CF40">
      <w:pPr>
        <w:rPr>
          <w:color w:val="auto"/>
          <w:szCs w:val="24"/>
          <w:highlight w:val="none"/>
        </w:rPr>
      </w:pPr>
      <w:r>
        <w:rPr>
          <w:rFonts w:hint="eastAsia"/>
          <w:color w:val="auto"/>
          <w:szCs w:val="24"/>
          <w:highlight w:val="none"/>
        </w:rPr>
        <w:t>1）平台安全：架构设计符合安全性要求，平台软件达到安全设计标准且不低于同业相关系统要求。</w:t>
      </w:r>
    </w:p>
    <w:p w14:paraId="323F814F">
      <w:pPr>
        <w:rPr>
          <w:color w:val="auto"/>
          <w:szCs w:val="24"/>
          <w:highlight w:val="none"/>
        </w:rPr>
      </w:pPr>
      <w:r>
        <w:rPr>
          <w:rFonts w:hint="eastAsia"/>
          <w:color w:val="auto"/>
          <w:szCs w:val="24"/>
          <w:highlight w:val="none"/>
        </w:rPr>
        <w:t>2）数据安全：</w:t>
      </w:r>
      <w:r>
        <w:rPr>
          <w:color w:val="auto"/>
          <w:szCs w:val="24"/>
          <w:highlight w:val="none"/>
        </w:rPr>
        <w:t>加密算法应支持国密加密算法，</w:t>
      </w:r>
      <w:r>
        <w:rPr>
          <w:rFonts w:hint="eastAsia"/>
          <w:color w:val="auto"/>
          <w:szCs w:val="24"/>
          <w:highlight w:val="none"/>
        </w:rPr>
        <w:t>支持文档安全软件整合技术，从而做到数据传输加密、远程安全访问、数据存储加密，数据部署网络区域应支持入侵检测与防御系统、防火墙的应用。</w:t>
      </w:r>
    </w:p>
    <w:p w14:paraId="28759806">
      <w:pPr>
        <w:rPr>
          <w:color w:val="auto"/>
          <w:szCs w:val="24"/>
          <w:highlight w:val="none"/>
        </w:rPr>
      </w:pPr>
      <w:r>
        <w:rPr>
          <w:rFonts w:hint="eastAsia"/>
          <w:color w:val="auto"/>
          <w:szCs w:val="24"/>
          <w:highlight w:val="none"/>
        </w:rPr>
        <w:t>3）容灾备份：支持各种容灾的软硬件设备的使用等。</w:t>
      </w:r>
    </w:p>
    <w:p w14:paraId="6927E2D9">
      <w:pPr>
        <w:rPr>
          <w:color w:val="auto"/>
          <w:szCs w:val="24"/>
          <w:highlight w:val="none"/>
        </w:rPr>
      </w:pPr>
      <w:r>
        <w:rPr>
          <w:rFonts w:hint="eastAsia"/>
          <w:color w:val="auto"/>
          <w:szCs w:val="24"/>
          <w:highlight w:val="none"/>
        </w:rPr>
        <w:t>4）管理安全：提供完善的日志功能，能够记录系统使用人员的关键操作，保证系统应用的安全。</w:t>
      </w:r>
    </w:p>
    <w:p w14:paraId="48FC2AAF">
      <w:pPr>
        <w:rPr>
          <w:color w:val="auto"/>
          <w:szCs w:val="24"/>
          <w:highlight w:val="none"/>
        </w:rPr>
      </w:pPr>
      <w:r>
        <w:rPr>
          <w:rFonts w:hint="eastAsia"/>
          <w:color w:val="auto"/>
          <w:szCs w:val="24"/>
          <w:highlight w:val="none"/>
        </w:rPr>
        <w:t>5）密码策略：初始密码强制更改、启用验证码、密码过期控制、密码错误次数控制、密码强度设置等，不得以明文的方式保存任何相关密码，防止暴力破解和恶意攻击。</w:t>
      </w:r>
    </w:p>
    <w:p w14:paraId="4664BFBD">
      <w:pPr>
        <w:rPr>
          <w:color w:val="auto"/>
          <w:szCs w:val="24"/>
          <w:highlight w:val="none"/>
        </w:rPr>
      </w:pPr>
      <w:r>
        <w:rPr>
          <w:rFonts w:hint="eastAsia"/>
          <w:color w:val="auto"/>
          <w:szCs w:val="24"/>
          <w:highlight w:val="none"/>
        </w:rPr>
        <w:t>6）系统严密、灵活的访问安全控制；</w:t>
      </w:r>
    </w:p>
    <w:p w14:paraId="3A522557">
      <w:pPr>
        <w:rPr>
          <w:color w:val="auto"/>
          <w:szCs w:val="24"/>
          <w:highlight w:val="none"/>
        </w:rPr>
      </w:pPr>
      <w:r>
        <w:rPr>
          <w:rFonts w:hint="eastAsia"/>
          <w:color w:val="auto"/>
          <w:szCs w:val="24"/>
          <w:highlight w:val="none"/>
        </w:rPr>
        <w:t>7）系统有整体的用户/权限管理体系，可统一进行用户/权限的管理，实现到字段级的查询、修改、管理权限控制；</w:t>
      </w:r>
    </w:p>
    <w:p w14:paraId="79819AB9">
      <w:pPr>
        <w:rPr>
          <w:color w:val="auto"/>
          <w:szCs w:val="24"/>
          <w:highlight w:val="none"/>
        </w:rPr>
      </w:pPr>
      <w:r>
        <w:rPr>
          <w:rFonts w:hint="eastAsia"/>
          <w:color w:val="auto"/>
          <w:szCs w:val="24"/>
          <w:highlight w:val="none"/>
        </w:rPr>
        <w:t>8）系统开发必须满足采购</w:t>
      </w:r>
      <w:r>
        <w:rPr>
          <w:color w:val="auto"/>
          <w:szCs w:val="24"/>
          <w:highlight w:val="none"/>
        </w:rPr>
        <w:t>人</w:t>
      </w:r>
      <w:r>
        <w:rPr>
          <w:rFonts w:hint="eastAsia"/>
          <w:color w:val="auto"/>
          <w:szCs w:val="24"/>
          <w:highlight w:val="none"/>
        </w:rPr>
        <w:t>软件研发项目安全需求基线要求。</w:t>
      </w:r>
    </w:p>
    <w:tbl>
      <w:tblPr>
        <w:tblStyle w:val="20"/>
        <w:tblW w:w="8337"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5"/>
        <w:gridCol w:w="1475"/>
        <w:gridCol w:w="5537"/>
      </w:tblGrid>
      <w:tr w14:paraId="3E37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5" w:type="dxa"/>
            <w:tcBorders>
              <w:top w:val="single" w:color="auto" w:sz="4" w:space="0"/>
              <w:left w:val="single" w:color="auto" w:sz="4" w:space="0"/>
              <w:bottom w:val="single" w:color="auto" w:sz="4" w:space="0"/>
              <w:right w:val="single" w:color="auto" w:sz="4" w:space="0"/>
            </w:tcBorders>
            <w:shd w:val="clear" w:color="000000" w:fill="BFBFBF"/>
            <w:vAlign w:val="center"/>
          </w:tcPr>
          <w:p w14:paraId="3726C39C">
            <w:pPr>
              <w:snapToGrid w:val="0"/>
              <w:spacing w:beforeAutospacing="0" w:afterAutospacing="0"/>
              <w:ind w:firstLine="0" w:firstLineChars="0"/>
              <w:jc w:val="center"/>
              <w:rPr>
                <w:rFonts w:hAnsi="CESI宋体-GB2312" w:cs="CESI宋体-GB2312"/>
                <w:bCs/>
                <w:color w:val="auto"/>
                <w:szCs w:val="24"/>
                <w:highlight w:val="none"/>
              </w:rPr>
            </w:pPr>
            <w:r>
              <w:rPr>
                <w:rFonts w:hint="eastAsia" w:hAnsi="CESI宋体-GB2312" w:cs="CESI宋体-GB2312"/>
                <w:bCs/>
                <w:color w:val="auto"/>
                <w:szCs w:val="24"/>
                <w:highlight w:val="none"/>
              </w:rPr>
              <w:t>类别</w:t>
            </w:r>
          </w:p>
        </w:tc>
        <w:tc>
          <w:tcPr>
            <w:tcW w:w="1475" w:type="dxa"/>
            <w:tcBorders>
              <w:top w:val="single" w:color="auto" w:sz="4" w:space="0"/>
              <w:left w:val="nil"/>
              <w:bottom w:val="single" w:color="auto" w:sz="4" w:space="0"/>
              <w:right w:val="single" w:color="auto" w:sz="4" w:space="0"/>
            </w:tcBorders>
            <w:shd w:val="clear" w:color="000000" w:fill="BFBFBF"/>
            <w:vAlign w:val="center"/>
          </w:tcPr>
          <w:p w14:paraId="1637C897">
            <w:pPr>
              <w:snapToGrid w:val="0"/>
              <w:spacing w:beforeAutospacing="0" w:afterAutospacing="0"/>
              <w:ind w:firstLine="0" w:firstLineChars="0"/>
              <w:jc w:val="center"/>
              <w:rPr>
                <w:rFonts w:hAnsi="CESI宋体-GB2312" w:cs="CESI宋体-GB2312"/>
                <w:bCs/>
                <w:color w:val="auto"/>
                <w:szCs w:val="24"/>
                <w:highlight w:val="none"/>
              </w:rPr>
            </w:pPr>
            <w:r>
              <w:rPr>
                <w:rFonts w:hint="eastAsia" w:hAnsi="CESI宋体-GB2312" w:cs="CESI宋体-GB2312"/>
                <w:bCs/>
                <w:color w:val="auto"/>
                <w:szCs w:val="24"/>
                <w:highlight w:val="none"/>
              </w:rPr>
              <w:t>子类</w:t>
            </w:r>
          </w:p>
        </w:tc>
        <w:tc>
          <w:tcPr>
            <w:tcW w:w="5537" w:type="dxa"/>
            <w:tcBorders>
              <w:top w:val="single" w:color="auto" w:sz="4" w:space="0"/>
              <w:left w:val="nil"/>
              <w:bottom w:val="single" w:color="auto" w:sz="4" w:space="0"/>
              <w:right w:val="single" w:color="auto" w:sz="4" w:space="0"/>
            </w:tcBorders>
            <w:shd w:val="clear" w:color="000000" w:fill="BFBFBF"/>
            <w:vAlign w:val="center"/>
          </w:tcPr>
          <w:p w14:paraId="09F085A4">
            <w:pPr>
              <w:snapToGrid w:val="0"/>
              <w:spacing w:beforeAutospacing="0" w:afterAutospacing="0"/>
              <w:ind w:firstLine="0" w:firstLineChars="0"/>
              <w:jc w:val="center"/>
              <w:rPr>
                <w:rFonts w:hAnsi="CESI宋体-GB2312" w:cs="CESI宋体-GB2312"/>
                <w:bCs/>
                <w:color w:val="auto"/>
                <w:szCs w:val="24"/>
                <w:highlight w:val="none"/>
              </w:rPr>
            </w:pPr>
            <w:r>
              <w:rPr>
                <w:rFonts w:hint="eastAsia" w:hAnsi="CESI宋体-GB2312" w:cs="CESI宋体-GB2312"/>
                <w:bCs/>
                <w:color w:val="auto"/>
                <w:szCs w:val="24"/>
                <w:highlight w:val="none"/>
              </w:rPr>
              <w:t>安全需求</w:t>
            </w:r>
          </w:p>
        </w:tc>
      </w:tr>
      <w:tr w14:paraId="395C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F17C4">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身份认证</w:t>
            </w:r>
          </w:p>
        </w:tc>
        <w:tc>
          <w:tcPr>
            <w:tcW w:w="1475" w:type="dxa"/>
            <w:tcBorders>
              <w:top w:val="single" w:color="auto" w:sz="4" w:space="0"/>
              <w:left w:val="nil"/>
              <w:bottom w:val="single" w:color="auto" w:sz="4" w:space="0"/>
              <w:right w:val="single" w:color="auto" w:sz="4" w:space="0"/>
            </w:tcBorders>
            <w:shd w:val="clear" w:color="auto" w:fill="auto"/>
            <w:vAlign w:val="center"/>
          </w:tcPr>
          <w:p w14:paraId="583A2738">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口令安全策略</w:t>
            </w:r>
          </w:p>
        </w:tc>
        <w:tc>
          <w:tcPr>
            <w:tcW w:w="5537" w:type="dxa"/>
            <w:tcBorders>
              <w:top w:val="single" w:color="auto" w:sz="4" w:space="0"/>
              <w:left w:val="nil"/>
              <w:bottom w:val="single" w:color="auto" w:sz="4" w:space="0"/>
              <w:right w:val="single" w:color="auto" w:sz="4" w:space="0"/>
            </w:tcBorders>
            <w:shd w:val="clear" w:color="auto" w:fill="auto"/>
            <w:vAlign w:val="center"/>
          </w:tcPr>
          <w:p w14:paraId="488F0E37">
            <w:pPr>
              <w:snapToGrid w:val="0"/>
              <w:spacing w:beforeAutospacing="0" w:afterAutospacing="0"/>
              <w:ind w:firstLine="0" w:firstLineChars="0"/>
              <w:jc w:val="left"/>
              <w:rPr>
                <w:rFonts w:hAnsi="CESI宋体-GB2312" w:cs="CESI宋体-GB2312"/>
                <w:bCs/>
                <w:color w:val="auto"/>
                <w:szCs w:val="24"/>
                <w:highlight w:val="none"/>
              </w:rPr>
            </w:pPr>
            <w:r>
              <w:rPr>
                <w:rFonts w:hint="eastAsia" w:hAnsi="CESI宋体-GB2312" w:cs="CESI宋体-GB2312"/>
                <w:bCs/>
                <w:color w:val="auto"/>
                <w:szCs w:val="24"/>
                <w:highlight w:val="none"/>
              </w:rPr>
              <w:t>应用系统应具有口令复杂度限制功能，并在设置密码、修改密码、重置密码的时候进行密码复杂度校验：</w:t>
            </w:r>
            <w:r>
              <w:rPr>
                <w:rFonts w:hint="eastAsia" w:hAnsi="CESI宋体-GB2312" w:cs="CESI宋体-GB2312"/>
                <w:color w:val="auto"/>
                <w:szCs w:val="24"/>
                <w:highlight w:val="none"/>
              </w:rPr>
              <w:cr/>
            </w:r>
            <w:r>
              <w:rPr>
                <w:rFonts w:hint="eastAsia" w:hAnsi="CESI宋体-GB2312" w:cs="CESI宋体-GB2312"/>
                <w:bCs/>
                <w:color w:val="auto"/>
                <w:szCs w:val="24"/>
                <w:highlight w:val="none"/>
              </w:rPr>
              <w:t>（1）口令复杂度要求：长度8位及以上，至少包含大写，小写字母，数字，特殊字符中的三种或三种以上；</w:t>
            </w:r>
            <w:r>
              <w:rPr>
                <w:rFonts w:hint="eastAsia" w:hAnsi="CESI宋体-GB2312" w:cs="CESI宋体-GB2312"/>
                <w:color w:val="auto"/>
                <w:szCs w:val="24"/>
                <w:highlight w:val="none"/>
              </w:rPr>
              <w:cr/>
            </w:r>
            <w:r>
              <w:rPr>
                <w:rFonts w:hint="eastAsia" w:hAnsi="CESI宋体-GB2312" w:cs="CESI宋体-GB2312"/>
                <w:bCs/>
                <w:color w:val="auto"/>
                <w:szCs w:val="24"/>
                <w:highlight w:val="none"/>
              </w:rPr>
              <w:t>（2）不能使用和用户名相同的密码；</w:t>
            </w:r>
            <w:r>
              <w:rPr>
                <w:rFonts w:hint="eastAsia" w:hAnsi="CESI宋体-GB2312" w:cs="CESI宋体-GB2312"/>
                <w:bCs/>
                <w:color w:val="auto"/>
                <w:szCs w:val="24"/>
                <w:highlight w:val="none"/>
              </w:rPr>
              <w:cr/>
            </w:r>
            <w:r>
              <w:rPr>
                <w:rFonts w:hint="eastAsia" w:hAnsi="CESI宋体-GB2312" w:cs="CESI宋体-GB2312"/>
                <w:bCs/>
                <w:color w:val="auto"/>
                <w:szCs w:val="24"/>
                <w:highlight w:val="none"/>
              </w:rPr>
              <w:t>（3）避免使用默认口令，如果使用，应在用户首次登录时，强制用户修改密码。</w:t>
            </w:r>
            <w:r>
              <w:rPr>
                <w:rFonts w:hint="eastAsia" w:hAnsi="CESI宋体-GB2312" w:cs="CESI宋体-GB2312"/>
                <w:bCs/>
                <w:color w:val="auto"/>
                <w:szCs w:val="24"/>
                <w:highlight w:val="none"/>
              </w:rPr>
              <w:cr/>
            </w:r>
            <w:r>
              <w:rPr>
                <w:rFonts w:hint="eastAsia" w:hAnsi="CESI宋体-GB2312" w:cs="CESI宋体-GB2312"/>
                <w:bCs/>
                <w:color w:val="auto"/>
                <w:szCs w:val="24"/>
                <w:highlight w:val="none"/>
              </w:rPr>
              <w:t>（4）系统各用户应根据使用场景定期更改密码，可动态设置密码更新周期频率（最长不超过90天）。</w:t>
            </w:r>
          </w:p>
          <w:p w14:paraId="527D63A4">
            <w:pPr>
              <w:snapToGrid w:val="0"/>
              <w:spacing w:beforeAutospacing="0" w:afterAutospacing="0"/>
              <w:ind w:firstLine="0" w:firstLineChars="0"/>
              <w:jc w:val="left"/>
              <w:rPr>
                <w:rFonts w:hAnsi="CESI宋体-GB2312" w:cs="CESI宋体-GB2312"/>
                <w:bCs/>
                <w:color w:val="auto"/>
                <w:szCs w:val="24"/>
                <w:highlight w:val="none"/>
              </w:rPr>
            </w:pPr>
            <w:r>
              <w:rPr>
                <w:rFonts w:hint="eastAsia" w:hAnsi="CESI宋体-GB2312" w:cs="CESI宋体-GB2312"/>
                <w:bCs/>
                <w:color w:val="auto"/>
                <w:szCs w:val="24"/>
                <w:highlight w:val="none"/>
              </w:rPr>
              <w:t>（5）密码历史检查机制：用户每次修改密码时，新密码不得与最近几次的密码相同。此“最近几次”的具体次数可由管理员根据安全策略进行配置。</w:t>
            </w:r>
          </w:p>
        </w:tc>
      </w:tr>
      <w:tr w14:paraId="0F4C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1A814776">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6D14D590">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口令加密传输</w:t>
            </w:r>
          </w:p>
        </w:tc>
        <w:tc>
          <w:tcPr>
            <w:tcW w:w="5537" w:type="dxa"/>
            <w:tcBorders>
              <w:top w:val="nil"/>
              <w:left w:val="nil"/>
              <w:bottom w:val="single" w:color="auto" w:sz="4" w:space="0"/>
              <w:right w:val="single" w:color="auto" w:sz="4" w:space="0"/>
            </w:tcBorders>
            <w:shd w:val="clear" w:color="auto" w:fill="auto"/>
            <w:vAlign w:val="center"/>
          </w:tcPr>
          <w:p w14:paraId="090D97CB">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用户口令在传输过程中需进行加</w:t>
            </w:r>
            <w:r>
              <w:rPr>
                <w:rFonts w:hAnsi="CESI宋体-GB2312" w:cs="CESI宋体-GB2312"/>
                <w:bCs/>
                <w:color w:val="auto"/>
                <w:szCs w:val="24"/>
                <w:highlight w:val="none"/>
              </w:rPr>
              <w:t>密加盐</w:t>
            </w:r>
            <w:r>
              <w:rPr>
                <w:rFonts w:hint="eastAsia" w:hAnsi="CESI宋体-GB2312" w:cs="CESI宋体-GB2312"/>
                <w:bCs/>
                <w:color w:val="auto"/>
                <w:szCs w:val="24"/>
                <w:highlight w:val="none"/>
              </w:rPr>
              <w:t>，建议使用md5加盐(随机数)、sha2、pbkdf2等方式进行加密传输，禁止直接使用明文传输，禁止直接使用MD5、sha1等弱加密方式。</w:t>
            </w:r>
          </w:p>
        </w:tc>
      </w:tr>
      <w:tr w14:paraId="4DAC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34FAC304">
            <w:pPr>
              <w:rPr>
                <w:color w:val="auto"/>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332FA402">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防暴力猜解</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34111445">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身份认证时，应防止暴力猜解账号口令：</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（1）在登录认证失败时给出通用的错误提示（如“账号或密码错误”），不能透露用户ID是否存在等信息。</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（2）记录尝试次数，当超过阈值时（例如五次），限制访问（限制IP或锁定用户，锁定时间及解锁方式自行确定）。</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（3）使用图片验证码防止暴力破解。</w:t>
            </w:r>
          </w:p>
        </w:tc>
      </w:tr>
      <w:tr w14:paraId="33D1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325" w:type="dxa"/>
            <w:tcBorders>
              <w:top w:val="single" w:color="auto" w:sz="4" w:space="0"/>
              <w:left w:val="single" w:color="auto" w:sz="4" w:space="0"/>
              <w:bottom w:val="single" w:color="auto" w:sz="4" w:space="0"/>
              <w:right w:val="single" w:color="auto" w:sz="4" w:space="0"/>
            </w:tcBorders>
            <w:shd w:val="clear" w:color="000000" w:fill="FFFFFF"/>
            <w:vAlign w:val="center"/>
          </w:tcPr>
          <w:p w14:paraId="33731F5B">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Cookie安全性</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2F906E40">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Cookie安全性</w:t>
            </w:r>
          </w:p>
        </w:tc>
        <w:tc>
          <w:tcPr>
            <w:tcW w:w="5537" w:type="dxa"/>
            <w:tcBorders>
              <w:top w:val="single" w:color="auto" w:sz="4" w:space="0"/>
              <w:left w:val="nil"/>
              <w:bottom w:val="single" w:color="auto" w:sz="4" w:space="0"/>
              <w:right w:val="single" w:color="auto" w:sz="4" w:space="0"/>
            </w:tcBorders>
            <w:shd w:val="clear" w:color="auto" w:fill="auto"/>
            <w:vAlign w:val="center"/>
          </w:tcPr>
          <w:p w14:paraId="03449ED6">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禁止将账号口令等敏感信息明文或简单编码存放在Cookie中。</w:t>
            </w:r>
          </w:p>
        </w:tc>
      </w:tr>
      <w:tr w14:paraId="7D23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37EAC6">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会话安全</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5AB6B473">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会话标识</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67A4B2E2">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应用系统会话标识符的生成、存储、传输等，应确保会话ID标识不能被攻击者劫持、窃取、猜测或依据当前标识推导到后续的新标识。</w:t>
            </w:r>
          </w:p>
          <w:p w14:paraId="297D3A98">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（1）会话标识符必须在可信的系统或环境中生成。</w:t>
            </w:r>
          </w:p>
          <w:p w14:paraId="5794ECDB">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（2）应用系统应确保会话标识随机并且唯一。</w:t>
            </w:r>
          </w:p>
        </w:tc>
      </w:tr>
      <w:tr w14:paraId="1436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32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D4496D5">
            <w:pPr>
              <w:rPr>
                <w:color w:val="auto"/>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54A68B2C">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会话退出</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363FE258">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应提供会话的安全退出机制：</w:t>
            </w:r>
          </w:p>
          <w:p w14:paraId="72878A3F">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（1）安全退出功能，用户退出登录后，服务端立即终止会话，保证无法通过后退、直接输入访问地址等方式重新进入登录后的页面。</w:t>
            </w:r>
          </w:p>
          <w:p w14:paraId="03E43BFA">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（2）会话超时退出机制，在一定空闲时间后（推荐5分钟），服务端立即终止会话。</w:t>
            </w:r>
          </w:p>
        </w:tc>
      </w:tr>
      <w:tr w14:paraId="027B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A98D7">
            <w:pPr>
              <w:snapToGrid w:val="0"/>
              <w:spacing w:beforeAutospacing="0" w:afterAutospacing="0"/>
              <w:ind w:left="0" w:firstLine="0" w:firstLineChars="0"/>
              <w:jc w:val="both"/>
              <w:rPr>
                <w:rFonts w:hAnsi="CESI宋体-GB2312" w:cs="CESI宋体-GB2312"/>
                <w:color w:val="auto"/>
                <w:szCs w:val="24"/>
                <w:highlight w:val="none"/>
              </w:rPr>
            </w:pPr>
            <w:r>
              <w:rPr>
                <w:rFonts w:hint="eastAsia" w:hAnsi="CESI宋体-GB2312" w:cs="CESI宋体-GB2312"/>
                <w:color w:val="auto"/>
                <w:szCs w:val="24"/>
                <w:highlight w:val="none"/>
              </w:rPr>
              <w:t>访问控制</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02A28AFE">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未授权访问</w:t>
            </w:r>
          </w:p>
        </w:tc>
        <w:tc>
          <w:tcPr>
            <w:tcW w:w="5537" w:type="dxa"/>
            <w:tcBorders>
              <w:top w:val="nil"/>
              <w:left w:val="nil"/>
              <w:bottom w:val="single" w:color="auto" w:sz="4" w:space="0"/>
              <w:right w:val="single" w:color="auto" w:sz="4" w:space="0"/>
            </w:tcBorders>
            <w:shd w:val="clear" w:color="auto" w:fill="auto"/>
            <w:vAlign w:val="center"/>
          </w:tcPr>
          <w:p w14:paraId="38072B9D">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应建立安全的访问控制机制，禁止未登录用户访问用户登录后的资源、页面或URL。</w:t>
            </w:r>
          </w:p>
        </w:tc>
      </w:tr>
      <w:tr w14:paraId="6778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753C1">
            <w:pPr>
              <w:rPr>
                <w:color w:val="auto"/>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27BF2575">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目录列表浏览</w:t>
            </w:r>
          </w:p>
        </w:tc>
        <w:tc>
          <w:tcPr>
            <w:tcW w:w="5537" w:type="dxa"/>
            <w:tcBorders>
              <w:top w:val="nil"/>
              <w:left w:val="nil"/>
              <w:bottom w:val="single" w:color="auto" w:sz="4" w:space="0"/>
              <w:right w:val="single" w:color="auto" w:sz="4" w:space="0"/>
            </w:tcBorders>
            <w:shd w:val="clear" w:color="auto" w:fill="auto"/>
            <w:vAlign w:val="center"/>
          </w:tcPr>
          <w:p w14:paraId="308A6020">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禁止目录列表浏览，防止用户直接输入站点目录，访问Web目录及目录下的文件内容，造成站点信息泄露和文件被未授权下载。</w:t>
            </w:r>
          </w:p>
        </w:tc>
      </w:tr>
      <w:tr w14:paraId="02C0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325" w:type="dxa"/>
            <w:vMerge w:val="continue"/>
            <w:tcBorders>
              <w:top w:val="nil"/>
              <w:left w:val="single" w:color="auto" w:sz="4" w:space="0"/>
              <w:bottom w:val="single" w:color="auto" w:sz="4" w:space="0"/>
              <w:right w:val="single" w:color="auto" w:sz="4" w:space="0"/>
            </w:tcBorders>
            <w:vAlign w:val="center"/>
          </w:tcPr>
          <w:p w14:paraId="7EEF5BDA">
            <w:pPr>
              <w:rPr>
                <w:color w:val="auto"/>
                <w:highlight w:val="none"/>
              </w:rPr>
            </w:pPr>
          </w:p>
        </w:tc>
        <w:tc>
          <w:tcPr>
            <w:tcW w:w="1475" w:type="dxa"/>
            <w:tcBorders>
              <w:top w:val="nil"/>
              <w:left w:val="single" w:color="auto" w:sz="4" w:space="0"/>
              <w:bottom w:val="single" w:color="auto" w:sz="4" w:space="0"/>
              <w:right w:val="single" w:color="auto" w:sz="4" w:space="0"/>
            </w:tcBorders>
            <w:shd w:val="clear" w:color="auto" w:fill="auto"/>
            <w:vAlign w:val="center"/>
          </w:tcPr>
          <w:p w14:paraId="1B4A1ABF">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防水平越权</w:t>
            </w:r>
          </w:p>
        </w:tc>
        <w:tc>
          <w:tcPr>
            <w:tcW w:w="5537" w:type="dxa"/>
            <w:tcBorders>
              <w:top w:val="nil"/>
              <w:left w:val="nil"/>
              <w:bottom w:val="single" w:color="auto" w:sz="4" w:space="0"/>
              <w:right w:val="single" w:color="auto" w:sz="4" w:space="0"/>
            </w:tcBorders>
            <w:shd w:val="clear" w:color="auto" w:fill="auto"/>
            <w:vAlign w:val="center"/>
          </w:tcPr>
          <w:p w14:paraId="50A8B22D">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72BD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1325" w:type="dxa"/>
            <w:vMerge w:val="continue"/>
            <w:tcBorders>
              <w:top w:val="nil"/>
              <w:left w:val="single" w:color="auto" w:sz="4" w:space="0"/>
              <w:bottom w:val="single" w:color="auto" w:sz="4" w:space="0"/>
              <w:right w:val="single" w:color="auto" w:sz="4" w:space="0"/>
            </w:tcBorders>
            <w:vAlign w:val="center"/>
          </w:tcPr>
          <w:p w14:paraId="0585A197">
            <w:pPr>
              <w:rPr>
                <w:color w:val="auto"/>
                <w:highlight w:val="none"/>
              </w:rPr>
            </w:pPr>
          </w:p>
        </w:tc>
        <w:tc>
          <w:tcPr>
            <w:tcW w:w="1475" w:type="dxa"/>
            <w:tcBorders>
              <w:top w:val="nil"/>
              <w:left w:val="single" w:color="auto" w:sz="4" w:space="0"/>
              <w:bottom w:val="single" w:color="auto" w:sz="4" w:space="0"/>
              <w:right w:val="single" w:color="auto" w:sz="4" w:space="0"/>
            </w:tcBorders>
            <w:shd w:val="clear" w:color="auto" w:fill="auto"/>
            <w:vAlign w:val="center"/>
          </w:tcPr>
          <w:p w14:paraId="3A409151">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防垂直越权</w:t>
            </w:r>
          </w:p>
        </w:tc>
        <w:tc>
          <w:tcPr>
            <w:tcW w:w="5537" w:type="dxa"/>
            <w:tcBorders>
              <w:top w:val="nil"/>
              <w:left w:val="nil"/>
              <w:bottom w:val="single" w:color="auto" w:sz="4" w:space="0"/>
              <w:right w:val="single" w:color="auto" w:sz="4" w:space="0"/>
            </w:tcBorders>
            <w:shd w:val="clear" w:color="auto" w:fill="auto"/>
            <w:vAlign w:val="center"/>
          </w:tcPr>
          <w:p w14:paraId="6ACE276B">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（1）授予不同账户为完成各自承担任务所需的最小权限，应严格限制默认账户或预设账户的权限，禁止将所有权限集中在某一预设账户上。</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（2）在为用户授权时，服务器端按照权限规则对权限进行校验，互斥的权限不能共存于一人。如操作和审核权限。</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（3）在重要操作（如账号增删改、授权、业务操作、业务审批）时，系统应在服务器端对当前用户的权限进行校验，防止垂直越权。</w:t>
            </w:r>
          </w:p>
        </w:tc>
      </w:tr>
      <w:tr w14:paraId="7B55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D17D70">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输入校验</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1D74DC30">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防sql注入</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3CFFE783">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应用系统应具有统一的防SQL注入机制：</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（1）防SQL注入输入校验，至少校验以下危险字符：select、 where、 from、and、or、union等。</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（2）应使用存储过程或参数化查询，避免使用字符串拼接SQL语句，防止SQL注入。</w:t>
            </w:r>
          </w:p>
        </w:tc>
      </w:tr>
      <w:tr w14:paraId="4D7E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0A88285A">
            <w:pPr>
              <w:rPr>
                <w:color w:val="auto"/>
                <w:highlight w:val="none"/>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61B70C26">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防跨站</w:t>
            </w:r>
          </w:p>
        </w:tc>
        <w:tc>
          <w:tcPr>
            <w:tcW w:w="5537" w:type="dxa"/>
            <w:tcBorders>
              <w:top w:val="single" w:color="auto" w:sz="4" w:space="0"/>
              <w:left w:val="single" w:color="auto" w:sz="4" w:space="0"/>
              <w:bottom w:val="single" w:color="auto" w:sz="4" w:space="0"/>
              <w:right w:val="single" w:color="auto" w:sz="4" w:space="0"/>
            </w:tcBorders>
            <w:shd w:val="clear" w:color="auto" w:fill="auto"/>
            <w:vAlign w:val="center"/>
          </w:tcPr>
          <w:p w14:paraId="3D3813E8">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应用系统应具有统一的防XSS跨站校验攻击机制：</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（1）防跨站输入校验，至少应校验以下危险字符：&lt; &gt; " ' % ( ) &amp; + \ \' \"，prompt，script， alert等。</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（2）防跨站输出编码，如果数据是输出到HTML中则进行Html输出编码，如果数据是输出到javascript代码中进行拼接，则进行javascript输出编码。</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（3）设置cookie的HttpOnly属性，能够有效防止XSS攻击。</w:t>
            </w:r>
          </w:p>
        </w:tc>
      </w:tr>
      <w:tr w14:paraId="5AC7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7408D">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文件上传</w:t>
            </w:r>
          </w:p>
        </w:tc>
        <w:tc>
          <w:tcPr>
            <w:tcW w:w="1475" w:type="dxa"/>
            <w:tcBorders>
              <w:top w:val="single" w:color="auto" w:sz="4" w:space="0"/>
              <w:left w:val="nil"/>
              <w:bottom w:val="single" w:color="auto" w:sz="4" w:space="0"/>
              <w:right w:val="single" w:color="auto" w:sz="4" w:space="0"/>
            </w:tcBorders>
            <w:shd w:val="clear" w:color="auto" w:fill="auto"/>
            <w:vAlign w:val="center"/>
          </w:tcPr>
          <w:p w14:paraId="6DBF60DE">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防止任意文件上传</w:t>
            </w:r>
          </w:p>
        </w:tc>
        <w:tc>
          <w:tcPr>
            <w:tcW w:w="5537" w:type="dxa"/>
            <w:tcBorders>
              <w:top w:val="single" w:color="auto" w:sz="4" w:space="0"/>
              <w:left w:val="nil"/>
              <w:bottom w:val="single" w:color="auto" w:sz="4" w:space="0"/>
              <w:right w:val="single" w:color="auto" w:sz="4" w:space="0"/>
            </w:tcBorders>
            <w:shd w:val="clear" w:color="auto" w:fill="auto"/>
            <w:vAlign w:val="center"/>
          </w:tcPr>
          <w:p w14:paraId="7F7123B3">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应对上传文件进行以下处理，防止任意文件上传：</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（1）使用白名单方式控制上传文件的类型。服务器端应对上传文件的大小、扩展名、类型（报头信息）进行校验，防止任意文件上传。</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（2）文件应尽量保存在文件服务器或web目录外部，避免通过web应用直接访问上传的文件。</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（3）应控制文件上传目录的权限，禁止运行权限。</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（4）应对上传文件进行重命名。</w:t>
            </w:r>
          </w:p>
        </w:tc>
      </w:tr>
      <w:tr w14:paraId="3189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25" w:type="dxa"/>
            <w:vMerge w:val="continue"/>
            <w:tcBorders>
              <w:top w:val="nil"/>
              <w:left w:val="single" w:color="auto" w:sz="4" w:space="0"/>
              <w:bottom w:val="single" w:color="auto" w:sz="4" w:space="0"/>
              <w:right w:val="single" w:color="auto" w:sz="4" w:space="0"/>
            </w:tcBorders>
            <w:vAlign w:val="center"/>
          </w:tcPr>
          <w:p w14:paraId="4DF9E697">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1F3E9C01">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输入校验</w:t>
            </w:r>
          </w:p>
        </w:tc>
        <w:tc>
          <w:tcPr>
            <w:tcW w:w="5537" w:type="dxa"/>
            <w:tcBorders>
              <w:top w:val="nil"/>
              <w:left w:val="nil"/>
              <w:bottom w:val="single" w:color="auto" w:sz="4" w:space="0"/>
              <w:right w:val="single" w:color="auto" w:sz="4" w:space="0"/>
            </w:tcBorders>
            <w:shd w:val="clear" w:color="auto" w:fill="auto"/>
            <w:vAlign w:val="center"/>
          </w:tcPr>
          <w:p w14:paraId="373521A1">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应对上传文件中的所有参数字段（如文件名称、文件类型、其他信息等）进行输入校验，防止注入、跨站等漏洞。</w:t>
            </w:r>
          </w:p>
        </w:tc>
      </w:tr>
      <w:tr w14:paraId="2F09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25" w:type="dxa"/>
            <w:vMerge w:val="restart"/>
            <w:tcBorders>
              <w:top w:val="nil"/>
              <w:left w:val="single" w:color="auto" w:sz="4" w:space="0"/>
              <w:bottom w:val="single" w:color="auto" w:sz="4" w:space="0"/>
              <w:right w:val="single" w:color="auto" w:sz="4" w:space="0"/>
            </w:tcBorders>
            <w:vAlign w:val="center"/>
          </w:tcPr>
          <w:p w14:paraId="12C19BC5">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文件下载</w:t>
            </w:r>
          </w:p>
        </w:tc>
        <w:tc>
          <w:tcPr>
            <w:tcW w:w="1475" w:type="dxa"/>
            <w:tcBorders>
              <w:top w:val="nil"/>
              <w:left w:val="nil"/>
              <w:bottom w:val="single" w:color="auto" w:sz="4" w:space="0"/>
              <w:right w:val="single" w:color="auto" w:sz="4" w:space="0"/>
            </w:tcBorders>
            <w:shd w:val="clear" w:color="auto" w:fill="auto"/>
            <w:vAlign w:val="center"/>
          </w:tcPr>
          <w:p w14:paraId="2E2B8F44">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防任意文件下载</w:t>
            </w:r>
          </w:p>
        </w:tc>
        <w:tc>
          <w:tcPr>
            <w:tcW w:w="5537" w:type="dxa"/>
            <w:tcBorders>
              <w:top w:val="nil"/>
              <w:left w:val="nil"/>
              <w:bottom w:val="single" w:color="auto" w:sz="4" w:space="0"/>
              <w:right w:val="single" w:color="auto" w:sz="4" w:space="0"/>
            </w:tcBorders>
            <w:shd w:val="clear" w:color="auto" w:fill="auto"/>
            <w:vAlign w:val="center"/>
          </w:tcPr>
          <w:p w14:paraId="2A508E69">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避免使用/download.php?filename=XXX.xls此种方式，直接调用服务器文件名下载文件，如果使用，应对文件名参数进行白名单校验，防止恶意构造（如../../../../etc/passwd），读取服务器任意文件。</w:t>
            </w:r>
          </w:p>
        </w:tc>
      </w:tr>
      <w:tr w14:paraId="19F8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25" w:type="dxa"/>
            <w:vMerge w:val="continue"/>
            <w:tcBorders>
              <w:top w:val="nil"/>
              <w:left w:val="single" w:color="auto" w:sz="4" w:space="0"/>
              <w:bottom w:val="single" w:color="auto" w:sz="4" w:space="0"/>
              <w:right w:val="single" w:color="auto" w:sz="4" w:space="0"/>
            </w:tcBorders>
            <w:vAlign w:val="center"/>
          </w:tcPr>
          <w:p w14:paraId="33CABDB6">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0CC370ED">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防文件越权下载</w:t>
            </w:r>
          </w:p>
        </w:tc>
        <w:tc>
          <w:tcPr>
            <w:tcW w:w="5537" w:type="dxa"/>
            <w:tcBorders>
              <w:top w:val="nil"/>
              <w:left w:val="nil"/>
              <w:bottom w:val="single" w:color="auto" w:sz="4" w:space="0"/>
              <w:right w:val="single" w:color="auto" w:sz="4" w:space="0"/>
            </w:tcBorders>
            <w:shd w:val="clear" w:color="auto" w:fill="auto"/>
            <w:vAlign w:val="center"/>
          </w:tcPr>
          <w:p w14:paraId="4ABA291C">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应对文件名进行随机命名，防止前端枚举文件名或其他标识，越权下载他人文件。</w:t>
            </w:r>
          </w:p>
        </w:tc>
      </w:tr>
      <w:tr w14:paraId="6823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25" w:type="dxa"/>
            <w:vMerge w:val="restart"/>
            <w:tcBorders>
              <w:top w:val="nil"/>
              <w:left w:val="single" w:color="auto" w:sz="4" w:space="0"/>
              <w:bottom w:val="single" w:color="auto" w:sz="4" w:space="0"/>
              <w:right w:val="single" w:color="auto" w:sz="4" w:space="0"/>
            </w:tcBorders>
            <w:vAlign w:val="center"/>
          </w:tcPr>
          <w:p w14:paraId="5747DA78">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短信</w:t>
            </w:r>
          </w:p>
        </w:tc>
        <w:tc>
          <w:tcPr>
            <w:tcW w:w="1475" w:type="dxa"/>
            <w:tcBorders>
              <w:top w:val="nil"/>
              <w:left w:val="nil"/>
              <w:bottom w:val="single" w:color="auto" w:sz="4" w:space="0"/>
              <w:right w:val="single" w:color="auto" w:sz="4" w:space="0"/>
            </w:tcBorders>
            <w:shd w:val="clear" w:color="auto" w:fill="auto"/>
            <w:vAlign w:val="center"/>
          </w:tcPr>
          <w:p w14:paraId="3639DC5B">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防短信炸弹</w:t>
            </w:r>
          </w:p>
        </w:tc>
        <w:tc>
          <w:tcPr>
            <w:tcW w:w="5537" w:type="dxa"/>
            <w:tcBorders>
              <w:top w:val="nil"/>
              <w:left w:val="nil"/>
              <w:bottom w:val="single" w:color="auto" w:sz="4" w:space="0"/>
              <w:right w:val="single" w:color="auto" w:sz="4" w:space="0"/>
            </w:tcBorders>
            <w:shd w:val="clear" w:color="auto" w:fill="auto"/>
            <w:vAlign w:val="center"/>
          </w:tcPr>
          <w:p w14:paraId="28EEA774">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系统在发送短信验证码、通知短信时，应采取有效措施防止短信炸弹：</w:t>
            </w:r>
          </w:p>
          <w:p w14:paraId="705ECA4B">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（1）服务器端对发送短信的请求频率进行限制。发现超过一定频率，应记录错误日志，内容至少包括时间、用户、ip、操作内容。</w:t>
            </w:r>
          </w:p>
          <w:p w14:paraId="4E381DB6">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（2）前端使用图片验证码。</w:t>
            </w:r>
          </w:p>
          <w:p w14:paraId="103EC409">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（3）服务端应做好在并发请求下对短信发送流程的设计，防止因同一手机号在并发请求下导致短信轰炸。</w:t>
            </w:r>
          </w:p>
          <w:p w14:paraId="0C92D856">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（4）服务端接收手机号参数值时，应对值的信息做严格校验，防止同一个请求数据包携带多个电话号码，导致发送多条短信。</w:t>
            </w:r>
          </w:p>
          <w:p w14:paraId="62452E3A">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（5）短信验证码应防止多个手机账号使用同一验证码验证。（预防并发场景）</w:t>
            </w:r>
          </w:p>
        </w:tc>
      </w:tr>
      <w:tr w14:paraId="5CE6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25" w:type="dxa"/>
            <w:vMerge w:val="continue"/>
            <w:tcBorders>
              <w:top w:val="nil"/>
              <w:left w:val="single" w:color="auto" w:sz="4" w:space="0"/>
              <w:bottom w:val="single" w:color="auto" w:sz="4" w:space="0"/>
              <w:right w:val="single" w:color="auto" w:sz="4" w:space="0"/>
            </w:tcBorders>
            <w:vAlign w:val="center"/>
          </w:tcPr>
          <w:p w14:paraId="0C0012F4">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4F541C8F">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防短信劫持</w:t>
            </w:r>
          </w:p>
        </w:tc>
        <w:tc>
          <w:tcPr>
            <w:tcW w:w="5537" w:type="dxa"/>
            <w:tcBorders>
              <w:top w:val="nil"/>
              <w:left w:val="nil"/>
              <w:bottom w:val="single" w:color="auto" w:sz="4" w:space="0"/>
              <w:right w:val="single" w:color="auto" w:sz="4" w:space="0"/>
            </w:tcBorders>
            <w:shd w:val="clear" w:color="auto" w:fill="auto"/>
            <w:vAlign w:val="center"/>
          </w:tcPr>
          <w:p w14:paraId="29EA02A6">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系统在发送短信验证码、通知短信时，应对手机号码进行严格控制，防止短信劫持（注册、手机号绑定类除外）：</w:t>
            </w:r>
          </w:p>
          <w:p w14:paraId="231949E9">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（1）手机号码从数据库中获取，不从前端获取。</w:t>
            </w:r>
          </w:p>
          <w:p w14:paraId="0D665A66">
            <w:pPr>
              <w:snapToGrid w:val="0"/>
              <w:spacing w:beforeAutospacing="0" w:afterAutospacing="0"/>
              <w:ind w:firstLine="0" w:firstLineChars="0"/>
              <w:jc w:val="left"/>
              <w:rPr>
                <w:rFonts w:hAnsi="CESI宋体-GB2312" w:cs="CESI宋体-GB2312"/>
                <w:bCs/>
                <w:color w:val="auto"/>
                <w:szCs w:val="24"/>
                <w:highlight w:val="none"/>
              </w:rPr>
            </w:pPr>
            <w:r>
              <w:rPr>
                <w:rFonts w:hAnsi="CESI宋体-GB2312" w:cs="CESI宋体-GB2312"/>
                <w:bCs/>
                <w:color w:val="auto"/>
                <w:szCs w:val="24"/>
                <w:highlight w:val="none"/>
              </w:rPr>
              <w:t>（2）如果采用前端获取，后台应对此手机号码是否属于该用户进行校验。</w:t>
            </w:r>
          </w:p>
        </w:tc>
      </w:tr>
      <w:tr w14:paraId="6F8B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325" w:type="dxa"/>
            <w:vMerge w:val="continue"/>
            <w:tcBorders>
              <w:top w:val="nil"/>
              <w:left w:val="single" w:color="auto" w:sz="4" w:space="0"/>
              <w:bottom w:val="single" w:color="auto" w:sz="4" w:space="0"/>
              <w:right w:val="single" w:color="auto" w:sz="4" w:space="0"/>
            </w:tcBorders>
            <w:vAlign w:val="center"/>
          </w:tcPr>
          <w:p w14:paraId="2B3C2259">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71AEA027">
            <w:pPr>
              <w:snapToGrid w:val="0"/>
              <w:spacing w:beforeAutospacing="0" w:afterAutospacing="0"/>
              <w:ind w:firstLine="0" w:firstLineChars="0"/>
              <w:rPr>
                <w:rFonts w:hAnsi="CESI宋体-GB2312" w:cs="CESI宋体-GB2312"/>
                <w:bCs/>
                <w:color w:val="auto"/>
                <w:szCs w:val="24"/>
                <w:highlight w:val="none"/>
              </w:rPr>
            </w:pPr>
            <w:r>
              <w:rPr>
                <w:rFonts w:hAnsi="CESI宋体-GB2312" w:cs="CESI宋体-GB2312"/>
                <w:bCs/>
                <w:color w:val="auto"/>
                <w:szCs w:val="24"/>
                <w:highlight w:val="none"/>
              </w:rPr>
              <w:t>防短信内容篡改</w:t>
            </w:r>
          </w:p>
        </w:tc>
        <w:tc>
          <w:tcPr>
            <w:tcW w:w="5537" w:type="dxa"/>
            <w:tcBorders>
              <w:top w:val="nil"/>
              <w:left w:val="nil"/>
              <w:bottom w:val="single" w:color="auto" w:sz="4" w:space="0"/>
              <w:right w:val="single" w:color="auto" w:sz="4" w:space="0"/>
            </w:tcBorders>
            <w:shd w:val="clear" w:color="auto" w:fill="auto"/>
            <w:vAlign w:val="center"/>
          </w:tcPr>
          <w:p w14:paraId="3AEE10E7">
            <w:pPr>
              <w:snapToGrid w:val="0"/>
              <w:spacing w:beforeAutospacing="0" w:afterAutospacing="0"/>
              <w:ind w:firstLine="0" w:firstLineChars="0"/>
              <w:jc w:val="left"/>
              <w:rPr>
                <w:rFonts w:hAnsi="CESI宋体-GB2312" w:cs="CESI宋体-GB2312"/>
                <w:bCs/>
                <w:color w:val="auto"/>
                <w:szCs w:val="24"/>
                <w:highlight w:val="none"/>
              </w:rPr>
            </w:pPr>
            <w:r>
              <w:rPr>
                <w:rFonts w:hint="eastAsia" w:hAnsi="CESI宋体-GB2312" w:cs="CESI宋体-GB2312"/>
                <w:bCs/>
                <w:color w:val="auto"/>
                <w:szCs w:val="24"/>
                <w:highlight w:val="none"/>
              </w:rPr>
              <w:t>用于构造短信内容的参数，避免从前端获取，如果从前端获取，应对其进行白名单校验，防止被篡改，恶意构造短信内容。如短信内容为：“您的账号转账1.00，请确认”，引用客户端传递的转账金额1.00，如果将参数修改为“1000，请致电18888888888”，短信内容变为：“您的账号转账1000，请致电18888888888，请确认”</w:t>
            </w:r>
          </w:p>
        </w:tc>
      </w:tr>
      <w:tr w14:paraId="0F53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325" w:type="dxa"/>
            <w:vMerge w:val="restart"/>
            <w:tcBorders>
              <w:top w:val="nil"/>
              <w:left w:val="single" w:color="auto" w:sz="4" w:space="0"/>
              <w:bottom w:val="single" w:color="auto" w:sz="4" w:space="0"/>
              <w:right w:val="single" w:color="auto" w:sz="4" w:space="0"/>
            </w:tcBorders>
            <w:shd w:val="clear" w:color="auto" w:fill="auto"/>
            <w:vAlign w:val="center"/>
          </w:tcPr>
          <w:p w14:paraId="48B92FF9">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数据安全</w:t>
            </w:r>
          </w:p>
        </w:tc>
        <w:tc>
          <w:tcPr>
            <w:tcW w:w="1475" w:type="dxa"/>
            <w:tcBorders>
              <w:top w:val="nil"/>
              <w:left w:val="nil"/>
              <w:bottom w:val="single" w:color="auto" w:sz="4" w:space="0"/>
              <w:right w:val="single" w:color="auto" w:sz="4" w:space="0"/>
            </w:tcBorders>
            <w:shd w:val="clear" w:color="auto" w:fill="auto"/>
            <w:vAlign w:val="center"/>
          </w:tcPr>
          <w:p w14:paraId="24A06713">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口令加密存储</w:t>
            </w:r>
          </w:p>
        </w:tc>
        <w:tc>
          <w:tcPr>
            <w:tcW w:w="5537" w:type="dxa"/>
            <w:tcBorders>
              <w:top w:val="nil"/>
              <w:left w:val="nil"/>
              <w:bottom w:val="single" w:color="auto" w:sz="4" w:space="0"/>
              <w:right w:val="single" w:color="auto" w:sz="4" w:space="0"/>
            </w:tcBorders>
            <w:shd w:val="clear" w:color="auto" w:fill="auto"/>
            <w:vAlign w:val="center"/>
          </w:tcPr>
          <w:p w14:paraId="3C934506">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用户口令在存储过程中需进行加密，建议使用md5加盐(随机数)、sha2、pbkdf2等方式进行加密存储，禁止直接使用明文存储，禁止直接使用MD5、sha1等弱加密方式。</w:t>
            </w:r>
          </w:p>
        </w:tc>
      </w:tr>
      <w:tr w14:paraId="591B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25" w:type="dxa"/>
            <w:vMerge w:val="continue"/>
            <w:tcBorders>
              <w:top w:val="nil"/>
              <w:left w:val="single" w:color="auto" w:sz="4" w:space="0"/>
              <w:bottom w:val="single" w:color="auto" w:sz="4" w:space="0"/>
              <w:right w:val="single" w:color="auto" w:sz="4" w:space="0"/>
            </w:tcBorders>
            <w:vAlign w:val="center"/>
          </w:tcPr>
          <w:p w14:paraId="32352DBC">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36237CB9">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多余信息返回</w:t>
            </w:r>
          </w:p>
        </w:tc>
        <w:tc>
          <w:tcPr>
            <w:tcW w:w="5537" w:type="dxa"/>
            <w:tcBorders>
              <w:top w:val="nil"/>
              <w:left w:val="nil"/>
              <w:bottom w:val="single" w:color="auto" w:sz="4" w:space="0"/>
              <w:right w:val="single" w:color="auto" w:sz="4" w:space="0"/>
            </w:tcBorders>
            <w:shd w:val="clear" w:color="auto" w:fill="auto"/>
            <w:vAlign w:val="center"/>
          </w:tcPr>
          <w:p w14:paraId="092DC5EA">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对服务器返回的参数做严格的限制，保证不是功能必须的参数不在返回的参数中，防止多余信息引起的数据泄露。</w:t>
            </w:r>
          </w:p>
        </w:tc>
      </w:tr>
      <w:tr w14:paraId="03E5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325" w:type="dxa"/>
            <w:vMerge w:val="continue"/>
            <w:tcBorders>
              <w:top w:val="nil"/>
              <w:left w:val="single" w:color="auto" w:sz="4" w:space="0"/>
              <w:bottom w:val="single" w:color="auto" w:sz="4" w:space="0"/>
              <w:right w:val="single" w:color="auto" w:sz="4" w:space="0"/>
            </w:tcBorders>
            <w:vAlign w:val="center"/>
          </w:tcPr>
          <w:p w14:paraId="7308324B">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143CCF19">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敏感信息显示要求</w:t>
            </w:r>
          </w:p>
        </w:tc>
        <w:tc>
          <w:tcPr>
            <w:tcW w:w="5537" w:type="dxa"/>
            <w:tcBorders>
              <w:top w:val="nil"/>
              <w:left w:val="nil"/>
              <w:bottom w:val="single" w:color="auto" w:sz="4" w:space="0"/>
              <w:right w:val="single" w:color="auto" w:sz="4" w:space="0"/>
            </w:tcBorders>
            <w:shd w:val="clear" w:color="auto" w:fill="auto"/>
            <w:vAlign w:val="center"/>
          </w:tcPr>
          <w:p w14:paraId="0D7A7656">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避免在html页面、js文件、客户端等前端上直接显示绝对路径、内网IP地址、账号口令等敏感信息。如：</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http://</w:t>
            </w:r>
            <w:r>
              <w:rPr>
                <w:rFonts w:hAnsi="CESI宋体-GB2312" w:cs="CESI宋体-GB2312"/>
                <w:bCs/>
                <w:color w:val="auto"/>
                <w:szCs w:val="24"/>
                <w:highlight w:val="none"/>
              </w:rPr>
              <w:t>XX.XX.XX.XX</w:t>
            </w:r>
            <w:r>
              <w:rPr>
                <w:rFonts w:hint="eastAsia" w:hAnsi="CESI宋体-GB2312" w:cs="CESI宋体-GB2312"/>
                <w:bCs/>
                <w:color w:val="auto"/>
                <w:szCs w:val="24"/>
                <w:highlight w:val="none"/>
              </w:rPr>
              <w:t>/index.js;</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/var/www/html;</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user=admin,pass=admin;</w:t>
            </w:r>
          </w:p>
        </w:tc>
      </w:tr>
      <w:tr w14:paraId="2E6F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325" w:type="dxa"/>
            <w:vMerge w:val="continue"/>
            <w:tcBorders>
              <w:top w:val="nil"/>
              <w:left w:val="single" w:color="auto" w:sz="4" w:space="0"/>
              <w:bottom w:val="single" w:color="auto" w:sz="4" w:space="0"/>
              <w:right w:val="single" w:color="auto" w:sz="4" w:space="0"/>
            </w:tcBorders>
            <w:vAlign w:val="center"/>
          </w:tcPr>
          <w:p w14:paraId="5BD6B29E">
            <w:pPr>
              <w:rPr>
                <w:color w:val="auto"/>
                <w:highlight w:val="none"/>
              </w:rPr>
            </w:pPr>
          </w:p>
        </w:tc>
        <w:tc>
          <w:tcPr>
            <w:tcW w:w="1475" w:type="dxa"/>
            <w:tcBorders>
              <w:top w:val="nil"/>
              <w:left w:val="nil"/>
              <w:bottom w:val="single" w:color="auto" w:sz="4" w:space="0"/>
              <w:right w:val="single" w:color="auto" w:sz="4" w:space="0"/>
            </w:tcBorders>
            <w:shd w:val="clear" w:color="auto" w:fill="auto"/>
            <w:vAlign w:val="center"/>
          </w:tcPr>
          <w:p w14:paraId="42EAB536">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敏感数据脱敏</w:t>
            </w:r>
          </w:p>
        </w:tc>
        <w:tc>
          <w:tcPr>
            <w:tcW w:w="5537" w:type="dxa"/>
            <w:tcBorders>
              <w:top w:val="nil"/>
              <w:left w:val="nil"/>
              <w:bottom w:val="single" w:color="auto" w:sz="4" w:space="0"/>
              <w:right w:val="single" w:color="auto" w:sz="4" w:space="0"/>
            </w:tcBorders>
            <w:shd w:val="clear" w:color="auto" w:fill="auto"/>
            <w:vAlign w:val="center"/>
          </w:tcPr>
          <w:p w14:paraId="327AD1F3">
            <w:pPr>
              <w:snapToGrid w:val="0"/>
              <w:spacing w:beforeAutospacing="0" w:afterAutospacing="0"/>
              <w:ind w:firstLine="0" w:firstLineChars="0"/>
              <w:jc w:val="left"/>
              <w:rPr>
                <w:rFonts w:hAnsi="CESI宋体-GB2312" w:cs="CESI宋体-GB2312"/>
                <w:color w:val="auto"/>
                <w:szCs w:val="24"/>
                <w:highlight w:val="none"/>
              </w:rPr>
            </w:pPr>
            <w:r>
              <w:rPr>
                <w:rFonts w:hint="eastAsia" w:hAnsi="CESI宋体-GB2312" w:cs="CESI宋体-GB2312"/>
                <w:bCs/>
                <w:color w:val="auto"/>
                <w:szCs w:val="24"/>
                <w:highlight w:val="none"/>
              </w:rPr>
              <w:t>敏感数据在显示时，应进行脱敏处理，如：</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姓名：张三脱敏为*三</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身份证号：1002**********1237</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手机号：186****0781</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银行卡号：623078*********4846</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住址：****3单元302</w:t>
            </w:r>
          </w:p>
        </w:tc>
      </w:tr>
      <w:tr w14:paraId="3C19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78F8DF65">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系统容错</w:t>
            </w:r>
          </w:p>
        </w:tc>
        <w:tc>
          <w:tcPr>
            <w:tcW w:w="1475" w:type="dxa"/>
            <w:tcBorders>
              <w:top w:val="single" w:color="auto" w:sz="4" w:space="0"/>
              <w:left w:val="nil"/>
              <w:bottom w:val="single" w:color="auto" w:sz="4" w:space="0"/>
              <w:right w:val="single" w:color="auto" w:sz="4" w:space="0"/>
            </w:tcBorders>
            <w:shd w:val="clear" w:color="auto" w:fill="auto"/>
            <w:vAlign w:val="center"/>
          </w:tcPr>
          <w:p w14:paraId="69A012C5">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统一错误处理</w:t>
            </w:r>
          </w:p>
        </w:tc>
        <w:tc>
          <w:tcPr>
            <w:tcW w:w="5537" w:type="dxa"/>
            <w:tcBorders>
              <w:top w:val="single" w:color="auto" w:sz="4" w:space="0"/>
              <w:left w:val="nil"/>
              <w:bottom w:val="single" w:color="auto" w:sz="4" w:space="0"/>
              <w:right w:val="single" w:color="auto" w:sz="4" w:space="0"/>
            </w:tcBorders>
            <w:shd w:val="clear" w:color="auto" w:fill="auto"/>
            <w:vAlign w:val="center"/>
          </w:tcPr>
          <w:p w14:paraId="52315D5D">
            <w:pPr>
              <w:snapToGrid w:val="0"/>
              <w:spacing w:beforeAutospacing="0" w:afterAutospacing="0"/>
              <w:ind w:firstLine="0" w:firstLineChars="0"/>
              <w:jc w:val="left"/>
              <w:rPr>
                <w:rFonts w:hAnsi="CESI宋体-GB2312" w:cs="CESI宋体-GB2312"/>
                <w:bCs/>
                <w:color w:val="auto"/>
                <w:szCs w:val="24"/>
                <w:highlight w:val="none"/>
              </w:rPr>
            </w:pPr>
            <w:r>
              <w:rPr>
                <w:rFonts w:hint="eastAsia" w:hAnsi="CESI宋体-GB2312" w:cs="CESI宋体-GB2312"/>
                <w:bCs/>
                <w:color w:val="auto"/>
                <w:szCs w:val="24"/>
                <w:highlight w:val="none"/>
              </w:rPr>
              <w:t>应用系统应有统一错误处理功能，有效屏蔽系统技术错误信息，不将系统产生的错误信息（如中间件信息、数据库信息）直接反馈给客户端，提升用户体验，防止信息泄露。</w:t>
            </w:r>
          </w:p>
        </w:tc>
      </w:tr>
      <w:tr w14:paraId="56DE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6A3A5980">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框架安全</w:t>
            </w:r>
          </w:p>
        </w:tc>
        <w:tc>
          <w:tcPr>
            <w:tcW w:w="1475" w:type="dxa"/>
            <w:tcBorders>
              <w:top w:val="single" w:color="auto" w:sz="4" w:space="0"/>
              <w:left w:val="nil"/>
              <w:bottom w:val="single" w:color="auto" w:sz="4" w:space="0"/>
              <w:right w:val="single" w:color="auto" w:sz="4" w:space="0"/>
            </w:tcBorders>
            <w:shd w:val="clear" w:color="auto" w:fill="auto"/>
            <w:vAlign w:val="center"/>
          </w:tcPr>
          <w:p w14:paraId="263C6316">
            <w:pPr>
              <w:snapToGrid w:val="0"/>
              <w:spacing w:beforeAutospacing="0" w:afterAutospacing="0"/>
              <w:ind w:firstLine="0" w:firstLineChars="0"/>
              <w:rPr>
                <w:rFonts w:hAnsi="CESI宋体-GB2312" w:cs="CESI宋体-GB2312"/>
                <w:color w:val="auto"/>
                <w:szCs w:val="24"/>
                <w:highlight w:val="none"/>
              </w:rPr>
            </w:pPr>
            <w:r>
              <w:rPr>
                <w:rFonts w:hint="eastAsia" w:hAnsi="CESI宋体-GB2312" w:cs="CESI宋体-GB2312"/>
                <w:bCs/>
                <w:color w:val="auto"/>
                <w:szCs w:val="24"/>
                <w:highlight w:val="none"/>
              </w:rPr>
              <w:t>第三方组件或框架</w:t>
            </w:r>
          </w:p>
        </w:tc>
        <w:tc>
          <w:tcPr>
            <w:tcW w:w="5537" w:type="dxa"/>
            <w:tcBorders>
              <w:top w:val="single" w:color="auto" w:sz="4" w:space="0"/>
              <w:left w:val="nil"/>
              <w:bottom w:val="single" w:color="auto" w:sz="4" w:space="0"/>
              <w:right w:val="single" w:color="auto" w:sz="4" w:space="0"/>
            </w:tcBorders>
            <w:shd w:val="clear" w:color="auto" w:fill="auto"/>
            <w:vAlign w:val="center"/>
          </w:tcPr>
          <w:p w14:paraId="74E61E54">
            <w:pPr>
              <w:snapToGrid w:val="0"/>
              <w:spacing w:beforeAutospacing="0" w:afterAutospacing="0"/>
              <w:ind w:firstLine="0" w:firstLineChars="0"/>
              <w:jc w:val="left"/>
              <w:rPr>
                <w:rFonts w:hAnsi="CESI宋体-GB2312" w:cs="CESI宋体-GB2312"/>
                <w:bCs/>
                <w:color w:val="auto"/>
                <w:szCs w:val="24"/>
                <w:highlight w:val="none"/>
              </w:rPr>
            </w:pPr>
            <w:r>
              <w:rPr>
                <w:rFonts w:hint="eastAsia" w:hAnsi="CESI宋体-GB2312" w:cs="CESI宋体-GB2312"/>
                <w:bCs/>
                <w:color w:val="auto"/>
                <w:szCs w:val="24"/>
                <w:highlight w:val="none"/>
              </w:rPr>
              <w:t>组件和中间件是导致漏洞的重要原因，使用时需遵守如下要求：</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1.使用的版本需是官方正常维护的版本，如不是最新版本，需更新当前版本的安全补丁或升级；</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2.对使用的组件进行安全认证或限制源IP访问，避免造成未授权访问漏洞，如mongoDB、redis、Memcached、JBOSS、VNC、Zookeeper、Rsync、ElasticSearch、Hadoop、Kibana、Confluence、Jenkins、spring boot等；</w:t>
            </w:r>
            <w:r>
              <w:rPr>
                <w:rFonts w:hint="eastAsia" w:hAnsi="CESI宋体-GB2312" w:cs="CESI宋体-GB2312"/>
                <w:bCs/>
                <w:color w:val="auto"/>
                <w:szCs w:val="24"/>
                <w:highlight w:val="none"/>
              </w:rPr>
              <w:br w:type="textWrapping"/>
            </w:r>
            <w:r>
              <w:rPr>
                <w:rFonts w:hint="eastAsia" w:hAnsi="CESI宋体-GB2312" w:cs="CESI宋体-GB2312"/>
                <w:bCs/>
                <w:color w:val="auto"/>
                <w:szCs w:val="24"/>
                <w:highlight w:val="none"/>
              </w:rPr>
              <w:t>3.登录各组件的默认口令需进行修改，修改要求参照口令安全策略，如REDIS、ES、ActiveMQ、RabbitMQ等；</w:t>
            </w:r>
          </w:p>
        </w:tc>
      </w:tr>
    </w:tbl>
    <w:p w14:paraId="6BA4E1B9">
      <w:pPr>
        <w:rPr>
          <w:color w:val="auto"/>
          <w:szCs w:val="24"/>
          <w:highlight w:val="none"/>
        </w:rPr>
      </w:pPr>
    </w:p>
    <w:p w14:paraId="519E02FE">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.6 </w:t>
      </w:r>
      <w:r>
        <w:rPr>
          <w:rFonts w:hint="eastAsia"/>
          <w:color w:val="auto"/>
          <w:szCs w:val="24"/>
          <w:highlight w:val="none"/>
        </w:rPr>
        <w:t>可扩展性需求</w:t>
      </w:r>
    </w:p>
    <w:p w14:paraId="36DE300F">
      <w:pPr>
        <w:rPr>
          <w:color w:val="auto"/>
          <w:szCs w:val="24"/>
          <w:highlight w:val="none"/>
        </w:rPr>
      </w:pPr>
      <w:r>
        <w:rPr>
          <w:rFonts w:hint="eastAsia"/>
          <w:color w:val="auto"/>
          <w:szCs w:val="24"/>
          <w:highlight w:val="none"/>
        </w:rPr>
        <w:t>1）系统要求支持主流操作系统、数据库和通讯中间件，对软、硬件平台具有良好的可扩展能力，支持跨平台客制化开发；</w:t>
      </w:r>
    </w:p>
    <w:p w14:paraId="44709167">
      <w:pPr>
        <w:rPr>
          <w:color w:val="auto"/>
          <w:szCs w:val="24"/>
          <w:highlight w:val="none"/>
        </w:rPr>
      </w:pPr>
      <w:r>
        <w:rPr>
          <w:rFonts w:hint="eastAsia"/>
          <w:color w:val="auto"/>
          <w:szCs w:val="24"/>
          <w:highlight w:val="none"/>
        </w:rPr>
        <w:t>2）支持交易数据导入、模型参数维护、计量、会计核算、报表模块对于新产品的支持，系统容易改进、扩展和升级；</w:t>
      </w:r>
    </w:p>
    <w:p w14:paraId="24645E2C">
      <w:pPr>
        <w:rPr>
          <w:color w:val="auto"/>
          <w:szCs w:val="24"/>
          <w:highlight w:val="none"/>
        </w:rPr>
      </w:pPr>
      <w:r>
        <w:rPr>
          <w:rFonts w:hint="eastAsia"/>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12A02A21">
      <w:pPr>
        <w:rPr>
          <w:color w:val="auto"/>
          <w:szCs w:val="24"/>
          <w:highlight w:val="none"/>
        </w:rPr>
      </w:pPr>
      <w:r>
        <w:rPr>
          <w:rFonts w:hint="eastAsia"/>
          <w:color w:val="auto"/>
          <w:szCs w:val="24"/>
          <w:highlight w:val="none"/>
        </w:rPr>
        <w:t>4）系统的计算能力支持横向扩展；</w:t>
      </w:r>
    </w:p>
    <w:p w14:paraId="101F5671">
      <w:pPr>
        <w:rPr>
          <w:color w:val="auto"/>
          <w:szCs w:val="24"/>
          <w:highlight w:val="none"/>
        </w:rPr>
      </w:pPr>
      <w:r>
        <w:rPr>
          <w:rFonts w:hint="eastAsia"/>
          <w:color w:val="auto"/>
          <w:szCs w:val="24"/>
          <w:highlight w:val="none"/>
        </w:rPr>
        <w:t>5）对第三方平台提供良好的接口支持和扩展能力。</w:t>
      </w:r>
    </w:p>
    <w:p w14:paraId="1B4FEE68">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.7 </w:t>
      </w:r>
      <w:r>
        <w:rPr>
          <w:rFonts w:hint="eastAsia"/>
          <w:color w:val="auto"/>
          <w:szCs w:val="24"/>
          <w:highlight w:val="none"/>
        </w:rPr>
        <w:t>二次开发要求</w:t>
      </w:r>
    </w:p>
    <w:p w14:paraId="5FEF286E">
      <w:pPr>
        <w:rPr>
          <w:color w:val="auto"/>
          <w:szCs w:val="24"/>
          <w:highlight w:val="none"/>
        </w:rPr>
      </w:pPr>
      <w:r>
        <w:rPr>
          <w:rFonts w:hint="eastAsia"/>
          <w:color w:val="auto"/>
          <w:szCs w:val="24"/>
          <w:highlight w:val="none"/>
        </w:rPr>
        <w:t>为满足采购人业务发展需要，系统应能灵活、方便、快捷地支持个性化需求开发，相关要求包括：</w:t>
      </w:r>
    </w:p>
    <w:p w14:paraId="2C6BAE3B">
      <w:pPr>
        <w:rPr>
          <w:color w:val="auto"/>
          <w:szCs w:val="24"/>
          <w:highlight w:val="none"/>
        </w:rPr>
      </w:pPr>
      <w:r>
        <w:rPr>
          <w:rFonts w:hint="eastAsia"/>
          <w:color w:val="auto"/>
          <w:szCs w:val="24"/>
          <w:highlight w:val="none"/>
        </w:rPr>
        <w:t>1）支持模型参数的个性化调整，从而适应监管要求及行内业务需求的变化；</w:t>
      </w:r>
    </w:p>
    <w:p w14:paraId="41FFE8BA">
      <w:pPr>
        <w:rPr>
          <w:color w:val="auto"/>
          <w:szCs w:val="24"/>
          <w:highlight w:val="none"/>
        </w:rPr>
      </w:pPr>
      <w:r>
        <w:rPr>
          <w:rFonts w:hint="eastAsia"/>
          <w:color w:val="auto"/>
          <w:szCs w:val="24"/>
          <w:highlight w:val="none"/>
        </w:rPr>
        <w:t>2）支持数据采集范围扩展及接口快速开发；</w:t>
      </w:r>
    </w:p>
    <w:p w14:paraId="33E0AA23">
      <w:pPr>
        <w:rPr>
          <w:color w:val="auto"/>
          <w:szCs w:val="24"/>
          <w:highlight w:val="none"/>
        </w:rPr>
      </w:pPr>
      <w:r>
        <w:rPr>
          <w:rFonts w:hint="eastAsia"/>
          <w:color w:val="auto"/>
          <w:szCs w:val="24"/>
          <w:highlight w:val="none"/>
        </w:rPr>
        <w:t>3）支持较为便捷的全量/增量程序版本抽取和提交；</w:t>
      </w:r>
    </w:p>
    <w:p w14:paraId="73F23254">
      <w:pPr>
        <w:rPr>
          <w:color w:val="auto"/>
          <w:szCs w:val="24"/>
          <w:highlight w:val="none"/>
        </w:rPr>
      </w:pPr>
      <w:r>
        <w:rPr>
          <w:rFonts w:hint="eastAsia"/>
          <w:color w:val="auto"/>
          <w:szCs w:val="24"/>
          <w:highlight w:val="none"/>
        </w:rPr>
        <w:t>4）支持日常需求改造涉及的其他开发要求。</w:t>
      </w:r>
    </w:p>
    <w:p w14:paraId="1338A385">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.8 </w:t>
      </w:r>
      <w:r>
        <w:rPr>
          <w:rFonts w:hint="eastAsia"/>
          <w:color w:val="auto"/>
          <w:szCs w:val="24"/>
          <w:highlight w:val="none"/>
        </w:rPr>
        <w:t>其它非功能性要求</w:t>
      </w:r>
    </w:p>
    <w:p w14:paraId="298E0543">
      <w:pPr>
        <w:rPr>
          <w:color w:val="auto"/>
          <w:szCs w:val="24"/>
          <w:highlight w:val="none"/>
        </w:rPr>
      </w:pPr>
      <w:r>
        <w:rPr>
          <w:color w:val="auto"/>
          <w:szCs w:val="24"/>
          <w:highlight w:val="none"/>
        </w:rPr>
        <w:t>3.2.8.</w:t>
      </w:r>
      <w:r>
        <w:rPr>
          <w:rFonts w:hint="eastAsia"/>
          <w:color w:val="auto"/>
          <w:szCs w:val="24"/>
          <w:highlight w:val="none"/>
        </w:rPr>
        <w:t>1 运维要求</w:t>
      </w:r>
    </w:p>
    <w:p w14:paraId="05D927A1">
      <w:pPr>
        <w:rPr>
          <w:rFonts w:hint="eastAsia"/>
          <w:color w:val="auto"/>
          <w:szCs w:val="24"/>
          <w:highlight w:val="none"/>
        </w:rPr>
      </w:pPr>
      <w:r>
        <w:rPr>
          <w:rFonts w:hint="eastAsia"/>
          <w:color w:val="auto"/>
          <w:szCs w:val="24"/>
          <w:highlight w:val="none"/>
        </w:rPr>
        <w:t>1）提供日常运行监控和完整的系统维护管理的方案：提供日志、实时交易监控等系统问题定位方案；提供日志和历史数据备份、清理机制；</w:t>
      </w:r>
    </w:p>
    <w:p w14:paraId="420C0996">
      <w:pPr>
        <w:rPr>
          <w:rFonts w:hint="eastAsia"/>
          <w:color w:val="auto"/>
          <w:szCs w:val="24"/>
          <w:highlight w:val="none"/>
        </w:rPr>
      </w:pPr>
      <w:r>
        <w:rPr>
          <w:color w:val="auto"/>
          <w:szCs w:val="24"/>
          <w:highlight w:val="none"/>
        </w:rPr>
        <w:t>2</w:t>
      </w:r>
      <w:r>
        <w:rPr>
          <w:rFonts w:hint="eastAsia"/>
          <w:color w:val="auto"/>
          <w:szCs w:val="24"/>
          <w:highlight w:val="none"/>
        </w:rPr>
        <w:t>）提供应用系统之间逻辑独立、启停服务时系统间不相互影响的部署方案（十分重要），保障系统的7*24小时运行；</w:t>
      </w:r>
    </w:p>
    <w:p w14:paraId="38640D86">
      <w:pPr>
        <w:rPr>
          <w:rFonts w:hint="eastAsia"/>
          <w:color w:val="auto"/>
          <w:szCs w:val="24"/>
          <w:highlight w:val="none"/>
        </w:rPr>
      </w:pPr>
      <w:r>
        <w:rPr>
          <w:color w:val="auto"/>
          <w:szCs w:val="24"/>
          <w:highlight w:val="none"/>
        </w:rPr>
        <w:t>3</w:t>
      </w:r>
      <w:r>
        <w:rPr>
          <w:rFonts w:hint="eastAsia"/>
          <w:color w:val="auto"/>
          <w:szCs w:val="24"/>
          <w:highlight w:val="none"/>
        </w:rPr>
        <w:t>）提供系统资源运行情况实时监控报告；提供系统出现异常预警报告；提供系统运行情况报表等；</w:t>
      </w:r>
    </w:p>
    <w:p w14:paraId="7A2F10DB">
      <w:pPr>
        <w:rPr>
          <w:color w:val="auto"/>
          <w:szCs w:val="24"/>
          <w:highlight w:val="none"/>
        </w:rPr>
      </w:pPr>
      <w:r>
        <w:rPr>
          <w:color w:val="auto"/>
          <w:szCs w:val="24"/>
          <w:highlight w:val="none"/>
        </w:rPr>
        <w:t>4</w:t>
      </w:r>
      <w:r>
        <w:rPr>
          <w:rFonts w:hint="eastAsia"/>
          <w:color w:val="auto"/>
          <w:szCs w:val="24"/>
          <w:highlight w:val="none"/>
        </w:rPr>
        <w:t>）涉及重大生产故障，需15分钟内响应，30分钟内提供临时解决方案并能恢复生产服务，并安排响应的技术专家进行技术支持。</w:t>
      </w:r>
    </w:p>
    <w:p w14:paraId="2FEADA00">
      <w:pPr>
        <w:rPr>
          <w:color w:val="auto"/>
          <w:szCs w:val="24"/>
          <w:highlight w:val="none"/>
        </w:rPr>
      </w:pPr>
      <w:r>
        <w:rPr>
          <w:color w:val="auto"/>
          <w:szCs w:val="24"/>
          <w:highlight w:val="none"/>
        </w:rPr>
        <w:t>3.2.8.</w:t>
      </w:r>
      <w:r>
        <w:rPr>
          <w:rFonts w:hint="eastAsia"/>
          <w:color w:val="auto"/>
          <w:szCs w:val="24"/>
          <w:highlight w:val="none"/>
        </w:rPr>
        <w:t>2 日志要求</w:t>
      </w:r>
    </w:p>
    <w:p w14:paraId="1F5FB560">
      <w:pPr>
        <w:rPr>
          <w:color w:val="auto"/>
          <w:szCs w:val="24"/>
          <w:highlight w:val="none"/>
        </w:rPr>
      </w:pPr>
      <w:r>
        <w:rPr>
          <w:rFonts w:hint="eastAsia"/>
          <w:color w:val="auto"/>
          <w:szCs w:val="24"/>
          <w:highlight w:val="none"/>
        </w:rPr>
        <w:t>1）应完整记录所有通讯日志，如果通讯日志为字节码的，不能直接查看的，应提供查看工具；</w:t>
      </w:r>
    </w:p>
    <w:p w14:paraId="7E0D15EA">
      <w:pPr>
        <w:rPr>
          <w:color w:val="auto"/>
          <w:szCs w:val="24"/>
          <w:highlight w:val="none"/>
        </w:rPr>
      </w:pPr>
      <w:r>
        <w:rPr>
          <w:rFonts w:hint="eastAsia"/>
          <w:color w:val="auto"/>
          <w:szCs w:val="24"/>
          <w:highlight w:val="none"/>
        </w:rPr>
        <w:t>2）应完整记录交易日志，方便交易统计分析，不同类型的交易可分不同的交易日志表；</w:t>
      </w:r>
    </w:p>
    <w:p w14:paraId="122273B8">
      <w:pPr>
        <w:rPr>
          <w:color w:val="auto"/>
          <w:szCs w:val="24"/>
          <w:highlight w:val="none"/>
        </w:rPr>
      </w:pPr>
      <w:r>
        <w:rPr>
          <w:rFonts w:hint="eastAsia"/>
          <w:color w:val="auto"/>
          <w:szCs w:val="24"/>
          <w:highlight w:val="none"/>
        </w:rPr>
        <w:t>3）可在线动态调整日志级别，在生产环境下定位问题时不需要中断服务；</w:t>
      </w:r>
    </w:p>
    <w:p w14:paraId="4A96530C">
      <w:pPr>
        <w:rPr>
          <w:color w:val="auto"/>
          <w:szCs w:val="24"/>
          <w:highlight w:val="none"/>
        </w:rPr>
      </w:pPr>
      <w:r>
        <w:rPr>
          <w:rFonts w:hint="eastAsia"/>
          <w:color w:val="auto"/>
          <w:szCs w:val="24"/>
          <w:highlight w:val="none"/>
        </w:rPr>
        <w:t>4）系统相关日志应输出在应用目录之外；</w:t>
      </w:r>
    </w:p>
    <w:p w14:paraId="340D4EB0">
      <w:pPr>
        <w:rPr>
          <w:color w:val="auto"/>
          <w:szCs w:val="24"/>
          <w:highlight w:val="none"/>
        </w:rPr>
      </w:pPr>
      <w:r>
        <w:rPr>
          <w:rFonts w:hint="eastAsia"/>
          <w:color w:val="auto"/>
          <w:szCs w:val="24"/>
          <w:highlight w:val="none"/>
        </w:rPr>
        <w:t>5）不应在日志中记录客户支付敏感信息；不允许保留非本机构的客户敏感信息。</w:t>
      </w:r>
    </w:p>
    <w:p w14:paraId="644706FF">
      <w:pPr>
        <w:rPr>
          <w:color w:val="auto"/>
          <w:szCs w:val="24"/>
          <w:highlight w:val="none"/>
        </w:rPr>
      </w:pPr>
      <w:r>
        <w:rPr>
          <w:color w:val="auto"/>
          <w:szCs w:val="24"/>
          <w:highlight w:val="none"/>
        </w:rPr>
        <w:t>3.2.8.</w:t>
      </w:r>
      <w:r>
        <w:rPr>
          <w:rFonts w:hint="eastAsia"/>
          <w:color w:val="auto"/>
          <w:szCs w:val="24"/>
          <w:highlight w:val="none"/>
        </w:rPr>
        <w:t>3 自动监控指标</w:t>
      </w:r>
    </w:p>
    <w:p w14:paraId="4EF9C6D3">
      <w:pPr>
        <w:rPr>
          <w:color w:val="auto"/>
          <w:szCs w:val="24"/>
          <w:highlight w:val="none"/>
        </w:rPr>
      </w:pPr>
      <w:r>
        <w:rPr>
          <w:rFonts w:hint="eastAsia"/>
          <w:color w:val="auto"/>
          <w:szCs w:val="24"/>
          <w:highlight w:val="none"/>
        </w:rPr>
        <w:t>1）磁盘占用率（关键目录）、CPU使用率、内存占用率等；</w:t>
      </w:r>
    </w:p>
    <w:p w14:paraId="38A50C1D">
      <w:pPr>
        <w:rPr>
          <w:color w:val="auto"/>
          <w:szCs w:val="24"/>
          <w:highlight w:val="none"/>
        </w:rPr>
      </w:pPr>
      <w:r>
        <w:rPr>
          <w:rFonts w:hint="eastAsia"/>
          <w:color w:val="auto"/>
          <w:szCs w:val="24"/>
          <w:highlight w:val="none"/>
        </w:rPr>
        <w:t>2）数据库连接池使用情况：总连接数、空闲连接数、使用中连接数；线程池使用情况：总线程、空闲线程、使用中线程；</w:t>
      </w:r>
    </w:p>
    <w:p w14:paraId="3334771E">
      <w:pPr>
        <w:rPr>
          <w:color w:val="auto"/>
          <w:szCs w:val="24"/>
          <w:highlight w:val="none"/>
        </w:rPr>
      </w:pPr>
      <w:r>
        <w:rPr>
          <w:rFonts w:hint="eastAsia"/>
          <w:color w:val="auto"/>
          <w:szCs w:val="24"/>
          <w:highlight w:val="none"/>
        </w:rPr>
        <w:t>3）虚拟机堆内存情况（适用Java）：空闲内存、使用中内存；</w:t>
      </w:r>
    </w:p>
    <w:p w14:paraId="712F9D29">
      <w:pPr>
        <w:rPr>
          <w:color w:val="auto"/>
          <w:szCs w:val="24"/>
          <w:highlight w:val="none"/>
        </w:rPr>
      </w:pPr>
      <w:r>
        <w:rPr>
          <w:rFonts w:hint="eastAsia"/>
          <w:color w:val="auto"/>
          <w:szCs w:val="24"/>
          <w:highlight w:val="none"/>
        </w:rPr>
        <w:t>4）交易级的错误，应用系统重大错误。</w:t>
      </w:r>
    </w:p>
    <w:p w14:paraId="531EB44D">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.9 </w:t>
      </w:r>
      <w:r>
        <w:rPr>
          <w:rFonts w:hint="eastAsia"/>
          <w:color w:val="auto"/>
          <w:szCs w:val="24"/>
          <w:highlight w:val="none"/>
        </w:rPr>
        <w:t>应当遵循的标准和规范</w:t>
      </w:r>
    </w:p>
    <w:p w14:paraId="001C2D37">
      <w:pPr>
        <w:rPr>
          <w:color w:val="auto"/>
          <w:szCs w:val="24"/>
          <w:highlight w:val="none"/>
        </w:rPr>
      </w:pPr>
      <w:r>
        <w:rPr>
          <w:rFonts w:hint="eastAsia"/>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0721B14B">
      <w:pPr>
        <w:rPr>
          <w:color w:val="auto"/>
          <w:szCs w:val="24"/>
          <w:highlight w:val="none"/>
        </w:rPr>
      </w:pPr>
      <w:r>
        <w:rPr>
          <w:rFonts w:hint="eastAsia"/>
          <w:color w:val="auto"/>
          <w:szCs w:val="24"/>
          <w:highlight w:val="none"/>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4276C020">
      <w:pPr>
        <w:rPr>
          <w:color w:val="auto"/>
          <w:szCs w:val="24"/>
          <w:highlight w:val="none"/>
        </w:rPr>
      </w:pPr>
      <w:r>
        <w:rPr>
          <w:rFonts w:hint="eastAsia"/>
          <w:color w:val="auto"/>
          <w:szCs w:val="24"/>
          <w:highlight w:val="none"/>
        </w:rPr>
        <w:t>业务处理符合国家法律、法规和有关政策规定。数据标准要满足银监会及人民银行相关管理办法及标准化的要求。</w:t>
      </w:r>
    </w:p>
    <w:p w14:paraId="5F066F0C">
      <w:pPr>
        <w:pStyle w:val="5"/>
        <w:rPr>
          <w:rFonts w:hint="eastAsia"/>
          <w:color w:val="auto"/>
          <w:szCs w:val="24"/>
          <w:highlight w:val="none"/>
        </w:rPr>
      </w:pPr>
      <w:r>
        <w:rPr>
          <w:color w:val="auto"/>
          <w:szCs w:val="24"/>
          <w:highlight w:val="none"/>
        </w:rPr>
        <w:t>3.</w:t>
      </w:r>
      <w:r>
        <w:rPr>
          <w:rFonts w:hint="eastAsia"/>
          <w:color w:val="auto"/>
          <w:szCs w:val="24"/>
          <w:highlight w:val="none"/>
        </w:rPr>
        <w:t>2.10 数据管理要求</w:t>
      </w:r>
    </w:p>
    <w:p w14:paraId="125043A1">
      <w:pPr>
        <w:rPr>
          <w:rFonts w:hint="eastAsia"/>
          <w:color w:val="auto"/>
          <w:szCs w:val="24"/>
          <w:highlight w:val="none"/>
        </w:rPr>
      </w:pPr>
      <w:r>
        <w:rPr>
          <w:rFonts w:hint="eastAsia"/>
          <w:color w:val="auto"/>
          <w:szCs w:val="24"/>
          <w:highlight w:val="none"/>
        </w:rPr>
        <w:t>1）业务处理符合国家法律、法规和有关政策规定。数据标准要遵循采购人《金融基础数据标准》，要满足国家金融监督管理局及人民银行相关管理办法及标准化的要求。项目实施过程需完成数据标准对标和落标。</w:t>
      </w:r>
    </w:p>
    <w:p w14:paraId="6413220E">
      <w:pPr>
        <w:rPr>
          <w:rFonts w:hint="eastAsia"/>
          <w:color w:val="auto"/>
          <w:szCs w:val="24"/>
          <w:highlight w:val="none"/>
        </w:rPr>
      </w:pPr>
      <w:r>
        <w:rPr>
          <w:rFonts w:hint="eastAsia"/>
          <w:color w:val="auto"/>
          <w:szCs w:val="24"/>
          <w:highlight w:val="none"/>
        </w:rPr>
        <w:t>2）分析类系统（获取其他源头系统数据，进行数据加工处理、分析应用的系统）、涉及数据加工处理的监管类系统，需交付《数据处理映射逻辑文件》，阐明表级、字段级数据加工逻辑。</w:t>
      </w:r>
    </w:p>
    <w:p w14:paraId="522BD137">
      <w:pPr>
        <w:rPr>
          <w:rFonts w:hint="eastAsia"/>
          <w:color w:val="auto"/>
          <w:szCs w:val="24"/>
          <w:highlight w:val="none"/>
        </w:rPr>
      </w:pPr>
      <w:r>
        <w:rPr>
          <w:rFonts w:hint="eastAsia"/>
          <w:color w:val="auto"/>
          <w:szCs w:val="24"/>
          <w:highlight w:val="none"/>
        </w:rPr>
        <w:t>3）交易类系统需交付《系统数据质量检核规则》。</w:t>
      </w:r>
    </w:p>
    <w:p w14:paraId="109600E1">
      <w:pPr>
        <w:rPr>
          <w:rFonts w:hint="eastAsia"/>
          <w:color w:val="auto"/>
          <w:szCs w:val="24"/>
          <w:highlight w:val="none"/>
        </w:rPr>
      </w:pPr>
      <w:r>
        <w:rPr>
          <w:rFonts w:hint="eastAsia"/>
          <w:color w:val="auto"/>
          <w:szCs w:val="24"/>
          <w:highlight w:val="none"/>
        </w:rPr>
        <w:t>4）数据库表及字段中文注释准确完整。</w:t>
      </w:r>
    </w:p>
    <w:p w14:paraId="31643023">
      <w:pPr>
        <w:pStyle w:val="5"/>
        <w:rPr>
          <w:color w:val="auto"/>
          <w:szCs w:val="24"/>
          <w:highlight w:val="none"/>
        </w:rPr>
      </w:pPr>
      <w:r>
        <w:rPr>
          <w:color w:val="auto"/>
          <w:szCs w:val="24"/>
          <w:highlight w:val="none"/>
        </w:rPr>
        <w:t>3.</w:t>
      </w:r>
      <w:r>
        <w:rPr>
          <w:rFonts w:hint="eastAsia"/>
          <w:color w:val="auto"/>
          <w:szCs w:val="24"/>
          <w:highlight w:val="none"/>
        </w:rPr>
        <w:t>2</w:t>
      </w:r>
      <w:r>
        <w:rPr>
          <w:color w:val="auto"/>
          <w:szCs w:val="24"/>
          <w:highlight w:val="none"/>
        </w:rPr>
        <w:t xml:space="preserve">.11 </w:t>
      </w:r>
      <w:r>
        <w:rPr>
          <w:rFonts w:hint="eastAsia"/>
          <w:color w:val="auto"/>
          <w:szCs w:val="24"/>
          <w:highlight w:val="none"/>
        </w:rPr>
        <w:t>其他技术要求</w:t>
      </w:r>
    </w:p>
    <w:p w14:paraId="5E113C83">
      <w:pPr>
        <w:rPr>
          <w:color w:val="auto"/>
          <w:szCs w:val="24"/>
          <w:highlight w:val="none"/>
        </w:rPr>
      </w:pPr>
      <w:r>
        <w:rPr>
          <w:rFonts w:hint="eastAsia"/>
          <w:color w:val="auto"/>
          <w:szCs w:val="24"/>
          <w:highlight w:val="none"/>
        </w:rPr>
        <w:t>1）</w:t>
      </w:r>
      <w:r>
        <w:rPr>
          <w:color w:val="auto"/>
          <w:szCs w:val="24"/>
          <w:highlight w:val="none"/>
        </w:rPr>
        <w:t>开发环境基于J2EE轻量级框架，支持JDK版本：JDK17.0及以上版本</w:t>
      </w:r>
      <w:r>
        <w:rPr>
          <w:rFonts w:hint="eastAsia"/>
          <w:color w:val="auto"/>
          <w:szCs w:val="24"/>
          <w:highlight w:val="none"/>
        </w:rPr>
        <w:t>。</w:t>
      </w:r>
    </w:p>
    <w:p w14:paraId="431179BF">
      <w:pPr>
        <w:rPr>
          <w:color w:val="auto"/>
          <w:szCs w:val="24"/>
          <w:highlight w:val="none"/>
        </w:rPr>
      </w:pPr>
      <w:r>
        <w:rPr>
          <w:rFonts w:hint="eastAsia"/>
          <w:color w:val="auto"/>
          <w:szCs w:val="24"/>
          <w:highlight w:val="none"/>
        </w:rPr>
        <w:t>2）操作系统、数据库和中间件</w:t>
      </w:r>
      <w:r>
        <w:rPr>
          <w:color w:val="auto"/>
          <w:szCs w:val="24"/>
          <w:highlight w:val="none"/>
        </w:rPr>
        <w:t>等需</w:t>
      </w:r>
      <w:r>
        <w:rPr>
          <w:rFonts w:hint="eastAsia"/>
          <w:color w:val="auto"/>
          <w:szCs w:val="24"/>
          <w:highlight w:val="none"/>
        </w:rPr>
        <w:t>满足</w:t>
      </w:r>
      <w:r>
        <w:rPr>
          <w:color w:val="auto"/>
          <w:szCs w:val="24"/>
          <w:highlight w:val="none"/>
        </w:rPr>
        <w:t>信创基线</w:t>
      </w:r>
      <w:r>
        <w:rPr>
          <w:rFonts w:hint="eastAsia"/>
          <w:color w:val="auto"/>
          <w:szCs w:val="24"/>
          <w:highlight w:val="none"/>
        </w:rPr>
        <w:t>要求</w:t>
      </w:r>
      <w:r>
        <w:rPr>
          <w:color w:val="auto"/>
          <w:szCs w:val="24"/>
          <w:highlight w:val="none"/>
        </w:rPr>
        <w:t>，当前部分基线如下：</w:t>
      </w:r>
      <w:r>
        <w:rPr>
          <w:rFonts w:hint="eastAsia"/>
          <w:color w:val="auto"/>
          <w:szCs w:val="24"/>
          <w:highlight w:val="none"/>
        </w:rPr>
        <w:t>服务端操作系统支持</w:t>
      </w:r>
      <w:r>
        <w:rPr>
          <w:color w:val="auto"/>
          <w:szCs w:val="24"/>
          <w:highlight w:val="none"/>
        </w:rPr>
        <w:t>银河麒麟V10</w:t>
      </w:r>
      <w:r>
        <w:rPr>
          <w:rFonts w:hint="eastAsia"/>
          <w:color w:val="auto"/>
          <w:szCs w:val="24"/>
          <w:highlight w:val="none"/>
        </w:rPr>
        <w:t>，支持</w:t>
      </w:r>
      <w:r>
        <w:rPr>
          <w:color w:val="auto"/>
          <w:szCs w:val="24"/>
          <w:highlight w:val="none"/>
        </w:rPr>
        <w:t>OceanBase</w:t>
      </w:r>
      <w:r>
        <w:rPr>
          <w:rFonts w:hint="eastAsia"/>
          <w:color w:val="auto"/>
          <w:szCs w:val="24"/>
          <w:highlight w:val="none"/>
        </w:rPr>
        <w:t>数据库，支持</w:t>
      </w:r>
      <w:r>
        <w:rPr>
          <w:color w:val="auto"/>
          <w:szCs w:val="24"/>
          <w:highlight w:val="none"/>
        </w:rPr>
        <w:t>东方通内嵌</w:t>
      </w:r>
      <w:r>
        <w:rPr>
          <w:rFonts w:hint="eastAsia"/>
          <w:color w:val="auto"/>
          <w:szCs w:val="24"/>
          <w:highlight w:val="none"/>
        </w:rPr>
        <w:t>中间件</w:t>
      </w:r>
      <w:r>
        <w:rPr>
          <w:color w:val="auto"/>
          <w:szCs w:val="24"/>
          <w:highlight w:val="none"/>
        </w:rPr>
        <w:t>、Undertow</w:t>
      </w:r>
      <w:r>
        <w:rPr>
          <w:rFonts w:hint="eastAsia"/>
          <w:color w:val="auto"/>
          <w:szCs w:val="24"/>
          <w:highlight w:val="none"/>
        </w:rPr>
        <w:t>中间件</w:t>
      </w:r>
      <w:r>
        <w:rPr>
          <w:color w:val="auto"/>
          <w:szCs w:val="24"/>
          <w:highlight w:val="none"/>
        </w:rPr>
        <w:t>等</w:t>
      </w:r>
      <w:r>
        <w:rPr>
          <w:rFonts w:hint="eastAsia"/>
          <w:color w:val="auto"/>
          <w:szCs w:val="24"/>
          <w:highlight w:val="none"/>
        </w:rPr>
        <w:t>。</w:t>
      </w:r>
    </w:p>
    <w:p w14:paraId="6C72E220">
      <w:pPr>
        <w:rPr>
          <w:color w:val="auto"/>
          <w:szCs w:val="24"/>
          <w:highlight w:val="none"/>
        </w:rPr>
      </w:pPr>
      <w:r>
        <w:rPr>
          <w:rFonts w:hint="eastAsia"/>
          <w:color w:val="auto"/>
          <w:szCs w:val="24"/>
          <w:highlight w:val="none"/>
        </w:rPr>
        <w:t>3）必须支持Windows全系操作系统</w:t>
      </w:r>
      <w:r>
        <w:rPr>
          <w:color w:val="auto"/>
          <w:szCs w:val="24"/>
          <w:highlight w:val="none"/>
        </w:rPr>
        <w:t>、银河麒麟桌面操作系统、MAC、IOS、Android、鸿蒙等终端操作系统</w:t>
      </w:r>
      <w:r>
        <w:rPr>
          <w:rFonts w:hint="eastAsia"/>
          <w:color w:val="auto"/>
          <w:szCs w:val="24"/>
          <w:highlight w:val="none"/>
        </w:rPr>
        <w:t>，支持谷歌、360</w:t>
      </w:r>
      <w:r>
        <w:rPr>
          <w:color w:val="auto"/>
          <w:szCs w:val="24"/>
          <w:highlight w:val="none"/>
        </w:rPr>
        <w:t>、奇安信</w:t>
      </w:r>
      <w:r>
        <w:rPr>
          <w:rFonts w:hint="eastAsia"/>
          <w:color w:val="auto"/>
          <w:szCs w:val="24"/>
          <w:highlight w:val="none"/>
        </w:rPr>
        <w:t>、IE6及以上版本浏览器使用。</w:t>
      </w:r>
    </w:p>
    <w:p w14:paraId="3946140A">
      <w:pPr>
        <w:rPr>
          <w:color w:val="auto"/>
          <w:szCs w:val="24"/>
          <w:highlight w:val="none"/>
        </w:rPr>
      </w:pPr>
      <w:r>
        <w:rPr>
          <w:color w:val="auto"/>
          <w:szCs w:val="24"/>
          <w:highlight w:val="none"/>
        </w:rPr>
        <w:t>4</w:t>
      </w:r>
      <w:r>
        <w:rPr>
          <w:rFonts w:hint="eastAsia"/>
          <w:color w:val="auto"/>
          <w:szCs w:val="24"/>
          <w:highlight w:val="none"/>
        </w:rPr>
        <w:t>）系统基础架构和底层数据库具备灵活性。</w:t>
      </w:r>
    </w:p>
    <w:p w14:paraId="50A4DDB2">
      <w:pPr>
        <w:rPr>
          <w:color w:val="auto"/>
          <w:szCs w:val="24"/>
          <w:highlight w:val="none"/>
        </w:rPr>
      </w:pPr>
      <w:r>
        <w:rPr>
          <w:color w:val="auto"/>
          <w:szCs w:val="24"/>
          <w:highlight w:val="none"/>
        </w:rPr>
        <w:t>5</w:t>
      </w:r>
      <w:r>
        <w:rPr>
          <w:rFonts w:hint="eastAsia"/>
          <w:color w:val="auto"/>
          <w:szCs w:val="24"/>
          <w:highlight w:val="none"/>
        </w:rPr>
        <w:t>）系统可高可用部署，支持负载均衡，具备横向可扩展性。</w:t>
      </w:r>
    </w:p>
    <w:p w14:paraId="6567DECD">
      <w:pPr>
        <w:rPr>
          <w:color w:val="auto"/>
          <w:szCs w:val="24"/>
          <w:highlight w:val="none"/>
        </w:rPr>
      </w:pPr>
      <w:r>
        <w:rPr>
          <w:color w:val="auto"/>
          <w:szCs w:val="24"/>
          <w:highlight w:val="none"/>
        </w:rPr>
        <w:t>6</w:t>
      </w:r>
      <w:r>
        <w:rPr>
          <w:rFonts w:hint="eastAsia"/>
          <w:color w:val="auto"/>
          <w:szCs w:val="24"/>
          <w:highlight w:val="none"/>
        </w:rPr>
        <w:t>）系统处理能力能够满足现有业务数据以及未来三年可能发展的业务数据量。</w:t>
      </w:r>
    </w:p>
    <w:p w14:paraId="5CD05719">
      <w:pPr>
        <w:rPr>
          <w:color w:val="auto"/>
          <w:szCs w:val="24"/>
          <w:highlight w:val="none"/>
        </w:rPr>
      </w:pPr>
      <w:r>
        <w:rPr>
          <w:color w:val="auto"/>
          <w:szCs w:val="24"/>
          <w:highlight w:val="none"/>
        </w:rPr>
        <w:t>7</w:t>
      </w:r>
      <w:r>
        <w:rPr>
          <w:rFonts w:hint="eastAsia"/>
          <w:color w:val="auto"/>
          <w:szCs w:val="24"/>
          <w:highlight w:val="none"/>
        </w:rPr>
        <w:t>）系统开发需要符合采购人开发规范和整体框架要求。</w:t>
      </w:r>
    </w:p>
    <w:p w14:paraId="078BF8CA">
      <w:pPr>
        <w:rPr>
          <w:color w:val="auto"/>
          <w:szCs w:val="24"/>
          <w:highlight w:val="none"/>
        </w:rPr>
      </w:pPr>
      <w:r>
        <w:rPr>
          <w:color w:val="auto"/>
          <w:szCs w:val="24"/>
          <w:highlight w:val="none"/>
        </w:rPr>
        <w:t>8</w:t>
      </w:r>
      <w:r>
        <w:rPr>
          <w:rFonts w:hint="eastAsia"/>
          <w:color w:val="auto"/>
          <w:szCs w:val="24"/>
          <w:highlight w:val="none"/>
        </w:rPr>
        <w:t>）系统需支持dns方式连接数据库以及应用。</w:t>
      </w:r>
    </w:p>
    <w:p w14:paraId="0611CF20">
      <w:pPr>
        <w:rPr>
          <w:color w:val="auto"/>
          <w:szCs w:val="24"/>
          <w:highlight w:val="none"/>
        </w:rPr>
      </w:pPr>
      <w:r>
        <w:rPr>
          <w:color w:val="auto"/>
          <w:szCs w:val="24"/>
          <w:highlight w:val="none"/>
        </w:rPr>
        <w:t>9</w:t>
      </w:r>
      <w:r>
        <w:rPr>
          <w:rFonts w:hint="eastAsia"/>
          <w:color w:val="auto"/>
          <w:szCs w:val="24"/>
          <w:highlight w:val="none"/>
        </w:rPr>
        <w:t>）原则上不对系统许可（license）做限制。</w:t>
      </w:r>
    </w:p>
    <w:p w14:paraId="11F75E25">
      <w:pPr>
        <w:rPr>
          <w:color w:val="auto"/>
          <w:szCs w:val="24"/>
          <w:highlight w:val="none"/>
        </w:rPr>
      </w:pPr>
      <w:r>
        <w:rPr>
          <w:rFonts w:hint="eastAsia"/>
          <w:color w:val="auto"/>
          <w:szCs w:val="24"/>
          <w:highlight w:val="none"/>
        </w:rPr>
        <w:t>1</w:t>
      </w:r>
      <w:r>
        <w:rPr>
          <w:color w:val="auto"/>
          <w:szCs w:val="24"/>
          <w:highlight w:val="none"/>
        </w:rPr>
        <w:t>0</w:t>
      </w:r>
      <w:r>
        <w:rPr>
          <w:rFonts w:hint="eastAsia"/>
          <w:color w:val="auto"/>
          <w:szCs w:val="24"/>
          <w:highlight w:val="none"/>
        </w:rPr>
        <w:t>）响应人需提供完善的数据备份方案及备份机制。</w:t>
      </w:r>
    </w:p>
    <w:p w14:paraId="493E0120">
      <w:pPr>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）技术RTO（恢复时间目标）：</w:t>
      </w:r>
      <w:r>
        <w:rPr>
          <w:color w:val="auto"/>
          <w:szCs w:val="24"/>
          <w:highlight w:val="none"/>
        </w:rPr>
        <w:t>48</w:t>
      </w:r>
      <w:r>
        <w:rPr>
          <w:rFonts w:hint="eastAsia"/>
          <w:color w:val="auto"/>
          <w:szCs w:val="24"/>
          <w:highlight w:val="none"/>
        </w:rPr>
        <w:t>小时；技术RPO（恢复时间点目标）：</w:t>
      </w:r>
      <w:r>
        <w:rPr>
          <w:color w:val="auto"/>
          <w:szCs w:val="24"/>
          <w:highlight w:val="none"/>
        </w:rPr>
        <w:t>0.5</w:t>
      </w:r>
      <w:r>
        <w:rPr>
          <w:rFonts w:hint="eastAsia"/>
          <w:color w:val="auto"/>
          <w:szCs w:val="24"/>
          <w:highlight w:val="none"/>
        </w:rPr>
        <w:t>小时。</w:t>
      </w:r>
    </w:p>
    <w:p w14:paraId="7BAC54C9">
      <w:pPr>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）需支持IPV6协议。</w:t>
      </w:r>
    </w:p>
    <w:p w14:paraId="647577AD">
      <w:pPr>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）禁止应用软件部署使用的安装码或授权码与其运行的基础环境（如：硬盘序列号、CPU序列号或网卡序列号等）进行绑定。</w:t>
      </w:r>
    </w:p>
    <w:p w14:paraId="041C5802">
      <w:pPr>
        <w:rPr>
          <w:color w:val="auto"/>
          <w:szCs w:val="24"/>
          <w:highlight w:val="none"/>
        </w:rPr>
      </w:pPr>
      <w:r>
        <w:rPr>
          <w:rFonts w:hint="eastAsia"/>
          <w:color w:val="auto"/>
          <w:szCs w:val="24"/>
          <w:highlight w:val="none"/>
        </w:rPr>
        <w:t>1</w:t>
      </w:r>
      <w:r>
        <w:rPr>
          <w:color w:val="auto"/>
          <w:szCs w:val="24"/>
          <w:highlight w:val="none"/>
        </w:rPr>
        <w:t>4</w:t>
      </w:r>
      <w:r>
        <w:rPr>
          <w:rFonts w:hint="eastAsia"/>
          <w:color w:val="auto"/>
          <w:szCs w:val="24"/>
          <w:highlight w:val="none"/>
        </w:rPr>
        <w:t>）系统在集群部署共享文件访问时使用对象存储（不得使用NAS）。</w:t>
      </w:r>
    </w:p>
    <w:p w14:paraId="478F28B4">
      <w:pPr>
        <w:rPr>
          <w:color w:val="auto"/>
          <w:szCs w:val="24"/>
          <w:highlight w:val="none"/>
        </w:rPr>
      </w:pPr>
      <w:r>
        <w:rPr>
          <w:rFonts w:hint="eastAsia"/>
          <w:color w:val="auto"/>
          <w:szCs w:val="24"/>
          <w:highlight w:val="none"/>
        </w:rPr>
        <w:t>1</w:t>
      </w:r>
      <w:r>
        <w:rPr>
          <w:color w:val="auto"/>
          <w:szCs w:val="24"/>
          <w:highlight w:val="none"/>
        </w:rPr>
        <w:t>5</w:t>
      </w:r>
      <w:r>
        <w:rPr>
          <w:rFonts w:hint="eastAsia"/>
          <w:color w:val="auto"/>
          <w:szCs w:val="24"/>
          <w:highlight w:val="none"/>
        </w:rPr>
        <w:t>）满足国家保密标准及要求。</w:t>
      </w:r>
    </w:p>
    <w:p w14:paraId="095597EB">
      <w:pPr>
        <w:rPr>
          <w:color w:val="auto"/>
          <w:szCs w:val="24"/>
          <w:highlight w:val="none"/>
        </w:rPr>
      </w:pPr>
      <w:r>
        <w:rPr>
          <w:color w:val="auto"/>
          <w:szCs w:val="24"/>
          <w:highlight w:val="none"/>
        </w:rPr>
        <w:t>16）接入Devops研发效能平台，实现系统的统一的持续集成、交付、部署，确保符合《重庆三峡银行配置文件管理规范》等规范要求；接入Aiops智能运维平台，实现APM监控与日志中心的统一管理，确保符合《重庆三峡银行应用日志规范》及《APM监控采集兼容性及接入规范》等标准要求。</w:t>
      </w:r>
    </w:p>
    <w:p w14:paraId="71126491">
      <w:pPr>
        <w:rPr>
          <w:color w:val="auto"/>
          <w:szCs w:val="24"/>
          <w:highlight w:val="none"/>
        </w:rPr>
      </w:pPr>
      <w:r>
        <w:rPr>
          <w:color w:val="auto"/>
          <w:szCs w:val="24"/>
          <w:highlight w:val="none"/>
        </w:rPr>
        <w:t>17）业务连续性数字化管理平台采用软件方案实现，以保障后期的可移植性。</w:t>
      </w:r>
    </w:p>
    <w:p w14:paraId="5F20A112">
      <w:pPr>
        <w:rPr>
          <w:color w:val="auto"/>
          <w:szCs w:val="24"/>
          <w:highlight w:val="none"/>
        </w:rPr>
      </w:pPr>
      <w:r>
        <w:rPr>
          <w:color w:val="auto"/>
          <w:szCs w:val="24"/>
          <w:highlight w:val="none"/>
        </w:rPr>
        <w:t>18）系统中使用的基础组件应满足《重庆三峡银行基础软件基线清单》。</w:t>
      </w:r>
    </w:p>
    <w:p w14:paraId="13AE0129">
      <w:pPr>
        <w:rPr>
          <w:b/>
          <w:bCs/>
          <w:color w:val="auto"/>
          <w:szCs w:val="24"/>
          <w:highlight w:val="none"/>
        </w:rPr>
      </w:pPr>
    </w:p>
    <w:p w14:paraId="3A211AC0">
      <w:pPr>
        <w:pStyle w:val="4"/>
        <w:ind w:left="0"/>
        <w:rPr>
          <w:color w:val="auto"/>
          <w:highlight w:val="none"/>
        </w:rPr>
      </w:pPr>
      <w:r>
        <w:rPr>
          <w:color w:val="auto"/>
          <w:highlight w:val="none"/>
        </w:rPr>
        <w:t>3.3</w:t>
      </w:r>
      <w:r>
        <w:rPr>
          <w:rFonts w:hint="eastAsia"/>
          <w:color w:val="auto"/>
          <w:highlight w:val="none"/>
        </w:rPr>
        <w:t>测试要求</w:t>
      </w:r>
    </w:p>
    <w:p w14:paraId="55CCA417">
      <w:pPr>
        <w:rPr>
          <w:color w:val="auto"/>
          <w:szCs w:val="24"/>
          <w:highlight w:val="none"/>
        </w:rPr>
      </w:pPr>
      <w:r>
        <w:rPr>
          <w:color w:val="auto"/>
          <w:szCs w:val="24"/>
          <w:highlight w:val="none"/>
        </w:rPr>
        <w:t>1</w:t>
      </w:r>
      <w:r>
        <w:rPr>
          <w:rFonts w:hint="eastAsia"/>
          <w:color w:val="auto"/>
          <w:szCs w:val="24"/>
          <w:highlight w:val="none"/>
        </w:rPr>
        <w:t>）</w:t>
      </w:r>
      <w:r>
        <w:rPr>
          <w:color w:val="auto"/>
          <w:szCs w:val="24"/>
          <w:highlight w:val="none"/>
        </w:rPr>
        <w:t>响应人应负责系统的单元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测试，提交完整的测试案例及达到准出标准的单元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测试报告。</w:t>
      </w:r>
    </w:p>
    <w:p w14:paraId="2F4991D8">
      <w:pPr>
        <w:rPr>
          <w:color w:val="auto"/>
          <w:szCs w:val="24"/>
          <w:highlight w:val="none"/>
        </w:rPr>
      </w:pPr>
      <w:r>
        <w:rPr>
          <w:color w:val="auto"/>
          <w:szCs w:val="24"/>
          <w:highlight w:val="none"/>
        </w:rPr>
        <w:t>2</w:t>
      </w:r>
      <w:r>
        <w:rPr>
          <w:rFonts w:hint="eastAsia"/>
          <w:color w:val="auto"/>
          <w:szCs w:val="24"/>
          <w:highlight w:val="none"/>
        </w:rPr>
        <w:t>）</w:t>
      </w:r>
      <w:r>
        <w:rPr>
          <w:color w:val="auto"/>
          <w:szCs w:val="24"/>
          <w:highlight w:val="none"/>
        </w:rPr>
        <w:t>响应人应提供专职的性能测试负责人及性能测试人员进行系统的性能测试，提交满足系统性能指标的性能测试报告。</w:t>
      </w:r>
    </w:p>
    <w:p w14:paraId="27B47889">
      <w:pPr>
        <w:rPr>
          <w:color w:val="auto"/>
          <w:szCs w:val="24"/>
          <w:highlight w:val="none"/>
        </w:rPr>
      </w:pPr>
      <w:r>
        <w:rPr>
          <w:color w:val="auto"/>
          <w:szCs w:val="24"/>
          <w:highlight w:val="none"/>
        </w:rPr>
        <w:t>3</w:t>
      </w:r>
      <w:r>
        <w:rPr>
          <w:rFonts w:hint="eastAsia"/>
          <w:color w:val="auto"/>
          <w:szCs w:val="24"/>
          <w:highlight w:val="none"/>
        </w:rPr>
        <w:t>）</w:t>
      </w:r>
      <w:r>
        <w:rPr>
          <w:color w:val="auto"/>
          <w:szCs w:val="24"/>
          <w:highlight w:val="none"/>
        </w:rPr>
        <w:t>响应人应指派专职的测试项目经理及项目成员进行系统测试，参照</w:t>
      </w:r>
      <w:r>
        <w:rPr>
          <w:rFonts w:hint="eastAsia"/>
          <w:color w:val="auto"/>
          <w:szCs w:val="24"/>
          <w:highlight w:val="none"/>
        </w:rPr>
        <w:t>采购人</w:t>
      </w:r>
      <w:r>
        <w:rPr>
          <w:color w:val="auto"/>
          <w:szCs w:val="24"/>
          <w:highlight w:val="none"/>
        </w:rPr>
        <w:t>系统测试准入准出标准。</w:t>
      </w:r>
    </w:p>
    <w:tbl>
      <w:tblPr>
        <w:tblStyle w:val="20"/>
        <w:tblW w:w="8185"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44D30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1CB1B36">
            <w:pPr>
              <w:spacing w:line="240" w:lineRule="auto"/>
              <w:ind w:firstLine="0" w:firstLineChars="0"/>
              <w:jc w:val="center"/>
              <w:rPr>
                <w:b/>
                <w:color w:val="auto"/>
                <w:szCs w:val="24"/>
                <w:highlight w:val="none"/>
              </w:rPr>
            </w:pPr>
            <w:r>
              <w:rPr>
                <w:rFonts w:hint="eastAsia"/>
                <w:b/>
                <w:color w:val="auto"/>
                <w:szCs w:val="24"/>
                <w:highlight w:val="none"/>
              </w:rPr>
              <w:t>系统测试准入准出标准</w:t>
            </w:r>
          </w:p>
        </w:tc>
      </w:tr>
      <w:tr w14:paraId="736F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5A32649">
            <w:pPr>
              <w:spacing w:line="240" w:lineRule="auto"/>
              <w:ind w:firstLine="0" w:firstLineChars="0"/>
              <w:rPr>
                <w:b/>
                <w:color w:val="auto"/>
                <w:szCs w:val="24"/>
                <w:highlight w:val="none"/>
              </w:rPr>
            </w:pPr>
            <w:r>
              <w:rPr>
                <w:rFonts w:hint="eastAsia"/>
                <w:b/>
                <w:color w:val="auto"/>
                <w:szCs w:val="24"/>
                <w:highlight w:val="none"/>
              </w:rPr>
              <w:t>一、系统测试准入标准</w:t>
            </w:r>
          </w:p>
        </w:tc>
      </w:tr>
      <w:tr w14:paraId="20DB1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6B0C6A1">
            <w:pPr>
              <w:spacing w:line="240" w:lineRule="auto"/>
              <w:ind w:firstLine="0" w:firstLineChars="0"/>
              <w:jc w:val="center"/>
              <w:rPr>
                <w:b/>
                <w:color w:val="auto"/>
                <w:szCs w:val="24"/>
                <w:highlight w:val="none"/>
              </w:rPr>
            </w:pPr>
            <w:r>
              <w:rPr>
                <w:rFonts w:hint="eastAsia"/>
                <w:b/>
                <w:color w:val="auto"/>
                <w:szCs w:val="24"/>
                <w:highlight w:val="none"/>
              </w:rPr>
              <w:t>阶段</w:t>
            </w:r>
          </w:p>
        </w:tc>
        <w:tc>
          <w:tcPr>
            <w:tcW w:w="6889" w:type="dxa"/>
            <w:tcBorders>
              <w:left w:val="single" w:color="auto" w:sz="6" w:space="0"/>
            </w:tcBorders>
            <w:shd w:val="clear" w:color="auto" w:fill="auto"/>
            <w:vAlign w:val="center"/>
          </w:tcPr>
          <w:p w14:paraId="52DF668D">
            <w:pPr>
              <w:spacing w:line="240" w:lineRule="auto"/>
              <w:ind w:firstLine="0" w:firstLineChars="0"/>
              <w:jc w:val="center"/>
              <w:rPr>
                <w:b/>
                <w:color w:val="auto"/>
                <w:szCs w:val="24"/>
                <w:highlight w:val="none"/>
              </w:rPr>
            </w:pPr>
            <w:r>
              <w:rPr>
                <w:rFonts w:hint="eastAsia"/>
                <w:b/>
                <w:color w:val="auto"/>
                <w:szCs w:val="24"/>
                <w:highlight w:val="none"/>
              </w:rPr>
              <w:t>准入条件</w:t>
            </w:r>
          </w:p>
        </w:tc>
      </w:tr>
      <w:tr w14:paraId="42FF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09BC547">
            <w:pPr>
              <w:spacing w:line="240" w:lineRule="auto"/>
              <w:ind w:firstLine="0" w:firstLineChars="0"/>
              <w:jc w:val="center"/>
              <w:rPr>
                <w:color w:val="auto"/>
                <w:szCs w:val="24"/>
                <w:highlight w:val="none"/>
              </w:rPr>
            </w:pPr>
            <w:r>
              <w:rPr>
                <w:rFonts w:hint="eastAsia"/>
                <w:color w:val="auto"/>
                <w:szCs w:val="24"/>
                <w:highlight w:val="none"/>
              </w:rPr>
              <w:t>计划阶段</w:t>
            </w:r>
          </w:p>
        </w:tc>
        <w:tc>
          <w:tcPr>
            <w:tcW w:w="6889" w:type="dxa"/>
            <w:tcBorders>
              <w:left w:val="single" w:color="auto" w:sz="6" w:space="0"/>
            </w:tcBorders>
            <w:shd w:val="clear" w:color="auto" w:fill="auto"/>
            <w:vAlign w:val="center"/>
          </w:tcPr>
          <w:p w14:paraId="0F27D646">
            <w:pPr>
              <w:spacing w:line="240" w:lineRule="auto"/>
              <w:ind w:firstLine="0" w:firstLineChars="0"/>
              <w:rPr>
                <w:color w:val="auto"/>
                <w:szCs w:val="24"/>
                <w:highlight w:val="none"/>
              </w:rPr>
            </w:pPr>
            <w:r>
              <w:rPr>
                <w:rFonts w:hint="eastAsia"/>
                <w:color w:val="auto"/>
                <w:szCs w:val="24"/>
                <w:highlight w:val="none"/>
              </w:rPr>
              <w:t>开发项目在立项之初应提交纸质测试服务申请单给测试负责人</w:t>
            </w:r>
          </w:p>
        </w:tc>
      </w:tr>
      <w:tr w14:paraId="50B0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DAF94E8">
            <w:pPr>
              <w:rPr>
                <w:color w:val="auto"/>
                <w:highlight w:val="none"/>
              </w:rPr>
            </w:pPr>
          </w:p>
        </w:tc>
        <w:tc>
          <w:tcPr>
            <w:tcW w:w="6889" w:type="dxa"/>
            <w:tcBorders>
              <w:left w:val="single" w:color="auto" w:sz="6" w:space="0"/>
            </w:tcBorders>
            <w:shd w:val="clear" w:color="auto" w:fill="auto"/>
            <w:vAlign w:val="center"/>
          </w:tcPr>
          <w:p w14:paraId="225C26C7">
            <w:pPr>
              <w:spacing w:line="240" w:lineRule="auto"/>
              <w:ind w:firstLine="0" w:firstLineChars="0"/>
              <w:rPr>
                <w:color w:val="auto"/>
                <w:szCs w:val="24"/>
                <w:highlight w:val="none"/>
              </w:rPr>
            </w:pPr>
            <w:r>
              <w:rPr>
                <w:rFonts w:hint="eastAsia"/>
                <w:color w:val="auto"/>
                <w:szCs w:val="24"/>
                <w:highlight w:val="none"/>
              </w:rPr>
              <w:t>开发项目整体项目计划必须包含系统测试计划或系统测试计划时间</w:t>
            </w:r>
          </w:p>
        </w:tc>
      </w:tr>
      <w:tr w14:paraId="79662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29647AF">
            <w:pPr>
              <w:rPr>
                <w:color w:val="auto"/>
                <w:highlight w:val="none"/>
              </w:rPr>
            </w:pPr>
          </w:p>
        </w:tc>
        <w:tc>
          <w:tcPr>
            <w:tcW w:w="6889" w:type="dxa"/>
            <w:tcBorders>
              <w:left w:val="single" w:color="auto" w:sz="6" w:space="0"/>
            </w:tcBorders>
            <w:shd w:val="clear" w:color="auto" w:fill="auto"/>
            <w:vAlign w:val="center"/>
          </w:tcPr>
          <w:p w14:paraId="20F60FBC">
            <w:pPr>
              <w:spacing w:line="240" w:lineRule="auto"/>
              <w:ind w:firstLine="0" w:firstLineChars="0"/>
              <w:rPr>
                <w:color w:val="auto"/>
                <w:szCs w:val="24"/>
                <w:highlight w:val="none"/>
              </w:rPr>
            </w:pPr>
            <w:r>
              <w:rPr>
                <w:rFonts w:hint="eastAsia"/>
                <w:color w:val="auto"/>
                <w:szCs w:val="24"/>
                <w:highlight w:val="none"/>
              </w:rPr>
              <w:t>测试方要求的需求说明书及相关说明书已经通过评审，并形成终稿；文档包括但不限于：业务需求、需求说明书、系统原型、概要设计（可选）、用户手册（可选）</w:t>
            </w:r>
          </w:p>
        </w:tc>
      </w:tr>
      <w:tr w14:paraId="4EE1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24A23E2">
            <w:pPr>
              <w:rPr>
                <w:color w:val="auto"/>
                <w:highlight w:val="none"/>
              </w:rPr>
            </w:pPr>
          </w:p>
        </w:tc>
        <w:tc>
          <w:tcPr>
            <w:tcW w:w="6889" w:type="dxa"/>
            <w:tcBorders>
              <w:left w:val="single" w:color="auto" w:sz="6" w:space="0"/>
            </w:tcBorders>
            <w:shd w:val="clear" w:color="auto" w:fill="auto"/>
            <w:vAlign w:val="center"/>
          </w:tcPr>
          <w:p w14:paraId="0E8057BF">
            <w:pPr>
              <w:spacing w:line="240" w:lineRule="auto"/>
              <w:ind w:firstLine="0" w:firstLineChars="0"/>
              <w:rPr>
                <w:color w:val="auto"/>
                <w:szCs w:val="24"/>
                <w:highlight w:val="none"/>
              </w:rPr>
            </w:pPr>
            <w:r>
              <w:rPr>
                <w:rFonts w:hint="eastAsia"/>
                <w:color w:val="auto"/>
                <w:szCs w:val="24"/>
                <w:highlight w:val="none"/>
              </w:rPr>
              <w:t>变更影响范围是否提供</w:t>
            </w:r>
          </w:p>
        </w:tc>
      </w:tr>
      <w:tr w14:paraId="1306B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6ED5DF68">
            <w:pPr>
              <w:spacing w:line="240" w:lineRule="auto"/>
              <w:ind w:firstLine="0" w:firstLineChars="0"/>
              <w:jc w:val="center"/>
              <w:rPr>
                <w:color w:val="auto"/>
                <w:szCs w:val="24"/>
                <w:highlight w:val="none"/>
              </w:rPr>
            </w:pPr>
            <w:r>
              <w:rPr>
                <w:rFonts w:hint="eastAsia"/>
                <w:color w:val="auto"/>
                <w:szCs w:val="24"/>
                <w:highlight w:val="none"/>
              </w:rPr>
              <w:t>执行阶段</w:t>
            </w:r>
          </w:p>
        </w:tc>
        <w:tc>
          <w:tcPr>
            <w:tcW w:w="6889" w:type="dxa"/>
            <w:tcBorders>
              <w:left w:val="single" w:color="auto" w:sz="6" w:space="0"/>
            </w:tcBorders>
            <w:shd w:val="clear" w:color="auto" w:fill="auto"/>
            <w:vAlign w:val="center"/>
          </w:tcPr>
          <w:p w14:paraId="6F78B996">
            <w:pPr>
              <w:spacing w:line="240" w:lineRule="auto"/>
              <w:ind w:firstLine="0" w:firstLineChars="0"/>
              <w:rPr>
                <w:color w:val="auto"/>
                <w:szCs w:val="24"/>
                <w:highlight w:val="none"/>
              </w:rPr>
            </w:pPr>
            <w:r>
              <w:rPr>
                <w:rFonts w:hint="eastAsia"/>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6CAC4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270518FB">
            <w:pPr>
              <w:rPr>
                <w:color w:val="auto"/>
                <w:highlight w:val="none"/>
              </w:rPr>
            </w:pPr>
          </w:p>
        </w:tc>
        <w:tc>
          <w:tcPr>
            <w:tcW w:w="6889" w:type="dxa"/>
            <w:tcBorders>
              <w:left w:val="single" w:color="auto" w:sz="6" w:space="0"/>
            </w:tcBorders>
            <w:shd w:val="clear" w:color="auto" w:fill="auto"/>
            <w:vAlign w:val="center"/>
          </w:tcPr>
          <w:p w14:paraId="3F11CD89">
            <w:pPr>
              <w:spacing w:line="240" w:lineRule="auto"/>
              <w:ind w:firstLine="0" w:firstLineChars="0"/>
              <w:rPr>
                <w:color w:val="auto"/>
                <w:szCs w:val="24"/>
                <w:highlight w:val="none"/>
              </w:rPr>
            </w:pPr>
            <w:r>
              <w:rPr>
                <w:rFonts w:hint="eastAsia"/>
                <w:color w:val="auto"/>
                <w:szCs w:val="24"/>
                <w:highlight w:val="none"/>
              </w:rPr>
              <w:t>系统测试案例准备就绪（案例密度为35条/每功能点）</w:t>
            </w:r>
          </w:p>
        </w:tc>
      </w:tr>
      <w:tr w14:paraId="5CF3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4B6E4368">
            <w:pPr>
              <w:rPr>
                <w:color w:val="auto"/>
                <w:highlight w:val="none"/>
              </w:rPr>
            </w:pPr>
          </w:p>
        </w:tc>
        <w:tc>
          <w:tcPr>
            <w:tcW w:w="6889" w:type="dxa"/>
            <w:tcBorders>
              <w:left w:val="single" w:color="auto" w:sz="6" w:space="0"/>
            </w:tcBorders>
            <w:shd w:val="clear" w:color="auto" w:fill="auto"/>
            <w:vAlign w:val="center"/>
          </w:tcPr>
          <w:p w14:paraId="03E51E08">
            <w:pPr>
              <w:spacing w:line="240" w:lineRule="auto"/>
              <w:ind w:firstLine="0" w:firstLineChars="0"/>
              <w:rPr>
                <w:color w:val="auto"/>
                <w:szCs w:val="24"/>
                <w:highlight w:val="none"/>
              </w:rPr>
            </w:pPr>
            <w:r>
              <w:rPr>
                <w:rFonts w:hint="eastAsia"/>
                <w:color w:val="auto"/>
                <w:szCs w:val="24"/>
                <w:highlight w:val="none"/>
              </w:rPr>
              <w:t>测试环境准备就绪</w:t>
            </w:r>
          </w:p>
        </w:tc>
      </w:tr>
      <w:tr w14:paraId="1A978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072F9AC">
            <w:pPr>
              <w:rPr>
                <w:color w:val="auto"/>
                <w:highlight w:val="none"/>
              </w:rPr>
            </w:pPr>
          </w:p>
        </w:tc>
        <w:tc>
          <w:tcPr>
            <w:tcW w:w="6889" w:type="dxa"/>
            <w:tcBorders>
              <w:left w:val="single" w:color="auto" w:sz="6" w:space="0"/>
            </w:tcBorders>
            <w:shd w:val="clear" w:color="auto" w:fill="auto"/>
            <w:vAlign w:val="center"/>
          </w:tcPr>
          <w:p w14:paraId="42CE8E11">
            <w:pPr>
              <w:spacing w:line="240" w:lineRule="auto"/>
              <w:ind w:firstLine="0" w:firstLineChars="0"/>
              <w:rPr>
                <w:color w:val="auto"/>
                <w:szCs w:val="24"/>
                <w:highlight w:val="none"/>
              </w:rPr>
            </w:pPr>
            <w:r>
              <w:rPr>
                <w:rFonts w:hint="eastAsia"/>
                <w:color w:val="auto"/>
                <w:szCs w:val="24"/>
                <w:highlight w:val="none"/>
              </w:rPr>
              <w:t>测试版本能够成功部署到测试环境。（如果测试和开发处于同一环境，则在系统测试开始前应该按照开发提交的版本重新部署）</w:t>
            </w:r>
          </w:p>
        </w:tc>
      </w:tr>
      <w:tr w14:paraId="5CAC5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93CC599">
            <w:pPr>
              <w:rPr>
                <w:color w:val="auto"/>
                <w:highlight w:val="none"/>
              </w:rPr>
            </w:pPr>
          </w:p>
        </w:tc>
        <w:tc>
          <w:tcPr>
            <w:tcW w:w="6889" w:type="dxa"/>
            <w:tcBorders>
              <w:left w:val="single" w:color="auto" w:sz="6" w:space="0"/>
            </w:tcBorders>
            <w:shd w:val="clear" w:color="auto" w:fill="auto"/>
            <w:vAlign w:val="center"/>
          </w:tcPr>
          <w:p w14:paraId="6D35BF32">
            <w:pPr>
              <w:spacing w:line="240" w:lineRule="auto"/>
              <w:ind w:firstLine="0" w:firstLineChars="0"/>
              <w:rPr>
                <w:color w:val="auto"/>
                <w:szCs w:val="24"/>
                <w:highlight w:val="none"/>
              </w:rPr>
            </w:pPr>
            <w:r>
              <w:rPr>
                <w:rFonts w:hint="eastAsia"/>
                <w:color w:val="auto"/>
                <w:szCs w:val="24"/>
                <w:highlight w:val="none"/>
              </w:rPr>
              <w:t>冒烟测试达到通过标准（冒烟测试案例通过率大于90%，有效缺陷率不高于10%）</w:t>
            </w:r>
          </w:p>
        </w:tc>
      </w:tr>
      <w:tr w14:paraId="6055C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E0A5142">
            <w:pPr>
              <w:spacing w:line="240" w:lineRule="auto"/>
              <w:ind w:firstLine="0" w:firstLineChars="0"/>
              <w:rPr>
                <w:b/>
                <w:color w:val="auto"/>
                <w:szCs w:val="24"/>
                <w:highlight w:val="none"/>
              </w:rPr>
            </w:pPr>
            <w:r>
              <w:rPr>
                <w:rFonts w:hint="eastAsia"/>
                <w:b/>
                <w:color w:val="auto"/>
                <w:szCs w:val="24"/>
                <w:highlight w:val="none"/>
              </w:rPr>
              <w:t>二、暂停/继续标准：满足下列之一的条件并由项目组审核同意，测试可以暂停</w:t>
            </w:r>
          </w:p>
        </w:tc>
      </w:tr>
      <w:tr w14:paraId="2C89C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E37F3F0">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40098AA0">
            <w:pPr>
              <w:spacing w:line="240" w:lineRule="auto"/>
              <w:ind w:firstLine="0" w:firstLineChars="0"/>
              <w:jc w:val="center"/>
              <w:rPr>
                <w:b/>
                <w:color w:val="auto"/>
                <w:szCs w:val="24"/>
                <w:highlight w:val="none"/>
              </w:rPr>
            </w:pPr>
            <w:r>
              <w:rPr>
                <w:rFonts w:hint="eastAsia"/>
                <w:b/>
                <w:color w:val="auto"/>
                <w:szCs w:val="24"/>
                <w:highlight w:val="none"/>
              </w:rPr>
              <w:t>暂停条件</w:t>
            </w:r>
          </w:p>
        </w:tc>
      </w:tr>
      <w:tr w14:paraId="24B4A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01314B">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682863AC">
            <w:pPr>
              <w:spacing w:line="240" w:lineRule="auto"/>
              <w:ind w:firstLine="0" w:firstLineChars="0"/>
              <w:rPr>
                <w:color w:val="auto"/>
                <w:szCs w:val="24"/>
                <w:highlight w:val="none"/>
              </w:rPr>
            </w:pPr>
            <w:r>
              <w:rPr>
                <w:rFonts w:hint="eastAsia"/>
                <w:color w:val="auto"/>
                <w:szCs w:val="24"/>
                <w:highlight w:val="none"/>
              </w:rPr>
              <w:t>由于程序、环境原因导致测试无法进行</w:t>
            </w:r>
          </w:p>
        </w:tc>
      </w:tr>
      <w:tr w14:paraId="1C955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1939DB6">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3296C81E">
            <w:pPr>
              <w:spacing w:line="240" w:lineRule="auto"/>
              <w:ind w:firstLine="0" w:firstLineChars="0"/>
              <w:rPr>
                <w:color w:val="auto"/>
                <w:szCs w:val="24"/>
                <w:highlight w:val="none"/>
              </w:rPr>
            </w:pPr>
            <w:r>
              <w:rPr>
                <w:rFonts w:hint="eastAsia"/>
                <w:color w:val="auto"/>
                <w:szCs w:val="24"/>
                <w:highlight w:val="none"/>
              </w:rPr>
              <w:t>项目暂停，已无测试必要</w:t>
            </w:r>
          </w:p>
        </w:tc>
      </w:tr>
      <w:tr w14:paraId="5E23D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2FA8838">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63866D7E">
            <w:pPr>
              <w:spacing w:line="240" w:lineRule="auto"/>
              <w:ind w:firstLine="0" w:firstLineChars="0"/>
              <w:rPr>
                <w:color w:val="auto"/>
                <w:szCs w:val="24"/>
                <w:highlight w:val="none"/>
              </w:rPr>
            </w:pPr>
            <w:r>
              <w:rPr>
                <w:rFonts w:hint="eastAsia"/>
                <w:color w:val="auto"/>
                <w:szCs w:val="24"/>
                <w:highlight w:val="none"/>
              </w:rPr>
              <w:t>测试需求稳定指数小于70%，则暂停测试执行</w:t>
            </w:r>
          </w:p>
        </w:tc>
      </w:tr>
      <w:tr w14:paraId="0219D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AF3886">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5D1C02FC">
            <w:pPr>
              <w:spacing w:line="240" w:lineRule="auto"/>
              <w:ind w:firstLine="0" w:firstLineChars="0"/>
              <w:rPr>
                <w:color w:val="auto"/>
                <w:szCs w:val="24"/>
                <w:highlight w:val="none"/>
              </w:rPr>
            </w:pPr>
            <w:r>
              <w:rPr>
                <w:rFonts w:hint="eastAsia"/>
                <w:color w:val="auto"/>
                <w:szCs w:val="24"/>
                <w:highlight w:val="none"/>
              </w:rPr>
              <w:t>每个里程碑节点或执行轮次案例执行通过率低于60%，则暂停测试执行</w:t>
            </w:r>
          </w:p>
        </w:tc>
      </w:tr>
      <w:tr w14:paraId="0FEF2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621483C">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18A2F0BF">
            <w:pPr>
              <w:spacing w:line="240" w:lineRule="auto"/>
              <w:ind w:firstLine="0" w:firstLineChars="0"/>
              <w:rPr>
                <w:color w:val="auto"/>
                <w:szCs w:val="24"/>
                <w:highlight w:val="none"/>
              </w:rPr>
            </w:pPr>
            <w:r>
              <w:rPr>
                <w:rFonts w:hint="eastAsia"/>
                <w:color w:val="auto"/>
                <w:szCs w:val="24"/>
                <w:highlight w:val="none"/>
              </w:rPr>
              <w:t>每个里程碑节点或执行轮次缺陷解决率低于50%，则暂停测试执行</w:t>
            </w:r>
          </w:p>
        </w:tc>
      </w:tr>
      <w:tr w14:paraId="65E1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C1D5D6D">
            <w:pPr>
              <w:spacing w:line="240" w:lineRule="auto"/>
              <w:ind w:firstLine="0" w:firstLineChars="0"/>
              <w:jc w:val="center"/>
              <w:rPr>
                <w:color w:val="auto"/>
                <w:szCs w:val="24"/>
                <w:highlight w:val="none"/>
              </w:rPr>
            </w:pPr>
            <w:r>
              <w:rPr>
                <w:rFonts w:hint="eastAsia"/>
                <w:color w:val="auto"/>
                <w:szCs w:val="24"/>
                <w:highlight w:val="none"/>
              </w:rPr>
              <w:t>7</w:t>
            </w:r>
          </w:p>
        </w:tc>
        <w:tc>
          <w:tcPr>
            <w:tcW w:w="6889" w:type="dxa"/>
            <w:tcBorders>
              <w:left w:val="single" w:color="auto" w:sz="6" w:space="0"/>
            </w:tcBorders>
            <w:shd w:val="clear" w:color="auto" w:fill="auto"/>
            <w:vAlign w:val="center"/>
          </w:tcPr>
          <w:p w14:paraId="16994778">
            <w:pPr>
              <w:spacing w:line="240" w:lineRule="auto"/>
              <w:ind w:firstLine="0" w:firstLineChars="0"/>
              <w:rPr>
                <w:color w:val="auto"/>
                <w:szCs w:val="24"/>
                <w:highlight w:val="none"/>
              </w:rPr>
            </w:pPr>
            <w:r>
              <w:rPr>
                <w:rFonts w:hint="eastAsia"/>
                <w:color w:val="auto"/>
                <w:szCs w:val="24"/>
                <w:highlight w:val="none"/>
              </w:rPr>
              <w:t>每个里程碑节点或执行轮次缺陷的案例命中率大于25%，则暂停测试执行</w:t>
            </w:r>
          </w:p>
        </w:tc>
      </w:tr>
      <w:tr w14:paraId="48B5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DA09A39">
            <w:pPr>
              <w:spacing w:line="240" w:lineRule="auto"/>
              <w:ind w:firstLine="0" w:firstLineChars="0"/>
              <w:jc w:val="center"/>
              <w:rPr>
                <w:color w:val="auto"/>
                <w:szCs w:val="24"/>
                <w:highlight w:val="none"/>
              </w:rPr>
            </w:pPr>
            <w:r>
              <w:rPr>
                <w:rFonts w:hint="eastAsia"/>
                <w:color w:val="auto"/>
                <w:szCs w:val="24"/>
                <w:highlight w:val="none"/>
              </w:rPr>
              <w:t>8</w:t>
            </w:r>
          </w:p>
        </w:tc>
        <w:tc>
          <w:tcPr>
            <w:tcW w:w="6889" w:type="dxa"/>
            <w:tcBorders>
              <w:left w:val="single" w:color="auto" w:sz="6" w:space="0"/>
            </w:tcBorders>
            <w:shd w:val="clear" w:color="auto" w:fill="auto"/>
            <w:vAlign w:val="center"/>
          </w:tcPr>
          <w:p w14:paraId="1B25B238">
            <w:pPr>
              <w:spacing w:line="240" w:lineRule="auto"/>
              <w:ind w:firstLine="0" w:firstLineChars="0"/>
              <w:rPr>
                <w:color w:val="auto"/>
                <w:szCs w:val="24"/>
                <w:highlight w:val="none"/>
              </w:rPr>
            </w:pPr>
            <w:r>
              <w:rPr>
                <w:rFonts w:hint="eastAsia"/>
                <w:color w:val="auto"/>
                <w:szCs w:val="24"/>
                <w:highlight w:val="none"/>
              </w:rPr>
              <w:t>每个里程碑节点或执行轮次严重以上缺陷占比大于35%，则暂停测试执行</w:t>
            </w:r>
          </w:p>
        </w:tc>
      </w:tr>
      <w:tr w14:paraId="6FE20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4685D32">
            <w:pPr>
              <w:spacing w:line="240" w:lineRule="auto"/>
              <w:ind w:firstLine="0" w:firstLineChars="0"/>
              <w:jc w:val="center"/>
              <w:rPr>
                <w:color w:val="auto"/>
                <w:szCs w:val="24"/>
                <w:highlight w:val="none"/>
              </w:rPr>
            </w:pPr>
            <w:r>
              <w:rPr>
                <w:rFonts w:hint="eastAsia"/>
                <w:color w:val="auto"/>
                <w:szCs w:val="24"/>
                <w:highlight w:val="none"/>
              </w:rPr>
              <w:t>9</w:t>
            </w:r>
          </w:p>
        </w:tc>
        <w:tc>
          <w:tcPr>
            <w:tcW w:w="6889" w:type="dxa"/>
            <w:tcBorders>
              <w:left w:val="single" w:color="auto" w:sz="6" w:space="0"/>
            </w:tcBorders>
            <w:shd w:val="clear" w:color="auto" w:fill="auto"/>
            <w:vAlign w:val="center"/>
          </w:tcPr>
          <w:p w14:paraId="688011D3">
            <w:pPr>
              <w:spacing w:line="240" w:lineRule="auto"/>
              <w:ind w:firstLine="0" w:firstLineChars="0"/>
              <w:rPr>
                <w:color w:val="auto"/>
                <w:szCs w:val="24"/>
                <w:highlight w:val="none"/>
              </w:rPr>
            </w:pPr>
            <w:r>
              <w:rPr>
                <w:rFonts w:hint="eastAsia"/>
                <w:color w:val="auto"/>
                <w:szCs w:val="24"/>
                <w:highlight w:val="none"/>
              </w:rPr>
              <w:t>测试环境、测试数据、测试人员等等测试必备条件不再具备或发生变化导致测试不能进行，则暂停测试执行</w:t>
            </w:r>
          </w:p>
        </w:tc>
      </w:tr>
      <w:tr w14:paraId="0E71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485B74B">
            <w:pPr>
              <w:spacing w:line="240" w:lineRule="auto"/>
              <w:ind w:firstLine="0" w:firstLineChars="0"/>
              <w:jc w:val="center"/>
              <w:rPr>
                <w:color w:val="auto"/>
                <w:szCs w:val="24"/>
                <w:highlight w:val="none"/>
              </w:rPr>
            </w:pPr>
            <w:r>
              <w:rPr>
                <w:rFonts w:hint="eastAsia"/>
                <w:color w:val="auto"/>
                <w:szCs w:val="24"/>
                <w:highlight w:val="none"/>
              </w:rPr>
              <w:t>10</w:t>
            </w:r>
          </w:p>
        </w:tc>
        <w:tc>
          <w:tcPr>
            <w:tcW w:w="6889" w:type="dxa"/>
            <w:tcBorders>
              <w:left w:val="single" w:color="auto" w:sz="6" w:space="0"/>
            </w:tcBorders>
            <w:shd w:val="clear" w:color="auto" w:fill="auto"/>
            <w:vAlign w:val="center"/>
          </w:tcPr>
          <w:p w14:paraId="7A16303E">
            <w:pPr>
              <w:spacing w:line="240" w:lineRule="auto"/>
              <w:ind w:firstLine="0" w:firstLineChars="0"/>
              <w:rPr>
                <w:color w:val="auto"/>
                <w:szCs w:val="24"/>
                <w:highlight w:val="none"/>
              </w:rPr>
            </w:pPr>
            <w:r>
              <w:rPr>
                <w:rFonts w:hint="eastAsia"/>
                <w:color w:val="auto"/>
                <w:szCs w:val="24"/>
                <w:highlight w:val="none"/>
              </w:rPr>
              <w:t>项目组确定的可以暂停的其他条件</w:t>
            </w:r>
          </w:p>
        </w:tc>
      </w:tr>
      <w:tr w14:paraId="5B08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613A2A">
            <w:pPr>
              <w:spacing w:line="240" w:lineRule="auto"/>
              <w:ind w:firstLine="0" w:firstLineChars="0"/>
              <w:jc w:val="center"/>
              <w:rPr>
                <w:color w:val="auto"/>
                <w:szCs w:val="24"/>
                <w:highlight w:val="none"/>
              </w:rPr>
            </w:pPr>
            <w:r>
              <w:rPr>
                <w:rFonts w:hint="eastAsia"/>
                <w:color w:val="auto"/>
                <w:szCs w:val="24"/>
                <w:highlight w:val="none"/>
              </w:rPr>
              <w:t>11</w:t>
            </w:r>
          </w:p>
        </w:tc>
        <w:tc>
          <w:tcPr>
            <w:tcW w:w="6889" w:type="dxa"/>
            <w:tcBorders>
              <w:left w:val="single" w:color="auto" w:sz="6" w:space="0"/>
            </w:tcBorders>
            <w:shd w:val="clear" w:color="auto" w:fill="auto"/>
            <w:vAlign w:val="center"/>
          </w:tcPr>
          <w:p w14:paraId="4FB27CE0">
            <w:pPr>
              <w:spacing w:line="240" w:lineRule="auto"/>
              <w:ind w:firstLine="0" w:firstLineChars="0"/>
              <w:rPr>
                <w:color w:val="auto"/>
                <w:szCs w:val="24"/>
                <w:highlight w:val="none"/>
              </w:rPr>
            </w:pPr>
            <w:r>
              <w:rPr>
                <w:rFonts w:hint="eastAsia"/>
                <w:color w:val="auto"/>
                <w:szCs w:val="24"/>
                <w:highlight w:val="none"/>
              </w:rPr>
              <w:t>恢复以上的条件并由项目组审核同意，测试可以继续</w:t>
            </w:r>
          </w:p>
        </w:tc>
      </w:tr>
      <w:tr w14:paraId="2798D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B7471BE">
            <w:pPr>
              <w:spacing w:line="240" w:lineRule="auto"/>
              <w:ind w:firstLine="0" w:firstLineChars="0"/>
              <w:rPr>
                <w:b/>
                <w:color w:val="auto"/>
                <w:szCs w:val="24"/>
                <w:highlight w:val="none"/>
              </w:rPr>
            </w:pPr>
            <w:r>
              <w:rPr>
                <w:rFonts w:hint="eastAsia"/>
                <w:b/>
                <w:color w:val="auto"/>
                <w:szCs w:val="24"/>
                <w:highlight w:val="none"/>
              </w:rPr>
              <w:t>三、系统测试准出标准：同时满足以下条件，系统测试完成</w:t>
            </w:r>
          </w:p>
        </w:tc>
      </w:tr>
      <w:tr w14:paraId="21CD3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13FD46B">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7337FF86">
            <w:pPr>
              <w:spacing w:line="240" w:lineRule="auto"/>
              <w:ind w:firstLine="0" w:firstLineChars="0"/>
              <w:jc w:val="center"/>
              <w:rPr>
                <w:b/>
                <w:color w:val="auto"/>
                <w:szCs w:val="24"/>
                <w:highlight w:val="none"/>
              </w:rPr>
            </w:pPr>
            <w:r>
              <w:rPr>
                <w:rFonts w:hint="eastAsia"/>
                <w:b/>
                <w:color w:val="auto"/>
                <w:szCs w:val="24"/>
                <w:highlight w:val="none"/>
              </w:rPr>
              <w:t>准出条件</w:t>
            </w:r>
          </w:p>
        </w:tc>
      </w:tr>
      <w:tr w14:paraId="3D3F0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59A5FAC">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175E861">
            <w:pPr>
              <w:spacing w:line="240" w:lineRule="auto"/>
              <w:ind w:firstLine="0" w:firstLineChars="0"/>
              <w:rPr>
                <w:color w:val="auto"/>
                <w:szCs w:val="24"/>
                <w:highlight w:val="none"/>
              </w:rPr>
            </w:pPr>
            <w:r>
              <w:rPr>
                <w:rFonts w:hint="eastAsia"/>
                <w:color w:val="auto"/>
                <w:szCs w:val="24"/>
                <w:highlight w:val="none"/>
              </w:rPr>
              <w:t>测试需求覆盖率达到100%，测试案例覆盖度100%</w:t>
            </w:r>
          </w:p>
        </w:tc>
      </w:tr>
      <w:tr w14:paraId="19CF5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0D1763A">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0654705F">
            <w:pPr>
              <w:spacing w:line="240" w:lineRule="auto"/>
              <w:ind w:firstLine="0" w:firstLineChars="0"/>
              <w:rPr>
                <w:color w:val="auto"/>
                <w:szCs w:val="24"/>
                <w:highlight w:val="none"/>
              </w:rPr>
            </w:pPr>
            <w:r>
              <w:rPr>
                <w:rFonts w:hint="eastAsia"/>
                <w:color w:val="auto"/>
                <w:szCs w:val="24"/>
                <w:highlight w:val="none"/>
              </w:rPr>
              <w:t>测试案例执行率达到100%，测试通过率95%</w:t>
            </w:r>
          </w:p>
        </w:tc>
      </w:tr>
      <w:tr w14:paraId="0BE15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00072E">
            <w:pPr>
              <w:spacing w:line="240" w:lineRule="auto"/>
              <w:ind w:firstLine="0" w:firstLineChars="0"/>
              <w:jc w:val="center"/>
              <w:rPr>
                <w:color w:val="auto"/>
                <w:szCs w:val="24"/>
                <w:highlight w:val="none"/>
              </w:rPr>
            </w:pPr>
            <w:r>
              <w:rPr>
                <w:rFonts w:hint="eastAsia"/>
                <w:color w:val="auto"/>
                <w:szCs w:val="24"/>
                <w:highlight w:val="none"/>
              </w:rPr>
              <w:t>3</w:t>
            </w:r>
          </w:p>
        </w:tc>
        <w:tc>
          <w:tcPr>
            <w:tcW w:w="6889" w:type="dxa"/>
            <w:tcBorders>
              <w:left w:val="single" w:color="auto" w:sz="6" w:space="0"/>
            </w:tcBorders>
            <w:shd w:val="clear" w:color="auto" w:fill="auto"/>
            <w:vAlign w:val="center"/>
          </w:tcPr>
          <w:p w14:paraId="41336780">
            <w:pPr>
              <w:spacing w:line="240" w:lineRule="auto"/>
              <w:ind w:firstLine="0" w:firstLineChars="0"/>
              <w:rPr>
                <w:color w:val="auto"/>
                <w:szCs w:val="24"/>
                <w:highlight w:val="none"/>
              </w:rPr>
            </w:pPr>
            <w:r>
              <w:rPr>
                <w:rFonts w:hint="eastAsia"/>
                <w:color w:val="auto"/>
                <w:szCs w:val="24"/>
                <w:highlight w:val="none"/>
              </w:rPr>
              <w:t>缺陷修复率达到95%</w:t>
            </w:r>
          </w:p>
        </w:tc>
      </w:tr>
      <w:tr w14:paraId="778A9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2D648D9">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40A66E32">
            <w:pPr>
              <w:spacing w:line="240" w:lineRule="auto"/>
              <w:ind w:firstLine="0" w:firstLineChars="0"/>
              <w:rPr>
                <w:color w:val="auto"/>
                <w:szCs w:val="24"/>
                <w:highlight w:val="none"/>
              </w:rPr>
            </w:pPr>
            <w:r>
              <w:rPr>
                <w:rFonts w:hint="eastAsia"/>
                <w:color w:val="auto"/>
                <w:szCs w:val="24"/>
                <w:highlight w:val="none"/>
              </w:rPr>
              <w:t>致命缺陷、严重缺陷解决率达到100%</w:t>
            </w:r>
          </w:p>
        </w:tc>
      </w:tr>
      <w:tr w14:paraId="4E49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0DDF24A">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190D6DF8">
            <w:pPr>
              <w:spacing w:line="240" w:lineRule="auto"/>
              <w:ind w:firstLine="0" w:firstLineChars="0"/>
              <w:rPr>
                <w:color w:val="auto"/>
                <w:szCs w:val="24"/>
                <w:highlight w:val="none"/>
              </w:rPr>
            </w:pPr>
            <w:r>
              <w:rPr>
                <w:rFonts w:hint="eastAsia"/>
                <w:color w:val="auto"/>
                <w:szCs w:val="24"/>
                <w:highlight w:val="none"/>
              </w:rPr>
              <w:t>一般缺陷、微小缺陷解决率达到90%以上，建议缺陷解决率达到80%以上，且未解决缺陷得项目组认可</w:t>
            </w:r>
          </w:p>
        </w:tc>
      </w:tr>
      <w:tr w14:paraId="05293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1A3BF01">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4E9AAEF1">
            <w:pPr>
              <w:spacing w:line="240" w:lineRule="auto"/>
              <w:ind w:firstLine="0" w:firstLineChars="0"/>
              <w:rPr>
                <w:color w:val="auto"/>
                <w:szCs w:val="24"/>
                <w:highlight w:val="none"/>
              </w:rPr>
            </w:pPr>
            <w:r>
              <w:rPr>
                <w:rFonts w:hint="eastAsia"/>
                <w:color w:val="auto"/>
                <w:szCs w:val="24"/>
                <w:highlight w:val="none"/>
              </w:rPr>
              <w:t>提交系统测试报告及通过评审</w:t>
            </w:r>
          </w:p>
        </w:tc>
      </w:tr>
      <w:tr w14:paraId="2DCA8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2E0876C">
            <w:pPr>
              <w:spacing w:line="240" w:lineRule="auto"/>
              <w:ind w:firstLine="0" w:firstLineChars="0"/>
              <w:rPr>
                <w:b/>
                <w:color w:val="auto"/>
                <w:szCs w:val="24"/>
                <w:highlight w:val="none"/>
              </w:rPr>
            </w:pPr>
            <w:r>
              <w:rPr>
                <w:rFonts w:hint="eastAsia"/>
                <w:b/>
                <w:color w:val="auto"/>
                <w:szCs w:val="24"/>
                <w:highlight w:val="none"/>
              </w:rPr>
              <w:t>四、测试指标公式附录</w:t>
            </w:r>
          </w:p>
        </w:tc>
      </w:tr>
      <w:tr w14:paraId="28F7B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51270E5">
            <w:pPr>
              <w:spacing w:line="240" w:lineRule="auto"/>
              <w:ind w:firstLine="0" w:firstLineChars="0"/>
              <w:jc w:val="center"/>
              <w:rPr>
                <w:b/>
                <w:color w:val="auto"/>
                <w:szCs w:val="24"/>
                <w:highlight w:val="none"/>
              </w:rPr>
            </w:pPr>
            <w:r>
              <w:rPr>
                <w:rFonts w:hint="eastAsia"/>
                <w:b/>
                <w:color w:val="auto"/>
                <w:szCs w:val="24"/>
                <w:highlight w:val="none"/>
              </w:rPr>
              <w:t>TPI</w:t>
            </w:r>
          </w:p>
        </w:tc>
        <w:tc>
          <w:tcPr>
            <w:tcW w:w="6889" w:type="dxa"/>
            <w:tcBorders>
              <w:left w:val="single" w:color="auto" w:sz="6" w:space="0"/>
            </w:tcBorders>
            <w:shd w:val="clear" w:color="auto" w:fill="auto"/>
            <w:vAlign w:val="center"/>
          </w:tcPr>
          <w:p w14:paraId="0F0C3955">
            <w:pPr>
              <w:spacing w:line="240" w:lineRule="auto"/>
              <w:ind w:firstLine="0" w:firstLineChars="0"/>
              <w:jc w:val="center"/>
              <w:rPr>
                <w:b/>
                <w:color w:val="auto"/>
                <w:szCs w:val="24"/>
                <w:highlight w:val="none"/>
              </w:rPr>
            </w:pPr>
            <w:r>
              <w:rPr>
                <w:rFonts w:hint="eastAsia"/>
                <w:b/>
                <w:color w:val="auto"/>
                <w:szCs w:val="24"/>
                <w:highlight w:val="none"/>
              </w:rPr>
              <w:t>公式</w:t>
            </w:r>
          </w:p>
        </w:tc>
      </w:tr>
      <w:tr w14:paraId="42088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00A9560">
            <w:pPr>
              <w:spacing w:line="240" w:lineRule="auto"/>
              <w:ind w:firstLine="0" w:firstLineChars="0"/>
              <w:rPr>
                <w:color w:val="auto"/>
                <w:szCs w:val="24"/>
                <w:highlight w:val="none"/>
              </w:rPr>
            </w:pPr>
            <w:r>
              <w:rPr>
                <w:rFonts w:hint="eastAsia"/>
                <w:color w:val="auto"/>
                <w:szCs w:val="24"/>
                <w:highlight w:val="none"/>
              </w:rPr>
              <w:t>测试需求覆盖率</w:t>
            </w:r>
          </w:p>
        </w:tc>
        <w:tc>
          <w:tcPr>
            <w:tcW w:w="6889" w:type="dxa"/>
            <w:tcBorders>
              <w:left w:val="single" w:color="auto" w:sz="6" w:space="0"/>
            </w:tcBorders>
            <w:shd w:val="clear" w:color="auto" w:fill="auto"/>
            <w:vAlign w:val="center"/>
          </w:tcPr>
          <w:p w14:paraId="377BFD37">
            <w:pPr>
              <w:spacing w:line="240" w:lineRule="auto"/>
              <w:ind w:firstLine="0" w:firstLineChars="0"/>
              <w:rPr>
                <w:color w:val="auto"/>
                <w:szCs w:val="24"/>
                <w:highlight w:val="none"/>
              </w:rPr>
            </w:pPr>
            <w:r>
              <w:rPr>
                <w:rFonts w:hint="eastAsia"/>
                <w:color w:val="auto"/>
                <w:szCs w:val="24"/>
                <w:highlight w:val="none"/>
              </w:rPr>
              <w:t>测试需求覆盖点/软件需求功能点</w:t>
            </w:r>
          </w:p>
        </w:tc>
      </w:tr>
      <w:tr w14:paraId="3A7F1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6A9D417">
            <w:pPr>
              <w:spacing w:line="240" w:lineRule="auto"/>
              <w:ind w:firstLine="0" w:firstLineChars="0"/>
              <w:rPr>
                <w:color w:val="auto"/>
                <w:szCs w:val="24"/>
                <w:highlight w:val="none"/>
              </w:rPr>
            </w:pPr>
            <w:r>
              <w:rPr>
                <w:rFonts w:hint="eastAsia"/>
                <w:color w:val="auto"/>
                <w:szCs w:val="24"/>
                <w:highlight w:val="none"/>
              </w:rPr>
              <w:t>有效案例总数</w:t>
            </w:r>
          </w:p>
        </w:tc>
        <w:tc>
          <w:tcPr>
            <w:tcW w:w="6889" w:type="dxa"/>
            <w:tcBorders>
              <w:left w:val="single" w:color="auto" w:sz="6" w:space="0"/>
            </w:tcBorders>
            <w:shd w:val="clear" w:color="auto" w:fill="auto"/>
            <w:vAlign w:val="center"/>
          </w:tcPr>
          <w:p w14:paraId="4883212D">
            <w:pPr>
              <w:spacing w:line="240" w:lineRule="auto"/>
              <w:ind w:firstLine="0" w:firstLineChars="0"/>
              <w:rPr>
                <w:color w:val="auto"/>
                <w:szCs w:val="24"/>
                <w:highlight w:val="none"/>
              </w:rPr>
            </w:pPr>
            <w:r>
              <w:rPr>
                <w:rFonts w:hint="eastAsia"/>
                <w:color w:val="auto"/>
                <w:szCs w:val="24"/>
                <w:highlight w:val="none"/>
              </w:rPr>
              <w:t>案例总数-无效案例总数</w:t>
            </w:r>
          </w:p>
        </w:tc>
      </w:tr>
      <w:tr w14:paraId="57D6F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D278A09">
            <w:pPr>
              <w:spacing w:line="240" w:lineRule="auto"/>
              <w:ind w:firstLine="0" w:firstLineChars="0"/>
              <w:rPr>
                <w:color w:val="auto"/>
                <w:szCs w:val="24"/>
                <w:highlight w:val="none"/>
              </w:rPr>
            </w:pPr>
            <w:r>
              <w:rPr>
                <w:rFonts w:hint="eastAsia"/>
                <w:color w:val="auto"/>
                <w:szCs w:val="24"/>
                <w:highlight w:val="none"/>
              </w:rPr>
              <w:t>有效缺陷总数</w:t>
            </w:r>
          </w:p>
        </w:tc>
        <w:tc>
          <w:tcPr>
            <w:tcW w:w="6889" w:type="dxa"/>
            <w:tcBorders>
              <w:left w:val="single" w:color="auto" w:sz="6" w:space="0"/>
            </w:tcBorders>
            <w:shd w:val="clear" w:color="auto" w:fill="auto"/>
            <w:vAlign w:val="center"/>
          </w:tcPr>
          <w:p w14:paraId="4379542A">
            <w:pPr>
              <w:spacing w:line="240" w:lineRule="auto"/>
              <w:ind w:firstLine="0" w:firstLineChars="0"/>
              <w:rPr>
                <w:color w:val="auto"/>
                <w:szCs w:val="24"/>
                <w:highlight w:val="none"/>
              </w:rPr>
            </w:pPr>
            <w:r>
              <w:rPr>
                <w:rFonts w:hint="eastAsia"/>
                <w:color w:val="auto"/>
                <w:szCs w:val="24"/>
                <w:highlight w:val="none"/>
              </w:rPr>
              <w:t>缺陷总数-无效缺陷总数-伪缺陷总数</w:t>
            </w:r>
          </w:p>
        </w:tc>
      </w:tr>
      <w:tr w14:paraId="4DCEA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0220339">
            <w:pPr>
              <w:spacing w:line="240" w:lineRule="auto"/>
              <w:ind w:firstLine="0" w:firstLineChars="0"/>
              <w:rPr>
                <w:color w:val="auto"/>
                <w:szCs w:val="24"/>
                <w:highlight w:val="none"/>
              </w:rPr>
            </w:pPr>
            <w:r>
              <w:rPr>
                <w:rFonts w:hint="eastAsia"/>
                <w:color w:val="auto"/>
                <w:szCs w:val="24"/>
                <w:highlight w:val="none"/>
              </w:rPr>
              <w:t>严重以上缺陷总数</w:t>
            </w:r>
          </w:p>
        </w:tc>
        <w:tc>
          <w:tcPr>
            <w:tcW w:w="6889" w:type="dxa"/>
            <w:tcBorders>
              <w:left w:val="single" w:color="auto" w:sz="6" w:space="0"/>
            </w:tcBorders>
            <w:shd w:val="clear" w:color="auto" w:fill="auto"/>
            <w:vAlign w:val="center"/>
          </w:tcPr>
          <w:p w14:paraId="73133E98">
            <w:pPr>
              <w:spacing w:line="240" w:lineRule="auto"/>
              <w:ind w:firstLine="0" w:firstLineChars="0"/>
              <w:rPr>
                <w:color w:val="auto"/>
                <w:szCs w:val="24"/>
                <w:highlight w:val="none"/>
              </w:rPr>
            </w:pPr>
            <w:r>
              <w:rPr>
                <w:rFonts w:hint="eastAsia"/>
                <w:color w:val="auto"/>
                <w:szCs w:val="24"/>
                <w:highlight w:val="none"/>
              </w:rPr>
              <w:t>严重及致命缺陷总数-无效的严重及致命缺陷总数</w:t>
            </w:r>
          </w:p>
        </w:tc>
      </w:tr>
      <w:tr w14:paraId="473CE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3D29DF4">
            <w:pPr>
              <w:spacing w:line="240" w:lineRule="auto"/>
              <w:ind w:firstLine="0" w:firstLineChars="0"/>
              <w:rPr>
                <w:color w:val="auto"/>
                <w:szCs w:val="24"/>
                <w:highlight w:val="none"/>
              </w:rPr>
            </w:pPr>
            <w:r>
              <w:rPr>
                <w:rFonts w:hint="eastAsia"/>
                <w:color w:val="auto"/>
                <w:szCs w:val="24"/>
                <w:highlight w:val="none"/>
              </w:rPr>
              <w:t>案例执行率</w:t>
            </w:r>
          </w:p>
        </w:tc>
        <w:tc>
          <w:tcPr>
            <w:tcW w:w="6889" w:type="dxa"/>
            <w:tcBorders>
              <w:left w:val="single" w:color="auto" w:sz="6" w:space="0"/>
            </w:tcBorders>
            <w:shd w:val="clear" w:color="auto" w:fill="auto"/>
            <w:vAlign w:val="center"/>
          </w:tcPr>
          <w:p w14:paraId="123673DF">
            <w:pPr>
              <w:spacing w:line="240" w:lineRule="auto"/>
              <w:ind w:firstLine="0" w:firstLineChars="0"/>
              <w:rPr>
                <w:color w:val="auto"/>
                <w:szCs w:val="24"/>
                <w:highlight w:val="none"/>
              </w:rPr>
            </w:pPr>
            <w:r>
              <w:rPr>
                <w:rFonts w:hint="eastAsia"/>
                <w:color w:val="auto"/>
                <w:szCs w:val="24"/>
                <w:highlight w:val="none"/>
              </w:rPr>
              <w:t>每轮执行案例数/每轮计划执行的案例个数</w:t>
            </w:r>
          </w:p>
        </w:tc>
      </w:tr>
      <w:tr w14:paraId="55195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D6D421A">
            <w:pPr>
              <w:spacing w:line="240" w:lineRule="auto"/>
              <w:ind w:firstLine="0" w:firstLineChars="0"/>
              <w:rPr>
                <w:color w:val="auto"/>
                <w:szCs w:val="24"/>
                <w:highlight w:val="none"/>
              </w:rPr>
            </w:pPr>
            <w:r>
              <w:rPr>
                <w:rFonts w:hint="eastAsia"/>
                <w:color w:val="auto"/>
                <w:szCs w:val="24"/>
                <w:highlight w:val="none"/>
              </w:rPr>
              <w:t>需求稳定指数</w:t>
            </w:r>
          </w:p>
        </w:tc>
        <w:tc>
          <w:tcPr>
            <w:tcW w:w="6889" w:type="dxa"/>
            <w:tcBorders>
              <w:left w:val="single" w:color="auto" w:sz="6" w:space="0"/>
            </w:tcBorders>
            <w:shd w:val="clear" w:color="auto" w:fill="auto"/>
            <w:vAlign w:val="center"/>
          </w:tcPr>
          <w:p w14:paraId="28B70E76">
            <w:pPr>
              <w:spacing w:line="240" w:lineRule="auto"/>
              <w:ind w:firstLine="0" w:firstLineChars="0"/>
              <w:rPr>
                <w:color w:val="auto"/>
                <w:szCs w:val="24"/>
                <w:highlight w:val="none"/>
              </w:rPr>
            </w:pPr>
            <w:r>
              <w:rPr>
                <w:rFonts w:hint="eastAsia"/>
                <w:color w:val="auto"/>
                <w:szCs w:val="24"/>
                <w:highlight w:val="none"/>
              </w:rPr>
              <w:t>（测试需求分析中规则数量-业务需求因素引起变更的测试需求规则数-开发因素引起变更的测试需求规则数）/测试需求分析中规则数量</w:t>
            </w:r>
          </w:p>
        </w:tc>
      </w:tr>
      <w:tr w14:paraId="2F7E0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6C4B10D">
            <w:pPr>
              <w:spacing w:line="240" w:lineRule="auto"/>
              <w:ind w:firstLine="0" w:firstLineChars="0"/>
              <w:rPr>
                <w:color w:val="auto"/>
                <w:szCs w:val="24"/>
                <w:highlight w:val="none"/>
              </w:rPr>
            </w:pPr>
            <w:r>
              <w:rPr>
                <w:rFonts w:hint="eastAsia"/>
                <w:color w:val="auto"/>
                <w:szCs w:val="24"/>
                <w:highlight w:val="none"/>
              </w:rPr>
              <w:t>案例执行通过率</w:t>
            </w:r>
          </w:p>
        </w:tc>
        <w:tc>
          <w:tcPr>
            <w:tcW w:w="6889" w:type="dxa"/>
            <w:tcBorders>
              <w:left w:val="single" w:color="auto" w:sz="6" w:space="0"/>
            </w:tcBorders>
            <w:shd w:val="clear" w:color="auto" w:fill="auto"/>
            <w:vAlign w:val="center"/>
          </w:tcPr>
          <w:p w14:paraId="7D4BA66F">
            <w:pPr>
              <w:spacing w:line="240" w:lineRule="auto"/>
              <w:ind w:firstLine="0" w:firstLineChars="0"/>
              <w:rPr>
                <w:color w:val="auto"/>
                <w:szCs w:val="24"/>
                <w:highlight w:val="none"/>
              </w:rPr>
            </w:pPr>
            <w:r>
              <w:rPr>
                <w:rFonts w:hint="eastAsia"/>
                <w:color w:val="auto"/>
                <w:szCs w:val="24"/>
                <w:highlight w:val="none"/>
              </w:rPr>
              <w:t>每轮执行通过的案例个数/每轮执行案例数</w:t>
            </w:r>
          </w:p>
        </w:tc>
      </w:tr>
      <w:tr w14:paraId="6A0BF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1E72388F">
            <w:pPr>
              <w:spacing w:line="240" w:lineRule="auto"/>
              <w:ind w:firstLine="0" w:firstLineChars="0"/>
              <w:rPr>
                <w:color w:val="auto"/>
                <w:szCs w:val="24"/>
                <w:highlight w:val="none"/>
              </w:rPr>
            </w:pPr>
            <w:r>
              <w:rPr>
                <w:rFonts w:hint="eastAsia"/>
                <w:color w:val="auto"/>
                <w:szCs w:val="24"/>
                <w:highlight w:val="none"/>
              </w:rPr>
              <w:t>缺陷的案例命中率</w:t>
            </w:r>
          </w:p>
        </w:tc>
        <w:tc>
          <w:tcPr>
            <w:tcW w:w="6889" w:type="dxa"/>
            <w:tcBorders>
              <w:left w:val="single" w:color="auto" w:sz="6" w:space="0"/>
            </w:tcBorders>
            <w:shd w:val="clear" w:color="auto" w:fill="auto"/>
            <w:vAlign w:val="bottom"/>
          </w:tcPr>
          <w:p w14:paraId="709FA119">
            <w:pPr>
              <w:spacing w:line="240" w:lineRule="auto"/>
              <w:ind w:firstLine="0" w:firstLineChars="0"/>
              <w:rPr>
                <w:color w:val="auto"/>
                <w:szCs w:val="24"/>
                <w:highlight w:val="none"/>
              </w:rPr>
            </w:pPr>
            <w:r>
              <w:rPr>
                <w:rFonts w:hint="eastAsia"/>
                <w:color w:val="auto"/>
                <w:szCs w:val="24"/>
                <w:highlight w:val="none"/>
              </w:rPr>
              <w:t>有效缺陷总数/有效案例总数</w:t>
            </w:r>
          </w:p>
        </w:tc>
      </w:tr>
      <w:tr w14:paraId="1645C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7DB08F68">
            <w:pPr>
              <w:spacing w:line="240" w:lineRule="auto"/>
              <w:ind w:firstLine="0" w:firstLineChars="0"/>
              <w:rPr>
                <w:color w:val="auto"/>
                <w:szCs w:val="24"/>
                <w:highlight w:val="none"/>
              </w:rPr>
            </w:pPr>
            <w:r>
              <w:rPr>
                <w:rFonts w:hint="eastAsia"/>
                <w:color w:val="auto"/>
                <w:szCs w:val="24"/>
                <w:highlight w:val="none"/>
              </w:rPr>
              <w:t>严重以上缺陷占比</w:t>
            </w:r>
          </w:p>
        </w:tc>
        <w:tc>
          <w:tcPr>
            <w:tcW w:w="6889" w:type="dxa"/>
            <w:tcBorders>
              <w:left w:val="single" w:color="auto" w:sz="6" w:space="0"/>
            </w:tcBorders>
            <w:shd w:val="clear" w:color="auto" w:fill="auto"/>
            <w:vAlign w:val="bottom"/>
          </w:tcPr>
          <w:p w14:paraId="0484F1FE">
            <w:pPr>
              <w:spacing w:line="240" w:lineRule="auto"/>
              <w:ind w:firstLine="0" w:firstLineChars="0"/>
              <w:rPr>
                <w:color w:val="auto"/>
                <w:szCs w:val="24"/>
                <w:highlight w:val="none"/>
              </w:rPr>
            </w:pPr>
            <w:r>
              <w:rPr>
                <w:rFonts w:hint="eastAsia"/>
                <w:color w:val="auto"/>
                <w:szCs w:val="24"/>
                <w:highlight w:val="none"/>
              </w:rPr>
              <w:t>严重以上缺陷总数/有效缺陷总数</w:t>
            </w:r>
          </w:p>
        </w:tc>
      </w:tr>
      <w:tr w14:paraId="1054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71145B30">
            <w:pPr>
              <w:spacing w:line="240" w:lineRule="auto"/>
              <w:ind w:firstLine="0" w:firstLineChars="0"/>
              <w:rPr>
                <w:color w:val="auto"/>
                <w:szCs w:val="24"/>
                <w:highlight w:val="none"/>
              </w:rPr>
            </w:pPr>
            <w:r>
              <w:rPr>
                <w:rFonts w:hint="eastAsia"/>
                <w:color w:val="auto"/>
                <w:szCs w:val="24"/>
                <w:highlight w:val="none"/>
              </w:rPr>
              <w:t>缺陷解决率</w:t>
            </w:r>
          </w:p>
        </w:tc>
        <w:tc>
          <w:tcPr>
            <w:tcW w:w="6889" w:type="dxa"/>
            <w:tcBorders>
              <w:left w:val="single" w:color="auto" w:sz="6" w:space="0"/>
            </w:tcBorders>
            <w:shd w:val="clear" w:color="auto" w:fill="auto"/>
            <w:vAlign w:val="bottom"/>
          </w:tcPr>
          <w:p w14:paraId="7E577B72">
            <w:pPr>
              <w:spacing w:line="240" w:lineRule="auto"/>
              <w:ind w:firstLine="0" w:firstLineChars="0"/>
              <w:rPr>
                <w:color w:val="auto"/>
                <w:szCs w:val="24"/>
                <w:highlight w:val="none"/>
              </w:rPr>
            </w:pPr>
            <w:r>
              <w:rPr>
                <w:rFonts w:hint="eastAsia"/>
                <w:color w:val="auto"/>
                <w:szCs w:val="24"/>
                <w:highlight w:val="none"/>
              </w:rPr>
              <w:t>关闭缺陷总数/有效缺陷总数</w:t>
            </w:r>
          </w:p>
        </w:tc>
      </w:tr>
    </w:tbl>
    <w:p w14:paraId="226032CF">
      <w:pPr>
        <w:rPr>
          <w:color w:val="auto"/>
          <w:highlight w:val="none"/>
        </w:rPr>
      </w:pPr>
    </w:p>
    <w:p w14:paraId="1559A2E2">
      <w:pPr>
        <w:pStyle w:val="4"/>
        <w:ind w:left="0"/>
        <w:rPr>
          <w:color w:val="auto"/>
          <w:highlight w:val="none"/>
        </w:rPr>
      </w:pPr>
      <w:r>
        <w:rPr>
          <w:rFonts w:cs="Cambria"/>
          <w:bCs w:val="0"/>
          <w:color w:val="auto"/>
          <w:highlight w:val="none"/>
        </w:rPr>
        <w:t>3.4</w:t>
      </w:r>
      <w:r>
        <w:rPr>
          <w:rFonts w:hint="eastAsia" w:cs="Cambria"/>
          <w:bCs w:val="0"/>
          <w:color w:val="auto"/>
          <w:highlight w:val="none"/>
        </w:rPr>
        <w:t>人员要求</w:t>
      </w:r>
    </w:p>
    <w:p w14:paraId="7AA4FDC2">
      <w:pPr>
        <w:snapToGrid w:val="0"/>
        <w:rPr>
          <w:rFonts w:cs="Cambria"/>
          <w:b/>
          <w:color w:val="auto"/>
          <w:szCs w:val="24"/>
          <w:highlight w:val="none"/>
        </w:rPr>
      </w:pPr>
      <w:r>
        <w:rPr>
          <w:color w:val="auto"/>
          <w:highlight w:val="none"/>
        </w:rPr>
        <w:t>1</w:t>
      </w:r>
      <w:r>
        <w:rPr>
          <w:rFonts w:hint="eastAsia"/>
          <w:color w:val="auto"/>
          <w:highlight w:val="none"/>
        </w:rPr>
        <w:t>）</w:t>
      </w:r>
      <w:r>
        <w:rPr>
          <w:color w:val="auto"/>
          <w:highlight w:val="none"/>
        </w:rPr>
        <w:t>响应人</w:t>
      </w:r>
      <w:r>
        <w:rPr>
          <w:rFonts w:hint="eastAsia"/>
          <w:color w:val="auto"/>
          <w:highlight w:val="none"/>
        </w:rPr>
        <w:t>应承诺未征得采购人书面同意的情况下不得更换项目成员</w:t>
      </w:r>
      <w:r>
        <w:rPr>
          <w:color w:val="auto"/>
          <w:highlight w:val="none"/>
        </w:rPr>
        <w:t>，合同签订前项目组成员需通过行方组织的面试，若不通过，需更改人员直至达到行方要求</w:t>
      </w:r>
      <w:r>
        <w:rPr>
          <w:rFonts w:hint="eastAsia"/>
          <w:color w:val="auto"/>
          <w:highlight w:val="none"/>
        </w:rPr>
        <w:t>。</w:t>
      </w:r>
    </w:p>
    <w:p w14:paraId="721C8FCD">
      <w:pPr>
        <w:snapToGrid w:val="0"/>
        <w:rPr>
          <w:color w:val="auto"/>
          <w:highlight w:val="none"/>
        </w:rPr>
      </w:pPr>
      <w:r>
        <w:rPr>
          <w:color w:val="auto"/>
          <w:highlight w:val="none"/>
        </w:rPr>
        <w:t>2</w:t>
      </w:r>
      <w:r>
        <w:rPr>
          <w:rFonts w:hint="eastAsia"/>
          <w:color w:val="auto"/>
          <w:highlight w:val="none"/>
        </w:rPr>
        <w:t>）</w:t>
      </w:r>
      <w:r>
        <w:rPr>
          <w:rFonts w:hint="eastAsia"/>
          <w:snapToGrid w:val="0"/>
          <w:color w:val="auto"/>
          <w:kern w:val="0"/>
          <w:szCs w:val="28"/>
          <w:highlight w:val="none"/>
        </w:rPr>
        <w:t>所有成员必须为</w:t>
      </w:r>
      <w:r>
        <w:rPr>
          <w:rFonts w:hint="eastAsia"/>
          <w:color w:val="auto"/>
          <w:highlight w:val="none"/>
        </w:rPr>
        <w:t>响应人</w:t>
      </w:r>
      <w:r>
        <w:rPr>
          <w:rFonts w:hint="eastAsia"/>
          <w:snapToGrid w:val="0"/>
          <w:color w:val="auto"/>
          <w:kern w:val="0"/>
          <w:szCs w:val="28"/>
          <w:highlight w:val="none"/>
        </w:rPr>
        <w:t>单位员工，</w:t>
      </w:r>
      <w:r>
        <w:rPr>
          <w:rFonts w:hint="eastAsia"/>
          <w:b/>
          <w:color w:val="auto"/>
          <w:highlight w:val="none"/>
        </w:rPr>
        <w:t>响应人</w:t>
      </w:r>
      <w:r>
        <w:rPr>
          <w:rFonts w:hint="eastAsia"/>
          <w:b/>
          <w:snapToGrid w:val="0"/>
          <w:color w:val="auto"/>
          <w:kern w:val="0"/>
          <w:szCs w:val="28"/>
          <w:highlight w:val="none"/>
        </w:rPr>
        <w:t>项目组成员须提供近半年公司为其缴纳社保的证明材料，不得外包其他单位员工。（员工</w:t>
      </w:r>
      <w:r>
        <w:rPr>
          <w:b/>
          <w:snapToGrid w:val="0"/>
          <w:color w:val="auto"/>
          <w:kern w:val="0"/>
          <w:szCs w:val="28"/>
          <w:highlight w:val="none"/>
        </w:rPr>
        <w:t>参保单位为响应人或委托第三方公司代缴，均认定有效；若员工社保委托第三方公司代缴，需提供代缴材料证明</w:t>
      </w:r>
      <w:r>
        <w:rPr>
          <w:rFonts w:hint="eastAsia"/>
          <w:b/>
          <w:snapToGrid w:val="0"/>
          <w:color w:val="auto"/>
          <w:kern w:val="0"/>
          <w:szCs w:val="28"/>
          <w:highlight w:val="none"/>
        </w:rPr>
        <w:t>与</w:t>
      </w:r>
      <w:r>
        <w:rPr>
          <w:b/>
          <w:snapToGrid w:val="0"/>
          <w:color w:val="auto"/>
          <w:kern w:val="0"/>
          <w:szCs w:val="28"/>
          <w:highlight w:val="none"/>
        </w:rPr>
        <w:t>第三方签订的合同或协议</w:t>
      </w:r>
      <w:r>
        <w:rPr>
          <w:rFonts w:hint="eastAsia"/>
          <w:b/>
          <w:snapToGrid w:val="0"/>
          <w:color w:val="auto"/>
          <w:kern w:val="0"/>
          <w:szCs w:val="28"/>
          <w:highlight w:val="none"/>
        </w:rPr>
        <w:t>。）</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60"/>
      </w:tblGrid>
      <w:tr w14:paraId="2871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03C0037">
            <w:pPr>
              <w:snapToGrid w:val="0"/>
              <w:spacing w:line="240" w:lineRule="auto"/>
              <w:ind w:firstLine="0" w:firstLineChars="0"/>
              <w:jc w:val="center"/>
              <w:rPr>
                <w:color w:val="auto"/>
                <w:szCs w:val="28"/>
                <w:highlight w:val="none"/>
              </w:rPr>
            </w:pPr>
            <w:r>
              <w:rPr>
                <w:rFonts w:hint="eastAsia"/>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14C4C89F">
            <w:pPr>
              <w:spacing w:line="240" w:lineRule="auto"/>
              <w:ind w:firstLine="0" w:firstLineChars="0"/>
              <w:rPr>
                <w:color w:val="auto"/>
                <w:highlight w:val="none"/>
              </w:rPr>
            </w:pPr>
            <w:r>
              <w:rPr>
                <w:rFonts w:hint="eastAsia" w:hAnsi="仿宋" w:cs="Cambria"/>
                <w:color w:val="auto"/>
                <w:kern w:val="0"/>
                <w:highlight w:val="none"/>
              </w:rPr>
              <w:t>主导过三个以上同类项目和具有五年以上项目经理工作经验，具有独当一面的技术能力，其中近三年至少担任过2个及以上银行业务连续性管理项目成功实施经验，管理过8人及以上项目团队；直接对项目的实施负责，通过对工期、成本、质量的控制（包括总体制定、执行、跟踪、调整相关计划，协调项目可用资源），确保项目按要求完成。</w:t>
            </w:r>
          </w:p>
        </w:tc>
      </w:tr>
      <w:tr w14:paraId="24D3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DA54C27">
            <w:pPr>
              <w:snapToGrid w:val="0"/>
              <w:spacing w:line="240" w:lineRule="auto"/>
              <w:ind w:firstLine="0" w:firstLineChars="0"/>
              <w:jc w:val="center"/>
              <w:rPr>
                <w:color w:val="auto"/>
                <w:szCs w:val="28"/>
                <w:highlight w:val="none"/>
              </w:rPr>
            </w:pPr>
            <w:r>
              <w:rPr>
                <w:rFonts w:hint="eastAsia" w:hAnsi="仿宋"/>
                <w:color w:val="auto"/>
                <w:szCs w:val="28"/>
                <w:highlight w:val="none"/>
              </w:rPr>
              <w:t>业务连续性管理咨询专家</w:t>
            </w:r>
          </w:p>
        </w:tc>
        <w:tc>
          <w:tcPr>
            <w:tcW w:w="7660" w:type="dxa"/>
            <w:tcBorders>
              <w:top w:val="single" w:color="auto" w:sz="4" w:space="0"/>
              <w:left w:val="single" w:color="auto" w:sz="4" w:space="0"/>
              <w:bottom w:val="single" w:color="auto" w:sz="4" w:space="0"/>
              <w:right w:val="single" w:color="auto" w:sz="4" w:space="0"/>
            </w:tcBorders>
          </w:tcPr>
          <w:p w14:paraId="2B7C652C">
            <w:pPr>
              <w:spacing w:line="240" w:lineRule="auto"/>
              <w:ind w:firstLine="0" w:firstLineChars="0"/>
              <w:rPr>
                <w:color w:val="auto"/>
                <w:highlight w:val="none"/>
              </w:rPr>
            </w:pPr>
            <w:r>
              <w:rPr>
                <w:rFonts w:hint="eastAsia" w:hAnsi="仿宋" w:cs="Cambria"/>
                <w:color w:val="auto"/>
                <w:kern w:val="0"/>
                <w:highlight w:val="none"/>
              </w:rPr>
              <w:t>须具备5年以上银行业务连续性咨询服务经验，其中近三年至少参与过2个及以上银行业务连续性管理咨询项目，且至少一人需取得国际灾难恢复协会DRII颁发的CBCP证书。</w:t>
            </w:r>
          </w:p>
        </w:tc>
      </w:tr>
      <w:tr w14:paraId="6992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50730D2">
            <w:pPr>
              <w:spacing w:line="240" w:lineRule="auto"/>
              <w:ind w:firstLine="0" w:firstLineChars="0"/>
              <w:jc w:val="center"/>
              <w:rPr>
                <w:rFonts w:hAnsi="仿宋" w:cs="Cambria"/>
                <w:color w:val="auto"/>
                <w:kern w:val="0"/>
                <w:highlight w:val="none"/>
              </w:rPr>
            </w:pPr>
            <w:r>
              <w:rPr>
                <w:rFonts w:hint="eastAsia" w:hAnsi="仿宋" w:cs="Cambria"/>
                <w:color w:val="auto"/>
                <w:kern w:val="0"/>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5436E905">
            <w:pPr>
              <w:snapToGrid w:val="0"/>
              <w:spacing w:line="240" w:lineRule="auto"/>
              <w:ind w:firstLine="0" w:firstLineChars="0"/>
              <w:rPr>
                <w:rFonts w:hAnsi="仿宋" w:cs="Cambria"/>
                <w:color w:val="auto"/>
                <w:kern w:val="0"/>
                <w:highlight w:val="none"/>
              </w:rPr>
            </w:pPr>
            <w:r>
              <w:rPr>
                <w:rFonts w:hint="eastAsia" w:hAnsi="仿宋" w:cs="Cambria"/>
                <w:color w:val="auto"/>
                <w:kern w:val="0"/>
                <w:highlight w:val="none"/>
              </w:rPr>
              <w:t>完成过三个以上同类项目的需求分析、设计，熟悉银行业务连续性管理流程和相关法律法规，能够辅助采购人完成咨询结果转换为业务需求，善于表达，具有良好的沟通技巧和能力。</w:t>
            </w:r>
          </w:p>
        </w:tc>
      </w:tr>
      <w:tr w14:paraId="6698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10CA230">
            <w:pPr>
              <w:snapToGrid w:val="0"/>
              <w:spacing w:line="240" w:lineRule="auto"/>
              <w:ind w:firstLine="0" w:firstLineChars="0"/>
              <w:jc w:val="center"/>
              <w:rPr>
                <w:color w:val="auto"/>
                <w:szCs w:val="28"/>
                <w:highlight w:val="none"/>
              </w:rPr>
            </w:pPr>
            <w:r>
              <w:rPr>
                <w:rFonts w:hint="eastAsia"/>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1EF0B3EC">
            <w:pPr>
              <w:snapToGrid w:val="0"/>
              <w:spacing w:line="240" w:lineRule="auto"/>
              <w:ind w:firstLine="0" w:firstLineChars="0"/>
              <w:rPr>
                <w:color w:val="auto"/>
                <w:highlight w:val="none"/>
              </w:rPr>
            </w:pPr>
            <w:r>
              <w:rPr>
                <w:rFonts w:hint="eastAsia"/>
                <w:color w:val="auto"/>
                <w:highlight w:val="none"/>
              </w:rPr>
              <w:t>至少二年开发经验，开发组长须有至少五年开发经验，且均有银行相关系统的项目实施经历。</w:t>
            </w:r>
          </w:p>
        </w:tc>
      </w:tr>
    </w:tbl>
    <w:p w14:paraId="6B1D9023">
      <w:pPr>
        <w:rPr>
          <w:snapToGrid w:val="0"/>
          <w:color w:val="auto"/>
          <w:kern w:val="0"/>
          <w:highlight w:val="none"/>
        </w:rPr>
      </w:pPr>
      <w:r>
        <w:rPr>
          <w:color w:val="auto"/>
          <w:highlight w:val="none"/>
        </w:rPr>
        <w:t>3</w:t>
      </w:r>
      <w:r>
        <w:rPr>
          <w:rFonts w:hint="eastAsia"/>
          <w:color w:val="auto"/>
          <w:highlight w:val="none"/>
        </w:rPr>
        <w:t>）</w:t>
      </w:r>
      <w:r>
        <w:rPr>
          <w:rFonts w:hint="eastAsia"/>
          <w:snapToGrid w:val="0"/>
          <w:color w:val="auto"/>
          <w:kern w:val="0"/>
          <w:highlight w:val="none"/>
        </w:rPr>
        <w:t>需提供人员简历信息，同时，采购人将对所提供的人员进行审核，达不到采购人要求的将要求替换。项目经理及骨干成员须参加采购人组织的面试，面试人员在合同签订时不得进行更换。</w:t>
      </w:r>
    </w:p>
    <w:p w14:paraId="165B62C1">
      <w:pPr>
        <w:rPr>
          <w:color w:val="auto"/>
          <w:szCs w:val="24"/>
          <w:highlight w:val="none"/>
        </w:rPr>
      </w:pPr>
      <w:r>
        <w:rPr>
          <w:color w:val="auto"/>
          <w:highlight w:val="none"/>
        </w:rPr>
        <w:t>4</w:t>
      </w:r>
      <w:r>
        <w:rPr>
          <w:rFonts w:hint="eastAsia"/>
          <w:color w:val="auto"/>
          <w:highlight w:val="none"/>
        </w:rPr>
        <w:t>）</w:t>
      </w:r>
      <w:r>
        <w:rPr>
          <w:color w:val="auto"/>
          <w:szCs w:val="24"/>
          <w:highlight w:val="none"/>
        </w:rPr>
        <w:t>项目组成员若有违约违规行为将由响应人承担责任。</w:t>
      </w:r>
    </w:p>
    <w:p w14:paraId="32ED5245">
      <w:pPr>
        <w:rPr>
          <w:color w:val="auto"/>
          <w:szCs w:val="24"/>
          <w:highlight w:val="none"/>
        </w:rPr>
      </w:pPr>
      <w:r>
        <w:rPr>
          <w:rFonts w:hint="eastAsia"/>
          <w:color w:val="auto"/>
          <w:highlight w:val="none"/>
        </w:rPr>
        <w:t>【提供项目组全体人员名单、简历信息、社保</w:t>
      </w:r>
      <w:r>
        <w:rPr>
          <w:rFonts w:hint="eastAsia"/>
          <w:color w:val="auto"/>
          <w:highlight w:val="none"/>
          <w:lang w:eastAsia="zh-CN"/>
        </w:rPr>
        <w:t>、</w:t>
      </w:r>
      <w:r>
        <w:rPr>
          <w:rFonts w:hint="eastAsia"/>
          <w:color w:val="auto"/>
          <w:highlight w:val="none"/>
        </w:rPr>
        <w:t>工作经验以及经历等相关证明材料】</w:t>
      </w:r>
    </w:p>
    <w:p w14:paraId="32DC4096">
      <w:pPr>
        <w:pStyle w:val="4"/>
        <w:ind w:left="0"/>
        <w:rPr>
          <w:color w:val="auto"/>
          <w:highlight w:val="none"/>
        </w:rPr>
      </w:pPr>
      <w:r>
        <w:rPr>
          <w:color w:val="auto"/>
          <w:highlight w:val="none"/>
        </w:rPr>
        <w:t>3.5</w:t>
      </w:r>
      <w:r>
        <w:rPr>
          <w:rFonts w:hint="eastAsia"/>
          <w:color w:val="auto"/>
          <w:highlight w:val="none"/>
        </w:rPr>
        <w:t>项目实施要求</w:t>
      </w:r>
    </w:p>
    <w:p w14:paraId="1FF3AEB7">
      <w:pPr>
        <w:rPr>
          <w:color w:val="auto"/>
          <w:highlight w:val="none"/>
        </w:rPr>
      </w:pPr>
      <w:r>
        <w:rPr>
          <w:rFonts w:hint="eastAsia"/>
          <w:color w:val="auto"/>
          <w:highlight w:val="none"/>
        </w:rPr>
        <w:t>在本项目实施周期内，如遇到原系统功能与需求不符，需要及时调整实施方案，满足采购人的要求，并征得采购人同意方可变更。</w:t>
      </w:r>
    </w:p>
    <w:p w14:paraId="57046A92">
      <w:pPr>
        <w:rPr>
          <w:color w:val="auto"/>
          <w:highlight w:val="none"/>
        </w:rPr>
      </w:pPr>
      <w:r>
        <w:rPr>
          <w:rFonts w:hint="eastAsia"/>
          <w:color w:val="auto"/>
          <w:highlight w:val="none"/>
        </w:rPr>
        <w:t>响应人在项目实施过程中，需按照采购人项目管理规范提供相应文档（所有提交文档必须为中文）。</w:t>
      </w:r>
    </w:p>
    <w:p w14:paraId="1B85A879">
      <w:pPr>
        <w:rPr>
          <w:color w:val="auto"/>
          <w:highlight w:val="none"/>
        </w:rPr>
      </w:pPr>
      <w:r>
        <w:rPr>
          <w:rFonts w:hint="eastAsia"/>
          <w:color w:val="auto"/>
          <w:highlight w:val="none"/>
        </w:rPr>
        <w:t>本项目为现场开发，原则上不允许远程开发模式，除非得到采购人的明确认可和授权。</w:t>
      </w:r>
    </w:p>
    <w:p w14:paraId="04AF04E2">
      <w:pPr>
        <w:pStyle w:val="4"/>
        <w:ind w:left="0"/>
        <w:rPr>
          <w:color w:val="auto"/>
          <w:highlight w:val="none"/>
        </w:rPr>
      </w:pPr>
      <w:r>
        <w:rPr>
          <w:color w:val="auto"/>
          <w:highlight w:val="none"/>
        </w:rPr>
        <w:t>3.6</w:t>
      </w:r>
      <w:r>
        <w:rPr>
          <w:rFonts w:hint="eastAsia"/>
          <w:color w:val="auto"/>
          <w:highlight w:val="none"/>
        </w:rPr>
        <w:t>项目源代码要求</w:t>
      </w:r>
    </w:p>
    <w:p w14:paraId="485F5DB8">
      <w:pPr>
        <w:rPr>
          <w:color w:val="auto"/>
          <w:highlight w:val="none"/>
        </w:rPr>
      </w:pPr>
      <w:r>
        <w:rPr>
          <w:rFonts w:hint="eastAsia"/>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rPr>
          <w:color w:val="auto"/>
          <w:highlight w:val="none"/>
        </w:rPr>
        <w:t>归双方共有</w:t>
      </w:r>
      <w:r>
        <w:rPr>
          <w:rFonts w:hint="eastAsia"/>
          <w:color w:val="auto"/>
          <w:highlight w:val="none"/>
        </w:rPr>
        <w:t>。针对共有部分，采购人拥有在采购人及其分支机构使用及后续开发的权利，响应人拥有在其公司和其他组织范围内使用的权利，但响应人使用时不得侵犯采购人利益。</w:t>
      </w:r>
    </w:p>
    <w:p w14:paraId="32085A20">
      <w:pPr>
        <w:pStyle w:val="4"/>
        <w:ind w:left="0"/>
        <w:rPr>
          <w:color w:val="auto"/>
          <w:highlight w:val="none"/>
        </w:rPr>
      </w:pPr>
      <w:r>
        <w:rPr>
          <w:color w:val="auto"/>
          <w:highlight w:val="none"/>
        </w:rPr>
        <w:t>3.7</w:t>
      </w:r>
      <w:r>
        <w:rPr>
          <w:rFonts w:hint="eastAsia"/>
          <w:color w:val="auto"/>
          <w:highlight w:val="none"/>
        </w:rPr>
        <w:t>交付周期、地点</w:t>
      </w:r>
    </w:p>
    <w:p w14:paraId="3F3907AC">
      <w:pPr>
        <w:pStyle w:val="5"/>
        <w:rPr>
          <w:color w:val="auto"/>
          <w:highlight w:val="none"/>
        </w:rPr>
      </w:pPr>
      <w:r>
        <w:rPr>
          <w:color w:val="auto"/>
          <w:highlight w:val="none"/>
        </w:rPr>
        <w:t>3.7</w:t>
      </w:r>
      <w:r>
        <w:rPr>
          <w:rFonts w:hint="eastAsia"/>
          <w:color w:val="auto"/>
          <w:highlight w:val="none"/>
        </w:rPr>
        <w:t>.1 交付时间</w:t>
      </w:r>
    </w:p>
    <w:p w14:paraId="3E049AD6">
      <w:pPr>
        <w:rPr>
          <w:color w:val="auto"/>
          <w:highlight w:val="none"/>
        </w:rPr>
      </w:pPr>
      <w:r>
        <w:rPr>
          <w:rFonts w:hint="eastAsia" w:hAnsi="宋体"/>
          <w:color w:val="auto"/>
          <w:highlight w:val="none"/>
        </w:rPr>
        <w:t>自合同生效之日起，4个月内完成咨询服务，9个月内完成系统上线运行。</w:t>
      </w:r>
    </w:p>
    <w:p w14:paraId="48F67040">
      <w:pPr>
        <w:pStyle w:val="5"/>
        <w:rPr>
          <w:color w:val="auto"/>
          <w:highlight w:val="none"/>
        </w:rPr>
      </w:pPr>
      <w:r>
        <w:rPr>
          <w:color w:val="auto"/>
          <w:highlight w:val="none"/>
        </w:rPr>
        <w:t>3.7</w:t>
      </w:r>
      <w:r>
        <w:rPr>
          <w:rFonts w:hint="eastAsia"/>
          <w:color w:val="auto"/>
          <w:highlight w:val="none"/>
        </w:rPr>
        <w:t>.2 实施及交付地点</w:t>
      </w:r>
    </w:p>
    <w:p w14:paraId="4867337C">
      <w:pPr>
        <w:rPr>
          <w:color w:val="auto"/>
          <w:highlight w:val="none"/>
        </w:rPr>
      </w:pPr>
      <w:r>
        <w:rPr>
          <w:rFonts w:hint="eastAsia"/>
          <w:color w:val="auto"/>
          <w:highlight w:val="none"/>
        </w:rPr>
        <w:t>重庆市。</w:t>
      </w:r>
    </w:p>
    <w:p w14:paraId="56975463">
      <w:pPr>
        <w:pStyle w:val="4"/>
        <w:ind w:left="0"/>
        <w:rPr>
          <w:color w:val="auto"/>
          <w:highlight w:val="none"/>
        </w:rPr>
      </w:pPr>
      <w:r>
        <w:rPr>
          <w:color w:val="auto"/>
          <w:highlight w:val="none"/>
        </w:rPr>
        <w:t>3.8</w:t>
      </w:r>
      <w:r>
        <w:rPr>
          <w:rFonts w:hint="eastAsia"/>
          <w:color w:val="auto"/>
          <w:highlight w:val="none"/>
        </w:rPr>
        <w:t>验收测试</w:t>
      </w:r>
    </w:p>
    <w:p w14:paraId="41A35AF7">
      <w:pPr>
        <w:pStyle w:val="5"/>
        <w:rPr>
          <w:color w:val="auto"/>
          <w:szCs w:val="20"/>
          <w:highlight w:val="none"/>
        </w:rPr>
      </w:pPr>
      <w:r>
        <w:rPr>
          <w:color w:val="auto"/>
          <w:szCs w:val="20"/>
          <w:highlight w:val="none"/>
        </w:rPr>
        <w:t>3.</w:t>
      </w:r>
      <w:r>
        <w:rPr>
          <w:rFonts w:hint="eastAsia"/>
          <w:color w:val="auto"/>
          <w:szCs w:val="20"/>
          <w:highlight w:val="none"/>
        </w:rPr>
        <w:t>8</w:t>
      </w:r>
      <w:r>
        <w:rPr>
          <w:color w:val="auto"/>
          <w:szCs w:val="20"/>
          <w:highlight w:val="none"/>
        </w:rPr>
        <w:t xml:space="preserve">.1 </w:t>
      </w:r>
      <w:r>
        <w:rPr>
          <w:rFonts w:hint="eastAsia"/>
          <w:color w:val="auto"/>
          <w:szCs w:val="20"/>
          <w:highlight w:val="none"/>
        </w:rPr>
        <w:t>验收测试的范围</w:t>
      </w:r>
    </w:p>
    <w:p w14:paraId="5D76626E">
      <w:pPr>
        <w:tabs>
          <w:tab w:val="left" w:pos="540"/>
          <w:tab w:val="left" w:pos="720"/>
        </w:tabs>
        <w:spacing w:line="300" w:lineRule="auto"/>
        <w:rPr>
          <w:rFonts w:hAnsi="宋体"/>
          <w:color w:val="auto"/>
          <w:highlight w:val="none"/>
        </w:rPr>
      </w:pPr>
      <w:r>
        <w:rPr>
          <w:rFonts w:hAnsi="宋体"/>
          <w:color w:val="auto"/>
          <w:highlight w:val="none"/>
        </w:rPr>
        <w:t>（1）</w:t>
      </w:r>
      <w:r>
        <w:rPr>
          <w:rFonts w:hint="eastAsia" w:hAnsi="宋体"/>
          <w:color w:val="auto"/>
          <w:highlight w:val="none"/>
        </w:rPr>
        <w:t>咨询部分：</w:t>
      </w:r>
    </w:p>
    <w:p w14:paraId="21CCB183">
      <w:pPr>
        <w:tabs>
          <w:tab w:val="left" w:pos="540"/>
          <w:tab w:val="left" w:pos="720"/>
        </w:tabs>
        <w:spacing w:line="300" w:lineRule="auto"/>
        <w:rPr>
          <w:rFonts w:hAnsi="宋体"/>
          <w:color w:val="auto"/>
          <w:highlight w:val="none"/>
        </w:rPr>
      </w:pPr>
      <w:r>
        <w:rPr>
          <w:rFonts w:hint="eastAsia" w:hAnsi="宋体"/>
          <w:color w:val="auto"/>
          <w:highlight w:val="none"/>
        </w:rPr>
        <w:t>①方案切实可行，符合</w:t>
      </w:r>
      <w:r>
        <w:rPr>
          <w:rFonts w:hAnsi="宋体"/>
          <w:color w:val="auto"/>
          <w:highlight w:val="none"/>
        </w:rPr>
        <w:t>行方</w:t>
      </w:r>
      <w:r>
        <w:rPr>
          <w:rFonts w:hint="eastAsia" w:hAnsi="宋体"/>
          <w:color w:val="auto"/>
          <w:highlight w:val="none"/>
        </w:rPr>
        <w:t>实际情况。</w:t>
      </w:r>
    </w:p>
    <w:p w14:paraId="33696E66">
      <w:pPr>
        <w:tabs>
          <w:tab w:val="left" w:pos="540"/>
          <w:tab w:val="left" w:pos="720"/>
        </w:tabs>
        <w:spacing w:line="300" w:lineRule="auto"/>
        <w:rPr>
          <w:rFonts w:hAnsi="宋体"/>
          <w:color w:val="auto"/>
          <w:highlight w:val="none"/>
        </w:rPr>
      </w:pPr>
      <w:r>
        <w:rPr>
          <w:rFonts w:hint="eastAsia" w:hAnsi="宋体"/>
          <w:color w:val="auto"/>
          <w:highlight w:val="none"/>
        </w:rPr>
        <w:t>②按照项目时间要求完成相应交付品，且确保交付文档满足监管要求。</w:t>
      </w:r>
    </w:p>
    <w:p w14:paraId="3BAF94B3">
      <w:pPr>
        <w:tabs>
          <w:tab w:val="left" w:pos="540"/>
          <w:tab w:val="left" w:pos="720"/>
        </w:tabs>
        <w:spacing w:line="300" w:lineRule="auto"/>
        <w:rPr>
          <w:rFonts w:hAnsi="宋体"/>
          <w:color w:val="auto"/>
          <w:highlight w:val="none"/>
        </w:rPr>
      </w:pPr>
      <w:r>
        <w:rPr>
          <w:rFonts w:hint="eastAsia" w:hAnsi="宋体"/>
          <w:color w:val="auto"/>
          <w:highlight w:val="none"/>
        </w:rPr>
        <w:t>③保证充分的知识转移，银行员工已掌握相应方法论。</w:t>
      </w:r>
    </w:p>
    <w:p w14:paraId="5913A8CF">
      <w:pPr>
        <w:tabs>
          <w:tab w:val="left" w:pos="540"/>
          <w:tab w:val="left" w:pos="720"/>
        </w:tabs>
        <w:spacing w:line="300" w:lineRule="auto"/>
        <w:rPr>
          <w:rFonts w:hAnsi="宋体"/>
          <w:color w:val="auto"/>
          <w:highlight w:val="none"/>
        </w:rPr>
      </w:pPr>
      <w:r>
        <w:rPr>
          <w:rFonts w:hAnsi="宋体"/>
          <w:color w:val="auto"/>
          <w:highlight w:val="none"/>
        </w:rPr>
        <w:t>（2）</w:t>
      </w:r>
      <w:r>
        <w:rPr>
          <w:rFonts w:hint="eastAsia" w:hAnsi="宋体"/>
          <w:color w:val="auto"/>
          <w:highlight w:val="none"/>
        </w:rPr>
        <w:t>系统建设部分：</w:t>
      </w:r>
    </w:p>
    <w:p w14:paraId="46A7EE84">
      <w:pPr>
        <w:tabs>
          <w:tab w:val="left" w:pos="540"/>
          <w:tab w:val="left" w:pos="720"/>
        </w:tabs>
        <w:spacing w:line="300" w:lineRule="auto"/>
        <w:rPr>
          <w:rFonts w:hAnsi="宋体"/>
          <w:color w:val="auto"/>
          <w:highlight w:val="none"/>
        </w:rPr>
      </w:pPr>
      <w:r>
        <w:rPr>
          <w:rFonts w:hint="eastAsia" w:hAnsi="宋体"/>
          <w:color w:val="auto"/>
          <w:highlight w:val="none"/>
        </w:rPr>
        <w:t>①完成需求开发并通过测试验收，如有缺陷需无条件完成修复。</w:t>
      </w:r>
    </w:p>
    <w:p w14:paraId="4EC6279C">
      <w:pPr>
        <w:tabs>
          <w:tab w:val="left" w:pos="540"/>
          <w:tab w:val="left" w:pos="720"/>
        </w:tabs>
        <w:spacing w:line="300" w:lineRule="auto"/>
        <w:rPr>
          <w:color w:val="auto"/>
          <w:highlight w:val="none"/>
        </w:rPr>
      </w:pPr>
      <w:r>
        <w:rPr>
          <w:rFonts w:hint="eastAsia" w:hAnsi="宋体"/>
          <w:color w:val="auto"/>
          <w:highlight w:val="none"/>
        </w:rPr>
        <w:t>②项目建设过程及交付物成果、知识转移等遵循我行项目管理、质量管控、安全管控等相关要求。</w:t>
      </w:r>
    </w:p>
    <w:p w14:paraId="163C0550">
      <w:pPr>
        <w:tabs>
          <w:tab w:val="left" w:pos="540"/>
          <w:tab w:val="left" w:pos="720"/>
        </w:tabs>
        <w:spacing w:line="300" w:lineRule="auto"/>
        <w:rPr>
          <w:rFonts w:hAnsi="宋体"/>
          <w:color w:val="auto"/>
          <w:highlight w:val="none"/>
        </w:rPr>
      </w:pPr>
      <w:r>
        <w:rPr>
          <w:rFonts w:hint="eastAsia" w:hAnsi="宋体"/>
          <w:color w:val="auto"/>
          <w:highlight w:val="none"/>
        </w:rPr>
        <w:t>（3）</w:t>
      </w:r>
      <w:r>
        <w:rPr>
          <w:rFonts w:hAnsi="宋体"/>
          <w:color w:val="auto"/>
          <w:highlight w:val="none"/>
        </w:rPr>
        <w:t>体系认证部分</w:t>
      </w:r>
    </w:p>
    <w:p w14:paraId="67C66ECC">
      <w:pPr>
        <w:tabs>
          <w:tab w:val="left" w:pos="540"/>
          <w:tab w:val="left" w:pos="720"/>
        </w:tabs>
        <w:spacing w:line="300" w:lineRule="auto"/>
        <w:rPr>
          <w:rFonts w:hAnsi="宋体"/>
          <w:color w:val="auto"/>
          <w:highlight w:val="none"/>
        </w:rPr>
      </w:pPr>
      <w:r>
        <w:rPr>
          <w:rFonts w:hAnsi="宋体"/>
          <w:color w:val="auto"/>
          <w:highlight w:val="none"/>
        </w:rPr>
        <w:t>辅助行方顺利通过国际业务连续性管理体系ISO22301认证。</w:t>
      </w:r>
    </w:p>
    <w:p w14:paraId="6DA562DD">
      <w:pPr>
        <w:pStyle w:val="5"/>
        <w:rPr>
          <w:color w:val="auto"/>
          <w:szCs w:val="20"/>
          <w:highlight w:val="none"/>
        </w:rPr>
      </w:pPr>
      <w:r>
        <w:rPr>
          <w:color w:val="auto"/>
          <w:szCs w:val="20"/>
          <w:highlight w:val="none"/>
        </w:rPr>
        <w:t>3.</w:t>
      </w:r>
      <w:r>
        <w:rPr>
          <w:rFonts w:hint="eastAsia"/>
          <w:color w:val="auto"/>
          <w:szCs w:val="20"/>
          <w:highlight w:val="none"/>
        </w:rPr>
        <w:t>8</w:t>
      </w:r>
      <w:r>
        <w:rPr>
          <w:color w:val="auto"/>
          <w:szCs w:val="20"/>
          <w:highlight w:val="none"/>
        </w:rPr>
        <w:t xml:space="preserve">.2 </w:t>
      </w:r>
      <w:r>
        <w:rPr>
          <w:rFonts w:hint="eastAsia"/>
          <w:color w:val="auto"/>
          <w:szCs w:val="20"/>
          <w:highlight w:val="none"/>
        </w:rPr>
        <w:t>验收测试的组织</w:t>
      </w:r>
    </w:p>
    <w:p w14:paraId="3966708E">
      <w:pPr>
        <w:rPr>
          <w:color w:val="auto"/>
          <w:highlight w:val="none"/>
        </w:rPr>
      </w:pPr>
      <w:r>
        <w:rPr>
          <w:rFonts w:hint="eastAsia"/>
          <w:color w:val="auto"/>
          <w:highlight w:val="none"/>
        </w:rPr>
        <w:t>1）验收测试小组由采购人、成交供应商等有关人员组成，负责对项目建设进行验收测试。</w:t>
      </w:r>
    </w:p>
    <w:p w14:paraId="5DFDA6FB">
      <w:pPr>
        <w:rPr>
          <w:color w:val="auto"/>
          <w:highlight w:val="none"/>
        </w:rPr>
      </w:pPr>
      <w:r>
        <w:rPr>
          <w:rFonts w:hint="eastAsia"/>
          <w:color w:val="auto"/>
          <w:highlight w:val="none"/>
        </w:rPr>
        <w:t>2）成交供应商编制测试手册，经验收小组确认后，由验收小组负责验收测试。</w:t>
      </w:r>
    </w:p>
    <w:p w14:paraId="4E3601EF">
      <w:pPr>
        <w:rPr>
          <w:color w:val="auto"/>
          <w:highlight w:val="none"/>
        </w:rPr>
      </w:pPr>
      <w:r>
        <w:rPr>
          <w:rFonts w:hint="eastAsia"/>
          <w:color w:val="auto"/>
          <w:highlight w:val="none"/>
        </w:rPr>
        <w:t>3）在验收测试过程中，出现严重缺陷或质量问题时，验收小组可以决定暂停所有测试，直至缺陷和问题得到纠正。</w:t>
      </w:r>
    </w:p>
    <w:p w14:paraId="7745BF06">
      <w:pPr>
        <w:pStyle w:val="5"/>
        <w:rPr>
          <w:color w:val="auto"/>
          <w:szCs w:val="20"/>
          <w:highlight w:val="none"/>
        </w:rPr>
      </w:pPr>
      <w:r>
        <w:rPr>
          <w:color w:val="auto"/>
          <w:szCs w:val="20"/>
          <w:highlight w:val="none"/>
        </w:rPr>
        <w:t>3.</w:t>
      </w:r>
      <w:r>
        <w:rPr>
          <w:rFonts w:hint="eastAsia"/>
          <w:color w:val="auto"/>
          <w:szCs w:val="20"/>
          <w:highlight w:val="none"/>
        </w:rPr>
        <w:t>8</w:t>
      </w:r>
      <w:r>
        <w:rPr>
          <w:color w:val="auto"/>
          <w:szCs w:val="20"/>
          <w:highlight w:val="none"/>
        </w:rPr>
        <w:t xml:space="preserve">.3 </w:t>
      </w:r>
      <w:r>
        <w:rPr>
          <w:rFonts w:hint="eastAsia"/>
          <w:color w:val="auto"/>
          <w:szCs w:val="20"/>
          <w:highlight w:val="none"/>
        </w:rPr>
        <w:t>验收测试的程序</w:t>
      </w:r>
    </w:p>
    <w:p w14:paraId="65E3D98B">
      <w:pPr>
        <w:rPr>
          <w:color w:val="auto"/>
          <w:highlight w:val="none"/>
        </w:rPr>
      </w:pPr>
      <w:r>
        <w:rPr>
          <w:rFonts w:hint="eastAsia"/>
          <w:color w:val="auto"/>
          <w:highlight w:val="none"/>
        </w:rPr>
        <w:t>1）对各功能模块进行测试；</w:t>
      </w:r>
    </w:p>
    <w:p w14:paraId="78A2C8BF">
      <w:pPr>
        <w:rPr>
          <w:color w:val="auto"/>
          <w:highlight w:val="none"/>
        </w:rPr>
      </w:pPr>
      <w:r>
        <w:rPr>
          <w:rFonts w:hint="eastAsia"/>
          <w:color w:val="auto"/>
          <w:highlight w:val="none"/>
        </w:rPr>
        <w:t>2）在各功能模块测试合格的前提下，对系统进行全面初验；</w:t>
      </w:r>
    </w:p>
    <w:p w14:paraId="4A321616">
      <w:pPr>
        <w:rPr>
          <w:color w:val="auto"/>
          <w:highlight w:val="none"/>
        </w:rPr>
      </w:pPr>
      <w:r>
        <w:rPr>
          <w:rFonts w:hint="eastAsia"/>
          <w:color w:val="auto"/>
          <w:highlight w:val="none"/>
        </w:rPr>
        <w:t>3）系统验收测试合格后，进入试运行阶段；</w:t>
      </w:r>
    </w:p>
    <w:p w14:paraId="3065048D">
      <w:pPr>
        <w:rPr>
          <w:color w:val="auto"/>
          <w:highlight w:val="none"/>
        </w:rPr>
      </w:pPr>
      <w:r>
        <w:rPr>
          <w:color w:val="auto"/>
          <w:highlight w:val="none"/>
        </w:rPr>
        <w:t>4</w:t>
      </w:r>
      <w:r>
        <w:rPr>
          <w:rFonts w:hint="eastAsia"/>
          <w:color w:val="auto"/>
          <w:highlight w:val="none"/>
        </w:rPr>
        <w:t>）系统在全行上线运行三个月后，进行验收。</w:t>
      </w:r>
    </w:p>
    <w:p w14:paraId="16396597">
      <w:pPr>
        <w:pStyle w:val="5"/>
        <w:rPr>
          <w:color w:val="auto"/>
          <w:szCs w:val="20"/>
          <w:highlight w:val="none"/>
        </w:rPr>
      </w:pPr>
      <w:r>
        <w:rPr>
          <w:color w:val="auto"/>
          <w:szCs w:val="20"/>
          <w:highlight w:val="none"/>
        </w:rPr>
        <w:t>3.</w:t>
      </w:r>
      <w:r>
        <w:rPr>
          <w:rFonts w:hint="eastAsia"/>
          <w:color w:val="auto"/>
          <w:szCs w:val="20"/>
          <w:highlight w:val="none"/>
        </w:rPr>
        <w:t>8</w:t>
      </w:r>
      <w:r>
        <w:rPr>
          <w:color w:val="auto"/>
          <w:szCs w:val="20"/>
          <w:highlight w:val="none"/>
        </w:rPr>
        <w:t xml:space="preserve">.4 </w:t>
      </w:r>
      <w:r>
        <w:rPr>
          <w:rFonts w:hint="eastAsia"/>
          <w:color w:val="auto"/>
          <w:szCs w:val="20"/>
          <w:highlight w:val="none"/>
        </w:rPr>
        <w:t>验收测试的评定</w:t>
      </w:r>
    </w:p>
    <w:p w14:paraId="0D2307BE">
      <w:pPr>
        <w:rPr>
          <w:color w:val="auto"/>
          <w:highlight w:val="none"/>
        </w:rPr>
      </w:pPr>
      <w:r>
        <w:rPr>
          <w:rFonts w:hint="eastAsia"/>
          <w:color w:val="auto"/>
          <w:highlight w:val="none"/>
        </w:rPr>
        <w:t>测试结果按下列级别评定，并经验收小组签字认可：</w:t>
      </w:r>
    </w:p>
    <w:p w14:paraId="2CE4184C">
      <w:pPr>
        <w:rPr>
          <w:color w:val="auto"/>
          <w:highlight w:val="none"/>
        </w:rPr>
      </w:pPr>
      <w:r>
        <w:rPr>
          <w:rFonts w:hint="eastAsia"/>
          <w:color w:val="auto"/>
          <w:highlight w:val="none"/>
        </w:rPr>
        <w:t>•优良：功能和质量达到预期目的。</w:t>
      </w:r>
    </w:p>
    <w:p w14:paraId="6096645B">
      <w:pPr>
        <w:rPr>
          <w:color w:val="auto"/>
          <w:highlight w:val="none"/>
        </w:rPr>
      </w:pPr>
      <w:r>
        <w:rPr>
          <w:rFonts w:hint="eastAsia"/>
          <w:color w:val="auto"/>
          <w:highlight w:val="none"/>
        </w:rPr>
        <w:t>•合格：部分功能和质量不能满足采购人的要求，但成交供应商（集成商）采取了改正措施，使测试结果达到预期目的。</w:t>
      </w:r>
    </w:p>
    <w:p w14:paraId="40D8B999">
      <w:pPr>
        <w:rPr>
          <w:color w:val="auto"/>
          <w:highlight w:val="none"/>
        </w:rPr>
      </w:pPr>
      <w:r>
        <w:rPr>
          <w:rFonts w:hint="eastAsia"/>
          <w:color w:val="auto"/>
          <w:highlight w:val="none"/>
        </w:rPr>
        <w:t>•不合格：功能和质量不能满足采购人的要求。</w:t>
      </w:r>
    </w:p>
    <w:p w14:paraId="14B73856">
      <w:pPr>
        <w:pStyle w:val="4"/>
        <w:ind w:left="0"/>
        <w:rPr>
          <w:color w:val="auto"/>
          <w:kern w:val="0"/>
          <w:highlight w:val="none"/>
        </w:rPr>
      </w:pPr>
      <w:r>
        <w:rPr>
          <w:color w:val="auto"/>
          <w:kern w:val="0"/>
          <w:highlight w:val="none"/>
        </w:rPr>
        <w:t>3.9</w:t>
      </w:r>
      <w:r>
        <w:rPr>
          <w:rFonts w:hint="eastAsia"/>
          <w:color w:val="auto"/>
          <w:kern w:val="0"/>
          <w:highlight w:val="none"/>
        </w:rPr>
        <w:t>售后服务和支持</w:t>
      </w:r>
    </w:p>
    <w:p w14:paraId="1205C013">
      <w:pPr>
        <w:rPr>
          <w:color w:val="auto"/>
          <w:highlight w:val="none"/>
        </w:rPr>
      </w:pPr>
      <w:r>
        <w:rPr>
          <w:rFonts w:hint="eastAsia"/>
          <w:color w:val="auto"/>
          <w:highlight w:val="none"/>
        </w:rPr>
        <w:t>服务和支持的范围：</w:t>
      </w:r>
    </w:p>
    <w:p w14:paraId="4D1AD1FA">
      <w:pPr>
        <w:rPr>
          <w:color w:val="auto"/>
          <w:highlight w:val="none"/>
        </w:rPr>
      </w:pPr>
      <w:r>
        <w:rPr>
          <w:rFonts w:hint="eastAsia"/>
          <w:color w:val="auto"/>
          <w:highlight w:val="none"/>
        </w:rPr>
        <w:t>•系统的安装、部署和调试；</w:t>
      </w:r>
    </w:p>
    <w:p w14:paraId="114FBAD7">
      <w:pPr>
        <w:rPr>
          <w:color w:val="auto"/>
          <w:highlight w:val="none"/>
        </w:rPr>
      </w:pPr>
      <w:r>
        <w:rPr>
          <w:rFonts w:hint="eastAsia"/>
          <w:color w:val="auto"/>
          <w:highlight w:val="none"/>
        </w:rPr>
        <w:t>•项目的验收测试；</w:t>
      </w:r>
    </w:p>
    <w:p w14:paraId="0D3DEB50">
      <w:pPr>
        <w:rPr>
          <w:color w:val="auto"/>
          <w:highlight w:val="none"/>
        </w:rPr>
      </w:pPr>
      <w:r>
        <w:rPr>
          <w:rFonts w:hint="eastAsia"/>
          <w:color w:val="auto"/>
          <w:highlight w:val="none"/>
        </w:rPr>
        <w:t>•项目的数据转换、数据迁移、模拟运行和试运行；</w:t>
      </w:r>
    </w:p>
    <w:p w14:paraId="1FC515D5">
      <w:pPr>
        <w:rPr>
          <w:color w:val="auto"/>
          <w:highlight w:val="none"/>
        </w:rPr>
      </w:pPr>
      <w:r>
        <w:rPr>
          <w:rFonts w:hint="eastAsia"/>
          <w:color w:val="auto"/>
          <w:highlight w:val="none"/>
        </w:rPr>
        <w:t>•与系统运行有关的技术问题（含操作系统、数据库、应用系统的整体性能调优等）</w:t>
      </w:r>
    </w:p>
    <w:p w14:paraId="59F685E3">
      <w:pPr>
        <w:rPr>
          <w:color w:val="auto"/>
          <w:highlight w:val="none"/>
        </w:rPr>
      </w:pPr>
      <w:r>
        <w:rPr>
          <w:rFonts w:hint="eastAsia"/>
          <w:color w:val="auto"/>
          <w:highlight w:val="none"/>
        </w:rPr>
        <w:t>•项目上线后两年内，针对本项目的完善性需求以及监管提出的安全性需求，成交供应商需免费进行开发。</w:t>
      </w:r>
    </w:p>
    <w:p w14:paraId="751283F4">
      <w:pPr>
        <w:rPr>
          <w:color w:val="auto"/>
          <w:highlight w:val="none"/>
        </w:rPr>
      </w:pPr>
      <w:r>
        <w:rPr>
          <w:rFonts w:hint="eastAsia"/>
          <w:color w:val="auto"/>
          <w:highlight w:val="none"/>
        </w:rPr>
        <w:t>•相关技术及业务培训（其中在项目实施前必须组织技术人员进行平台二次开发培训，并提供平台的所有技术文档等）</w:t>
      </w:r>
    </w:p>
    <w:p w14:paraId="61787650">
      <w:pPr>
        <w:rPr>
          <w:color w:val="auto"/>
          <w:highlight w:val="none"/>
        </w:rPr>
      </w:pPr>
      <w:r>
        <w:rPr>
          <w:rFonts w:hint="eastAsia"/>
          <w:color w:val="auto"/>
          <w:highlight w:val="none"/>
        </w:rPr>
        <w:t>•维保期以年度计算，</w:t>
      </w:r>
      <w:r>
        <w:rPr>
          <w:color w:val="auto"/>
          <w:highlight w:val="none"/>
        </w:rPr>
        <w:t>应至少提供2</w:t>
      </w:r>
      <w:r>
        <w:rPr>
          <w:rFonts w:hint="eastAsia"/>
          <w:color w:val="auto"/>
          <w:highlight w:val="none"/>
        </w:rPr>
        <w:t>年</w:t>
      </w:r>
      <w:r>
        <w:rPr>
          <w:color w:val="auto"/>
          <w:highlight w:val="none"/>
        </w:rPr>
        <w:t>维保服务</w:t>
      </w:r>
      <w:r>
        <w:rPr>
          <w:rFonts w:hint="eastAsia"/>
          <w:color w:val="auto"/>
          <w:highlight w:val="none"/>
        </w:rPr>
        <w:t>，维保服务起始日为验收后次日，维保服务</w:t>
      </w:r>
      <w:r>
        <w:rPr>
          <w:color w:val="auto"/>
          <w:highlight w:val="none"/>
        </w:rPr>
        <w:t>期</w:t>
      </w:r>
      <w:r>
        <w:rPr>
          <w:rFonts w:hint="eastAsia"/>
          <w:color w:val="auto"/>
          <w:highlight w:val="none"/>
        </w:rPr>
        <w:t>结束日需延期至到期当年的6月30日或12月31日中较近日期（即维保</w:t>
      </w:r>
      <w:r>
        <w:rPr>
          <w:color w:val="auto"/>
          <w:highlight w:val="none"/>
        </w:rPr>
        <w:t>服务</w:t>
      </w:r>
      <w:r>
        <w:rPr>
          <w:rFonts w:hint="eastAsia"/>
          <w:color w:val="auto"/>
          <w:highlight w:val="none"/>
        </w:rPr>
        <w:t>延期最长不超过半年）。</w:t>
      </w:r>
    </w:p>
    <w:p w14:paraId="1AFAC59E">
      <w:pPr>
        <w:rPr>
          <w:color w:val="auto"/>
          <w:highlight w:val="none"/>
        </w:rPr>
      </w:pPr>
      <w:r>
        <w:rPr>
          <w:rFonts w:hint="eastAsia"/>
          <w:color w:val="auto"/>
          <w:highlight w:val="none"/>
        </w:rPr>
        <w:t>•响应人在响应文件中详细说明在系统维保</w:t>
      </w:r>
      <w:r>
        <w:rPr>
          <w:color w:val="auto"/>
          <w:highlight w:val="none"/>
        </w:rPr>
        <w:t>服务</w:t>
      </w:r>
      <w:r>
        <w:rPr>
          <w:rFonts w:hint="eastAsia"/>
          <w:color w:val="auto"/>
          <w:highlight w:val="none"/>
        </w:rPr>
        <w:t>期的具体服务内容，系统维保</w:t>
      </w:r>
      <w:r>
        <w:rPr>
          <w:color w:val="auto"/>
          <w:highlight w:val="none"/>
        </w:rPr>
        <w:t>服务</w:t>
      </w:r>
      <w:r>
        <w:rPr>
          <w:rFonts w:hint="eastAsia"/>
          <w:color w:val="auto"/>
          <w:highlight w:val="none"/>
        </w:rPr>
        <w:t>期过后有偿维保的内容、价格及收取方式，若按开发量评估收取，应说明每人/月价格；</w:t>
      </w:r>
    </w:p>
    <w:p w14:paraId="3AA75288">
      <w:pPr>
        <w:rPr>
          <w:color w:val="auto"/>
          <w:highlight w:val="none"/>
        </w:rPr>
      </w:pPr>
      <w:r>
        <w:rPr>
          <w:rFonts w:hint="eastAsia"/>
          <w:b/>
          <w:bCs/>
          <w:color w:val="auto"/>
          <w:highlight w:val="none"/>
        </w:rPr>
        <w:t>【响应人在响应承诺函中需对以上相关内容中进行阐述并作出相应承诺】</w:t>
      </w:r>
    </w:p>
    <w:p w14:paraId="0276EB3C">
      <w:pPr>
        <w:pStyle w:val="4"/>
        <w:ind w:left="0"/>
        <w:rPr>
          <w:color w:val="auto"/>
          <w:highlight w:val="none"/>
        </w:rPr>
      </w:pPr>
      <w:r>
        <w:rPr>
          <w:color w:val="auto"/>
          <w:kern w:val="0"/>
          <w:highlight w:val="none"/>
        </w:rPr>
        <w:t>3.10</w:t>
      </w:r>
      <w:r>
        <w:rPr>
          <w:rFonts w:hint="eastAsia"/>
          <w:color w:val="auto"/>
          <w:kern w:val="0"/>
          <w:highlight w:val="none"/>
        </w:rPr>
        <w:t>系统维保费用</w:t>
      </w:r>
    </w:p>
    <w:p w14:paraId="04572448">
      <w:pPr>
        <w:rPr>
          <w:color w:val="auto"/>
          <w:highlight w:val="none"/>
        </w:rPr>
      </w:pPr>
      <w:r>
        <w:rPr>
          <w:rFonts w:hint="eastAsia"/>
          <w:color w:val="auto"/>
          <w:highlight w:val="none"/>
        </w:rPr>
        <w:t>维保服务期满后，每年维护费用不高于合同价8%，且每年系统升级改造工作量2个人月内不收费，具体维保费用以合同约定为准。</w:t>
      </w:r>
    </w:p>
    <w:p w14:paraId="02C74266">
      <w:pPr>
        <w:pStyle w:val="4"/>
        <w:ind w:left="0"/>
        <w:rPr>
          <w:color w:val="auto"/>
          <w:highlight w:val="none"/>
        </w:rPr>
      </w:pPr>
      <w:r>
        <w:rPr>
          <w:color w:val="auto"/>
          <w:highlight w:val="none"/>
        </w:rPr>
        <w:t>3.11</w:t>
      </w:r>
      <w:r>
        <w:rPr>
          <w:rFonts w:hint="eastAsia"/>
          <w:color w:val="auto"/>
          <w:highlight w:val="none"/>
        </w:rPr>
        <w:t>文档和培训</w:t>
      </w:r>
    </w:p>
    <w:p w14:paraId="41B4DB6F">
      <w:pPr>
        <w:pStyle w:val="5"/>
        <w:rPr>
          <w:color w:val="auto"/>
          <w:szCs w:val="20"/>
          <w:highlight w:val="none"/>
        </w:rPr>
      </w:pPr>
      <w:r>
        <w:rPr>
          <w:color w:val="auto"/>
          <w:highlight w:val="none"/>
        </w:rPr>
        <w:t>3.</w:t>
      </w:r>
      <w:r>
        <w:rPr>
          <w:rFonts w:hint="eastAsia"/>
          <w:color w:val="auto"/>
          <w:highlight w:val="none"/>
        </w:rPr>
        <w:t>1</w:t>
      </w:r>
      <w:r>
        <w:rPr>
          <w:color w:val="auto"/>
          <w:highlight w:val="none"/>
        </w:rPr>
        <w:t xml:space="preserve">1.1 </w:t>
      </w:r>
      <w:r>
        <w:rPr>
          <w:rFonts w:hint="eastAsia"/>
          <w:color w:val="auto"/>
          <w:szCs w:val="20"/>
          <w:highlight w:val="none"/>
        </w:rPr>
        <w:t>文档</w:t>
      </w:r>
    </w:p>
    <w:p w14:paraId="6DBDE994">
      <w:pPr>
        <w:rPr>
          <w:color w:val="auto"/>
          <w:highlight w:val="none"/>
        </w:rPr>
      </w:pPr>
      <w:r>
        <w:rPr>
          <w:rFonts w:hint="eastAsia"/>
          <w:color w:val="auto"/>
          <w:highlight w:val="none"/>
        </w:rPr>
        <w:t>1）文档范围</w:t>
      </w:r>
    </w:p>
    <w:p w14:paraId="1EC8C364">
      <w:pPr>
        <w:rPr>
          <w:color w:val="auto"/>
          <w:highlight w:val="none"/>
        </w:rPr>
      </w:pPr>
      <w:r>
        <w:rPr>
          <w:rFonts w:hint="eastAsia"/>
          <w:color w:val="auto"/>
          <w:highlight w:val="none"/>
        </w:rPr>
        <w:t>包括成交供应商收集整理的业务连续性咨询、系统建设、体系认证中所形成的全部文字记载、录音和照片等，项目验收后由成交供应商向采购人提供。</w:t>
      </w:r>
    </w:p>
    <w:p w14:paraId="2754011F">
      <w:pPr>
        <w:rPr>
          <w:color w:val="auto"/>
          <w:highlight w:val="none"/>
        </w:rPr>
      </w:pPr>
      <w:r>
        <w:rPr>
          <w:rFonts w:hint="eastAsia"/>
          <w:color w:val="auto"/>
          <w:highlight w:val="none"/>
        </w:rPr>
        <w:t>2）文档内容</w:t>
      </w:r>
    </w:p>
    <w:p w14:paraId="77CAFA9A">
      <w:pPr>
        <w:rPr>
          <w:color w:val="auto"/>
          <w:highlight w:val="none"/>
        </w:rPr>
      </w:pPr>
      <w:r>
        <w:rPr>
          <w:rFonts w:hint="eastAsia"/>
          <w:color w:val="auto"/>
          <w:highlight w:val="none"/>
        </w:rPr>
        <w:t>响应文件；业务影响分析记录；业务影响分析报告；风险评估矩阵；风险评估报告；业务连续性计划；应急预案模板；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0CB86C7F">
      <w:pPr>
        <w:rPr>
          <w:color w:val="auto"/>
          <w:highlight w:val="none"/>
        </w:rPr>
      </w:pPr>
      <w:r>
        <w:rPr>
          <w:rFonts w:hint="eastAsia"/>
          <w:color w:val="auto"/>
          <w:highlight w:val="none"/>
        </w:rPr>
        <w:t xml:space="preserve">3）要求 </w:t>
      </w:r>
    </w:p>
    <w:p w14:paraId="79989FD9">
      <w:pPr>
        <w:rPr>
          <w:color w:val="auto"/>
          <w:highlight w:val="none"/>
        </w:rPr>
      </w:pPr>
      <w:r>
        <w:rPr>
          <w:rFonts w:hint="eastAsia"/>
          <w:color w:val="auto"/>
          <w:highlight w:val="none"/>
        </w:rPr>
        <w:t>响应人提供的文档要保持完整性和准确性。所有文档都采用简体中文（第三方产品出厂文件除外）。</w:t>
      </w:r>
    </w:p>
    <w:p w14:paraId="7D51F569">
      <w:pPr>
        <w:pStyle w:val="5"/>
        <w:rPr>
          <w:color w:val="auto"/>
          <w:szCs w:val="20"/>
          <w:highlight w:val="none"/>
        </w:rPr>
      </w:pPr>
      <w:r>
        <w:rPr>
          <w:color w:val="auto"/>
          <w:szCs w:val="20"/>
          <w:highlight w:val="none"/>
        </w:rPr>
        <w:t>3.</w:t>
      </w:r>
      <w:r>
        <w:rPr>
          <w:rFonts w:hint="eastAsia"/>
          <w:color w:val="auto"/>
          <w:szCs w:val="20"/>
          <w:highlight w:val="none"/>
        </w:rPr>
        <w:t>1</w:t>
      </w:r>
      <w:r>
        <w:rPr>
          <w:color w:val="auto"/>
          <w:szCs w:val="20"/>
          <w:highlight w:val="none"/>
        </w:rPr>
        <w:t xml:space="preserve">1.2 </w:t>
      </w:r>
      <w:r>
        <w:rPr>
          <w:rFonts w:hint="eastAsia"/>
          <w:color w:val="auto"/>
          <w:szCs w:val="20"/>
          <w:highlight w:val="none"/>
        </w:rPr>
        <w:t>培训</w:t>
      </w:r>
    </w:p>
    <w:p w14:paraId="0DCB01F0">
      <w:pPr>
        <w:rPr>
          <w:color w:val="auto"/>
          <w:highlight w:val="none"/>
        </w:rPr>
      </w:pPr>
      <w:r>
        <w:rPr>
          <w:rFonts w:hint="eastAsia"/>
          <w:color w:val="auto"/>
          <w:highlight w:val="none"/>
        </w:rPr>
        <w:t>1）培训人员</w:t>
      </w:r>
    </w:p>
    <w:p w14:paraId="62E01AF9">
      <w:pPr>
        <w:rPr>
          <w:color w:val="auto"/>
          <w:highlight w:val="none"/>
        </w:rPr>
      </w:pPr>
      <w:r>
        <w:rPr>
          <w:rFonts w:hint="eastAsia"/>
          <w:color w:val="auto"/>
          <w:highlight w:val="none"/>
        </w:rPr>
        <w:t>成交供应商应对下列人员进行相应的培训：</w:t>
      </w:r>
    </w:p>
    <w:p w14:paraId="1A8B5631">
      <w:pPr>
        <w:rPr>
          <w:color w:val="auto"/>
          <w:highlight w:val="none"/>
        </w:rPr>
      </w:pPr>
      <w:r>
        <w:rPr>
          <w:rFonts w:hint="eastAsia"/>
          <w:color w:val="auto"/>
          <w:highlight w:val="none"/>
        </w:rPr>
        <w:t>包括但不限于</w:t>
      </w:r>
      <w:r>
        <w:rPr>
          <w:color w:val="auto"/>
          <w:highlight w:val="none"/>
        </w:rPr>
        <w:t>一场全行范围的业务连续性管理培训，一场</w:t>
      </w:r>
      <w:r>
        <w:rPr>
          <w:rFonts w:hint="eastAsia"/>
          <w:color w:val="auto"/>
          <w:highlight w:val="none"/>
        </w:rPr>
        <w:t>涉及本项目的相关开发人员、运维人员以及业务人员等</w:t>
      </w:r>
      <w:r>
        <w:rPr>
          <w:color w:val="auto"/>
          <w:highlight w:val="none"/>
        </w:rPr>
        <w:t>的专项培训</w:t>
      </w:r>
      <w:r>
        <w:rPr>
          <w:rFonts w:hint="eastAsia"/>
          <w:color w:val="auto"/>
          <w:highlight w:val="none"/>
        </w:rPr>
        <w:t>。</w:t>
      </w:r>
    </w:p>
    <w:p w14:paraId="68409452">
      <w:pPr>
        <w:rPr>
          <w:color w:val="auto"/>
          <w:highlight w:val="none"/>
        </w:rPr>
      </w:pPr>
      <w:r>
        <w:rPr>
          <w:rFonts w:hint="eastAsia"/>
          <w:color w:val="auto"/>
          <w:highlight w:val="none"/>
        </w:rPr>
        <w:t>2）要求</w:t>
      </w:r>
    </w:p>
    <w:p w14:paraId="0BC5CF45">
      <w:pPr>
        <w:rPr>
          <w:color w:val="auto"/>
          <w:highlight w:val="none"/>
        </w:rPr>
      </w:pPr>
      <w:r>
        <w:rPr>
          <w:rFonts w:hint="eastAsia"/>
          <w:color w:val="auto"/>
          <w:highlight w:val="none"/>
        </w:rPr>
        <w:t>对所有的培训，响应人除提供完备的书面教材外，还应提交培训方案和计划</w:t>
      </w:r>
      <w:r>
        <w:rPr>
          <w:color w:val="auto"/>
          <w:highlight w:val="none"/>
        </w:rPr>
        <w:t>，培训讲师须具备业务连续性专家（CBCP）认证</w:t>
      </w:r>
      <w:r>
        <w:rPr>
          <w:rFonts w:hint="eastAsia"/>
          <w:color w:val="auto"/>
          <w:highlight w:val="none"/>
        </w:rPr>
        <w:t>。</w:t>
      </w:r>
    </w:p>
    <w:p w14:paraId="0A59C2F1">
      <w:pPr>
        <w:rPr>
          <w:color w:val="auto"/>
          <w:highlight w:val="none"/>
        </w:rPr>
      </w:pPr>
      <w:r>
        <w:rPr>
          <w:rFonts w:hint="eastAsia"/>
          <w:color w:val="auto"/>
          <w:highlight w:val="none"/>
        </w:rPr>
        <w:t>采购人要求所有的培训在采购人指定地点进行。</w:t>
      </w:r>
    </w:p>
    <w:p w14:paraId="3BBCADD6">
      <w:pPr>
        <w:pStyle w:val="4"/>
        <w:ind w:left="0"/>
        <w:rPr>
          <w:color w:val="auto"/>
          <w:highlight w:val="none"/>
        </w:rPr>
      </w:pPr>
      <w:r>
        <w:rPr>
          <w:color w:val="auto"/>
          <w:highlight w:val="none"/>
        </w:rPr>
        <w:t>3.12</w:t>
      </w:r>
      <w:r>
        <w:rPr>
          <w:rFonts w:hint="eastAsia"/>
          <w:color w:val="auto"/>
          <w:highlight w:val="none"/>
        </w:rPr>
        <w:t>服务水平协议</w:t>
      </w:r>
    </w:p>
    <w:p w14:paraId="5561A04D">
      <w:pPr>
        <w:rPr>
          <w:color w:val="auto"/>
          <w:highlight w:val="none"/>
        </w:rPr>
      </w:pPr>
      <w:r>
        <w:rPr>
          <w:rFonts w:hint="eastAsia"/>
          <w:color w:val="auto"/>
          <w:highlight w:val="none"/>
        </w:rPr>
        <w:t>第六章《服务水平协议（SLA）》无需填写，仅需供应商响应人认可、承认协议内容并加盖公章。 【《服务水平协议（SLA）》加盖公章】</w:t>
      </w:r>
    </w:p>
    <w:p w14:paraId="6CC5BAC5">
      <w:pPr>
        <w:pStyle w:val="4"/>
        <w:ind w:left="0"/>
        <w:rPr>
          <w:color w:val="auto"/>
          <w:highlight w:val="none"/>
        </w:rPr>
      </w:pPr>
      <w:r>
        <w:rPr>
          <w:color w:val="auto"/>
          <w:highlight w:val="none"/>
        </w:rPr>
        <w:t>3.13</w:t>
      </w:r>
      <w:r>
        <w:rPr>
          <w:rFonts w:hint="eastAsia"/>
          <w:color w:val="auto"/>
          <w:highlight w:val="none"/>
        </w:rPr>
        <w:t>服务连续性预案</w:t>
      </w:r>
    </w:p>
    <w:p w14:paraId="6863BDD2">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14:paraId="683A5AF8">
      <w:pPr>
        <w:pStyle w:val="4"/>
        <w:ind w:left="0"/>
        <w:rPr>
          <w:color w:val="auto"/>
          <w:highlight w:val="none"/>
        </w:rPr>
      </w:pPr>
      <w:r>
        <w:rPr>
          <w:color w:val="auto"/>
          <w:highlight w:val="none"/>
        </w:rPr>
        <w:t>3.14</w:t>
      </w:r>
      <w:r>
        <w:rPr>
          <w:rFonts w:hint="eastAsia"/>
          <w:color w:val="auto"/>
          <w:highlight w:val="none"/>
        </w:rPr>
        <w:t>项目实施方案</w:t>
      </w:r>
    </w:p>
    <w:p w14:paraId="46478B32">
      <w:pPr>
        <w:rPr>
          <w:color w:val="auto"/>
          <w:highlight w:val="none"/>
        </w:rPr>
      </w:pPr>
      <w:r>
        <w:rPr>
          <w:rFonts w:hint="eastAsia"/>
          <w:color w:val="auto"/>
          <w:highlight w:val="none"/>
        </w:rPr>
        <w:t>在本次询比中，响应人应在响应文件中提供项目实施方案供采购人查看，方案应包括履行合同的时间计划、提交资料、人员安排等内容。【提供项目实施方案】</w:t>
      </w:r>
    </w:p>
    <w:p w14:paraId="73101069">
      <w:pPr>
        <w:pStyle w:val="4"/>
        <w:ind w:left="0"/>
        <w:rPr>
          <w:color w:val="auto"/>
          <w:highlight w:val="none"/>
        </w:rPr>
      </w:pPr>
      <w:r>
        <w:rPr>
          <w:color w:val="auto"/>
          <w:highlight w:val="none"/>
        </w:rPr>
        <w:t>3.15</w:t>
      </w:r>
      <w:r>
        <w:rPr>
          <w:rFonts w:hint="eastAsia"/>
          <w:color w:val="auto"/>
          <w:highlight w:val="none"/>
        </w:rPr>
        <w:t>付款方式</w:t>
      </w:r>
    </w:p>
    <w:p w14:paraId="06600A64">
      <w:pPr>
        <w:rPr>
          <w:color w:val="auto"/>
          <w:highlight w:val="none"/>
        </w:rPr>
      </w:pPr>
      <w:r>
        <w:rPr>
          <w:color w:val="auto"/>
          <w:highlight w:val="none"/>
        </w:rPr>
        <w:t>原则上不预付款项。本合同款项采用分期付款：</w:t>
      </w:r>
    </w:p>
    <w:p w14:paraId="32A067C6">
      <w:pPr>
        <w:rPr>
          <w:color w:val="auto"/>
          <w:highlight w:val="none"/>
        </w:rPr>
      </w:pPr>
      <w:r>
        <w:rPr>
          <w:color w:val="auto"/>
          <w:highlight w:val="none"/>
        </w:rPr>
        <w:t>1）项目咨询工作完成业务影响分析和风险评估，发布业务连续性计划，系统完成安装、调试并投入试运行后30个工作日内,乙方向甲方提供合法足额的增值税专用发票，甲方向乙方支付合同总额的60％。</w:t>
      </w:r>
    </w:p>
    <w:p w14:paraId="636729C2">
      <w:pPr>
        <w:rPr>
          <w:color w:val="auto"/>
          <w:highlight w:val="none"/>
        </w:rPr>
      </w:pPr>
      <w:r>
        <w:rPr>
          <w:color w:val="auto"/>
          <w:highlight w:val="none"/>
        </w:rPr>
        <w:t>2）项目咨询、系统建设、体系认证等所有工作实施完成，正式验收合格后30个工作日内,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774645C1">
      <w:pPr>
        <w:rPr>
          <w:color w:val="auto"/>
          <w:highlight w:val="none"/>
        </w:rPr>
      </w:pPr>
      <w:r>
        <w:rPr>
          <w:color w:val="auto"/>
          <w:highlight w:val="none"/>
        </w:rP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44426C1D">
      <w:pPr>
        <w:pStyle w:val="4"/>
        <w:ind w:left="0"/>
        <w:rPr>
          <w:color w:val="auto"/>
          <w:highlight w:val="none"/>
        </w:rPr>
      </w:pPr>
      <w:r>
        <w:rPr>
          <w:color w:val="auto"/>
          <w:highlight w:val="none"/>
        </w:rPr>
        <w:t>3.16</w:t>
      </w:r>
      <w:r>
        <w:rPr>
          <w:rFonts w:hint="eastAsia"/>
          <w:color w:val="auto"/>
          <w:highlight w:val="none"/>
        </w:rPr>
        <w:t>保密条款</w:t>
      </w:r>
    </w:p>
    <w:p w14:paraId="3371C560">
      <w:pPr>
        <w:pStyle w:val="5"/>
        <w:rPr>
          <w:color w:val="auto"/>
          <w:highlight w:val="none"/>
        </w:rPr>
      </w:pPr>
      <w:r>
        <w:rPr>
          <w:color w:val="auto"/>
          <w:highlight w:val="none"/>
        </w:rPr>
        <w:t>3.16</w:t>
      </w:r>
      <w:r>
        <w:rPr>
          <w:rFonts w:hint="eastAsia"/>
          <w:color w:val="auto"/>
          <w:highlight w:val="none"/>
        </w:rPr>
        <w:t>.1 保密范围</w:t>
      </w:r>
    </w:p>
    <w:p w14:paraId="12BA9628">
      <w:pPr>
        <w:rPr>
          <w:color w:val="auto"/>
          <w:highlight w:val="none"/>
        </w:rPr>
      </w:pPr>
      <w:r>
        <w:rPr>
          <w:rFonts w:hint="eastAsia"/>
          <w:color w:val="auto"/>
          <w:highlight w:val="none"/>
        </w:rPr>
        <w:t>成交供应商在实施过程中接触到的采购人知识产权、经营信息等。</w:t>
      </w:r>
    </w:p>
    <w:p w14:paraId="22BFFD09">
      <w:pPr>
        <w:pStyle w:val="5"/>
        <w:rPr>
          <w:color w:val="auto"/>
          <w:highlight w:val="none"/>
        </w:rPr>
      </w:pPr>
      <w:r>
        <w:rPr>
          <w:color w:val="auto"/>
          <w:highlight w:val="none"/>
        </w:rPr>
        <w:t>3.16</w:t>
      </w:r>
      <w:r>
        <w:rPr>
          <w:rFonts w:hint="eastAsia"/>
          <w:color w:val="auto"/>
          <w:highlight w:val="none"/>
        </w:rPr>
        <w:t>.2 保密责任</w:t>
      </w:r>
    </w:p>
    <w:p w14:paraId="4A19DB9B">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6D5D88AD">
      <w:pPr>
        <w:pStyle w:val="4"/>
        <w:ind w:left="0"/>
        <w:rPr>
          <w:color w:val="auto"/>
          <w:highlight w:val="none"/>
        </w:rPr>
      </w:pPr>
      <w:r>
        <w:rPr>
          <w:color w:val="auto"/>
          <w:highlight w:val="none"/>
        </w:rPr>
        <w:t>3.17</w:t>
      </w:r>
      <w:r>
        <w:rPr>
          <w:rFonts w:hint="eastAsia"/>
          <w:color w:val="auto"/>
          <w:highlight w:val="none"/>
        </w:rPr>
        <w:t>报价要求</w:t>
      </w:r>
    </w:p>
    <w:p w14:paraId="0079E6DA">
      <w:pPr>
        <w:rPr>
          <w:color w:val="auto"/>
          <w:highlight w:val="none"/>
        </w:rPr>
      </w:pPr>
      <w:r>
        <w:rPr>
          <w:rFonts w:hint="eastAsia"/>
          <w:color w:val="auto"/>
          <w:highlight w:val="none"/>
        </w:rPr>
        <w:t>响应人应严格按照《响应文件格式》的“报价一览表”和“分项报价明细表”的格式认真填写。</w:t>
      </w:r>
    </w:p>
    <w:p w14:paraId="15CF35C1">
      <w:pPr>
        <w:pStyle w:val="4"/>
        <w:ind w:left="0"/>
        <w:rPr>
          <w:color w:val="auto"/>
          <w:highlight w:val="none"/>
        </w:rPr>
      </w:pPr>
      <w:r>
        <w:rPr>
          <w:color w:val="auto"/>
          <w:highlight w:val="none"/>
        </w:rPr>
        <w:t>3.18</w:t>
      </w:r>
      <w:r>
        <w:rPr>
          <w:rFonts w:hint="eastAsia"/>
          <w:color w:val="auto"/>
          <w:highlight w:val="none"/>
        </w:rPr>
        <w:t>知识产权</w:t>
      </w:r>
    </w:p>
    <w:p w14:paraId="1F3D2D2D">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45B88190">
      <w:pPr>
        <w:rPr>
          <w:color w:val="auto"/>
          <w:highlight w:val="none"/>
        </w:rPr>
      </w:pPr>
      <w:r>
        <w:rPr>
          <w:rFonts w:hint="eastAsia"/>
          <w:color w:val="auto"/>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3B8F0C48">
      <w:pPr>
        <w:pStyle w:val="4"/>
        <w:ind w:left="0"/>
        <w:rPr>
          <w:color w:val="auto"/>
          <w:highlight w:val="none"/>
        </w:rPr>
      </w:pPr>
      <w:r>
        <w:rPr>
          <w:color w:val="auto"/>
          <w:highlight w:val="none"/>
        </w:rPr>
        <w:t>3.19售后服务和培训</w:t>
      </w:r>
      <w:r>
        <w:rPr>
          <w:rFonts w:hint="eastAsia"/>
          <w:color w:val="auto"/>
          <w:highlight w:val="none"/>
        </w:rPr>
        <w:t>方案</w:t>
      </w:r>
    </w:p>
    <w:p w14:paraId="47BB3900">
      <w:pPr>
        <w:rPr>
          <w:color w:val="auto"/>
          <w:highlight w:val="none"/>
        </w:rPr>
      </w:pPr>
      <w:r>
        <w:rPr>
          <w:rFonts w:hint="eastAsia"/>
          <w:color w:val="auto"/>
          <w:highlight w:val="none"/>
        </w:rPr>
        <w:t>在本次询比中，响应人应在响应文件中提供</w:t>
      </w:r>
      <w:r>
        <w:rPr>
          <w:color w:val="auto"/>
          <w:highlight w:val="none"/>
        </w:rPr>
        <w:t>售后服务和培训</w:t>
      </w:r>
      <w:r>
        <w:rPr>
          <w:rFonts w:hint="eastAsia"/>
          <w:color w:val="auto"/>
          <w:highlight w:val="none"/>
        </w:rPr>
        <w:t>方案供采购人查看，方案应包括</w:t>
      </w:r>
      <w:r>
        <w:rPr>
          <w:color w:val="auto"/>
          <w:highlight w:val="none"/>
        </w:rPr>
        <w:t>售后服务的内容、方案和计划，培训内容、方案和计划</w:t>
      </w:r>
      <w:r>
        <w:rPr>
          <w:rFonts w:hint="eastAsia"/>
          <w:color w:val="auto"/>
          <w:highlight w:val="none"/>
        </w:rPr>
        <w:t>等内容。【提供</w:t>
      </w:r>
      <w:r>
        <w:rPr>
          <w:color w:val="auto"/>
          <w:highlight w:val="none"/>
        </w:rPr>
        <w:t>售后服务和培训</w:t>
      </w:r>
      <w:r>
        <w:rPr>
          <w:rFonts w:hint="eastAsia"/>
          <w:color w:val="auto"/>
          <w:highlight w:val="none"/>
        </w:rPr>
        <w:t>方案】</w:t>
      </w:r>
    </w:p>
    <w:p w14:paraId="2EA89FF0">
      <w:pPr>
        <w:pStyle w:val="4"/>
        <w:ind w:left="0" w:firstLine="0"/>
        <w:rPr>
          <w:color w:val="auto"/>
          <w:highlight w:val="none"/>
        </w:rPr>
      </w:pPr>
      <w:bookmarkStart w:id="301" w:name="_Toc15059427"/>
      <w:bookmarkStart w:id="302" w:name="_Toc89675153"/>
      <w:r>
        <w:rPr>
          <w:color w:val="auto"/>
          <w:highlight w:val="none"/>
          <w:lang w:val="en-US" w:eastAsia="zh-CN"/>
        </w:rPr>
        <w:t>4</w:t>
      </w:r>
      <w:r>
        <w:rPr>
          <w:rFonts w:hint="eastAsia"/>
          <w:color w:val="auto"/>
          <w:highlight w:val="none"/>
          <w:lang w:val="en-US" w:eastAsia="zh-CN"/>
        </w:rPr>
        <w:t xml:space="preserve">. </w:t>
      </w:r>
      <w:r>
        <w:rPr>
          <w:rFonts w:hint="eastAsia"/>
          <w:color w:val="auto"/>
          <w:highlight w:val="none"/>
        </w:rPr>
        <w:t>其他</w:t>
      </w:r>
      <w:bookmarkEnd w:id="301"/>
      <w:bookmarkEnd w:id="302"/>
    </w:p>
    <w:p w14:paraId="40F62C57">
      <w:pPr>
        <w:bidi w:val="0"/>
        <w:rPr>
          <w:rFonts w:hint="eastAsia"/>
          <w:color w:val="auto"/>
          <w:highlight w:val="none"/>
        </w:rPr>
      </w:pPr>
      <w:r>
        <w:rPr>
          <w:rFonts w:hint="eastAsia"/>
          <w:color w:val="auto"/>
          <w:highlight w:val="none"/>
          <w:lang w:val="en-US" w:eastAsia="zh-CN"/>
        </w:rPr>
        <w:t>（1）</w:t>
      </w:r>
      <w:r>
        <w:rPr>
          <w:rFonts w:hint="eastAsia"/>
          <w:color w:val="auto"/>
          <w:highlight w:val="none"/>
          <w:lang w:eastAsia="zh-CN"/>
        </w:rPr>
        <w:t>响应人</w:t>
      </w:r>
      <w:r>
        <w:rPr>
          <w:rFonts w:hint="eastAsia"/>
          <w:color w:val="auto"/>
          <w:highlight w:val="none"/>
        </w:rPr>
        <w:t>必须在响应承诺函中对本章内容做出整体性响应和承诺，承诺内容必须达到本章及</w:t>
      </w:r>
      <w:r>
        <w:rPr>
          <w:rFonts w:hint="eastAsia"/>
          <w:color w:val="auto"/>
          <w:highlight w:val="none"/>
          <w:lang w:eastAsia="zh-CN"/>
        </w:rPr>
        <w:t>询比文件</w:t>
      </w:r>
      <w:r>
        <w:rPr>
          <w:rFonts w:hint="eastAsia"/>
          <w:color w:val="auto"/>
          <w:highlight w:val="none"/>
        </w:rPr>
        <w:t>其他条款的要求。</w:t>
      </w:r>
    </w:p>
    <w:p w14:paraId="6D655936">
      <w:pPr>
        <w:bidi w:val="0"/>
        <w:rPr>
          <w:rFonts w:hint="eastAsia"/>
          <w:color w:val="auto"/>
          <w:highlight w:val="none"/>
        </w:rPr>
      </w:pPr>
      <w:r>
        <w:rPr>
          <w:rFonts w:hint="eastAsia"/>
          <w:color w:val="auto"/>
          <w:highlight w:val="none"/>
          <w:lang w:val="en-US" w:eastAsia="zh-CN"/>
        </w:rPr>
        <w:t>（2）</w:t>
      </w:r>
      <w:r>
        <w:rPr>
          <w:rFonts w:hint="eastAsia"/>
          <w:color w:val="auto"/>
          <w:highlight w:val="none"/>
        </w:rPr>
        <w:t>响应人必须在技术条款偏离表中对本章第</w:t>
      </w:r>
      <w:r>
        <w:rPr>
          <w:color w:val="auto"/>
          <w:highlight w:val="none"/>
          <w:lang w:val="en-US" w:eastAsia="zh-CN"/>
        </w:rPr>
        <w:t>3.1</w:t>
      </w:r>
      <w:r>
        <w:rPr>
          <w:rFonts w:hint="eastAsia"/>
          <w:color w:val="auto"/>
          <w:highlight w:val="none"/>
        </w:rPr>
        <w:t>条“</w:t>
      </w:r>
      <w:r>
        <w:rPr>
          <w:color w:val="auto"/>
          <w:highlight w:val="none"/>
          <w:lang w:val="en-US" w:eastAsia="zh-CN"/>
        </w:rPr>
        <w:t>业务需求</w:t>
      </w:r>
      <w:r>
        <w:rPr>
          <w:rFonts w:hint="eastAsia"/>
          <w:color w:val="auto"/>
          <w:highlight w:val="none"/>
        </w:rPr>
        <w:t>要求”表格中内容逐条响应，内容齐全、无遗漏。</w:t>
      </w:r>
    </w:p>
    <w:p w14:paraId="26584E5B">
      <w:pPr>
        <w:bidi w:val="0"/>
        <w:rPr>
          <w:rFonts w:hint="eastAsia"/>
          <w:color w:val="auto"/>
          <w:highlight w:val="none"/>
        </w:rPr>
      </w:pPr>
      <w:r>
        <w:rPr>
          <w:rFonts w:hint="eastAsia"/>
          <w:color w:val="auto"/>
          <w:highlight w:val="none"/>
          <w:lang w:val="en-US" w:eastAsia="zh-CN"/>
        </w:rPr>
        <w:t>（3）</w:t>
      </w:r>
      <w:r>
        <w:rPr>
          <w:rFonts w:hint="eastAsia"/>
          <w:color w:val="auto"/>
          <w:highlight w:val="none"/>
          <w:lang w:eastAsia="zh-CN"/>
        </w:rPr>
        <w:t>响应人</w:t>
      </w:r>
      <w:r>
        <w:rPr>
          <w:rFonts w:hint="eastAsia"/>
          <w:color w:val="auto"/>
          <w:highlight w:val="none"/>
        </w:rPr>
        <w:t>应根据本章内容和要求，提供对应</w:t>
      </w:r>
      <w:r>
        <w:rPr>
          <w:rFonts w:hint="eastAsia"/>
          <w:color w:val="auto"/>
          <w:highlight w:val="none"/>
          <w:lang w:val="en-US" w:eastAsia="zh-CN"/>
        </w:rPr>
        <w:t>资料</w:t>
      </w:r>
      <w:r>
        <w:rPr>
          <w:rFonts w:hint="eastAsia"/>
          <w:color w:val="auto"/>
          <w:highlight w:val="none"/>
        </w:rPr>
        <w:t>，无遗漏。</w:t>
      </w:r>
    </w:p>
    <w:p w14:paraId="5BA85EF9">
      <w:pPr>
        <w:bidi w:val="0"/>
        <w:rPr>
          <w:rFonts w:hint="eastAsia"/>
          <w:color w:val="auto"/>
          <w:highlight w:val="none"/>
        </w:rPr>
      </w:pPr>
      <w:r>
        <w:rPr>
          <w:rFonts w:hint="eastAsia"/>
          <w:color w:val="auto"/>
          <w:highlight w:val="none"/>
          <w:lang w:val="en-US" w:eastAsia="zh-CN"/>
        </w:rPr>
        <w:t>（4）</w:t>
      </w:r>
      <w:r>
        <w:rPr>
          <w:rFonts w:hint="eastAsia"/>
          <w:color w:val="auto"/>
          <w:highlight w:val="none"/>
        </w:rPr>
        <w:t>其他未尽事宜由供需双方在合同中详细约定。</w:t>
      </w:r>
    </w:p>
    <w:p w14:paraId="6C1F2F13">
      <w:pPr>
        <w:bidi w:val="0"/>
        <w:rPr>
          <w:rFonts w:hint="eastAsia"/>
          <w:color w:val="auto"/>
          <w:highlight w:val="none"/>
          <w:lang w:val="en-US" w:eastAsia="zh-CN"/>
        </w:rPr>
      </w:pPr>
    </w:p>
    <w:p w14:paraId="6B6BC18E">
      <w:pPr>
        <w:bidi w:val="0"/>
        <w:rPr>
          <w:rFonts w:hint="eastAsia"/>
          <w:color w:val="auto"/>
          <w:highlight w:val="none"/>
          <w:lang w:val="en-US" w:eastAsia="zh-CN"/>
        </w:rPr>
      </w:pPr>
      <w:r>
        <w:rPr>
          <w:rFonts w:hint="eastAsia"/>
          <w:color w:val="auto"/>
          <w:highlight w:val="none"/>
          <w:lang w:val="en-US" w:eastAsia="zh-CN"/>
        </w:rPr>
        <w:br w:type="page"/>
      </w:r>
    </w:p>
    <w:p w14:paraId="55FB85C6">
      <w:pPr>
        <w:pStyle w:val="3"/>
        <w:bidi w:val="0"/>
        <w:rPr>
          <w:rFonts w:hint="eastAsia"/>
          <w:color w:val="auto"/>
          <w:highlight w:val="none"/>
          <w:lang w:eastAsia="zh-CN"/>
        </w:rPr>
      </w:pPr>
      <w:bookmarkStart w:id="303" w:name="_Toc89675170"/>
      <w:bookmarkStart w:id="304" w:name="_Toc303066034"/>
      <w:bookmarkStart w:id="305" w:name="_Toc3181"/>
      <w:bookmarkStart w:id="306" w:name="_Toc12381"/>
      <w:bookmarkStart w:id="307" w:name="_Toc10097"/>
      <w:r>
        <w:rPr>
          <w:rFonts w:hint="eastAsia"/>
          <w:color w:val="auto"/>
          <w:highlight w:val="none"/>
        </w:rPr>
        <w:t>第</w:t>
      </w:r>
      <w:r>
        <w:rPr>
          <w:rFonts w:hint="eastAsia"/>
          <w:color w:val="auto"/>
          <w:highlight w:val="none"/>
          <w:lang w:val="en-US" w:eastAsia="zh-CN"/>
        </w:rPr>
        <w:t>六</w:t>
      </w:r>
      <w:r>
        <w:rPr>
          <w:rFonts w:hint="eastAsia"/>
          <w:color w:val="auto"/>
          <w:highlight w:val="none"/>
        </w:rPr>
        <w:t xml:space="preserve">章 </w:t>
      </w:r>
      <w:bookmarkEnd w:id="303"/>
      <w:bookmarkEnd w:id="304"/>
      <w:bookmarkStart w:id="308" w:name="_Toc303066035"/>
      <w:r>
        <w:rPr>
          <w:rFonts w:hint="eastAsia"/>
          <w:color w:val="auto"/>
          <w:highlight w:val="none"/>
          <w:lang w:eastAsia="zh-CN"/>
        </w:rPr>
        <w:t>响应文件</w:t>
      </w:r>
      <w:r>
        <w:rPr>
          <w:rFonts w:hint="eastAsia"/>
          <w:color w:val="auto"/>
          <w:highlight w:val="none"/>
        </w:rPr>
        <w:t>格式</w:t>
      </w:r>
      <w:bookmarkEnd w:id="305"/>
      <w:bookmarkEnd w:id="306"/>
      <w:bookmarkEnd w:id="307"/>
    </w:p>
    <w:bookmarkEnd w:id="308"/>
    <w:p w14:paraId="0A2A7F14">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both"/>
        <w:textAlignment w:val="auto"/>
        <w:rPr>
          <w:rFonts w:ascii="宋体" w:hAnsi="宋体" w:eastAsia="宋体"/>
          <w:b/>
          <w:color w:val="auto"/>
          <w:kern w:val="0"/>
          <w:highlight w:val="none"/>
          <w:u w:val="single"/>
          <w:lang w:val="en-US" w:eastAsia="zh-CN"/>
        </w:rPr>
      </w:pPr>
    </w:p>
    <w:p w14:paraId="3AD6CE59">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51C9A1DD">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11438540">
      <w:pPr>
        <w:pStyle w:val="40"/>
        <w:bidi w:val="0"/>
        <w:rPr>
          <w:rFonts w:hint="eastAsia"/>
          <w:highlight w:val="none"/>
          <w:lang w:val="en-US" w:eastAsia="zh-CN"/>
        </w:rPr>
      </w:pPr>
      <w:r>
        <w:rPr>
          <w:rFonts w:hint="eastAsia"/>
          <w:highlight w:val="none"/>
          <w:lang w:val="en-US" w:eastAsia="zh-CN"/>
        </w:rPr>
        <w:t>重庆三峡银行</w:t>
      </w:r>
    </w:p>
    <w:p w14:paraId="70B65EB9">
      <w:pPr>
        <w:pStyle w:val="40"/>
        <w:bidi w:val="0"/>
        <w:rPr>
          <w:highlight w:val="none"/>
          <w:lang w:val="en-US" w:eastAsia="zh-CN"/>
        </w:rPr>
      </w:pPr>
      <w:r>
        <w:rPr>
          <w:rFonts w:hint="eastAsia"/>
          <w:highlight w:val="none"/>
          <w:lang w:val="en-US" w:eastAsia="zh-CN"/>
        </w:rPr>
        <w:t>业务连续性数字化管理平台项目（第二次）</w:t>
      </w:r>
    </w:p>
    <w:p w14:paraId="7286586F">
      <w:pPr>
        <w:bidi w:val="0"/>
        <w:rPr>
          <w:color w:val="auto"/>
          <w:highlight w:val="none"/>
        </w:rPr>
      </w:pPr>
    </w:p>
    <w:p w14:paraId="3422B896">
      <w:pPr>
        <w:bidi w:val="0"/>
        <w:rPr>
          <w:color w:val="auto"/>
          <w:highlight w:val="none"/>
        </w:rPr>
      </w:pPr>
    </w:p>
    <w:p w14:paraId="1E402528">
      <w:pPr>
        <w:bidi w:val="0"/>
        <w:rPr>
          <w:color w:val="auto"/>
          <w:highlight w:val="none"/>
        </w:rPr>
      </w:pPr>
    </w:p>
    <w:p w14:paraId="3071B7F5">
      <w:pPr>
        <w:bidi w:val="0"/>
        <w:rPr>
          <w:color w:val="auto"/>
          <w:highlight w:val="none"/>
        </w:rPr>
      </w:pPr>
    </w:p>
    <w:p w14:paraId="7E48BBDB">
      <w:pPr>
        <w:bidi w:val="0"/>
        <w:rPr>
          <w:color w:val="auto"/>
          <w:highlight w:val="none"/>
        </w:rPr>
      </w:pPr>
    </w:p>
    <w:p w14:paraId="25DC8614">
      <w:pPr>
        <w:bidi w:val="0"/>
        <w:rPr>
          <w:color w:val="auto"/>
          <w:highlight w:val="none"/>
        </w:rPr>
      </w:pPr>
    </w:p>
    <w:p w14:paraId="44F5FB53">
      <w:pPr>
        <w:pStyle w:val="41"/>
        <w:bidi w:val="0"/>
        <w:rPr>
          <w:highlight w:val="none"/>
        </w:rPr>
      </w:pPr>
      <w:r>
        <w:rPr>
          <w:rFonts w:hint="eastAsia"/>
          <w:highlight w:val="none"/>
          <w:lang w:val="en-US" w:eastAsia="zh-CN"/>
        </w:rPr>
        <w:t>响  应</w:t>
      </w:r>
      <w:r>
        <w:rPr>
          <w:rFonts w:hint="eastAsia"/>
          <w:highlight w:val="none"/>
        </w:rPr>
        <w:t xml:space="preserve">  文  件</w:t>
      </w:r>
    </w:p>
    <w:p w14:paraId="6E164A5F">
      <w:pPr>
        <w:bidi w:val="0"/>
        <w:rPr>
          <w:color w:val="auto"/>
          <w:highlight w:val="none"/>
        </w:rPr>
      </w:pPr>
    </w:p>
    <w:p w14:paraId="13ED0CB4">
      <w:pPr>
        <w:bidi w:val="0"/>
        <w:rPr>
          <w:color w:val="auto"/>
          <w:highlight w:val="none"/>
        </w:rPr>
      </w:pPr>
    </w:p>
    <w:p w14:paraId="221BFD72">
      <w:pPr>
        <w:bidi w:val="0"/>
        <w:rPr>
          <w:color w:val="auto"/>
          <w:highlight w:val="none"/>
        </w:rPr>
      </w:pPr>
    </w:p>
    <w:p w14:paraId="433B6462">
      <w:pPr>
        <w:bidi w:val="0"/>
        <w:rPr>
          <w:color w:val="auto"/>
          <w:highlight w:val="none"/>
        </w:rPr>
      </w:pPr>
    </w:p>
    <w:p w14:paraId="7C0AC8EB">
      <w:pPr>
        <w:bidi w:val="0"/>
        <w:rPr>
          <w:color w:val="auto"/>
          <w:highlight w:val="none"/>
        </w:rPr>
      </w:pPr>
    </w:p>
    <w:p w14:paraId="63835162">
      <w:pPr>
        <w:bidi w:val="0"/>
        <w:rPr>
          <w:color w:val="auto"/>
          <w:highlight w:val="none"/>
        </w:rPr>
      </w:pPr>
    </w:p>
    <w:p w14:paraId="0BF1C8F2">
      <w:pPr>
        <w:bidi w:val="0"/>
        <w:ind w:left="0" w:right="0" w:firstLine="0" w:firstLineChars="0"/>
        <w:jc w:val="center"/>
        <w:rPr>
          <w:color w:val="auto"/>
          <w:highlight w:val="none"/>
        </w:rPr>
      </w:pPr>
      <w:r>
        <w:rPr>
          <w:rFonts w:hint="eastAsia"/>
          <w:color w:val="auto"/>
          <w:highlight w:val="none"/>
          <w:lang w:eastAsia="zh-CN"/>
        </w:rPr>
        <w:t>响应人</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u w:val="single"/>
        </w:rPr>
        <w:t>（盖单位公章）</w:t>
      </w:r>
    </w:p>
    <w:p w14:paraId="18DB1804">
      <w:pPr>
        <w:bidi w:val="0"/>
        <w:ind w:left="0" w:right="0" w:firstLine="0" w:firstLineChars="0"/>
        <w:jc w:val="center"/>
        <w:rPr>
          <w:color w:val="auto"/>
          <w:highlight w:val="none"/>
        </w:rPr>
      </w:pP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489A8EF2">
      <w:pPr>
        <w:bidi w:val="0"/>
        <w:rPr>
          <w:color w:val="auto"/>
          <w:highlight w:val="none"/>
        </w:rPr>
      </w:pPr>
    </w:p>
    <w:p w14:paraId="7CFD3522">
      <w:pPr>
        <w:bidi w:val="0"/>
        <w:rPr>
          <w:color w:val="auto"/>
          <w:highlight w:val="none"/>
        </w:rPr>
      </w:pPr>
    </w:p>
    <w:p w14:paraId="242D987E">
      <w:pPr>
        <w:bidi w:val="0"/>
        <w:rPr>
          <w:color w:val="auto"/>
          <w:highlight w:val="none"/>
        </w:rPr>
      </w:pPr>
    </w:p>
    <w:p w14:paraId="3792ABCE">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54F8B174">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75F0E1A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t>一、响应函</w:t>
      </w:r>
    </w:p>
    <w:p w14:paraId="4AADCA4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t>二、费用清单一览表文件</w:t>
      </w:r>
    </w:p>
    <w:p w14:paraId="1DCCB2D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（一）报价一览表</w:t>
      </w:r>
    </w:p>
    <w:p w14:paraId="2E8C851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（二）分项报价明细表</w:t>
      </w:r>
    </w:p>
    <w:p w14:paraId="6583F12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t>三、法定代表人身份证明或授权委托书文件</w:t>
      </w:r>
    </w:p>
    <w:p w14:paraId="41C3558E">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（一）法定代表人身份证明及授权委托书</w:t>
      </w:r>
    </w:p>
    <w:p w14:paraId="04369AFE">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授权委托书</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6608C968">
      <w:pPr>
        <w:keepNext w:val="0"/>
        <w:keepLines w:val="0"/>
        <w:pageBreakBefore w:val="0"/>
        <w:widowControl/>
        <w:kinsoku/>
        <w:wordWrap/>
        <w:overflowPunct/>
        <w:topLinePunct w:val="0"/>
        <w:autoSpaceDE/>
        <w:autoSpaceDN/>
        <w:adjustRightInd/>
        <w:snapToGrid/>
        <w:spacing w:line="240" w:lineRule="auto"/>
        <w:ind w:firstLine="0" w:firstLineChars="0"/>
        <w:jc w:val="left"/>
        <w:rPr>
          <w:color w:val="auto"/>
          <w:highlight w:val="none"/>
        </w:rPr>
      </w:pPr>
      <w:r>
        <w:rPr>
          <w:rFonts w:hint="eastAsia"/>
          <w:color w:val="auto"/>
          <w:highlight w:val="none"/>
        </w:rPr>
        <w:t>四、商务部分文件</w:t>
      </w:r>
    </w:p>
    <w:p w14:paraId="5C55293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t>五、技术部分文件</w:t>
      </w:r>
    </w:p>
    <w:p w14:paraId="5DA96C6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t>六、资格审查资料</w:t>
      </w:r>
    </w:p>
    <w:p w14:paraId="77A4606A">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（一）响应承诺函</w:t>
      </w:r>
    </w:p>
    <w:p w14:paraId="4078467C">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（二）响应人基本情况介绍，资质证明等</w:t>
      </w:r>
    </w:p>
    <w:p w14:paraId="0C05AF7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（三）</w:t>
      </w:r>
      <w:r>
        <w:rPr>
          <w:rFonts w:hint="eastAsia"/>
          <w:color w:val="auto"/>
          <w:highlight w:val="none"/>
          <w:lang w:val="en-US" w:eastAsia="zh-CN"/>
        </w:rPr>
        <w:t>业务需求</w:t>
      </w:r>
      <w:r>
        <w:rPr>
          <w:rFonts w:hint="eastAsia"/>
          <w:color w:val="auto"/>
          <w:highlight w:val="none"/>
        </w:rPr>
        <w:t>条款偏离表</w:t>
      </w:r>
    </w:p>
    <w:p w14:paraId="45858E3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（四）书面声明</w:t>
      </w:r>
    </w:p>
    <w:p w14:paraId="7393FA4A">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（五）中国执行信息公开网截图</w:t>
      </w:r>
    </w:p>
    <w:p w14:paraId="1E56BE9D">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color w:val="auto"/>
          <w:highlight w:val="none"/>
        </w:rPr>
      </w:pPr>
      <w:r>
        <w:rPr>
          <w:rFonts w:hint="eastAsia"/>
          <w:color w:val="auto"/>
          <w:highlight w:val="none"/>
        </w:rPr>
        <w:t>（六）项目案例和业绩证明文件复印件</w:t>
      </w:r>
    </w:p>
    <w:p w14:paraId="293758EF">
      <w:pPr>
        <w:keepNext w:val="0"/>
        <w:keepLines w:val="0"/>
        <w:pageBreakBefore w:val="0"/>
        <w:widowControl/>
        <w:kinsoku/>
        <w:wordWrap/>
        <w:overflowPunct/>
        <w:topLinePunct w:val="0"/>
        <w:autoSpaceDE/>
        <w:autoSpaceDN/>
        <w:adjustRightInd/>
        <w:snapToGrid/>
        <w:spacing w:line="240" w:lineRule="auto"/>
        <w:ind w:firstLine="420" w:firstLineChars="0"/>
        <w:jc w:val="left"/>
        <w:rPr>
          <w:color w:val="auto"/>
          <w:highlight w:val="none"/>
        </w:rPr>
      </w:pPr>
      <w:r>
        <w:rPr>
          <w:rFonts w:hint="eastAsia"/>
          <w:color w:val="auto"/>
          <w:highlight w:val="none"/>
        </w:rPr>
        <w:t>（</w:t>
      </w:r>
      <w:r>
        <w:rPr>
          <w:color w:val="auto"/>
          <w:highlight w:val="none"/>
          <w:lang w:val="en-US" w:eastAsia="zh-CN"/>
        </w:rPr>
        <w:t>七</w:t>
      </w:r>
      <w:r>
        <w:rPr>
          <w:rFonts w:hint="eastAsia"/>
          <w:color w:val="auto"/>
          <w:highlight w:val="none"/>
        </w:rPr>
        <w:t>）服务水平协议（SLA）</w:t>
      </w:r>
    </w:p>
    <w:p w14:paraId="2F04816E">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color w:val="auto"/>
          <w:highlight w:val="none"/>
        </w:rPr>
      </w:pPr>
      <w:r>
        <w:rPr>
          <w:rFonts w:hint="eastAsia"/>
          <w:color w:val="auto"/>
          <w:highlight w:val="none"/>
        </w:rPr>
        <w:t>（</w:t>
      </w:r>
      <w:r>
        <w:rPr>
          <w:color w:val="auto"/>
          <w:highlight w:val="none"/>
        </w:rPr>
        <w:t>八</w:t>
      </w:r>
      <w:r>
        <w:rPr>
          <w:rFonts w:hint="eastAsia"/>
          <w:color w:val="auto"/>
          <w:highlight w:val="none"/>
        </w:rPr>
        <w:t>）</w:t>
      </w:r>
      <w:r>
        <w:rPr>
          <w:rFonts w:hint="eastAsia" w:hAnsi="Times New Roman"/>
          <w:color w:val="auto"/>
          <w:highlight w:val="none"/>
          <w:lang w:val="en-US" w:eastAsia="zh-CN"/>
        </w:rPr>
        <w:t>认证证明材料</w:t>
      </w:r>
    </w:p>
    <w:p w14:paraId="75D2E30B">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rFonts w:hint="eastAsia"/>
          <w:color w:val="auto"/>
          <w:highlight w:val="none"/>
        </w:rPr>
        <w:t>服务连续性预案</w:t>
      </w:r>
    </w:p>
    <w:p w14:paraId="4A7BA27C">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color w:val="auto"/>
          <w:highlight w:val="none"/>
        </w:rPr>
      </w:pPr>
      <w:r>
        <w:rPr>
          <w:rFonts w:hint="eastAsia"/>
          <w:color w:val="auto"/>
          <w:highlight w:val="none"/>
        </w:rPr>
        <w:t>（</w:t>
      </w:r>
      <w:r>
        <w:rPr>
          <w:rFonts w:hint="eastAsia"/>
          <w:color w:val="auto"/>
          <w:highlight w:val="none"/>
          <w:lang w:val="en-US" w:eastAsia="zh-CN"/>
        </w:rPr>
        <w:t>十</w:t>
      </w:r>
      <w:r>
        <w:rPr>
          <w:rFonts w:hint="eastAsia"/>
          <w:color w:val="auto"/>
          <w:highlight w:val="none"/>
        </w:rPr>
        <w:t>）项目实施方案</w:t>
      </w:r>
    </w:p>
    <w:p w14:paraId="1ADDBA74">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int="eastAsia"/>
          <w:color w:val="auto"/>
          <w:highlight w:val="none"/>
        </w:rPr>
      </w:pPr>
      <w:r>
        <w:rPr>
          <w:color w:val="auto"/>
          <w:highlight w:val="none"/>
        </w:rPr>
        <w:t>（十</w:t>
      </w:r>
      <w:r>
        <w:rPr>
          <w:rFonts w:hint="eastAsia"/>
          <w:color w:val="auto"/>
          <w:highlight w:val="none"/>
          <w:lang w:val="en-US" w:eastAsia="zh-CN"/>
        </w:rPr>
        <w:t>一</w:t>
      </w:r>
      <w:r>
        <w:rPr>
          <w:color w:val="auto"/>
          <w:highlight w:val="none"/>
        </w:rPr>
        <w:t>）</w:t>
      </w:r>
      <w:r>
        <w:rPr>
          <w:rFonts w:hint="eastAsia"/>
          <w:color w:val="auto"/>
          <w:highlight w:val="none"/>
        </w:rPr>
        <w:t>售后服务和培训方案</w:t>
      </w:r>
    </w:p>
    <w:p w14:paraId="287F7014">
      <w:pPr>
        <w:keepNext w:val="0"/>
        <w:keepLines w:val="0"/>
        <w:pageBreakBefore w:val="0"/>
        <w:widowControl/>
        <w:kinsoku/>
        <w:wordWrap/>
        <w:overflowPunct/>
        <w:topLinePunct w:val="0"/>
        <w:autoSpaceDE/>
        <w:autoSpaceDN/>
        <w:adjustRightInd/>
        <w:snapToGrid/>
        <w:spacing w:line="240" w:lineRule="auto"/>
        <w:ind w:firstLine="420" w:firstLineChars="0"/>
        <w:jc w:val="left"/>
        <w:rPr>
          <w:color w:val="auto"/>
          <w:highlight w:val="none"/>
        </w:rPr>
      </w:pPr>
      <w:r>
        <w:rPr>
          <w:rFonts w:hint="eastAsia"/>
          <w:color w:val="auto"/>
          <w:highlight w:val="none"/>
        </w:rPr>
        <w:t>（</w:t>
      </w:r>
      <w:r>
        <w:rPr>
          <w:color w:val="auto"/>
          <w:highlight w:val="none"/>
        </w:rPr>
        <w:t>十</w:t>
      </w:r>
      <w:r>
        <w:rPr>
          <w:rFonts w:hint="eastAsia"/>
          <w:color w:val="auto"/>
          <w:highlight w:val="none"/>
          <w:lang w:val="en-US" w:eastAsia="zh-CN"/>
        </w:rPr>
        <w:t>二</w:t>
      </w:r>
      <w:r>
        <w:rPr>
          <w:rFonts w:hint="eastAsia"/>
          <w:color w:val="auto"/>
          <w:highlight w:val="none"/>
        </w:rPr>
        <w:t>）项目组全体人员名单、简历信息、社保、工作经验以及经历等相关证明材料</w:t>
      </w:r>
    </w:p>
    <w:p w14:paraId="01DE3E69">
      <w:pPr>
        <w:keepNext w:val="0"/>
        <w:keepLines w:val="0"/>
        <w:pageBreakBefore w:val="0"/>
        <w:widowControl/>
        <w:kinsoku/>
        <w:wordWrap/>
        <w:overflowPunct/>
        <w:topLinePunct w:val="0"/>
        <w:autoSpaceDE/>
        <w:autoSpaceDN/>
        <w:adjustRightInd/>
        <w:snapToGrid/>
        <w:spacing w:line="240" w:lineRule="auto"/>
        <w:ind w:firstLine="420" w:firstLineChars="0"/>
        <w:jc w:val="left"/>
        <w:rPr>
          <w:rFonts w:hAnsi="Times New Roman"/>
          <w:color w:val="auto"/>
          <w:highlight w:val="none"/>
          <w:lang w:val="en-US" w:eastAsia="zh-CN"/>
        </w:rPr>
      </w:pPr>
      <w:r>
        <w:rPr>
          <w:rFonts w:hint="eastAsia" w:hAnsi="Times New Roman"/>
          <w:color w:val="auto"/>
          <w:highlight w:val="none"/>
          <w:lang w:val="en-US" w:eastAsia="zh-CN"/>
        </w:rPr>
        <w:t>（</w:t>
      </w:r>
      <w:r>
        <w:rPr>
          <w:rFonts w:hAnsi="Times New Roman"/>
          <w:color w:val="auto"/>
          <w:highlight w:val="none"/>
          <w:lang w:val="en-US" w:eastAsia="zh-CN"/>
        </w:rPr>
        <w:t>十</w:t>
      </w:r>
      <w:r>
        <w:rPr>
          <w:rFonts w:hint="eastAsia"/>
          <w:color w:val="auto"/>
          <w:highlight w:val="none"/>
          <w:lang w:val="en-US" w:eastAsia="zh-CN"/>
        </w:rPr>
        <w:t>三</w:t>
      </w:r>
      <w:r>
        <w:rPr>
          <w:rFonts w:hint="eastAsia" w:hAnsi="Times New Roman"/>
          <w:color w:val="auto"/>
          <w:highlight w:val="none"/>
          <w:lang w:val="en-US" w:eastAsia="zh-CN"/>
        </w:rPr>
        <w:t>）</w:t>
      </w:r>
      <w:r>
        <w:rPr>
          <w:rFonts w:hint="eastAsia"/>
          <w:color w:val="auto"/>
          <w:highlight w:val="none"/>
          <w:lang w:val="en-US" w:eastAsia="zh-CN"/>
        </w:rPr>
        <w:t>其他资料（如有）</w:t>
      </w:r>
    </w:p>
    <w:p w14:paraId="74C584EE">
      <w:pPr>
        <w:pStyle w:val="2"/>
        <w:keepNext w:val="0"/>
        <w:keepLines w:val="0"/>
        <w:pageBreakBefore w:val="0"/>
        <w:widowControl w:val="0"/>
        <w:kinsoku/>
        <w:wordWrap/>
        <w:overflowPunct/>
        <w:topLinePunct w:val="0"/>
        <w:autoSpaceDE w:val="0"/>
        <w:autoSpaceDN w:val="0"/>
        <w:ind w:firstLine="360" w:firstLineChars="200"/>
        <w:rPr>
          <w:rFonts w:hint="eastAsia"/>
          <w:color w:val="auto"/>
          <w:highlight w:val="none"/>
        </w:rPr>
      </w:pPr>
    </w:p>
    <w:p w14:paraId="40CD58D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br w:type="page"/>
      </w:r>
    </w:p>
    <w:p w14:paraId="372DEEF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p>
    <w:p w14:paraId="06B1696F">
      <w:pPr>
        <w:pStyle w:val="31"/>
        <w:bidi w:val="0"/>
        <w:rPr>
          <w:color w:val="auto"/>
          <w:highlight w:val="none"/>
        </w:rPr>
      </w:pPr>
      <w:r>
        <w:rPr>
          <w:rFonts w:hint="eastAsia"/>
          <w:color w:val="auto"/>
          <w:highlight w:val="none"/>
          <w:lang w:val="en-US" w:eastAsia="zh-CN"/>
        </w:rPr>
        <w:t>一、响应</w:t>
      </w:r>
      <w:r>
        <w:rPr>
          <w:rFonts w:hint="eastAsia"/>
          <w:color w:val="auto"/>
          <w:highlight w:val="none"/>
        </w:rPr>
        <w:t>函</w:t>
      </w:r>
    </w:p>
    <w:p w14:paraId="16A55FBD">
      <w:pPr>
        <w:bidi w:val="0"/>
        <w:rPr>
          <w:color w:val="auto"/>
          <w:highlight w:val="none"/>
        </w:rPr>
      </w:pPr>
    </w:p>
    <w:p w14:paraId="65BB3BD3">
      <w:pPr>
        <w:bidi w:val="0"/>
        <w:ind w:left="0" w:firstLine="0" w:firstLineChars="0"/>
        <w:rPr>
          <w:color w:val="auto"/>
          <w:highlight w:val="none"/>
        </w:rPr>
      </w:pPr>
      <w:r>
        <w:rPr>
          <w:rFonts w:hint="eastAsia"/>
          <w:color w:val="auto"/>
          <w:highlight w:val="none"/>
        </w:rPr>
        <w:t>重庆三峡银行股份有限公司：</w:t>
      </w:r>
    </w:p>
    <w:p w14:paraId="0D16C709">
      <w:pPr>
        <w:bidi w:val="0"/>
        <w:rPr>
          <w:color w:val="auto"/>
          <w:highlight w:val="none"/>
        </w:rPr>
      </w:pPr>
      <w:r>
        <w:rPr>
          <w:rFonts w:hint="eastAsia"/>
          <w:color w:val="auto"/>
          <w:highlight w:val="none"/>
        </w:rPr>
        <w:t>我方收到</w:t>
      </w:r>
      <w:r>
        <w:rPr>
          <w:rFonts w:hint="eastAsia"/>
          <w:color w:val="auto"/>
          <w:highlight w:val="none"/>
          <w:u w:val="single"/>
          <w:lang w:val="en-US" w:eastAsia="zh-CN"/>
        </w:rPr>
        <w:t xml:space="preserve">             </w:t>
      </w:r>
      <w:r>
        <w:rPr>
          <w:rFonts w:hint="eastAsia"/>
          <w:color w:val="auto"/>
          <w:highlight w:val="none"/>
          <w:lang w:val="en-US" w:eastAsia="zh-CN"/>
        </w:rPr>
        <w:t>（项目名称）</w:t>
      </w:r>
      <w:r>
        <w:rPr>
          <w:rFonts w:hint="eastAsia"/>
          <w:color w:val="auto"/>
          <w:highlight w:val="none"/>
          <w:lang w:eastAsia="zh-CN"/>
        </w:rPr>
        <w:t>询比文件</w:t>
      </w:r>
      <w:r>
        <w:rPr>
          <w:rFonts w:hint="eastAsia"/>
          <w:color w:val="auto"/>
          <w:highlight w:val="none"/>
        </w:rPr>
        <w:t>，经详细研究，决定参加该</w:t>
      </w:r>
      <w:r>
        <w:rPr>
          <w:rFonts w:hint="eastAsia"/>
          <w:color w:val="auto"/>
          <w:highlight w:val="none"/>
          <w:lang w:eastAsia="zh-CN"/>
        </w:rPr>
        <w:t>询比</w:t>
      </w:r>
      <w:r>
        <w:rPr>
          <w:rFonts w:hint="eastAsia"/>
          <w:color w:val="auto"/>
          <w:highlight w:val="none"/>
        </w:rPr>
        <w:t>项目</w:t>
      </w:r>
      <w:r>
        <w:rPr>
          <w:rFonts w:hint="eastAsia"/>
          <w:color w:val="auto"/>
          <w:highlight w:val="none"/>
          <w:lang w:val="en-US" w:eastAsia="zh-CN"/>
        </w:rPr>
        <w:t>并响应</w:t>
      </w:r>
      <w:r>
        <w:rPr>
          <w:rFonts w:hint="eastAsia"/>
          <w:color w:val="auto"/>
          <w:highlight w:val="none"/>
        </w:rPr>
        <w:t>。</w:t>
      </w:r>
    </w:p>
    <w:p w14:paraId="3759CBC0">
      <w:pPr>
        <w:bidi w:val="0"/>
        <w:rPr>
          <w:rFonts w:hint="eastAsia"/>
          <w:color w:val="auto"/>
          <w:highlight w:val="none"/>
        </w:rPr>
      </w:pPr>
      <w:r>
        <w:rPr>
          <w:rFonts w:hint="eastAsia"/>
          <w:color w:val="auto"/>
          <w:highlight w:val="none"/>
          <w:lang w:val="en-US" w:eastAsia="zh-CN"/>
        </w:rPr>
        <w:t>1、</w:t>
      </w:r>
      <w:r>
        <w:rPr>
          <w:rFonts w:hint="eastAsia"/>
          <w:color w:val="auto"/>
          <w:highlight w:val="none"/>
        </w:rPr>
        <w:t>愿意按照</w:t>
      </w:r>
      <w:r>
        <w:rPr>
          <w:rFonts w:hint="eastAsia"/>
          <w:color w:val="auto"/>
          <w:highlight w:val="none"/>
          <w:lang w:eastAsia="zh-CN"/>
        </w:rPr>
        <w:t>询比文件</w:t>
      </w:r>
      <w:r>
        <w:rPr>
          <w:rFonts w:hint="eastAsia"/>
          <w:color w:val="auto"/>
          <w:highlight w:val="none"/>
        </w:rPr>
        <w:t>中的一切要求，以</w:t>
      </w:r>
      <w:r>
        <w:rPr>
          <w:rFonts w:hint="eastAsia"/>
          <w:color w:val="auto"/>
          <w:highlight w:val="none"/>
          <w:lang w:val="en-US" w:eastAsia="zh-CN"/>
        </w:rPr>
        <w:t>响应文件中的内容和报</w:t>
      </w:r>
      <w:r>
        <w:rPr>
          <w:rFonts w:hint="eastAsia"/>
          <w:color w:val="auto"/>
          <w:highlight w:val="none"/>
        </w:rPr>
        <w:t>价承担和完成本项目。</w:t>
      </w:r>
    </w:p>
    <w:p w14:paraId="385AB7A4">
      <w:pPr>
        <w:bidi w:val="0"/>
        <w:rPr>
          <w:color w:val="auto"/>
          <w:highlight w:val="none"/>
        </w:rPr>
      </w:pPr>
      <w:r>
        <w:rPr>
          <w:rFonts w:hint="eastAsia"/>
          <w:color w:val="auto"/>
          <w:highlight w:val="none"/>
        </w:rPr>
        <w:t>2、我方现提交的</w:t>
      </w:r>
      <w:r>
        <w:rPr>
          <w:rFonts w:hint="eastAsia"/>
          <w:color w:val="auto"/>
          <w:highlight w:val="none"/>
          <w:lang w:eastAsia="zh-CN"/>
        </w:rPr>
        <w:t>响应文件</w:t>
      </w:r>
      <w:r>
        <w:rPr>
          <w:rFonts w:hint="eastAsia"/>
          <w:color w:val="auto"/>
          <w:highlight w:val="none"/>
        </w:rPr>
        <w:t>为：</w:t>
      </w:r>
      <w:r>
        <w:rPr>
          <w:rFonts w:hint="eastAsia"/>
          <w:color w:val="auto"/>
          <w:highlight w:val="none"/>
          <w:lang w:eastAsia="zh-CN"/>
        </w:rPr>
        <w:t>响应文件</w:t>
      </w:r>
      <w:r>
        <w:rPr>
          <w:rFonts w:hint="eastAsia"/>
          <w:color w:val="auto"/>
          <w:highlight w:val="none"/>
        </w:rPr>
        <w:t>正本一份，副本一份，电子文件一份。</w:t>
      </w:r>
    </w:p>
    <w:p w14:paraId="63858C5F">
      <w:pPr>
        <w:bidi w:val="0"/>
        <w:rPr>
          <w:color w:val="auto"/>
          <w:highlight w:val="none"/>
        </w:rPr>
      </w:pPr>
      <w:r>
        <w:rPr>
          <w:rFonts w:hint="eastAsia"/>
          <w:color w:val="auto"/>
          <w:highlight w:val="none"/>
        </w:rPr>
        <w:t>3、如果我方</w:t>
      </w:r>
      <w:r>
        <w:rPr>
          <w:rFonts w:hint="eastAsia"/>
          <w:color w:val="auto"/>
          <w:highlight w:val="none"/>
          <w:lang w:eastAsia="zh-CN"/>
        </w:rPr>
        <w:t>响应文件</w:t>
      </w:r>
      <w:r>
        <w:rPr>
          <w:rFonts w:hint="eastAsia"/>
          <w:color w:val="auto"/>
          <w:highlight w:val="none"/>
        </w:rPr>
        <w:t>被接受，我方将履行</w:t>
      </w:r>
      <w:r>
        <w:rPr>
          <w:rFonts w:hint="eastAsia"/>
          <w:color w:val="auto"/>
          <w:highlight w:val="none"/>
          <w:lang w:eastAsia="zh-CN"/>
        </w:rPr>
        <w:t>询比文件</w:t>
      </w:r>
      <w:r>
        <w:rPr>
          <w:rFonts w:hint="eastAsia"/>
          <w:color w:val="auto"/>
          <w:highlight w:val="none"/>
        </w:rPr>
        <w:t>中规定的各项要求，按相关法律法规和合同约定条款承担我方的责任。</w:t>
      </w:r>
    </w:p>
    <w:p w14:paraId="0FEB1103">
      <w:pPr>
        <w:bidi w:val="0"/>
        <w:rPr>
          <w:color w:val="auto"/>
          <w:highlight w:val="none"/>
        </w:rPr>
      </w:pPr>
      <w:r>
        <w:rPr>
          <w:rFonts w:hint="eastAsia"/>
          <w:color w:val="auto"/>
          <w:highlight w:val="none"/>
        </w:rPr>
        <w:t>4、我方愿意提供</w:t>
      </w:r>
      <w:r>
        <w:rPr>
          <w:rFonts w:hint="eastAsia"/>
          <w:color w:val="auto"/>
          <w:highlight w:val="none"/>
          <w:lang w:eastAsia="zh-CN"/>
        </w:rPr>
        <w:t>询比文件</w:t>
      </w:r>
      <w:r>
        <w:rPr>
          <w:rFonts w:hint="eastAsia"/>
          <w:color w:val="auto"/>
          <w:highlight w:val="none"/>
        </w:rPr>
        <w:t>中要求的所有资料，并对其真实性负责。</w:t>
      </w:r>
    </w:p>
    <w:p w14:paraId="6BAD1F7E">
      <w:pPr>
        <w:bidi w:val="0"/>
        <w:rPr>
          <w:color w:val="auto"/>
          <w:highlight w:val="none"/>
        </w:rPr>
      </w:pPr>
      <w:r>
        <w:rPr>
          <w:rFonts w:hint="eastAsia"/>
          <w:color w:val="auto"/>
          <w:highlight w:val="none"/>
        </w:rPr>
        <w:t>5、我方理解最低价格不是</w:t>
      </w:r>
      <w:r>
        <w:rPr>
          <w:rFonts w:hint="eastAsia"/>
          <w:color w:val="auto"/>
          <w:highlight w:val="none"/>
          <w:lang w:eastAsia="zh-CN"/>
        </w:rPr>
        <w:t>成交</w:t>
      </w:r>
      <w:r>
        <w:rPr>
          <w:rFonts w:hint="eastAsia"/>
          <w:color w:val="auto"/>
          <w:highlight w:val="none"/>
        </w:rPr>
        <w:t>的唯一条件。</w:t>
      </w:r>
    </w:p>
    <w:p w14:paraId="3893919C">
      <w:pPr>
        <w:bidi w:val="0"/>
        <w:rPr>
          <w:color w:val="auto"/>
          <w:highlight w:val="none"/>
        </w:rPr>
      </w:pPr>
      <w:r>
        <w:rPr>
          <w:rFonts w:hint="eastAsia"/>
          <w:color w:val="auto"/>
          <w:highlight w:val="none"/>
        </w:rPr>
        <w:t>6、</w:t>
      </w:r>
      <w:r>
        <w:rPr>
          <w:rFonts w:hint="eastAsia"/>
          <w:color w:val="auto"/>
          <w:highlight w:val="none"/>
          <w:lang w:eastAsia="zh-CN"/>
        </w:rPr>
        <w:t>响应有效期</w:t>
      </w:r>
      <w:r>
        <w:rPr>
          <w:rFonts w:hint="eastAsia"/>
          <w:color w:val="auto"/>
          <w:highlight w:val="none"/>
        </w:rPr>
        <w:t>为</w:t>
      </w:r>
      <w:r>
        <w:rPr>
          <w:rFonts w:hint="eastAsia"/>
          <w:color w:val="auto"/>
          <w:highlight w:val="none"/>
          <w:lang w:eastAsia="zh-CN"/>
        </w:rPr>
        <w:t>响应</w:t>
      </w:r>
      <w:r>
        <w:rPr>
          <w:rFonts w:hint="eastAsia"/>
          <w:color w:val="auto"/>
          <w:highlight w:val="none"/>
        </w:rPr>
        <w:t>截止日期后90天内。</w:t>
      </w:r>
    </w:p>
    <w:p w14:paraId="6764AEE1">
      <w:pPr>
        <w:bidi w:val="0"/>
        <w:rPr>
          <w:color w:val="auto"/>
          <w:highlight w:val="none"/>
        </w:rPr>
      </w:pPr>
    </w:p>
    <w:p w14:paraId="716E70AE">
      <w:pPr>
        <w:bidi w:val="0"/>
        <w:rPr>
          <w:color w:val="auto"/>
          <w:highlight w:val="none"/>
        </w:rPr>
      </w:pPr>
    </w:p>
    <w:p w14:paraId="2850CE21">
      <w:pPr>
        <w:bidi w:val="0"/>
        <w:rPr>
          <w:color w:val="auto"/>
          <w:highlight w:val="none"/>
        </w:rPr>
      </w:pPr>
      <w:r>
        <w:rPr>
          <w:rFonts w:hint="eastAsia"/>
          <w:color w:val="auto"/>
          <w:highlight w:val="none"/>
          <w:lang w:eastAsia="zh-CN"/>
        </w:rPr>
        <w:t>响应人</w:t>
      </w:r>
      <w:r>
        <w:rPr>
          <w:rFonts w:hint="eastAsia"/>
          <w:color w:val="auto"/>
          <w:highlight w:val="none"/>
        </w:rPr>
        <w:t>（公章）：</w:t>
      </w:r>
    </w:p>
    <w:p w14:paraId="61816D7D">
      <w:pPr>
        <w:bidi w:val="0"/>
        <w:rPr>
          <w:color w:val="auto"/>
          <w:highlight w:val="none"/>
        </w:rPr>
      </w:pPr>
      <w:r>
        <w:rPr>
          <w:rFonts w:hint="eastAsia"/>
          <w:color w:val="auto"/>
          <w:highlight w:val="none"/>
          <w:lang w:val="en-US" w:eastAsia="zh-CN"/>
        </w:rPr>
        <w:t>响应人联系人</w:t>
      </w:r>
      <w:r>
        <w:rPr>
          <w:rFonts w:hint="eastAsia"/>
          <w:color w:val="auto"/>
          <w:highlight w:val="none"/>
        </w:rPr>
        <w:t xml:space="preserve">：  </w:t>
      </w:r>
    </w:p>
    <w:p w14:paraId="2BFB80D4">
      <w:pPr>
        <w:bidi w:val="0"/>
        <w:rPr>
          <w:rFonts w:hint="eastAsia"/>
          <w:color w:val="auto"/>
          <w:highlight w:val="none"/>
          <w:lang w:eastAsia="zh-CN"/>
        </w:rPr>
      </w:pPr>
      <w:r>
        <w:rPr>
          <w:rFonts w:hint="eastAsia"/>
          <w:color w:val="auto"/>
          <w:highlight w:val="none"/>
          <w:lang w:val="en-US" w:eastAsia="zh-CN"/>
        </w:rPr>
        <w:t xml:space="preserve">响应人联系人联系电话：     </w:t>
      </w:r>
    </w:p>
    <w:p w14:paraId="3A276544">
      <w:pPr>
        <w:bidi w:val="0"/>
        <w:jc w:val="right"/>
        <w:rPr>
          <w:color w:val="auto"/>
          <w:highlight w:val="none"/>
        </w:rPr>
      </w:pPr>
      <w:r>
        <w:rPr>
          <w:rFonts w:hint="eastAsia"/>
          <w:color w:val="auto"/>
          <w:highlight w:val="none"/>
        </w:rPr>
        <w:t>年     月     日</w:t>
      </w:r>
    </w:p>
    <w:p w14:paraId="363A5E4B">
      <w:pPr>
        <w:bidi w:val="0"/>
        <w:rPr>
          <w:color w:val="auto"/>
          <w:highlight w:val="none"/>
        </w:rPr>
      </w:pPr>
    </w:p>
    <w:p w14:paraId="0BE005FF">
      <w:pPr>
        <w:widowControl/>
        <w:spacing w:line="360" w:lineRule="auto"/>
        <w:jc w:val="left"/>
        <w:rPr>
          <w:rFonts w:ascii="宋体"/>
          <w:snapToGrid w:val="0"/>
          <w:color w:val="auto"/>
          <w:kern w:val="0"/>
          <w:sz w:val="24"/>
          <w:szCs w:val="24"/>
          <w:highlight w:val="none"/>
        </w:rPr>
      </w:pPr>
    </w:p>
    <w:p w14:paraId="181FBA2B">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6567739D">
      <w:pPr>
        <w:pStyle w:val="31"/>
        <w:bidi w:val="0"/>
        <w:rPr>
          <w:color w:val="auto"/>
          <w:highlight w:val="none"/>
          <w:lang w:val="en-US" w:eastAsia="zh-CN"/>
        </w:rPr>
      </w:pPr>
      <w:r>
        <w:rPr>
          <w:rFonts w:hint="eastAsia"/>
          <w:color w:val="auto"/>
          <w:highlight w:val="none"/>
          <w:lang w:val="en-US" w:eastAsia="zh-CN"/>
        </w:rPr>
        <w:t>二、费用清单一览表文件</w:t>
      </w:r>
    </w:p>
    <w:p w14:paraId="31DDD69C">
      <w:pPr>
        <w:pStyle w:val="31"/>
        <w:bidi w:val="0"/>
        <w:outlineLvl w:val="2"/>
        <w:rPr>
          <w:rFonts w:hint="eastAsia"/>
          <w:color w:val="auto"/>
          <w:highlight w:val="none"/>
          <w:lang w:eastAsia="zh-CN"/>
        </w:rPr>
      </w:pPr>
      <w:r>
        <w:rPr>
          <w:rFonts w:hint="eastAsia"/>
          <w:color w:val="auto"/>
          <w:highlight w:val="none"/>
          <w:lang w:val="en-US" w:eastAsia="zh-CN"/>
        </w:rPr>
        <w:t>（一）</w:t>
      </w:r>
      <w:r>
        <w:rPr>
          <w:rFonts w:hint="eastAsia"/>
          <w:color w:val="auto"/>
          <w:highlight w:val="none"/>
        </w:rPr>
        <w:t>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7772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D319EB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9864466">
            <w:pPr>
              <w:autoSpaceDE/>
              <w:autoSpaceDN/>
              <w:spacing w:line="360" w:lineRule="auto"/>
              <w:ind w:firstLine="0" w:firstLineChars="0"/>
              <w:jc w:val="center"/>
              <w:rPr>
                <w:rFonts w:ascii="宋体" w:hAnsi="宋体"/>
                <w:color w:val="auto"/>
                <w:szCs w:val="24"/>
                <w:highlight w:val="none"/>
              </w:rPr>
            </w:pPr>
          </w:p>
        </w:tc>
      </w:tr>
      <w:tr w14:paraId="623E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30DFA51">
            <w:pPr>
              <w:autoSpaceDE/>
              <w:autoSpaceDN/>
              <w:spacing w:line="360" w:lineRule="auto"/>
              <w:ind w:firstLine="0" w:firstLineChars="0"/>
              <w:jc w:val="center"/>
              <w:rPr>
                <w:rFonts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r>
              <w:rPr>
                <w:rFonts w:hint="eastAsia" w:ascii="宋体" w:hAnsi="宋体"/>
                <w:snapToGrid w:val="0"/>
                <w:color w:val="auto"/>
                <w:kern w:val="0"/>
                <w:szCs w:val="24"/>
                <w:highlight w:val="none"/>
                <w:lang w:val="en-US" w:eastAsia="zh-CN"/>
              </w:rPr>
              <w:t>/标段名称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BCA5870">
            <w:pPr>
              <w:autoSpaceDE/>
              <w:autoSpaceDN/>
              <w:spacing w:line="360" w:lineRule="auto"/>
              <w:ind w:firstLine="0" w:firstLineChars="0"/>
              <w:jc w:val="center"/>
              <w:rPr>
                <w:rFonts w:ascii="宋体" w:hAnsi="宋体" w:cs="Cambria"/>
                <w:color w:val="auto"/>
                <w:sz w:val="21"/>
                <w:szCs w:val="21"/>
                <w:highlight w:val="none"/>
              </w:rPr>
            </w:pPr>
          </w:p>
        </w:tc>
      </w:tr>
      <w:tr w14:paraId="19A1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05C817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6C2B43B">
            <w:pPr>
              <w:pStyle w:val="35"/>
              <w:rPr>
                <w:highlight w:val="none"/>
              </w:rPr>
            </w:pPr>
            <w:r>
              <w:rPr>
                <w:highlight w:val="none"/>
              </w:rPr>
              <w:t>小写</w:t>
            </w:r>
            <w:r>
              <w:rPr>
                <w:rFonts w:hint="eastAsia"/>
                <w:highlight w:val="none"/>
              </w:rPr>
              <w:t xml:space="preserve">：            </w:t>
            </w:r>
            <w:r>
              <w:rPr>
                <w:highlight w:val="none"/>
              </w:rPr>
              <w:t>人民币</w:t>
            </w:r>
          </w:p>
          <w:p w14:paraId="7C246B10">
            <w:pPr>
              <w:pStyle w:val="35"/>
              <w:rPr>
                <w:highlight w:val="none"/>
              </w:rPr>
            </w:pPr>
            <w:r>
              <w:rPr>
                <w:rFonts w:hint="eastAsia"/>
                <w:highlight w:val="none"/>
              </w:rPr>
              <w:t>大写：            人民币</w:t>
            </w:r>
          </w:p>
        </w:tc>
      </w:tr>
      <w:tr w14:paraId="042D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25F4113">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A77B3CD">
            <w:pPr>
              <w:pStyle w:val="35"/>
              <w:rPr>
                <w:highlight w:val="none"/>
              </w:rPr>
            </w:pPr>
            <w:r>
              <w:rPr>
                <w:highlight w:val="none"/>
              </w:rPr>
              <w:t>小写</w:t>
            </w:r>
            <w:r>
              <w:rPr>
                <w:rFonts w:hint="eastAsia"/>
                <w:highlight w:val="none"/>
              </w:rPr>
              <w:t xml:space="preserve">：            </w:t>
            </w:r>
            <w:r>
              <w:rPr>
                <w:highlight w:val="none"/>
              </w:rPr>
              <w:t>人民币</w:t>
            </w:r>
          </w:p>
          <w:p w14:paraId="576CD711">
            <w:pPr>
              <w:pStyle w:val="35"/>
              <w:rPr>
                <w:rFonts w:hint="eastAsia"/>
                <w:highlight w:val="none"/>
              </w:rPr>
            </w:pPr>
            <w:r>
              <w:rPr>
                <w:rFonts w:hint="eastAsia"/>
                <w:highlight w:val="none"/>
              </w:rPr>
              <w:t>大写：            人民币</w:t>
            </w:r>
          </w:p>
        </w:tc>
      </w:tr>
      <w:tr w14:paraId="4EAA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BC5B22F">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Times New Roman" w:hAnsi="Times New Roman"/>
                <w:snapToGrid w:val="0"/>
                <w:color w:val="auto"/>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075C1EE1">
            <w:pPr>
              <w:autoSpaceDE/>
              <w:autoSpaceDN/>
              <w:spacing w:line="360" w:lineRule="auto"/>
              <w:ind w:firstLine="0" w:firstLineChars="0"/>
              <w:jc w:val="center"/>
              <w:rPr>
                <w:rFonts w:hint="eastAsia" w:ascii="宋体" w:hAnsi="宋体"/>
                <w:color w:val="auto"/>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2094EF1D">
            <w:pPr>
              <w:autoSpaceDE/>
              <w:autoSpaceDN/>
              <w:spacing w:line="360" w:lineRule="auto"/>
              <w:ind w:firstLine="0" w:firstLineChars="0"/>
              <w:jc w:val="center"/>
              <w:rPr>
                <w:rFonts w:hint="eastAsia" w:ascii="宋体" w:hAnsi="宋体"/>
                <w:color w:val="auto"/>
                <w:szCs w:val="24"/>
                <w:highlight w:val="none"/>
              </w:rPr>
            </w:pPr>
            <w:r>
              <w:rPr>
                <w:rFonts w:hint="eastAsia" w:ascii="Times New Roman" w:hAnsi="Times New Roman"/>
                <w:snapToGrid w:val="0"/>
                <w:color w:val="auto"/>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3392FD70">
            <w:pPr>
              <w:autoSpaceDE/>
              <w:autoSpaceDN/>
              <w:spacing w:line="360" w:lineRule="auto"/>
              <w:ind w:firstLine="0" w:firstLineChars="0"/>
              <w:jc w:val="center"/>
              <w:rPr>
                <w:rFonts w:hint="eastAsia" w:ascii="宋体" w:hAnsi="宋体"/>
                <w:color w:val="auto"/>
                <w:szCs w:val="24"/>
                <w:highlight w:val="none"/>
              </w:rPr>
            </w:pPr>
          </w:p>
        </w:tc>
      </w:tr>
      <w:tr w14:paraId="295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2918951">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C19CF2C">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4971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5950E5F">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370CCF2E">
      <w:pPr>
        <w:bidi w:val="0"/>
        <w:rPr>
          <w:color w:val="auto"/>
          <w:highlight w:val="none"/>
        </w:rPr>
      </w:pPr>
    </w:p>
    <w:p w14:paraId="24CC01B2">
      <w:pPr>
        <w:bidi w:val="0"/>
        <w:rPr>
          <w:color w:val="auto"/>
          <w:highlight w:val="none"/>
        </w:rPr>
      </w:pPr>
    </w:p>
    <w:p w14:paraId="77303CC5">
      <w:pPr>
        <w:bidi w:val="0"/>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21195A49">
      <w:pPr>
        <w:bidi w:val="0"/>
        <w:rPr>
          <w:color w:val="auto"/>
          <w:highlight w:val="none"/>
        </w:rPr>
      </w:pPr>
    </w:p>
    <w:p w14:paraId="4B84B731">
      <w:pPr>
        <w:spacing w:line="360" w:lineRule="auto"/>
        <w:ind w:left="3360" w:right="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7C0F77FA">
      <w:pPr>
        <w:spacing w:line="360" w:lineRule="auto"/>
        <w:ind w:left="4620" w:right="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0E2631ED">
      <w:pPr>
        <w:spacing w:line="360" w:lineRule="auto"/>
        <w:ind w:right="-25"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4492B4B">
      <w:pPr>
        <w:bidi w:val="0"/>
        <w:rPr>
          <w:color w:val="auto"/>
          <w:highlight w:val="none"/>
        </w:rPr>
      </w:pPr>
      <w:r>
        <w:rPr>
          <w:rFonts w:hint="eastAsia"/>
          <w:color w:val="auto"/>
          <w:highlight w:val="none"/>
        </w:rPr>
        <w:t>有关说明：</w:t>
      </w:r>
    </w:p>
    <w:p w14:paraId="05EF4313">
      <w:pPr>
        <w:bidi w:val="0"/>
        <w:rPr>
          <w:rFonts w:hint="eastAsia"/>
          <w:color w:val="auto"/>
          <w:highlight w:val="none"/>
        </w:rPr>
      </w:pPr>
      <w:r>
        <w:rPr>
          <w:rFonts w:hint="eastAsia"/>
          <w:color w:val="auto"/>
          <w:highlight w:val="none"/>
        </w:rPr>
        <w:t>报价一览表在开标大会上当众宣读，务必填写清楚，准确无误。表格可扩展。</w:t>
      </w:r>
    </w:p>
    <w:p w14:paraId="4A1027FE">
      <w:pPr>
        <w:bidi w:val="0"/>
        <w:rPr>
          <w:rFonts w:hint="eastAsia"/>
          <w:color w:val="auto"/>
          <w:highlight w:val="none"/>
        </w:rPr>
      </w:pPr>
      <w:r>
        <w:rPr>
          <w:rFonts w:hint="eastAsia"/>
          <w:color w:val="auto"/>
          <w:highlight w:val="none"/>
        </w:rPr>
        <w:t>本次报价包含上述维护期</w:t>
      </w:r>
      <w:r>
        <w:rPr>
          <w:rFonts w:hint="eastAsia"/>
          <w:color w:val="auto"/>
          <w:highlight w:val="none"/>
          <w:lang w:val="en-US" w:eastAsia="zh-CN"/>
        </w:rPr>
        <w:t>的</w:t>
      </w:r>
      <w:r>
        <w:rPr>
          <w:rFonts w:hint="eastAsia"/>
          <w:color w:val="auto"/>
          <w:highlight w:val="none"/>
        </w:rPr>
        <w:t>，</w:t>
      </w:r>
      <w:r>
        <w:rPr>
          <w:rFonts w:hint="eastAsia"/>
          <w:color w:val="auto"/>
          <w:highlight w:val="none"/>
          <w:lang w:eastAsia="zh-CN"/>
        </w:rPr>
        <w:t>采购人</w:t>
      </w:r>
      <w:r>
        <w:rPr>
          <w:rFonts w:hint="eastAsia"/>
          <w:color w:val="auto"/>
          <w:highlight w:val="none"/>
        </w:rPr>
        <w:t>不再另行支付该维护期内维护费用。</w:t>
      </w:r>
    </w:p>
    <w:p w14:paraId="6FB86A7D">
      <w:pPr>
        <w:bidi w:val="0"/>
        <w:rPr>
          <w:rFonts w:hint="eastAsia"/>
          <w:color w:val="auto"/>
          <w:highlight w:val="none"/>
        </w:rPr>
      </w:pPr>
    </w:p>
    <w:p w14:paraId="52C74AC0">
      <w:pPr>
        <w:pStyle w:val="5"/>
        <w:bidi w:val="0"/>
        <w:jc w:val="center"/>
        <w:rPr>
          <w:rFonts w:hint="eastAsia"/>
          <w:color w:val="auto"/>
          <w:highlight w:val="none"/>
        </w:rPr>
      </w:pPr>
      <w:r>
        <w:rPr>
          <w:rFonts w:hint="eastAsia"/>
          <w:color w:val="auto"/>
          <w:highlight w:val="none"/>
          <w:lang w:val="en-US" w:eastAsia="zh-CN"/>
        </w:rPr>
        <w:t>（二）</w:t>
      </w:r>
      <w:r>
        <w:rPr>
          <w:rFonts w:hint="eastAsia"/>
          <w:color w:val="auto"/>
          <w:highlight w:val="none"/>
        </w:rPr>
        <w:t>分项报价明细表</w:t>
      </w:r>
    </w:p>
    <w:p w14:paraId="50A46417">
      <w:pPr>
        <w:pStyle w:val="42"/>
        <w:bidi w:val="0"/>
        <w:rPr>
          <w:highlight w:val="none"/>
        </w:rPr>
      </w:pPr>
      <w:r>
        <w:rPr>
          <w:rFonts w:hint="eastAsia"/>
          <w:highlight w:val="none"/>
        </w:rPr>
        <w:t>（自定义表格形式，格式自拟）</w:t>
      </w:r>
    </w:p>
    <w:p w14:paraId="63782D35">
      <w:pPr>
        <w:ind w:left="0" w:firstLine="0" w:firstLineChars="0"/>
        <w:rPr>
          <w:rStyle w:val="27"/>
          <w:rFonts w:hint="eastAsia"/>
          <w:b/>
          <w:bCs/>
          <w:color w:val="auto"/>
          <w:highlight w:val="none"/>
          <w:lang w:val="en-US" w:eastAsia="zh-CN"/>
        </w:rPr>
      </w:pPr>
    </w:p>
    <w:p w14:paraId="783BD4C5">
      <w:pPr>
        <w:ind w:left="0" w:firstLine="0" w:firstLineChars="0"/>
        <w:rPr>
          <w:rStyle w:val="27"/>
          <w:rFonts w:hint="eastAsia"/>
          <w:b/>
          <w:bCs/>
          <w:color w:val="auto"/>
          <w:highlight w:val="none"/>
          <w:lang w:val="en-US" w:eastAsia="zh-CN"/>
        </w:rPr>
      </w:pPr>
    </w:p>
    <w:p w14:paraId="328E2821">
      <w:pPr>
        <w:ind w:left="0" w:firstLine="0" w:firstLineChars="0"/>
        <w:rPr>
          <w:rStyle w:val="27"/>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1B2F1717">
      <w:pPr>
        <w:pStyle w:val="31"/>
        <w:bidi w:val="0"/>
        <w:rPr>
          <w:color w:val="auto"/>
          <w:highlight w:val="none"/>
          <w:lang w:val="en-US" w:eastAsia="zh-CN"/>
        </w:rPr>
      </w:pPr>
      <w:r>
        <w:rPr>
          <w:rFonts w:hint="eastAsia"/>
          <w:color w:val="auto"/>
          <w:highlight w:val="none"/>
          <w:lang w:val="en-US" w:eastAsia="zh-CN"/>
        </w:rPr>
        <w:t>三、法定代表人身份证明或授权委托书文件</w:t>
      </w:r>
    </w:p>
    <w:p w14:paraId="0EC80D57">
      <w:pPr>
        <w:rPr>
          <w:rStyle w:val="27"/>
          <w:rFonts w:hint="eastAsia"/>
          <w:b/>
          <w:bCs/>
          <w:color w:val="auto"/>
          <w:highlight w:val="none"/>
          <w:lang w:val="en-US" w:eastAsia="zh-CN"/>
        </w:rPr>
      </w:pPr>
    </w:p>
    <w:p w14:paraId="4162A261">
      <w:pPr>
        <w:pStyle w:val="32"/>
        <w:bidi w:val="0"/>
        <w:rPr>
          <w:color w:val="auto"/>
          <w:highlight w:val="none"/>
        </w:rPr>
      </w:pPr>
      <w:bookmarkStart w:id="309" w:name="_Toc8213"/>
      <w:bookmarkStart w:id="310" w:name="_Toc14270"/>
      <w:bookmarkStart w:id="311" w:name="_Toc378234770"/>
      <w:bookmarkStart w:id="312" w:name="_Toc378234584"/>
      <w:bookmarkStart w:id="313" w:name="_Toc478053903"/>
      <w:bookmarkStart w:id="314" w:name="_Toc472780356"/>
      <w:bookmarkStart w:id="315" w:name="_Toc478054435"/>
      <w:r>
        <w:rPr>
          <w:color w:val="auto"/>
          <w:highlight w:val="none"/>
        </w:rPr>
        <w:t>（</w:t>
      </w:r>
      <w:r>
        <w:rPr>
          <w:rFonts w:hint="eastAsia"/>
          <w:color w:val="auto"/>
          <w:highlight w:val="none"/>
          <w:lang w:val="en-US" w:eastAsia="zh-CN"/>
        </w:rPr>
        <w:t>一</w:t>
      </w:r>
      <w:r>
        <w:rPr>
          <w:color w:val="auto"/>
          <w:highlight w:val="none"/>
        </w:rPr>
        <w:t>）法定代表人身份证明及授权委托书</w:t>
      </w:r>
      <w:bookmarkEnd w:id="309"/>
      <w:bookmarkEnd w:id="310"/>
      <w:r>
        <w:rPr>
          <w:rFonts w:hint="eastAsia"/>
          <w:color w:val="auto"/>
          <w:highlight w:val="none"/>
          <w:lang w:eastAsia="zh-CN"/>
        </w:rPr>
        <w:t>（</w:t>
      </w:r>
      <w:r>
        <w:rPr>
          <w:rFonts w:hint="eastAsia"/>
          <w:color w:val="auto"/>
          <w:highlight w:val="none"/>
          <w:lang w:val="en-US" w:eastAsia="zh-CN"/>
        </w:rPr>
        <w:t>无分支机构</w:t>
      </w:r>
      <w:r>
        <w:rPr>
          <w:rFonts w:hint="eastAsia"/>
          <w:color w:val="auto"/>
          <w:highlight w:val="none"/>
          <w:lang w:eastAsia="zh-CN"/>
        </w:rPr>
        <w:t>）</w:t>
      </w:r>
      <w:r>
        <w:rPr>
          <w:color w:val="auto"/>
          <w:highlight w:val="none"/>
          <w:lang w:eastAsia="zh-CN"/>
        </w:rPr>
        <w:t>（</w:t>
      </w:r>
      <w:r>
        <w:rPr>
          <w:rFonts w:hint="eastAsia"/>
          <w:color w:val="auto"/>
          <w:highlight w:val="none"/>
          <w:lang w:val="en-US" w:eastAsia="zh-CN"/>
        </w:rPr>
        <w:t>如有</w:t>
      </w:r>
      <w:r>
        <w:rPr>
          <w:color w:val="auto"/>
          <w:highlight w:val="none"/>
          <w:lang w:eastAsia="zh-CN"/>
        </w:rPr>
        <w:t>）</w:t>
      </w:r>
    </w:p>
    <w:p w14:paraId="1071991E">
      <w:pPr>
        <w:pStyle w:val="33"/>
        <w:rPr>
          <w:rFonts w:ascii="Times New Roman" w:hAnsi="Times New Roman"/>
          <w:color w:val="auto"/>
          <w:highlight w:val="none"/>
        </w:rPr>
      </w:pPr>
      <w:r>
        <w:rPr>
          <w:rFonts w:ascii="Times New Roman" w:hAnsi="Times New Roman"/>
          <w:color w:val="auto"/>
          <w:highlight w:val="none"/>
        </w:rPr>
        <w:t>法定代表人身份证明书</w:t>
      </w:r>
    </w:p>
    <w:p w14:paraId="172A5B8A">
      <w:pPr>
        <w:tabs>
          <w:tab w:val="left" w:pos="6300"/>
        </w:tabs>
        <w:snapToGrid w:val="0"/>
        <w:spacing w:line="360" w:lineRule="auto"/>
        <w:rPr>
          <w:rFonts w:ascii="Times New Roman" w:hAnsi="Times New Roman"/>
          <w:snapToGrid w:val="0"/>
          <w:color w:val="auto"/>
          <w:kern w:val="0"/>
          <w:highlight w:val="none"/>
        </w:rPr>
      </w:pPr>
    </w:p>
    <w:p w14:paraId="7E6C9DC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52250203">
      <w:pPr>
        <w:tabs>
          <w:tab w:val="left" w:pos="6300"/>
        </w:tabs>
        <w:snapToGrid w:val="0"/>
        <w:spacing w:line="360" w:lineRule="auto"/>
        <w:rPr>
          <w:rFonts w:ascii="Times New Roman" w:hAnsi="Times New Roman"/>
          <w:snapToGrid w:val="0"/>
          <w:color w:val="auto"/>
          <w:kern w:val="0"/>
          <w:highlight w:val="none"/>
        </w:rPr>
      </w:pPr>
    </w:p>
    <w:p w14:paraId="02CC439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6673C5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69542B94">
      <w:pPr>
        <w:tabs>
          <w:tab w:val="left" w:pos="6300"/>
        </w:tabs>
        <w:snapToGrid w:val="0"/>
        <w:spacing w:line="360" w:lineRule="auto"/>
        <w:rPr>
          <w:rFonts w:ascii="Times New Roman" w:hAnsi="Times New Roman"/>
          <w:snapToGrid w:val="0"/>
          <w:color w:val="auto"/>
          <w:kern w:val="0"/>
          <w:highlight w:val="none"/>
        </w:rPr>
      </w:pPr>
    </w:p>
    <w:p w14:paraId="2370E9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16257CA">
      <w:pPr>
        <w:tabs>
          <w:tab w:val="left" w:pos="6300"/>
        </w:tabs>
        <w:snapToGrid w:val="0"/>
        <w:spacing w:line="360" w:lineRule="auto"/>
        <w:rPr>
          <w:rFonts w:ascii="Times New Roman" w:hAnsi="Times New Roman"/>
          <w:snapToGrid w:val="0"/>
          <w:color w:val="auto"/>
          <w:kern w:val="0"/>
          <w:highlight w:val="none"/>
        </w:rPr>
      </w:pPr>
    </w:p>
    <w:p w14:paraId="15E3812F">
      <w:pPr>
        <w:tabs>
          <w:tab w:val="left" w:pos="6300"/>
        </w:tabs>
        <w:snapToGrid w:val="0"/>
        <w:spacing w:line="360" w:lineRule="auto"/>
        <w:rPr>
          <w:rFonts w:ascii="Times New Roman" w:hAnsi="Times New Roman"/>
          <w:snapToGrid w:val="0"/>
          <w:color w:val="auto"/>
          <w:kern w:val="0"/>
          <w:highlight w:val="none"/>
        </w:rPr>
      </w:pPr>
    </w:p>
    <w:p w14:paraId="463746E8">
      <w:pPr>
        <w:tabs>
          <w:tab w:val="left" w:pos="6300"/>
        </w:tabs>
        <w:snapToGrid w:val="0"/>
        <w:spacing w:line="360" w:lineRule="auto"/>
        <w:ind w:firstLine="450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5F33F4F6">
      <w:pPr>
        <w:tabs>
          <w:tab w:val="left" w:pos="6300"/>
        </w:tabs>
        <w:snapToGrid w:val="0"/>
        <w:spacing w:line="360" w:lineRule="auto"/>
        <w:ind w:firstLine="432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6579E89F">
      <w:pPr>
        <w:tabs>
          <w:tab w:val="left" w:pos="6300"/>
        </w:tabs>
        <w:snapToGrid w:val="0"/>
        <w:spacing w:line="360" w:lineRule="auto"/>
        <w:rPr>
          <w:rFonts w:ascii="Times New Roman" w:hAnsi="Times New Roman"/>
          <w:snapToGrid w:val="0"/>
          <w:color w:val="auto"/>
          <w:kern w:val="0"/>
          <w:highlight w:val="none"/>
        </w:rPr>
      </w:pPr>
    </w:p>
    <w:p w14:paraId="41433D5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596112ED">
      <w:pPr>
        <w:tabs>
          <w:tab w:val="left" w:pos="6300"/>
        </w:tabs>
        <w:snapToGrid w:val="0"/>
        <w:spacing w:line="360" w:lineRule="auto"/>
        <w:rPr>
          <w:rFonts w:ascii="Times New Roman" w:hAnsi="Times New Roman"/>
          <w:snapToGrid w:val="0"/>
          <w:color w:val="auto"/>
          <w:kern w:val="0"/>
          <w:highlight w:val="none"/>
        </w:rPr>
      </w:pPr>
    </w:p>
    <w:p w14:paraId="162B050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6493CEC6">
      <w:pPr>
        <w:tabs>
          <w:tab w:val="left" w:pos="6300"/>
        </w:tabs>
        <w:snapToGrid w:val="0"/>
        <w:spacing w:line="360" w:lineRule="auto"/>
        <w:rPr>
          <w:rFonts w:ascii="Times New Roman" w:hAnsi="Times New Roman"/>
          <w:snapToGrid w:val="0"/>
          <w:color w:val="auto"/>
          <w:kern w:val="0"/>
          <w:highlight w:val="none"/>
        </w:rPr>
      </w:pPr>
    </w:p>
    <w:p w14:paraId="188780A2">
      <w:pPr>
        <w:pStyle w:val="2"/>
        <w:rPr>
          <w:rFonts w:ascii="Times New Roman" w:hAnsi="Times New Roman"/>
          <w:snapToGrid w:val="0"/>
          <w:color w:val="auto"/>
          <w:kern w:val="0"/>
          <w:highlight w:val="none"/>
        </w:rPr>
      </w:pPr>
    </w:p>
    <w:p w14:paraId="51EEC7C5">
      <w:pPr>
        <w:rPr>
          <w:rFonts w:ascii="Times New Roman" w:hAnsi="Times New Roman"/>
          <w:snapToGrid w:val="0"/>
          <w:color w:val="auto"/>
          <w:kern w:val="0"/>
          <w:highlight w:val="none"/>
        </w:rPr>
      </w:pPr>
    </w:p>
    <w:p w14:paraId="1B6D8FA2">
      <w:pPr>
        <w:pStyle w:val="2"/>
        <w:rPr>
          <w:rFonts w:ascii="Times New Roman" w:hAnsi="Times New Roman"/>
          <w:snapToGrid w:val="0"/>
          <w:color w:val="auto"/>
          <w:kern w:val="0"/>
          <w:highlight w:val="none"/>
        </w:rPr>
      </w:pPr>
    </w:p>
    <w:p w14:paraId="662B7337">
      <w:pPr>
        <w:rPr>
          <w:rFonts w:ascii="Times New Roman" w:hAnsi="Times New Roman"/>
          <w:snapToGrid w:val="0"/>
          <w:color w:val="auto"/>
          <w:kern w:val="0"/>
          <w:highlight w:val="none"/>
        </w:rPr>
      </w:pPr>
    </w:p>
    <w:p w14:paraId="7E78BF95">
      <w:pPr>
        <w:pStyle w:val="2"/>
        <w:rPr>
          <w:rFonts w:ascii="Times New Roman" w:hAnsi="Times New Roman"/>
          <w:snapToGrid w:val="0"/>
          <w:color w:val="auto"/>
          <w:kern w:val="0"/>
          <w:highlight w:val="none"/>
        </w:rPr>
      </w:pPr>
    </w:p>
    <w:p w14:paraId="391E2F89">
      <w:pPr>
        <w:rPr>
          <w:rFonts w:ascii="Times New Roman" w:hAnsi="Times New Roman"/>
          <w:snapToGrid w:val="0"/>
          <w:color w:val="auto"/>
          <w:kern w:val="0"/>
          <w:highlight w:val="none"/>
        </w:rPr>
      </w:pPr>
    </w:p>
    <w:p w14:paraId="57681FCC">
      <w:pPr>
        <w:pStyle w:val="2"/>
        <w:rPr>
          <w:color w:val="auto"/>
          <w:highlight w:val="none"/>
        </w:rPr>
      </w:pPr>
    </w:p>
    <w:p w14:paraId="2939C9EE">
      <w:pPr>
        <w:tabs>
          <w:tab w:val="left" w:pos="6300"/>
        </w:tabs>
        <w:snapToGrid w:val="0"/>
        <w:spacing w:line="360" w:lineRule="auto"/>
        <w:rPr>
          <w:rFonts w:ascii="Times New Roman" w:hAnsi="Times New Roman"/>
          <w:snapToGrid w:val="0"/>
          <w:color w:val="auto"/>
          <w:kern w:val="0"/>
          <w:highlight w:val="none"/>
        </w:rPr>
      </w:pPr>
    </w:p>
    <w:p w14:paraId="576E082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w:t>
      </w:r>
      <w:r>
        <w:rPr>
          <w:rFonts w:hint="eastAsia"/>
          <w:snapToGrid w:val="0"/>
          <w:color w:val="auto"/>
          <w:kern w:val="0"/>
          <w:highlight w:val="none"/>
          <w:lang w:val="en-US" w:eastAsia="zh-CN"/>
        </w:rPr>
        <w:t>自然人参与响应</w:t>
      </w:r>
      <w:r>
        <w:rPr>
          <w:rFonts w:hint="eastAsia" w:ascii="Times New Roman" w:hAnsi="Times New Roman"/>
          <w:snapToGrid w:val="0"/>
          <w:color w:val="auto"/>
          <w:kern w:val="0"/>
          <w:highlight w:val="none"/>
        </w:rPr>
        <w:t>办理并签署</w:t>
      </w:r>
      <w:r>
        <w:rPr>
          <w:rFonts w:hint="eastAsia"/>
          <w:snapToGrid w:val="0"/>
          <w:color w:val="auto"/>
          <w:kern w:val="0"/>
          <w:highlight w:val="none"/>
          <w:lang w:eastAsia="zh-CN"/>
        </w:rPr>
        <w:t>响应</w:t>
      </w:r>
      <w:r>
        <w:rPr>
          <w:rFonts w:hint="eastAsia" w:ascii="Times New Roman" w:hAnsi="Times New Roman"/>
          <w:snapToGrid w:val="0"/>
          <w:color w:val="auto"/>
          <w:kern w:val="0"/>
          <w:highlight w:val="none"/>
          <w:lang w:eastAsia="zh-CN"/>
        </w:rPr>
        <w:t>文件</w:t>
      </w:r>
      <w:r>
        <w:rPr>
          <w:rFonts w:hint="eastAsia" w:ascii="Times New Roman" w:hAnsi="Times New Roman"/>
          <w:snapToGrid w:val="0"/>
          <w:color w:val="auto"/>
          <w:kern w:val="0"/>
          <w:highlight w:val="none"/>
        </w:rPr>
        <w:t>的，不提供此文件。</w:t>
      </w:r>
    </w:p>
    <w:p w14:paraId="1E9379DD">
      <w:pPr>
        <w:jc w:val="center"/>
        <w:outlineLvl w:val="2"/>
        <w:rPr>
          <w:rStyle w:val="34"/>
          <w:rFonts w:hint="eastAsia" w:ascii="Times New Roman" w:hAnsi="Times New Roman" w:eastAsia="宋体"/>
          <w:color w:val="auto"/>
          <w:highlight w:val="none"/>
          <w:lang w:eastAsia="zh-CN"/>
        </w:rPr>
      </w:pPr>
      <w:r>
        <w:rPr>
          <w:rFonts w:hint="eastAsia" w:ascii="Times New Roman" w:hAnsi="Times New Roman"/>
          <w:snapToGrid w:val="0"/>
          <w:color w:val="auto"/>
          <w:kern w:val="0"/>
          <w:highlight w:val="none"/>
        </w:rPr>
        <w:br w:type="column"/>
      </w:r>
      <w:r>
        <w:rPr>
          <w:rFonts w:hint="eastAsia"/>
          <w:snapToGrid w:val="0"/>
          <w:color w:val="auto"/>
          <w:kern w:val="0"/>
          <w:highlight w:val="none"/>
          <w:lang w:eastAsia="zh-CN"/>
        </w:rPr>
        <w:t>（</w:t>
      </w:r>
      <w:r>
        <w:rPr>
          <w:rFonts w:hint="eastAsia"/>
          <w:snapToGrid w:val="0"/>
          <w:color w:val="auto"/>
          <w:kern w:val="0"/>
          <w:highlight w:val="none"/>
          <w:lang w:val="en-US" w:eastAsia="zh-CN"/>
        </w:rPr>
        <w:t>二</w:t>
      </w:r>
      <w:r>
        <w:rPr>
          <w:rFonts w:hint="eastAsia"/>
          <w:snapToGrid w:val="0"/>
          <w:color w:val="auto"/>
          <w:kern w:val="0"/>
          <w:highlight w:val="none"/>
          <w:lang w:eastAsia="zh-CN"/>
        </w:rPr>
        <w:t>）</w:t>
      </w:r>
      <w:r>
        <w:rPr>
          <w:rStyle w:val="34"/>
          <w:rFonts w:ascii="Times New Roman" w:hAnsi="Times New Roman"/>
          <w:color w:val="auto"/>
          <w:highlight w:val="none"/>
        </w:rPr>
        <w:t>授权委托书</w:t>
      </w:r>
      <w:r>
        <w:rPr>
          <w:rStyle w:val="34"/>
          <w:color w:val="auto"/>
          <w:highlight w:val="none"/>
          <w:lang w:eastAsia="zh-CN"/>
        </w:rPr>
        <w:t>（</w:t>
      </w:r>
      <w:r>
        <w:rPr>
          <w:rStyle w:val="34"/>
          <w:rFonts w:hint="eastAsia"/>
          <w:color w:val="auto"/>
          <w:highlight w:val="none"/>
          <w:lang w:val="en-US" w:eastAsia="zh-CN"/>
        </w:rPr>
        <w:t>如有</w:t>
      </w:r>
      <w:r>
        <w:rPr>
          <w:rStyle w:val="34"/>
          <w:color w:val="auto"/>
          <w:highlight w:val="none"/>
          <w:lang w:eastAsia="zh-CN"/>
        </w:rPr>
        <w:t>）</w:t>
      </w:r>
    </w:p>
    <w:p w14:paraId="021EF488">
      <w:pPr>
        <w:pStyle w:val="42"/>
        <w:bidi w:val="0"/>
        <w:rPr>
          <w:highlight w:val="none"/>
        </w:rPr>
      </w:pPr>
      <w:r>
        <w:rPr>
          <w:rFonts w:hint="eastAsia"/>
          <w:highlight w:val="none"/>
          <w:lang w:val="en-US" w:eastAsia="zh-CN"/>
        </w:rPr>
        <w:t>（适用于有委托代理人的情况时采用）</w:t>
      </w:r>
    </w:p>
    <w:p w14:paraId="72B4F4D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755D76C1">
      <w:pPr>
        <w:tabs>
          <w:tab w:val="left" w:pos="6300"/>
        </w:tabs>
        <w:snapToGrid w:val="0"/>
        <w:spacing w:line="360" w:lineRule="auto"/>
        <w:rPr>
          <w:rFonts w:ascii="Times New Roman" w:hAnsi="Times New Roman"/>
          <w:snapToGrid w:val="0"/>
          <w:color w:val="auto"/>
          <w:kern w:val="0"/>
          <w:highlight w:val="none"/>
        </w:rPr>
      </w:pPr>
    </w:p>
    <w:p w14:paraId="7BAD6CE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4676E12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人法定代表人）是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、谈判、签约等具体工作，并签署全部有关文件、协议及合同。</w:t>
      </w:r>
    </w:p>
    <w:p w14:paraId="3DCD32C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3818C66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649A5EB2">
      <w:pPr>
        <w:tabs>
          <w:tab w:val="left" w:pos="6300"/>
        </w:tabs>
        <w:snapToGrid w:val="0"/>
        <w:spacing w:line="360" w:lineRule="auto"/>
        <w:rPr>
          <w:rFonts w:ascii="Times New Roman" w:hAnsi="Times New Roman"/>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2F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4E7AAE6">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3BD8DDE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人法定代表人名称：</w:t>
            </w:r>
          </w:p>
        </w:tc>
      </w:tr>
      <w:tr w14:paraId="48AD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54E6F4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65E1450">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4CB72C2D">
      <w:pPr>
        <w:tabs>
          <w:tab w:val="left" w:pos="6300"/>
        </w:tabs>
        <w:snapToGrid w:val="0"/>
        <w:spacing w:line="360" w:lineRule="auto"/>
        <w:rPr>
          <w:rFonts w:ascii="Times New Roman" w:hAnsi="Times New Roman"/>
          <w:snapToGrid w:val="0"/>
          <w:color w:val="auto"/>
          <w:kern w:val="0"/>
          <w:highlight w:val="none"/>
        </w:rPr>
      </w:pPr>
    </w:p>
    <w:p w14:paraId="5ACC0B41">
      <w:pPr>
        <w:tabs>
          <w:tab w:val="left" w:pos="6300"/>
        </w:tabs>
        <w:snapToGrid w:val="0"/>
        <w:spacing w:line="360" w:lineRule="auto"/>
        <w:rPr>
          <w:rFonts w:ascii="Times New Roman" w:hAnsi="Times New Roman"/>
          <w:snapToGrid w:val="0"/>
          <w:color w:val="auto"/>
          <w:kern w:val="0"/>
          <w:szCs w:val="28"/>
          <w:highlight w:val="none"/>
        </w:rPr>
      </w:pPr>
    </w:p>
    <w:p w14:paraId="3D664423">
      <w:pPr>
        <w:tabs>
          <w:tab w:val="left" w:pos="6300"/>
        </w:tabs>
        <w:snapToGrid w:val="0"/>
        <w:spacing w:line="360" w:lineRule="auto"/>
        <w:rPr>
          <w:rFonts w:ascii="Times New Roman" w:hAnsi="Times New Roman"/>
          <w:snapToGrid w:val="0"/>
          <w:color w:val="auto"/>
          <w:kern w:val="0"/>
          <w:highlight w:val="none"/>
        </w:rPr>
      </w:pPr>
    </w:p>
    <w:p w14:paraId="347C0C8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172DF1D9">
      <w:pPr>
        <w:tabs>
          <w:tab w:val="left" w:pos="6300"/>
        </w:tabs>
        <w:snapToGrid w:val="0"/>
        <w:spacing w:line="360" w:lineRule="auto"/>
        <w:rPr>
          <w:rFonts w:ascii="Times New Roman" w:hAnsi="Times New Roman"/>
          <w:snapToGrid w:val="0"/>
          <w:color w:val="auto"/>
          <w:kern w:val="0"/>
          <w:highlight w:val="none"/>
        </w:rPr>
      </w:pPr>
    </w:p>
    <w:p w14:paraId="25E98456">
      <w:pPr>
        <w:tabs>
          <w:tab w:val="left" w:pos="6300"/>
        </w:tabs>
        <w:snapToGrid w:val="0"/>
        <w:spacing w:line="360" w:lineRule="auto"/>
        <w:rPr>
          <w:rFonts w:ascii="Times New Roman" w:hAnsi="Times New Roman"/>
          <w:snapToGrid w:val="0"/>
          <w:color w:val="auto"/>
          <w:kern w:val="0"/>
          <w:highlight w:val="none"/>
        </w:rPr>
      </w:pPr>
    </w:p>
    <w:p w14:paraId="492B767F">
      <w:pPr>
        <w:tabs>
          <w:tab w:val="left" w:pos="6300"/>
        </w:tabs>
        <w:snapToGrid w:val="0"/>
        <w:spacing w:line="360" w:lineRule="auto"/>
        <w:ind w:firstLine="450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17418454">
      <w:pPr>
        <w:tabs>
          <w:tab w:val="left" w:pos="6300"/>
        </w:tabs>
        <w:snapToGrid w:val="0"/>
        <w:spacing w:line="360" w:lineRule="auto"/>
        <w:ind w:firstLine="432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6A6DBDBA">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FAC86E5">
      <w:pPr>
        <w:tabs>
          <w:tab w:val="left" w:pos="6300"/>
        </w:tabs>
        <w:snapToGrid w:val="0"/>
        <w:spacing w:line="360" w:lineRule="auto"/>
        <w:rPr>
          <w:rFonts w:ascii="Times New Roman" w:hAnsi="Times New Roman"/>
          <w:snapToGrid w:val="0"/>
          <w:color w:val="auto"/>
          <w:kern w:val="0"/>
          <w:highlight w:val="none"/>
        </w:rPr>
      </w:pPr>
    </w:p>
    <w:p w14:paraId="407C108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w:t>
      </w:r>
      <w:r>
        <w:rPr>
          <w:rFonts w:hint="eastAsia"/>
          <w:snapToGrid w:val="0"/>
          <w:color w:val="auto"/>
          <w:kern w:val="0"/>
          <w:highlight w:val="none"/>
          <w:lang w:eastAsia="zh-CN"/>
        </w:rPr>
        <w:t>响应</w:t>
      </w:r>
      <w:r>
        <w:rPr>
          <w:rFonts w:hint="eastAsia" w:ascii="Times New Roman" w:hAnsi="Times New Roman"/>
          <w:snapToGrid w:val="0"/>
          <w:color w:val="auto"/>
          <w:kern w:val="0"/>
          <w:highlight w:val="none"/>
          <w:lang w:eastAsia="zh-CN"/>
        </w:rPr>
        <w:t>文件</w:t>
      </w:r>
      <w:r>
        <w:rPr>
          <w:rFonts w:hint="eastAsia" w:ascii="Times New Roman" w:hAnsi="Times New Roman"/>
          <w:snapToGrid w:val="0"/>
          <w:color w:val="auto"/>
          <w:kern w:val="0"/>
          <w:highlight w:val="none"/>
        </w:rPr>
        <w:t>的，不提供此文件。</w:t>
      </w:r>
    </w:p>
    <w:p w14:paraId="5D701581">
      <w:pPr>
        <w:ind w:left="0" w:firstLine="0" w:firstLineChars="0"/>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bookmarkEnd w:id="311"/>
    <w:bookmarkEnd w:id="312"/>
    <w:bookmarkEnd w:id="313"/>
    <w:bookmarkEnd w:id="314"/>
    <w:bookmarkEnd w:id="315"/>
    <w:p w14:paraId="2356D5F0">
      <w:pPr>
        <w:pStyle w:val="31"/>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四、商务部分文件</w:t>
      </w:r>
    </w:p>
    <w:p w14:paraId="686D476A">
      <w:pPr>
        <w:pStyle w:val="42"/>
        <w:bidi w:val="0"/>
        <w:rPr>
          <w:highlight w:val="none"/>
        </w:rPr>
      </w:pPr>
      <w:r>
        <w:rPr>
          <w:rFonts w:hint="eastAsia"/>
          <w:highlight w:val="none"/>
        </w:rPr>
        <w:t>（</w:t>
      </w:r>
      <w:r>
        <w:rPr>
          <w:rFonts w:hint="eastAsia"/>
          <w:highlight w:val="none"/>
          <w:lang w:val="en-US" w:eastAsia="zh-CN"/>
        </w:rPr>
        <w:t>根据询比文件要求，提供相关材料</w:t>
      </w:r>
      <w:r>
        <w:rPr>
          <w:rFonts w:hint="eastAsia"/>
          <w:highlight w:val="none"/>
        </w:rPr>
        <w:t>）</w:t>
      </w:r>
    </w:p>
    <w:p w14:paraId="28AB3FBC">
      <w:pPr>
        <w:rPr>
          <w:color w:val="auto"/>
          <w:highlight w:val="none"/>
          <w:lang w:val="en-US" w:eastAsia="zh-CN"/>
        </w:rPr>
      </w:pPr>
    </w:p>
    <w:p w14:paraId="252631EB">
      <w:pPr>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128A99DF">
      <w:pPr>
        <w:pStyle w:val="31"/>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五、技术部分文件</w:t>
      </w:r>
    </w:p>
    <w:p w14:paraId="54F862D2">
      <w:pPr>
        <w:pStyle w:val="42"/>
        <w:bidi w:val="0"/>
        <w:rPr>
          <w:highlight w:val="none"/>
        </w:rPr>
      </w:pPr>
      <w:r>
        <w:rPr>
          <w:rFonts w:hint="eastAsia"/>
          <w:highlight w:val="none"/>
        </w:rPr>
        <w:t>（</w:t>
      </w:r>
      <w:r>
        <w:rPr>
          <w:rFonts w:hint="eastAsia"/>
          <w:highlight w:val="none"/>
          <w:lang w:val="en-US" w:eastAsia="zh-CN"/>
        </w:rPr>
        <w:t>根据询比文件要求，提供相关材料</w:t>
      </w:r>
      <w:r>
        <w:rPr>
          <w:rFonts w:hint="eastAsia"/>
          <w:highlight w:val="none"/>
        </w:rPr>
        <w:t>）</w:t>
      </w:r>
    </w:p>
    <w:p w14:paraId="7B09E4A7">
      <w:pPr>
        <w:rPr>
          <w:rFonts w:hint="eastAsia"/>
          <w:color w:val="auto"/>
          <w:highlight w:val="none"/>
          <w:lang w:val="en-US" w:eastAsia="zh-CN"/>
        </w:rPr>
      </w:pPr>
    </w:p>
    <w:p w14:paraId="2D74A483">
      <w:pPr>
        <w:rPr>
          <w:rFonts w:hint="eastAsia"/>
          <w:color w:val="auto"/>
          <w:highlight w:val="none"/>
          <w:lang w:val="en-US" w:eastAsia="zh-CN"/>
        </w:rPr>
      </w:pPr>
    </w:p>
    <w:p w14:paraId="28E92396">
      <w:pPr>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79C8D817">
      <w:pPr>
        <w:pStyle w:val="31"/>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t>六、资格审查资料</w:t>
      </w:r>
    </w:p>
    <w:p w14:paraId="6CEC92C7">
      <w:pPr>
        <w:pStyle w:val="32"/>
        <w:bidi w:val="0"/>
        <w:rPr>
          <w:rFonts w:hint="eastAsia"/>
          <w:color w:val="auto"/>
          <w:highlight w:val="none"/>
          <w:lang w:val="en-US" w:eastAsia="zh-CN"/>
        </w:rPr>
      </w:pPr>
      <w:r>
        <w:rPr>
          <w:rFonts w:hint="eastAsia"/>
          <w:color w:val="auto"/>
          <w:highlight w:val="none"/>
          <w:lang w:val="en-US" w:eastAsia="zh-CN"/>
        </w:rPr>
        <w:t>（一）响应承诺函</w:t>
      </w:r>
    </w:p>
    <w:p w14:paraId="7FBB849B">
      <w:pPr>
        <w:bidi w:val="0"/>
        <w:rPr>
          <w:rFonts w:hint="eastAsia"/>
          <w:color w:val="auto"/>
          <w:highlight w:val="none"/>
          <w:lang w:val="en-US" w:eastAsia="zh-CN"/>
        </w:rPr>
      </w:pPr>
      <w:r>
        <w:rPr>
          <w:rFonts w:hint="eastAsia"/>
          <w:color w:val="auto"/>
          <w:highlight w:val="none"/>
          <w:lang w:val="en-US" w:eastAsia="zh-CN"/>
        </w:rPr>
        <w:t>1.根据第五章“项目要求”内容，做出整体承诺，格式自理。</w:t>
      </w:r>
    </w:p>
    <w:p w14:paraId="4030BC23">
      <w:pPr>
        <w:rPr>
          <w:rFonts w:hint="eastAsia"/>
          <w:color w:val="auto"/>
          <w:highlight w:val="none"/>
          <w:lang w:val="en-US" w:eastAsia="zh-CN"/>
        </w:rPr>
      </w:pPr>
    </w:p>
    <w:p w14:paraId="7A3E5A62">
      <w:pPr>
        <w:rPr>
          <w:color w:val="auto"/>
          <w:highlight w:val="none"/>
        </w:rPr>
      </w:pPr>
      <w:r>
        <w:rPr>
          <w:rFonts w:hint="eastAsia"/>
          <w:color w:val="auto"/>
          <w:highlight w:val="none"/>
          <w:lang w:val="en-US" w:eastAsia="zh-CN"/>
        </w:rPr>
        <w:t>2.</w:t>
      </w:r>
      <w:r>
        <w:rPr>
          <w:rFonts w:hint="eastAsia"/>
          <w:color w:val="auto"/>
          <w:highlight w:val="none"/>
        </w:rPr>
        <w:t>根据第</w:t>
      </w:r>
      <w:r>
        <w:rPr>
          <w:rFonts w:hint="eastAsia"/>
          <w:color w:val="auto"/>
          <w:highlight w:val="none"/>
          <w:lang w:val="en-US" w:eastAsia="zh-CN"/>
        </w:rPr>
        <w:t>五</w:t>
      </w:r>
      <w:r>
        <w:rPr>
          <w:rFonts w:hint="eastAsia"/>
          <w:color w:val="auto"/>
          <w:highlight w:val="none"/>
        </w:rPr>
        <w:t>章第</w:t>
      </w:r>
      <w:r>
        <w:rPr>
          <w:rFonts w:hint="eastAsia"/>
          <w:color w:val="auto"/>
          <w:highlight w:val="none"/>
          <w:lang w:val="en-US" w:eastAsia="zh-CN"/>
        </w:rPr>
        <w:t>3.</w:t>
      </w:r>
      <w:r>
        <w:rPr>
          <w:rFonts w:hint="eastAsia"/>
          <w:color w:val="auto"/>
          <w:highlight w:val="none"/>
        </w:rPr>
        <w:t>9条相关内容进行阐述并作出相应承诺。</w:t>
      </w:r>
    </w:p>
    <w:p w14:paraId="0A9CC5F8">
      <w:pPr>
        <w:bidi w:val="0"/>
        <w:rPr>
          <w:color w:val="auto"/>
          <w:highlight w:val="none"/>
          <w:lang w:val="en-US" w:eastAsia="zh-CN"/>
        </w:rPr>
      </w:pPr>
    </w:p>
    <w:p w14:paraId="6A965CE0">
      <w:pPr>
        <w:bidi w:val="0"/>
        <w:rPr>
          <w:rFonts w:hint="eastAsia"/>
          <w:color w:val="auto"/>
          <w:highlight w:val="none"/>
          <w:lang w:val="en-US" w:eastAsia="zh-CN"/>
        </w:rPr>
      </w:pPr>
    </w:p>
    <w:p w14:paraId="052B853A">
      <w:pPr>
        <w:bidi w:val="0"/>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40572993">
      <w:pPr>
        <w:pStyle w:val="32"/>
        <w:bidi w:val="0"/>
        <w:rPr>
          <w:color w:val="auto"/>
          <w:highlight w:val="none"/>
        </w:rPr>
      </w:pPr>
      <w:r>
        <w:rPr>
          <w:color w:val="auto"/>
          <w:highlight w:val="none"/>
          <w:lang w:eastAsia="zh-CN"/>
        </w:rPr>
        <w:t>（</w:t>
      </w:r>
      <w:r>
        <w:rPr>
          <w:rFonts w:hint="eastAsia"/>
          <w:color w:val="auto"/>
          <w:highlight w:val="none"/>
          <w:lang w:val="en-US" w:eastAsia="zh-CN"/>
        </w:rPr>
        <w:t>二</w:t>
      </w:r>
      <w:r>
        <w:rPr>
          <w:color w:val="auto"/>
          <w:highlight w:val="none"/>
          <w:lang w:eastAsia="zh-CN"/>
        </w:rPr>
        <w:t>）</w:t>
      </w:r>
      <w:r>
        <w:rPr>
          <w:rFonts w:hint="eastAsia"/>
          <w:color w:val="auto"/>
          <w:highlight w:val="none"/>
          <w:lang w:eastAsia="zh-CN"/>
        </w:rPr>
        <w:t>响应人</w:t>
      </w:r>
      <w:r>
        <w:rPr>
          <w:color w:val="auto"/>
          <w:highlight w:val="none"/>
        </w:rPr>
        <w:t>基本情况介绍，资质证明等</w:t>
      </w:r>
    </w:p>
    <w:tbl>
      <w:tblPr>
        <w:tblStyle w:val="20"/>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534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2180AC2">
            <w:pPr>
              <w:pStyle w:val="35"/>
              <w:bidi w:val="0"/>
              <w:ind w:left="0" w:right="0" w:firstLine="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14:paraId="705AA00A">
            <w:pPr>
              <w:pStyle w:val="35"/>
              <w:bidi w:val="0"/>
              <w:ind w:left="0" w:right="0" w:firstLine="0"/>
              <w:jc w:val="center"/>
              <w:rPr>
                <w:highlight w:val="none"/>
              </w:rPr>
            </w:pPr>
          </w:p>
        </w:tc>
      </w:tr>
      <w:tr w14:paraId="2C20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C465547">
            <w:pPr>
              <w:pStyle w:val="35"/>
              <w:bidi w:val="0"/>
              <w:ind w:left="0" w:right="0" w:firstLine="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0E396AC0">
            <w:pPr>
              <w:pStyle w:val="35"/>
              <w:bidi w:val="0"/>
              <w:ind w:left="0" w:right="0" w:firstLine="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7910C156">
            <w:pPr>
              <w:pStyle w:val="35"/>
              <w:bidi w:val="0"/>
              <w:ind w:left="0" w:right="0" w:firstLine="0"/>
              <w:jc w:val="center"/>
              <w:rPr>
                <w:highlight w:val="none"/>
              </w:rPr>
            </w:pPr>
          </w:p>
        </w:tc>
        <w:tc>
          <w:tcPr>
            <w:tcW w:w="412" w:type="pct"/>
            <w:tcBorders>
              <w:top w:val="single" w:color="auto" w:sz="4" w:space="0"/>
              <w:left w:val="single" w:color="auto" w:sz="4" w:space="0"/>
              <w:right w:val="single" w:color="auto" w:sz="4" w:space="0"/>
            </w:tcBorders>
            <w:vAlign w:val="center"/>
          </w:tcPr>
          <w:p w14:paraId="69BDEFDB">
            <w:pPr>
              <w:pStyle w:val="35"/>
              <w:bidi w:val="0"/>
              <w:ind w:left="0" w:right="0" w:firstLine="0"/>
              <w:jc w:val="center"/>
              <w:rPr>
                <w:highlight w:val="none"/>
              </w:rPr>
            </w:pPr>
            <w:r>
              <w:rPr>
                <w:rFonts w:hint="eastAsia"/>
                <w:highlight w:val="none"/>
              </w:rPr>
              <w:t>电话</w:t>
            </w:r>
          </w:p>
        </w:tc>
        <w:tc>
          <w:tcPr>
            <w:tcW w:w="1546" w:type="pct"/>
            <w:vAlign w:val="center"/>
          </w:tcPr>
          <w:p w14:paraId="04BBDA7B">
            <w:pPr>
              <w:pStyle w:val="35"/>
              <w:bidi w:val="0"/>
              <w:ind w:left="0" w:right="0" w:firstLine="0"/>
              <w:jc w:val="center"/>
              <w:rPr>
                <w:highlight w:val="none"/>
              </w:rPr>
            </w:pPr>
          </w:p>
        </w:tc>
      </w:tr>
      <w:tr w14:paraId="66A8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9558338">
            <w:pPr>
              <w:pStyle w:val="35"/>
              <w:bidi w:val="0"/>
              <w:ind w:left="0" w:right="0" w:firstLine="0"/>
              <w:jc w:val="center"/>
              <w:rPr>
                <w:rFonts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3A6B132E">
            <w:pPr>
              <w:pStyle w:val="35"/>
              <w:bidi w:val="0"/>
              <w:ind w:left="0" w:right="0" w:firstLine="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07D7A6DB">
            <w:pPr>
              <w:pStyle w:val="35"/>
              <w:bidi w:val="0"/>
              <w:ind w:left="0" w:right="0" w:firstLine="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4BC4135D">
            <w:pPr>
              <w:pStyle w:val="35"/>
              <w:bidi w:val="0"/>
              <w:ind w:left="0" w:right="0" w:firstLine="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76DB29AD">
            <w:pPr>
              <w:pStyle w:val="35"/>
              <w:bidi w:val="0"/>
              <w:ind w:left="0" w:right="0" w:firstLine="0"/>
              <w:jc w:val="center"/>
              <w:rPr>
                <w:highlight w:val="none"/>
              </w:rPr>
            </w:pPr>
          </w:p>
        </w:tc>
      </w:tr>
      <w:tr w14:paraId="2B2F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FBFF6C8">
            <w:pPr>
              <w:pStyle w:val="35"/>
              <w:bidi w:val="0"/>
              <w:ind w:left="0" w:right="0" w:firstLine="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4871710A">
            <w:pPr>
              <w:pStyle w:val="35"/>
              <w:bidi w:val="0"/>
              <w:ind w:left="0" w:right="0" w:firstLine="0"/>
              <w:jc w:val="center"/>
              <w:rPr>
                <w:rFonts w:hint="eastAsia" w:eastAsia="宋体"/>
                <w:highlight w:val="none"/>
                <w:lang w:val="en-US" w:eastAsia="zh-CN"/>
              </w:rPr>
            </w:pPr>
          </w:p>
        </w:tc>
      </w:tr>
      <w:tr w14:paraId="107F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1B05489">
            <w:pPr>
              <w:pStyle w:val="35"/>
              <w:bidi w:val="0"/>
              <w:ind w:left="0" w:right="0" w:firstLine="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23DEE15A">
            <w:pPr>
              <w:pStyle w:val="35"/>
              <w:bidi w:val="0"/>
              <w:ind w:left="0" w:right="0" w:firstLine="0"/>
              <w:jc w:val="center"/>
              <w:rPr>
                <w:highlight w:val="none"/>
              </w:rPr>
            </w:pPr>
          </w:p>
        </w:tc>
      </w:tr>
      <w:tr w14:paraId="1620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06A281A">
            <w:pPr>
              <w:pStyle w:val="35"/>
              <w:bidi w:val="0"/>
              <w:ind w:left="0" w:right="0" w:firstLine="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1CF1968E">
            <w:pPr>
              <w:pStyle w:val="35"/>
              <w:bidi w:val="0"/>
              <w:ind w:left="0" w:right="0" w:firstLine="0"/>
              <w:jc w:val="center"/>
              <w:rPr>
                <w:highlight w:val="none"/>
              </w:rPr>
            </w:pPr>
          </w:p>
        </w:tc>
      </w:tr>
      <w:tr w14:paraId="4E66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8B9A832">
            <w:pPr>
              <w:pStyle w:val="35"/>
              <w:bidi w:val="0"/>
              <w:ind w:left="0" w:right="0" w:firstLine="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1B769B86">
            <w:pPr>
              <w:pStyle w:val="35"/>
              <w:bidi w:val="0"/>
              <w:ind w:left="0" w:right="0" w:firstLine="0"/>
              <w:jc w:val="center"/>
              <w:rPr>
                <w:highlight w:val="none"/>
              </w:rPr>
            </w:pPr>
          </w:p>
        </w:tc>
      </w:tr>
      <w:tr w14:paraId="4DFD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58EF2BEC">
            <w:pPr>
              <w:pStyle w:val="35"/>
              <w:bidi w:val="0"/>
              <w:ind w:left="0" w:right="0" w:firstLine="0"/>
              <w:jc w:val="center"/>
              <w:rPr>
                <w:highlight w:val="none"/>
              </w:rPr>
            </w:pPr>
            <w:r>
              <w:rPr>
                <w:rFonts w:hint="eastAsia"/>
                <w:highlight w:val="none"/>
              </w:rPr>
              <w:t>备注</w:t>
            </w:r>
          </w:p>
        </w:tc>
        <w:tc>
          <w:tcPr>
            <w:tcW w:w="3487" w:type="pct"/>
            <w:gridSpan w:val="4"/>
            <w:vAlign w:val="center"/>
          </w:tcPr>
          <w:p w14:paraId="6C7A22FE">
            <w:pPr>
              <w:pStyle w:val="35"/>
              <w:bidi w:val="0"/>
              <w:ind w:left="0" w:right="0" w:firstLine="0"/>
              <w:jc w:val="center"/>
              <w:rPr>
                <w:highlight w:val="none"/>
              </w:rPr>
            </w:pPr>
          </w:p>
        </w:tc>
      </w:tr>
    </w:tbl>
    <w:p w14:paraId="07A4D985">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r>
        <w:rPr>
          <w:rFonts w:hint="eastAsia"/>
          <w:color w:val="auto"/>
          <w:highlight w:val="none"/>
        </w:rPr>
        <w:t>注：附营业执照（副本）、资质证明复印件等。</w:t>
      </w:r>
    </w:p>
    <w:p w14:paraId="107DAC51">
      <w:pPr>
        <w:pStyle w:val="32"/>
        <w:bidi w:val="0"/>
        <w:rPr>
          <w:color w:val="auto"/>
          <w:highlight w:val="none"/>
        </w:rPr>
      </w:pPr>
      <w:r>
        <w:rPr>
          <w:rFonts w:hint="eastAsia"/>
          <w:color w:val="auto"/>
          <w:highlight w:val="none"/>
          <w:lang w:val="en-US" w:eastAsia="zh-CN"/>
        </w:rPr>
        <w:t>（三）业务需求</w:t>
      </w:r>
      <w:r>
        <w:rPr>
          <w:rFonts w:hint="eastAsia"/>
          <w:color w:val="auto"/>
          <w:highlight w:val="none"/>
        </w:rPr>
        <w:t>条款偏离表</w:t>
      </w:r>
    </w:p>
    <w:p w14:paraId="5E0E1B0E">
      <w:pPr>
        <w:spacing w:line="360" w:lineRule="auto"/>
        <w:rPr>
          <w:rFonts w:ascii="宋体" w:cs="等线 Light"/>
          <w:b/>
          <w:snapToGrid w:val="0"/>
          <w:color w:val="auto"/>
          <w:kern w:val="0"/>
          <w:sz w:val="24"/>
          <w:szCs w:val="24"/>
          <w:highlight w:val="none"/>
        </w:rPr>
      </w:pPr>
    </w:p>
    <w:tbl>
      <w:tblPr>
        <w:tblStyle w:val="20"/>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7A27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1A6502B4">
            <w:pPr>
              <w:pStyle w:val="36"/>
              <w:bidi w:val="0"/>
              <w:rPr>
                <w:highlight w:val="none"/>
              </w:rPr>
            </w:pPr>
            <w:r>
              <w:rPr>
                <w:rFonts w:hint="eastAsia"/>
                <w:highlight w:val="none"/>
              </w:rPr>
              <w:t>序号</w:t>
            </w:r>
          </w:p>
        </w:tc>
        <w:tc>
          <w:tcPr>
            <w:tcW w:w="1980" w:type="dxa"/>
            <w:vAlign w:val="center"/>
          </w:tcPr>
          <w:p w14:paraId="1D9C0961">
            <w:pPr>
              <w:pStyle w:val="36"/>
              <w:bidi w:val="0"/>
              <w:rPr>
                <w:rFonts w:hint="eastAsia"/>
                <w:highlight w:val="none"/>
              </w:rPr>
            </w:pPr>
            <w:r>
              <w:rPr>
                <w:rFonts w:hint="eastAsia"/>
                <w:highlight w:val="none"/>
                <w:lang w:eastAsia="zh-CN"/>
              </w:rPr>
              <w:t>询比文件</w:t>
            </w:r>
            <w:r>
              <w:rPr>
                <w:rFonts w:hint="eastAsia"/>
                <w:highlight w:val="none"/>
              </w:rPr>
              <w:t>条目号</w:t>
            </w:r>
          </w:p>
        </w:tc>
        <w:tc>
          <w:tcPr>
            <w:tcW w:w="2056" w:type="dxa"/>
            <w:vAlign w:val="center"/>
          </w:tcPr>
          <w:p w14:paraId="0018FAD0">
            <w:pPr>
              <w:pStyle w:val="36"/>
              <w:bidi w:val="0"/>
              <w:rPr>
                <w:rFonts w:hint="eastAsia"/>
                <w:highlight w:val="none"/>
              </w:rPr>
            </w:pPr>
            <w:r>
              <w:rPr>
                <w:rFonts w:hint="eastAsia"/>
                <w:highlight w:val="none"/>
                <w:lang w:eastAsia="zh-CN"/>
              </w:rPr>
              <w:t>询比文件</w:t>
            </w:r>
            <w:r>
              <w:rPr>
                <w:rFonts w:hint="eastAsia"/>
                <w:highlight w:val="none"/>
                <w:lang w:val="en-US" w:eastAsia="zh-CN"/>
              </w:rPr>
              <w:t>XX要求</w:t>
            </w:r>
          </w:p>
        </w:tc>
        <w:tc>
          <w:tcPr>
            <w:tcW w:w="2490" w:type="dxa"/>
            <w:vAlign w:val="center"/>
          </w:tcPr>
          <w:p w14:paraId="0746C9F1">
            <w:pPr>
              <w:pStyle w:val="36"/>
              <w:bidi w:val="0"/>
              <w:rPr>
                <w:rFonts w:hint="eastAsia"/>
                <w:highlight w:val="none"/>
              </w:rPr>
            </w:pPr>
            <w:r>
              <w:rPr>
                <w:rFonts w:hint="eastAsia"/>
                <w:highlight w:val="none"/>
                <w:lang w:eastAsia="zh-CN"/>
              </w:rPr>
              <w:t>响应文件</w:t>
            </w:r>
            <w:r>
              <w:rPr>
                <w:rFonts w:hint="eastAsia"/>
                <w:highlight w:val="none"/>
              </w:rPr>
              <w:t>对应</w:t>
            </w:r>
            <w:r>
              <w:rPr>
                <w:rFonts w:hint="eastAsia"/>
                <w:highlight w:val="none"/>
                <w:lang w:val="en-US" w:eastAsia="zh-CN"/>
              </w:rPr>
              <w:t>XX要求</w:t>
            </w:r>
          </w:p>
        </w:tc>
        <w:tc>
          <w:tcPr>
            <w:tcW w:w="1363" w:type="dxa"/>
            <w:vAlign w:val="center"/>
          </w:tcPr>
          <w:p w14:paraId="0A12BDDC">
            <w:pPr>
              <w:pStyle w:val="36"/>
              <w:bidi w:val="0"/>
              <w:rPr>
                <w:rFonts w:hint="eastAsia"/>
                <w:highlight w:val="none"/>
              </w:rPr>
            </w:pPr>
            <w:r>
              <w:rPr>
                <w:rFonts w:hint="eastAsia"/>
                <w:highlight w:val="none"/>
              </w:rPr>
              <w:t>说明</w:t>
            </w:r>
          </w:p>
        </w:tc>
      </w:tr>
      <w:tr w14:paraId="3D2D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F24A047">
            <w:pPr>
              <w:pStyle w:val="35"/>
              <w:bidi w:val="0"/>
              <w:rPr>
                <w:rFonts w:hint="eastAsia"/>
                <w:highlight w:val="none"/>
                <w:lang w:val="en-US" w:eastAsia="zh-CN"/>
              </w:rPr>
            </w:pPr>
            <w:r>
              <w:rPr>
                <w:rFonts w:hint="eastAsia"/>
                <w:highlight w:val="none"/>
                <w:lang w:val="en-US" w:eastAsia="zh-CN"/>
              </w:rPr>
              <w:t>例</w:t>
            </w:r>
          </w:p>
        </w:tc>
        <w:tc>
          <w:tcPr>
            <w:tcW w:w="1980" w:type="dxa"/>
            <w:tcBorders>
              <w:left w:val="single" w:color="auto" w:sz="4" w:space="0"/>
            </w:tcBorders>
            <w:vAlign w:val="center"/>
          </w:tcPr>
          <w:p w14:paraId="5A723DE6">
            <w:pPr>
              <w:pStyle w:val="35"/>
              <w:bidi w:val="0"/>
              <w:rPr>
                <w:highlight w:val="none"/>
                <w:lang w:val="en-US" w:eastAsia="zh-CN"/>
              </w:rPr>
            </w:pPr>
            <w:r>
              <w:rPr>
                <w:rFonts w:hint="eastAsia"/>
                <w:highlight w:val="none"/>
                <w:lang w:val="en-US" w:eastAsia="zh-CN"/>
              </w:rPr>
              <w:t>第五章XXX条</w:t>
            </w:r>
          </w:p>
        </w:tc>
        <w:tc>
          <w:tcPr>
            <w:tcW w:w="2056" w:type="dxa"/>
            <w:tcBorders>
              <w:left w:val="single" w:color="auto" w:sz="4" w:space="0"/>
            </w:tcBorders>
            <w:vAlign w:val="center"/>
          </w:tcPr>
          <w:p w14:paraId="3CAFB6F9">
            <w:pPr>
              <w:pStyle w:val="35"/>
              <w:bidi w:val="0"/>
              <w:rPr>
                <w:highlight w:val="none"/>
                <w:lang w:val="en-US" w:eastAsia="zh-CN"/>
              </w:rPr>
            </w:pPr>
            <w:r>
              <w:rPr>
                <w:rFonts w:hint="eastAsia"/>
                <w:highlight w:val="none"/>
                <w:lang w:val="en-US" w:eastAsia="zh-CN"/>
              </w:rPr>
              <w:t>XXXXXX（询比文件原文）</w:t>
            </w:r>
          </w:p>
        </w:tc>
        <w:tc>
          <w:tcPr>
            <w:tcW w:w="2490" w:type="dxa"/>
            <w:tcBorders>
              <w:left w:val="single" w:color="auto" w:sz="4" w:space="0"/>
            </w:tcBorders>
            <w:vAlign w:val="center"/>
          </w:tcPr>
          <w:p w14:paraId="347998F2">
            <w:pPr>
              <w:pStyle w:val="35"/>
              <w:bidi w:val="0"/>
              <w:rPr>
                <w:rFonts w:hint="eastAsia"/>
                <w:highlight w:val="none"/>
                <w:lang w:val="en-US" w:eastAsia="zh-CN"/>
              </w:rPr>
            </w:pPr>
            <w:r>
              <w:rPr>
                <w:rFonts w:hint="eastAsia"/>
                <w:highlight w:val="none"/>
                <w:lang w:val="en-US" w:eastAsia="zh-CN"/>
              </w:rPr>
              <w:t>满足</w:t>
            </w:r>
          </w:p>
          <w:p w14:paraId="525DBB5C">
            <w:pPr>
              <w:pStyle w:val="35"/>
              <w:bidi w:val="0"/>
              <w:rPr>
                <w:highlight w:val="none"/>
                <w:lang w:val="en-US" w:eastAsia="zh-CN"/>
              </w:rPr>
            </w:pPr>
            <w:r>
              <w:rPr>
                <w:rFonts w:hint="eastAsia"/>
                <w:highlight w:val="none"/>
                <w:lang w:val="en-US" w:eastAsia="zh-CN"/>
              </w:rPr>
              <w:t>XXXXXX（响应文件原文）</w:t>
            </w:r>
          </w:p>
        </w:tc>
        <w:tc>
          <w:tcPr>
            <w:tcW w:w="1363" w:type="dxa"/>
            <w:tcBorders>
              <w:left w:val="single" w:color="auto" w:sz="4" w:space="0"/>
            </w:tcBorders>
            <w:vAlign w:val="center"/>
          </w:tcPr>
          <w:p w14:paraId="21CC646D">
            <w:pPr>
              <w:pStyle w:val="35"/>
              <w:bidi w:val="0"/>
              <w:rPr>
                <w:rFonts w:hint="eastAsia"/>
                <w:highlight w:val="none"/>
                <w:lang w:val="en-US" w:eastAsia="zh-CN"/>
              </w:rPr>
            </w:pPr>
            <w:r>
              <w:rPr>
                <w:rFonts w:hint="eastAsia"/>
                <w:highlight w:val="none"/>
                <w:lang w:val="en-US" w:eastAsia="zh-CN"/>
              </w:rPr>
              <w:t>满足</w:t>
            </w:r>
          </w:p>
          <w:p w14:paraId="0D53E313">
            <w:pPr>
              <w:pStyle w:val="35"/>
              <w:bidi w:val="0"/>
              <w:rPr>
                <w:highlight w:val="none"/>
                <w:lang w:val="en-US" w:eastAsia="zh-CN"/>
              </w:rPr>
            </w:pPr>
            <w:r>
              <w:rPr>
                <w:rFonts w:hint="eastAsia"/>
                <w:highlight w:val="none"/>
                <w:lang w:val="en-US" w:eastAsia="zh-CN"/>
              </w:rPr>
              <w:t>无偏离</w:t>
            </w:r>
          </w:p>
        </w:tc>
      </w:tr>
      <w:tr w14:paraId="2C3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B2BD781">
            <w:pPr>
              <w:pStyle w:val="35"/>
              <w:bidi w:val="0"/>
              <w:rPr>
                <w:highlight w:val="none"/>
              </w:rPr>
            </w:pPr>
          </w:p>
        </w:tc>
        <w:tc>
          <w:tcPr>
            <w:tcW w:w="1980" w:type="dxa"/>
            <w:tcBorders>
              <w:left w:val="single" w:color="auto" w:sz="4" w:space="0"/>
            </w:tcBorders>
            <w:vAlign w:val="center"/>
          </w:tcPr>
          <w:p w14:paraId="132A198D">
            <w:pPr>
              <w:pStyle w:val="35"/>
              <w:bidi w:val="0"/>
              <w:rPr>
                <w:highlight w:val="none"/>
              </w:rPr>
            </w:pPr>
          </w:p>
        </w:tc>
        <w:tc>
          <w:tcPr>
            <w:tcW w:w="2056" w:type="dxa"/>
            <w:tcBorders>
              <w:left w:val="single" w:color="auto" w:sz="4" w:space="0"/>
            </w:tcBorders>
            <w:vAlign w:val="center"/>
          </w:tcPr>
          <w:p w14:paraId="401088E3">
            <w:pPr>
              <w:pStyle w:val="35"/>
              <w:bidi w:val="0"/>
              <w:rPr>
                <w:highlight w:val="none"/>
              </w:rPr>
            </w:pPr>
          </w:p>
        </w:tc>
        <w:tc>
          <w:tcPr>
            <w:tcW w:w="2490" w:type="dxa"/>
            <w:tcBorders>
              <w:left w:val="single" w:color="auto" w:sz="4" w:space="0"/>
            </w:tcBorders>
            <w:vAlign w:val="center"/>
          </w:tcPr>
          <w:p w14:paraId="60263BD6">
            <w:pPr>
              <w:pStyle w:val="35"/>
              <w:bidi w:val="0"/>
              <w:rPr>
                <w:highlight w:val="none"/>
              </w:rPr>
            </w:pPr>
          </w:p>
        </w:tc>
        <w:tc>
          <w:tcPr>
            <w:tcW w:w="1363" w:type="dxa"/>
            <w:tcBorders>
              <w:left w:val="single" w:color="auto" w:sz="4" w:space="0"/>
            </w:tcBorders>
            <w:vAlign w:val="center"/>
          </w:tcPr>
          <w:p w14:paraId="23483EE2">
            <w:pPr>
              <w:pStyle w:val="35"/>
              <w:bidi w:val="0"/>
              <w:rPr>
                <w:highlight w:val="none"/>
              </w:rPr>
            </w:pPr>
          </w:p>
        </w:tc>
      </w:tr>
      <w:tr w14:paraId="3FE1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4EDC06C">
            <w:pPr>
              <w:pStyle w:val="35"/>
              <w:bidi w:val="0"/>
              <w:rPr>
                <w:highlight w:val="none"/>
              </w:rPr>
            </w:pPr>
          </w:p>
        </w:tc>
        <w:tc>
          <w:tcPr>
            <w:tcW w:w="1980" w:type="dxa"/>
            <w:tcBorders>
              <w:left w:val="single" w:color="auto" w:sz="4" w:space="0"/>
            </w:tcBorders>
            <w:vAlign w:val="center"/>
          </w:tcPr>
          <w:p w14:paraId="0290FA97">
            <w:pPr>
              <w:pStyle w:val="35"/>
              <w:bidi w:val="0"/>
              <w:rPr>
                <w:highlight w:val="none"/>
              </w:rPr>
            </w:pPr>
          </w:p>
        </w:tc>
        <w:tc>
          <w:tcPr>
            <w:tcW w:w="2056" w:type="dxa"/>
            <w:tcBorders>
              <w:left w:val="single" w:color="auto" w:sz="4" w:space="0"/>
            </w:tcBorders>
            <w:vAlign w:val="center"/>
          </w:tcPr>
          <w:p w14:paraId="76D3F7C9">
            <w:pPr>
              <w:pStyle w:val="35"/>
              <w:bidi w:val="0"/>
              <w:rPr>
                <w:highlight w:val="none"/>
              </w:rPr>
            </w:pPr>
          </w:p>
        </w:tc>
        <w:tc>
          <w:tcPr>
            <w:tcW w:w="2490" w:type="dxa"/>
            <w:tcBorders>
              <w:left w:val="single" w:color="auto" w:sz="4" w:space="0"/>
            </w:tcBorders>
            <w:vAlign w:val="center"/>
          </w:tcPr>
          <w:p w14:paraId="7C24E56C">
            <w:pPr>
              <w:pStyle w:val="35"/>
              <w:bidi w:val="0"/>
              <w:rPr>
                <w:highlight w:val="none"/>
              </w:rPr>
            </w:pPr>
          </w:p>
        </w:tc>
        <w:tc>
          <w:tcPr>
            <w:tcW w:w="1363" w:type="dxa"/>
            <w:tcBorders>
              <w:left w:val="single" w:color="auto" w:sz="4" w:space="0"/>
            </w:tcBorders>
            <w:vAlign w:val="center"/>
          </w:tcPr>
          <w:p w14:paraId="3E16AADD">
            <w:pPr>
              <w:pStyle w:val="35"/>
              <w:bidi w:val="0"/>
              <w:rPr>
                <w:highlight w:val="none"/>
              </w:rPr>
            </w:pPr>
          </w:p>
        </w:tc>
      </w:tr>
      <w:tr w14:paraId="306B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AA17F8C">
            <w:pPr>
              <w:pStyle w:val="35"/>
              <w:bidi w:val="0"/>
              <w:rPr>
                <w:highlight w:val="none"/>
              </w:rPr>
            </w:pPr>
          </w:p>
        </w:tc>
        <w:tc>
          <w:tcPr>
            <w:tcW w:w="1980" w:type="dxa"/>
            <w:tcBorders>
              <w:left w:val="single" w:color="auto" w:sz="4" w:space="0"/>
            </w:tcBorders>
            <w:vAlign w:val="center"/>
          </w:tcPr>
          <w:p w14:paraId="6A13B908">
            <w:pPr>
              <w:pStyle w:val="35"/>
              <w:bidi w:val="0"/>
              <w:rPr>
                <w:highlight w:val="none"/>
              </w:rPr>
            </w:pPr>
          </w:p>
        </w:tc>
        <w:tc>
          <w:tcPr>
            <w:tcW w:w="2056" w:type="dxa"/>
            <w:tcBorders>
              <w:left w:val="single" w:color="auto" w:sz="4" w:space="0"/>
            </w:tcBorders>
            <w:vAlign w:val="center"/>
          </w:tcPr>
          <w:p w14:paraId="61BDCE7B">
            <w:pPr>
              <w:pStyle w:val="35"/>
              <w:bidi w:val="0"/>
              <w:rPr>
                <w:highlight w:val="none"/>
              </w:rPr>
            </w:pPr>
          </w:p>
        </w:tc>
        <w:tc>
          <w:tcPr>
            <w:tcW w:w="2490" w:type="dxa"/>
            <w:tcBorders>
              <w:left w:val="single" w:color="auto" w:sz="4" w:space="0"/>
            </w:tcBorders>
            <w:vAlign w:val="center"/>
          </w:tcPr>
          <w:p w14:paraId="72113BD0">
            <w:pPr>
              <w:pStyle w:val="35"/>
              <w:bidi w:val="0"/>
              <w:rPr>
                <w:highlight w:val="none"/>
              </w:rPr>
            </w:pPr>
          </w:p>
        </w:tc>
        <w:tc>
          <w:tcPr>
            <w:tcW w:w="1363" w:type="dxa"/>
            <w:tcBorders>
              <w:left w:val="single" w:color="auto" w:sz="4" w:space="0"/>
            </w:tcBorders>
            <w:vAlign w:val="center"/>
          </w:tcPr>
          <w:p w14:paraId="70E6E340">
            <w:pPr>
              <w:pStyle w:val="35"/>
              <w:bidi w:val="0"/>
              <w:rPr>
                <w:highlight w:val="none"/>
              </w:rPr>
            </w:pPr>
          </w:p>
        </w:tc>
      </w:tr>
      <w:tr w14:paraId="1056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299607B">
            <w:pPr>
              <w:pStyle w:val="35"/>
              <w:bidi w:val="0"/>
              <w:rPr>
                <w:highlight w:val="none"/>
              </w:rPr>
            </w:pPr>
          </w:p>
        </w:tc>
        <w:tc>
          <w:tcPr>
            <w:tcW w:w="1980" w:type="dxa"/>
            <w:tcBorders>
              <w:left w:val="single" w:color="auto" w:sz="4" w:space="0"/>
            </w:tcBorders>
            <w:vAlign w:val="center"/>
          </w:tcPr>
          <w:p w14:paraId="6F658C17">
            <w:pPr>
              <w:pStyle w:val="35"/>
              <w:bidi w:val="0"/>
              <w:rPr>
                <w:highlight w:val="none"/>
              </w:rPr>
            </w:pPr>
          </w:p>
        </w:tc>
        <w:tc>
          <w:tcPr>
            <w:tcW w:w="2056" w:type="dxa"/>
            <w:tcBorders>
              <w:left w:val="single" w:color="auto" w:sz="4" w:space="0"/>
            </w:tcBorders>
            <w:vAlign w:val="center"/>
          </w:tcPr>
          <w:p w14:paraId="0DDCED2E">
            <w:pPr>
              <w:pStyle w:val="35"/>
              <w:bidi w:val="0"/>
              <w:rPr>
                <w:highlight w:val="none"/>
              </w:rPr>
            </w:pPr>
          </w:p>
        </w:tc>
        <w:tc>
          <w:tcPr>
            <w:tcW w:w="2490" w:type="dxa"/>
            <w:tcBorders>
              <w:left w:val="single" w:color="auto" w:sz="4" w:space="0"/>
            </w:tcBorders>
            <w:vAlign w:val="center"/>
          </w:tcPr>
          <w:p w14:paraId="43B362E9">
            <w:pPr>
              <w:pStyle w:val="35"/>
              <w:bidi w:val="0"/>
              <w:rPr>
                <w:highlight w:val="none"/>
              </w:rPr>
            </w:pPr>
          </w:p>
        </w:tc>
        <w:tc>
          <w:tcPr>
            <w:tcW w:w="1363" w:type="dxa"/>
            <w:tcBorders>
              <w:left w:val="single" w:color="auto" w:sz="4" w:space="0"/>
            </w:tcBorders>
            <w:vAlign w:val="center"/>
          </w:tcPr>
          <w:p w14:paraId="74B3DC87">
            <w:pPr>
              <w:pStyle w:val="35"/>
              <w:bidi w:val="0"/>
              <w:rPr>
                <w:highlight w:val="none"/>
              </w:rPr>
            </w:pPr>
          </w:p>
        </w:tc>
      </w:tr>
      <w:tr w14:paraId="5FB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A3B406C">
            <w:pPr>
              <w:pStyle w:val="35"/>
              <w:bidi w:val="0"/>
              <w:rPr>
                <w:highlight w:val="none"/>
              </w:rPr>
            </w:pPr>
          </w:p>
        </w:tc>
        <w:tc>
          <w:tcPr>
            <w:tcW w:w="1980" w:type="dxa"/>
            <w:tcBorders>
              <w:left w:val="single" w:color="auto" w:sz="4" w:space="0"/>
            </w:tcBorders>
            <w:vAlign w:val="center"/>
          </w:tcPr>
          <w:p w14:paraId="29CB3122">
            <w:pPr>
              <w:pStyle w:val="35"/>
              <w:bidi w:val="0"/>
              <w:rPr>
                <w:highlight w:val="none"/>
              </w:rPr>
            </w:pPr>
          </w:p>
        </w:tc>
        <w:tc>
          <w:tcPr>
            <w:tcW w:w="2056" w:type="dxa"/>
            <w:tcBorders>
              <w:left w:val="single" w:color="auto" w:sz="4" w:space="0"/>
            </w:tcBorders>
            <w:vAlign w:val="center"/>
          </w:tcPr>
          <w:p w14:paraId="604644C5">
            <w:pPr>
              <w:pStyle w:val="35"/>
              <w:bidi w:val="0"/>
              <w:rPr>
                <w:highlight w:val="none"/>
              </w:rPr>
            </w:pPr>
          </w:p>
        </w:tc>
        <w:tc>
          <w:tcPr>
            <w:tcW w:w="2490" w:type="dxa"/>
            <w:tcBorders>
              <w:left w:val="single" w:color="auto" w:sz="4" w:space="0"/>
            </w:tcBorders>
            <w:vAlign w:val="center"/>
          </w:tcPr>
          <w:p w14:paraId="676C34D9">
            <w:pPr>
              <w:pStyle w:val="35"/>
              <w:bidi w:val="0"/>
              <w:rPr>
                <w:highlight w:val="none"/>
              </w:rPr>
            </w:pPr>
          </w:p>
        </w:tc>
        <w:tc>
          <w:tcPr>
            <w:tcW w:w="1363" w:type="dxa"/>
            <w:tcBorders>
              <w:left w:val="single" w:color="auto" w:sz="4" w:space="0"/>
            </w:tcBorders>
            <w:vAlign w:val="center"/>
          </w:tcPr>
          <w:p w14:paraId="7DBD4E2C">
            <w:pPr>
              <w:pStyle w:val="35"/>
              <w:bidi w:val="0"/>
              <w:rPr>
                <w:highlight w:val="none"/>
              </w:rPr>
            </w:pPr>
          </w:p>
        </w:tc>
      </w:tr>
      <w:tr w14:paraId="53EC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69370CF">
            <w:pPr>
              <w:pStyle w:val="35"/>
              <w:bidi w:val="0"/>
              <w:rPr>
                <w:highlight w:val="none"/>
              </w:rPr>
            </w:pPr>
          </w:p>
        </w:tc>
        <w:tc>
          <w:tcPr>
            <w:tcW w:w="1980" w:type="dxa"/>
            <w:tcBorders>
              <w:left w:val="single" w:color="auto" w:sz="4" w:space="0"/>
            </w:tcBorders>
            <w:vAlign w:val="center"/>
          </w:tcPr>
          <w:p w14:paraId="14B0B479">
            <w:pPr>
              <w:pStyle w:val="35"/>
              <w:bidi w:val="0"/>
              <w:rPr>
                <w:highlight w:val="none"/>
              </w:rPr>
            </w:pPr>
          </w:p>
        </w:tc>
        <w:tc>
          <w:tcPr>
            <w:tcW w:w="2056" w:type="dxa"/>
            <w:tcBorders>
              <w:left w:val="single" w:color="auto" w:sz="4" w:space="0"/>
            </w:tcBorders>
            <w:vAlign w:val="center"/>
          </w:tcPr>
          <w:p w14:paraId="4B0DA97C">
            <w:pPr>
              <w:pStyle w:val="35"/>
              <w:bidi w:val="0"/>
              <w:rPr>
                <w:highlight w:val="none"/>
              </w:rPr>
            </w:pPr>
          </w:p>
        </w:tc>
        <w:tc>
          <w:tcPr>
            <w:tcW w:w="2490" w:type="dxa"/>
            <w:tcBorders>
              <w:left w:val="single" w:color="auto" w:sz="4" w:space="0"/>
            </w:tcBorders>
            <w:vAlign w:val="center"/>
          </w:tcPr>
          <w:p w14:paraId="28005018">
            <w:pPr>
              <w:pStyle w:val="35"/>
              <w:bidi w:val="0"/>
              <w:rPr>
                <w:highlight w:val="none"/>
              </w:rPr>
            </w:pPr>
          </w:p>
        </w:tc>
        <w:tc>
          <w:tcPr>
            <w:tcW w:w="1363" w:type="dxa"/>
            <w:tcBorders>
              <w:left w:val="single" w:color="auto" w:sz="4" w:space="0"/>
            </w:tcBorders>
            <w:vAlign w:val="center"/>
          </w:tcPr>
          <w:p w14:paraId="1A63C5B2">
            <w:pPr>
              <w:pStyle w:val="35"/>
              <w:bidi w:val="0"/>
              <w:rPr>
                <w:highlight w:val="none"/>
              </w:rPr>
            </w:pPr>
          </w:p>
        </w:tc>
      </w:tr>
      <w:tr w14:paraId="7E4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780F680">
            <w:pPr>
              <w:pStyle w:val="35"/>
              <w:bidi w:val="0"/>
              <w:rPr>
                <w:highlight w:val="none"/>
              </w:rPr>
            </w:pPr>
          </w:p>
        </w:tc>
        <w:tc>
          <w:tcPr>
            <w:tcW w:w="1980" w:type="dxa"/>
            <w:tcBorders>
              <w:left w:val="single" w:color="auto" w:sz="4" w:space="0"/>
            </w:tcBorders>
            <w:vAlign w:val="center"/>
          </w:tcPr>
          <w:p w14:paraId="20A46974">
            <w:pPr>
              <w:pStyle w:val="35"/>
              <w:bidi w:val="0"/>
              <w:rPr>
                <w:highlight w:val="none"/>
              </w:rPr>
            </w:pPr>
          </w:p>
        </w:tc>
        <w:tc>
          <w:tcPr>
            <w:tcW w:w="2056" w:type="dxa"/>
            <w:tcBorders>
              <w:left w:val="single" w:color="auto" w:sz="4" w:space="0"/>
            </w:tcBorders>
            <w:vAlign w:val="center"/>
          </w:tcPr>
          <w:p w14:paraId="3A9A6720">
            <w:pPr>
              <w:pStyle w:val="35"/>
              <w:bidi w:val="0"/>
              <w:rPr>
                <w:highlight w:val="none"/>
              </w:rPr>
            </w:pPr>
          </w:p>
        </w:tc>
        <w:tc>
          <w:tcPr>
            <w:tcW w:w="2490" w:type="dxa"/>
            <w:tcBorders>
              <w:left w:val="single" w:color="auto" w:sz="4" w:space="0"/>
            </w:tcBorders>
            <w:vAlign w:val="center"/>
          </w:tcPr>
          <w:p w14:paraId="179BBE6F">
            <w:pPr>
              <w:pStyle w:val="35"/>
              <w:bidi w:val="0"/>
              <w:rPr>
                <w:highlight w:val="none"/>
              </w:rPr>
            </w:pPr>
          </w:p>
        </w:tc>
        <w:tc>
          <w:tcPr>
            <w:tcW w:w="1363" w:type="dxa"/>
            <w:tcBorders>
              <w:left w:val="single" w:color="auto" w:sz="4" w:space="0"/>
            </w:tcBorders>
            <w:vAlign w:val="center"/>
          </w:tcPr>
          <w:p w14:paraId="1F39C6C5">
            <w:pPr>
              <w:pStyle w:val="35"/>
              <w:bidi w:val="0"/>
              <w:rPr>
                <w:highlight w:val="none"/>
              </w:rPr>
            </w:pPr>
          </w:p>
        </w:tc>
      </w:tr>
      <w:tr w14:paraId="410E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78FA51B">
            <w:pPr>
              <w:pStyle w:val="35"/>
              <w:bidi w:val="0"/>
              <w:rPr>
                <w:highlight w:val="none"/>
              </w:rPr>
            </w:pPr>
          </w:p>
        </w:tc>
        <w:tc>
          <w:tcPr>
            <w:tcW w:w="1980" w:type="dxa"/>
            <w:tcBorders>
              <w:left w:val="single" w:color="auto" w:sz="4" w:space="0"/>
            </w:tcBorders>
            <w:vAlign w:val="center"/>
          </w:tcPr>
          <w:p w14:paraId="0F181481">
            <w:pPr>
              <w:pStyle w:val="35"/>
              <w:bidi w:val="0"/>
              <w:rPr>
                <w:highlight w:val="none"/>
              </w:rPr>
            </w:pPr>
          </w:p>
        </w:tc>
        <w:tc>
          <w:tcPr>
            <w:tcW w:w="2056" w:type="dxa"/>
            <w:tcBorders>
              <w:left w:val="single" w:color="auto" w:sz="4" w:space="0"/>
            </w:tcBorders>
            <w:vAlign w:val="center"/>
          </w:tcPr>
          <w:p w14:paraId="0264089D">
            <w:pPr>
              <w:pStyle w:val="35"/>
              <w:bidi w:val="0"/>
              <w:rPr>
                <w:highlight w:val="none"/>
              </w:rPr>
            </w:pPr>
          </w:p>
        </w:tc>
        <w:tc>
          <w:tcPr>
            <w:tcW w:w="2490" w:type="dxa"/>
            <w:tcBorders>
              <w:left w:val="single" w:color="auto" w:sz="4" w:space="0"/>
            </w:tcBorders>
            <w:vAlign w:val="center"/>
          </w:tcPr>
          <w:p w14:paraId="6A1B0F9F">
            <w:pPr>
              <w:pStyle w:val="35"/>
              <w:bidi w:val="0"/>
              <w:rPr>
                <w:highlight w:val="none"/>
              </w:rPr>
            </w:pPr>
          </w:p>
        </w:tc>
        <w:tc>
          <w:tcPr>
            <w:tcW w:w="1363" w:type="dxa"/>
            <w:tcBorders>
              <w:left w:val="single" w:color="auto" w:sz="4" w:space="0"/>
            </w:tcBorders>
            <w:vAlign w:val="center"/>
          </w:tcPr>
          <w:p w14:paraId="2916F2C8">
            <w:pPr>
              <w:pStyle w:val="35"/>
              <w:bidi w:val="0"/>
              <w:rPr>
                <w:highlight w:val="none"/>
              </w:rPr>
            </w:pPr>
          </w:p>
        </w:tc>
      </w:tr>
      <w:tr w14:paraId="1C2B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03A7E57">
            <w:pPr>
              <w:pStyle w:val="35"/>
              <w:bidi w:val="0"/>
              <w:rPr>
                <w:highlight w:val="none"/>
              </w:rPr>
            </w:pPr>
          </w:p>
        </w:tc>
        <w:tc>
          <w:tcPr>
            <w:tcW w:w="1980" w:type="dxa"/>
            <w:tcBorders>
              <w:left w:val="single" w:color="auto" w:sz="4" w:space="0"/>
            </w:tcBorders>
            <w:vAlign w:val="center"/>
          </w:tcPr>
          <w:p w14:paraId="72F3330B">
            <w:pPr>
              <w:pStyle w:val="35"/>
              <w:bidi w:val="0"/>
              <w:rPr>
                <w:highlight w:val="none"/>
              </w:rPr>
            </w:pPr>
          </w:p>
        </w:tc>
        <w:tc>
          <w:tcPr>
            <w:tcW w:w="2056" w:type="dxa"/>
            <w:tcBorders>
              <w:left w:val="single" w:color="auto" w:sz="4" w:space="0"/>
            </w:tcBorders>
            <w:vAlign w:val="center"/>
          </w:tcPr>
          <w:p w14:paraId="4A726EDB">
            <w:pPr>
              <w:pStyle w:val="35"/>
              <w:bidi w:val="0"/>
              <w:rPr>
                <w:highlight w:val="none"/>
              </w:rPr>
            </w:pPr>
          </w:p>
        </w:tc>
        <w:tc>
          <w:tcPr>
            <w:tcW w:w="2490" w:type="dxa"/>
            <w:tcBorders>
              <w:left w:val="single" w:color="auto" w:sz="4" w:space="0"/>
            </w:tcBorders>
            <w:vAlign w:val="center"/>
          </w:tcPr>
          <w:p w14:paraId="1D0DBB8E">
            <w:pPr>
              <w:pStyle w:val="35"/>
              <w:bidi w:val="0"/>
              <w:rPr>
                <w:highlight w:val="none"/>
              </w:rPr>
            </w:pPr>
          </w:p>
        </w:tc>
        <w:tc>
          <w:tcPr>
            <w:tcW w:w="1363" w:type="dxa"/>
            <w:tcBorders>
              <w:left w:val="single" w:color="auto" w:sz="4" w:space="0"/>
            </w:tcBorders>
            <w:vAlign w:val="center"/>
          </w:tcPr>
          <w:p w14:paraId="2A5862B3">
            <w:pPr>
              <w:pStyle w:val="35"/>
              <w:bidi w:val="0"/>
              <w:rPr>
                <w:highlight w:val="none"/>
              </w:rPr>
            </w:pPr>
          </w:p>
        </w:tc>
      </w:tr>
    </w:tbl>
    <w:p w14:paraId="65E2CA9A">
      <w:pPr>
        <w:pStyle w:val="39"/>
        <w:bidi w:val="0"/>
        <w:rPr>
          <w:rFonts w:hint="eastAsia"/>
          <w:highlight w:val="none"/>
          <w:lang w:val="en-US" w:eastAsia="zh-CN"/>
        </w:rPr>
      </w:pPr>
      <w:r>
        <w:rPr>
          <w:rFonts w:hint="eastAsia"/>
          <w:highlight w:val="none"/>
          <w:lang w:val="en-US" w:eastAsia="zh-CN"/>
        </w:rPr>
        <w:t>注：根据第五章“</w:t>
      </w:r>
      <w:r>
        <w:rPr>
          <w:highlight w:val="none"/>
          <w:lang w:val="en-US" w:eastAsia="zh-CN"/>
        </w:rPr>
        <w:t>3.1</w:t>
      </w:r>
      <w:r>
        <w:rPr>
          <w:rFonts w:hint="eastAsia"/>
          <w:highlight w:val="none"/>
          <w:lang w:val="en-US" w:eastAsia="zh-CN"/>
        </w:rPr>
        <w:t>条”中内容填写</w:t>
      </w:r>
      <w:r>
        <w:rPr>
          <w:highlight w:val="none"/>
          <w:lang w:val="en-US" w:eastAsia="zh-CN"/>
        </w:rPr>
        <w:t>业务需求</w:t>
      </w:r>
      <w:r>
        <w:rPr>
          <w:rFonts w:hint="eastAsia"/>
          <w:highlight w:val="none"/>
          <w:lang w:val="en-US" w:eastAsia="zh-CN"/>
        </w:rPr>
        <w:t>偏离表，逐一列出，填写与响应，内容齐全、无遗漏。需每页加盖公章。</w:t>
      </w:r>
    </w:p>
    <w:p w14:paraId="5E4407FA">
      <w:pPr>
        <w:pStyle w:val="39"/>
        <w:bidi w:val="0"/>
        <w:rPr>
          <w:highlight w:val="none"/>
          <w:lang w:val="en-US" w:eastAsia="zh-CN"/>
        </w:rPr>
      </w:pPr>
      <w:r>
        <w:rPr>
          <w:rFonts w:hint="eastAsia"/>
          <w:highlight w:val="none"/>
          <w:lang w:val="en-US" w:eastAsia="zh-CN"/>
        </w:rPr>
        <w:t>表格填写说明如下：</w:t>
      </w:r>
    </w:p>
    <w:p w14:paraId="19644A15">
      <w:pPr>
        <w:pStyle w:val="39"/>
        <w:bidi w:val="0"/>
        <w:rPr>
          <w:rFonts w:hint="eastAsia"/>
          <w:highlight w:val="none"/>
          <w:lang w:val="en-US" w:eastAsia="zh-CN"/>
        </w:rPr>
      </w:pPr>
      <w:r>
        <w:rPr>
          <w:rFonts w:hint="eastAsia"/>
          <w:highlight w:val="none"/>
          <w:lang w:val="en-US" w:eastAsia="zh-CN"/>
        </w:rPr>
        <w:t>“询比文件条目号”：详细写明第几章第几条；</w:t>
      </w:r>
    </w:p>
    <w:p w14:paraId="44EC3E91">
      <w:pPr>
        <w:pStyle w:val="39"/>
        <w:bidi w:val="0"/>
        <w:rPr>
          <w:rFonts w:hint="eastAsia"/>
          <w:highlight w:val="none"/>
          <w:lang w:val="en-US" w:eastAsia="zh-CN"/>
        </w:rPr>
      </w:pPr>
      <w:r>
        <w:rPr>
          <w:rFonts w:hint="eastAsia"/>
          <w:highlight w:val="none"/>
          <w:lang w:val="en-US" w:eastAsia="zh-CN"/>
        </w:rPr>
        <w:t>“</w:t>
      </w:r>
      <w:r>
        <w:rPr>
          <w:rFonts w:hint="eastAsia"/>
          <w:highlight w:val="none"/>
          <w:lang w:eastAsia="zh-CN"/>
        </w:rPr>
        <w:t>询比文件</w:t>
      </w:r>
      <w:r>
        <w:rPr>
          <w:rFonts w:hint="eastAsia"/>
          <w:highlight w:val="none"/>
          <w:lang w:val="en-US" w:eastAsia="zh-CN"/>
        </w:rPr>
        <w:t>XX</w:t>
      </w:r>
      <w:r>
        <w:rPr>
          <w:rFonts w:hint="eastAsia"/>
          <w:highlight w:val="none"/>
        </w:rPr>
        <w:t>条款</w:t>
      </w:r>
      <w:r>
        <w:rPr>
          <w:rFonts w:hint="eastAsia"/>
          <w:highlight w:val="none"/>
          <w:lang w:val="en-US" w:eastAsia="zh-CN"/>
        </w:rPr>
        <w:t>”：询比文件中该条对应内容；</w:t>
      </w:r>
    </w:p>
    <w:p w14:paraId="667C3ADC">
      <w:pPr>
        <w:pStyle w:val="39"/>
        <w:bidi w:val="0"/>
        <w:rPr>
          <w:rFonts w:hint="eastAsia"/>
          <w:highlight w:val="none"/>
          <w:lang w:val="en-US" w:eastAsia="zh-CN"/>
        </w:rPr>
      </w:pPr>
      <w:r>
        <w:rPr>
          <w:rFonts w:hint="eastAsia"/>
          <w:highlight w:val="none"/>
          <w:lang w:val="en-US" w:eastAsia="zh-CN"/>
        </w:rPr>
        <w:t>“</w:t>
      </w:r>
      <w:r>
        <w:rPr>
          <w:rFonts w:hint="eastAsia"/>
          <w:highlight w:val="none"/>
          <w:lang w:eastAsia="zh-CN"/>
        </w:rPr>
        <w:t>响应文件</w:t>
      </w:r>
      <w:r>
        <w:rPr>
          <w:rFonts w:hint="eastAsia"/>
          <w:highlight w:val="none"/>
        </w:rPr>
        <w:t>对应</w:t>
      </w:r>
      <w:r>
        <w:rPr>
          <w:rFonts w:hint="eastAsia"/>
          <w:highlight w:val="none"/>
          <w:lang w:val="en-US" w:eastAsia="zh-CN"/>
        </w:rPr>
        <w:t>XX</w:t>
      </w:r>
      <w:r>
        <w:rPr>
          <w:rFonts w:hint="eastAsia"/>
          <w:highlight w:val="none"/>
        </w:rPr>
        <w:t>条款</w:t>
      </w:r>
      <w:r>
        <w:rPr>
          <w:rFonts w:hint="eastAsia"/>
          <w:highlight w:val="none"/>
          <w:lang w:val="en-US" w:eastAsia="zh-CN"/>
        </w:rPr>
        <w:t>”：写明是否满足，并附响应文件中该条对应内容；</w:t>
      </w:r>
    </w:p>
    <w:p w14:paraId="181F15D4">
      <w:pPr>
        <w:pStyle w:val="39"/>
        <w:bidi w:val="0"/>
        <w:rPr>
          <w:highlight w:val="none"/>
          <w:lang w:val="en-US" w:eastAsia="zh-CN"/>
        </w:rPr>
      </w:pPr>
      <w:r>
        <w:rPr>
          <w:rFonts w:hint="eastAsia"/>
          <w:highlight w:val="none"/>
          <w:lang w:val="en-US" w:eastAsia="zh-CN"/>
        </w:rPr>
        <w:t>“说明”：填写是否满足，是否偏离，正/负偏离原因。</w:t>
      </w:r>
    </w:p>
    <w:p w14:paraId="4573130D">
      <w:pPr>
        <w:pStyle w:val="39"/>
        <w:bidi w:val="0"/>
        <w:rPr>
          <w:highlight w:val="none"/>
        </w:rPr>
      </w:pPr>
    </w:p>
    <w:p w14:paraId="0EF0E718">
      <w:pPr>
        <w:pStyle w:val="39"/>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6144"/>
        </w:sectPr>
      </w:pPr>
    </w:p>
    <w:p w14:paraId="4E2B0749">
      <w:pPr>
        <w:pStyle w:val="32"/>
        <w:bidi w:val="0"/>
        <w:rPr>
          <w:color w:val="auto"/>
          <w:highlight w:val="none"/>
        </w:rPr>
      </w:pPr>
      <w:r>
        <w:rPr>
          <w:rFonts w:hint="eastAsia"/>
          <w:color w:val="auto"/>
          <w:highlight w:val="none"/>
          <w:lang w:val="en-US" w:eastAsia="zh-CN"/>
        </w:rPr>
        <w:t>（四）</w:t>
      </w:r>
      <w:r>
        <w:rPr>
          <w:rFonts w:hint="eastAsia"/>
          <w:color w:val="auto"/>
          <w:highlight w:val="none"/>
        </w:rPr>
        <w:t>书面声明</w:t>
      </w:r>
    </w:p>
    <w:p w14:paraId="2EAE6851">
      <w:pPr>
        <w:tabs>
          <w:tab w:val="left" w:pos="6300"/>
        </w:tabs>
        <w:snapToGrid w:val="0"/>
        <w:spacing w:line="360" w:lineRule="auto"/>
        <w:rPr>
          <w:rFonts w:ascii="宋体"/>
          <w:color w:val="auto"/>
          <w:sz w:val="24"/>
          <w:highlight w:val="none"/>
        </w:rPr>
      </w:pPr>
    </w:p>
    <w:p w14:paraId="7E234D12">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05248E03">
      <w:pPr>
        <w:tabs>
          <w:tab w:val="left" w:pos="6300"/>
        </w:tabs>
        <w:snapToGrid w:val="0"/>
        <w:spacing w:line="360" w:lineRule="auto"/>
        <w:rPr>
          <w:rFonts w:ascii="宋体"/>
          <w:color w:val="auto"/>
          <w:sz w:val="24"/>
          <w:highlight w:val="none"/>
        </w:rPr>
      </w:pPr>
    </w:p>
    <w:p w14:paraId="45D705A9">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3A5D051D">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 xml:space="preserve">            （响应人名称）郑重声明，我公司为产品原厂商，具备对产品二次开发及维护能力，近3年财务状况稳定，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7CFC5A69">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129B4EB5">
      <w:pPr>
        <w:tabs>
          <w:tab w:val="left" w:pos="6300"/>
        </w:tabs>
        <w:snapToGrid w:val="0"/>
        <w:spacing w:line="360" w:lineRule="auto"/>
        <w:rPr>
          <w:rFonts w:ascii="宋体" w:eastAsia="宋体"/>
          <w:color w:val="auto"/>
          <w:sz w:val="24"/>
          <w:highlight w:val="none"/>
          <w:lang w:val="en-US" w:eastAsia="zh-CN"/>
        </w:rPr>
      </w:pPr>
    </w:p>
    <w:p w14:paraId="4B94E306">
      <w:pPr>
        <w:tabs>
          <w:tab w:val="left" w:pos="6300"/>
        </w:tabs>
        <w:snapToGrid w:val="0"/>
        <w:spacing w:line="360" w:lineRule="auto"/>
        <w:rPr>
          <w:rFonts w:ascii="宋体"/>
          <w:color w:val="auto"/>
          <w:sz w:val="24"/>
          <w:highlight w:val="none"/>
        </w:rPr>
      </w:pPr>
    </w:p>
    <w:p w14:paraId="069E0FBD">
      <w:pPr>
        <w:tabs>
          <w:tab w:val="left" w:pos="6300"/>
        </w:tabs>
        <w:snapToGrid w:val="0"/>
        <w:spacing w:line="360" w:lineRule="auto"/>
        <w:rPr>
          <w:rFonts w:ascii="宋体"/>
          <w:color w:val="auto"/>
          <w:sz w:val="24"/>
          <w:highlight w:val="none"/>
        </w:rPr>
      </w:pPr>
    </w:p>
    <w:p w14:paraId="4651F889">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0BB4D7CC">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0BAD23D8">
      <w:pPr>
        <w:spacing w:line="360" w:lineRule="auto"/>
        <w:jc w:val="left"/>
        <w:rPr>
          <w:rFonts w:ascii="宋体" w:cs="等线 Light"/>
          <w:snapToGrid w:val="0"/>
          <w:color w:val="auto"/>
          <w:kern w:val="0"/>
          <w:sz w:val="24"/>
          <w:szCs w:val="24"/>
          <w:highlight w:val="none"/>
        </w:rPr>
      </w:pPr>
    </w:p>
    <w:p w14:paraId="714AFF1C">
      <w:pPr>
        <w:spacing w:line="360" w:lineRule="auto"/>
        <w:jc w:val="left"/>
        <w:rPr>
          <w:rFonts w:ascii="宋体" w:cs="等线 Light"/>
          <w:snapToGrid w:val="0"/>
          <w:color w:val="auto"/>
          <w:kern w:val="0"/>
          <w:sz w:val="24"/>
          <w:szCs w:val="24"/>
          <w:highlight w:val="none"/>
        </w:rPr>
      </w:pPr>
    </w:p>
    <w:p w14:paraId="27376827">
      <w:pPr>
        <w:spacing w:line="360" w:lineRule="auto"/>
        <w:jc w:val="left"/>
        <w:rPr>
          <w:rFonts w:ascii="宋体" w:cs="等线 Light"/>
          <w:snapToGrid w:val="0"/>
          <w:color w:val="auto"/>
          <w:kern w:val="0"/>
          <w:sz w:val="24"/>
          <w:szCs w:val="24"/>
          <w:highlight w:val="none"/>
        </w:rPr>
      </w:pPr>
    </w:p>
    <w:p w14:paraId="5C1242A2">
      <w:pPr>
        <w:rPr>
          <w:rFonts w:hint="eastAsia"/>
          <w:b/>
          <w:bCs/>
          <w:color w:val="auto"/>
          <w:highlight w:val="none"/>
        </w:rPr>
      </w:pPr>
      <w:r>
        <w:rPr>
          <w:rFonts w:hint="eastAsia"/>
          <w:color w:val="auto"/>
          <w:kern w:val="0"/>
          <w:highlight w:val="none"/>
        </w:rPr>
        <w:br w:type="page"/>
      </w:r>
    </w:p>
    <w:p w14:paraId="1B26D365">
      <w:pPr>
        <w:pStyle w:val="32"/>
        <w:bidi w:val="0"/>
        <w:rPr>
          <w:color w:val="auto"/>
          <w:highlight w:val="none"/>
        </w:rPr>
      </w:pPr>
      <w:r>
        <w:rPr>
          <w:color w:val="auto"/>
          <w:highlight w:val="none"/>
        </w:rPr>
        <w:t>（</w:t>
      </w:r>
      <w:r>
        <w:rPr>
          <w:rFonts w:hint="eastAsia"/>
          <w:color w:val="auto"/>
          <w:highlight w:val="none"/>
          <w:lang w:val="en-US" w:eastAsia="zh-CN"/>
        </w:rPr>
        <w:t>五</w:t>
      </w:r>
      <w:r>
        <w:rPr>
          <w:color w:val="auto"/>
          <w:highlight w:val="none"/>
        </w:rPr>
        <w:t>）中国执行信息公开网截图</w:t>
      </w:r>
    </w:p>
    <w:p w14:paraId="018FCAD1">
      <w:pPr>
        <w:bidi w:val="0"/>
        <w:rPr>
          <w:color w:val="auto"/>
          <w:highlight w:val="none"/>
        </w:rPr>
      </w:pPr>
      <w:r>
        <w:rPr>
          <w:rFonts w:hint="eastAsia"/>
          <w:color w:val="auto"/>
          <w:highlight w:val="none"/>
          <w:lang w:val="en-US" w:eastAsia="zh-CN"/>
        </w:rPr>
        <w:t>1.法人在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5268FD51">
      <w:pPr>
        <w:bidi w:val="0"/>
        <w:rPr>
          <w:color w:val="auto"/>
          <w:highlight w:val="none"/>
          <w:lang w:val="en-US" w:eastAsia="zh-CN"/>
        </w:rPr>
      </w:pPr>
      <w:r>
        <w:rPr>
          <w:rFonts w:hint="eastAsia"/>
          <w:color w:val="auto"/>
          <w:highlight w:val="none"/>
          <w:lang w:val="en-US" w:eastAsia="zh-CN"/>
        </w:rPr>
        <w:t>2.法定代表人在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2083E850">
      <w:pPr>
        <w:bidi w:val="0"/>
        <w:rPr>
          <w:color w:val="auto"/>
          <w:highlight w:val="none"/>
        </w:rPr>
      </w:pPr>
    </w:p>
    <w:p w14:paraId="26B23619">
      <w:pPr>
        <w:bidi w:val="0"/>
        <w:rPr>
          <w:color w:val="auto"/>
          <w:highlight w:val="none"/>
        </w:rPr>
      </w:pPr>
    </w:p>
    <w:p w14:paraId="4E662F27">
      <w:pPr>
        <w:bidi w:val="0"/>
        <w:rPr>
          <w:color w:val="auto"/>
          <w:highlight w:val="none"/>
        </w:rPr>
      </w:pPr>
    </w:p>
    <w:p w14:paraId="48CD42E6">
      <w:pPr>
        <w:bidi w:val="0"/>
        <w:rPr>
          <w:color w:val="auto"/>
          <w:highlight w:val="none"/>
        </w:rPr>
      </w:pPr>
      <w:r>
        <w:rPr>
          <w:rFonts w:hint="eastAsia"/>
          <w:color w:val="auto"/>
          <w:highlight w:val="none"/>
        </w:rPr>
        <w:br w:type="page"/>
      </w:r>
    </w:p>
    <w:p w14:paraId="0EFD78CF">
      <w:pPr>
        <w:pStyle w:val="32"/>
        <w:bidi w:val="0"/>
        <w:rPr>
          <w:color w:val="auto"/>
          <w:highlight w:val="none"/>
          <w:lang w:val="en-US" w:eastAsia="zh-CN"/>
        </w:rPr>
      </w:pPr>
      <w:r>
        <w:rPr>
          <w:rFonts w:hint="eastAsia"/>
          <w:color w:val="auto"/>
          <w:highlight w:val="none"/>
          <w:lang w:val="zh-CN"/>
        </w:rPr>
        <w:t>（</w:t>
      </w:r>
      <w:r>
        <w:rPr>
          <w:rFonts w:hint="eastAsia"/>
          <w:color w:val="auto"/>
          <w:highlight w:val="none"/>
          <w:lang w:val="en-US" w:eastAsia="zh-CN"/>
        </w:rPr>
        <w:t>六</w:t>
      </w:r>
      <w:r>
        <w:rPr>
          <w:rFonts w:hint="eastAsia"/>
          <w:color w:val="auto"/>
          <w:highlight w:val="none"/>
          <w:lang w:val="zh-CN"/>
        </w:rPr>
        <w:t>）项目案例</w:t>
      </w:r>
      <w:r>
        <w:rPr>
          <w:rFonts w:hint="eastAsia"/>
          <w:color w:val="auto"/>
          <w:highlight w:val="none"/>
          <w:lang w:val="en-US" w:eastAsia="zh-CN"/>
        </w:rPr>
        <w:t>和业绩证明文件复印件</w:t>
      </w:r>
    </w:p>
    <w:p w14:paraId="08129A0A">
      <w:pPr>
        <w:bidi w:val="0"/>
        <w:rPr>
          <w:rFonts w:hint="eastAsia"/>
          <w:color w:val="auto"/>
          <w:highlight w:val="none"/>
          <w:lang w:val="en-US" w:eastAsia="zh-CN"/>
        </w:rPr>
      </w:pPr>
      <w:r>
        <w:rPr>
          <w:rFonts w:hint="eastAsia"/>
          <w:color w:val="auto"/>
          <w:highlight w:val="none"/>
          <w:lang w:val="en-US" w:eastAsia="zh-CN"/>
        </w:rPr>
        <w:t>1、合同关键页（合同关键页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w:t>
      </w:r>
      <w:r>
        <w:rPr>
          <w:rFonts w:hint="eastAsia"/>
          <w:color w:val="auto"/>
          <w:highlight w:val="none"/>
          <w:lang w:val="en-US" w:eastAsia="zh-CN"/>
        </w:rPr>
        <w:t>）</w:t>
      </w:r>
    </w:p>
    <w:p w14:paraId="798173D4">
      <w:pPr>
        <w:bidi w:val="0"/>
        <w:rPr>
          <w:rFonts w:hint="eastAsia"/>
          <w:color w:val="auto"/>
          <w:highlight w:val="none"/>
          <w:lang w:val="en-US" w:eastAsia="zh-CN"/>
        </w:rPr>
      </w:pPr>
      <w:r>
        <w:rPr>
          <w:rFonts w:hint="eastAsia"/>
          <w:color w:val="auto"/>
          <w:highlight w:val="none"/>
          <w:lang w:val="en-US" w:eastAsia="zh-CN"/>
        </w:rPr>
        <w:t>2、项目简介（格式自拟）</w:t>
      </w:r>
    </w:p>
    <w:p w14:paraId="7B612152">
      <w:pPr>
        <w:bidi w:val="0"/>
        <w:rPr>
          <w:rFonts w:hint="eastAsia"/>
          <w:color w:val="auto"/>
          <w:highlight w:val="none"/>
        </w:rPr>
      </w:pPr>
      <w:r>
        <w:rPr>
          <w:rFonts w:hint="eastAsia"/>
          <w:color w:val="auto"/>
          <w:highlight w:val="none"/>
          <w:lang w:val="en-US" w:eastAsia="zh-CN"/>
        </w:rPr>
        <w:t>3、</w:t>
      </w:r>
      <w:r>
        <w:rPr>
          <w:rFonts w:hint="eastAsia"/>
          <w:color w:val="auto"/>
          <w:highlight w:val="none"/>
        </w:rPr>
        <w:t>合同对应的发票之一</w:t>
      </w:r>
      <w:r>
        <w:rPr>
          <w:rFonts w:hint="eastAsia"/>
          <w:color w:val="auto"/>
          <w:highlight w:val="none"/>
          <w:lang w:eastAsia="zh-CN"/>
        </w:rPr>
        <w:t>（</w:t>
      </w:r>
      <w:r>
        <w:rPr>
          <w:rFonts w:hint="eastAsia"/>
          <w:color w:val="auto"/>
          <w:highlight w:val="none"/>
        </w:rPr>
        <w:t>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eastAsia="zh-CN"/>
        </w:rPr>
        <w:t>，</w:t>
      </w:r>
      <w:r>
        <w:rPr>
          <w:rFonts w:hint="eastAsia"/>
          <w:color w:val="auto"/>
          <w:highlight w:val="none"/>
        </w:rPr>
        <w:t>发票开具日期须晚于合同签订日期、发票购买方须与合同买方一致、发票销售方须与合同卖方（</w:t>
      </w:r>
      <w:r>
        <w:rPr>
          <w:rFonts w:hint="eastAsia"/>
          <w:color w:val="auto"/>
          <w:highlight w:val="none"/>
          <w:lang w:eastAsia="zh-CN"/>
        </w:rPr>
        <w:t>响应人</w:t>
      </w:r>
      <w:r>
        <w:rPr>
          <w:rFonts w:hint="eastAsia"/>
          <w:color w:val="auto"/>
          <w:highlight w:val="none"/>
        </w:rPr>
        <w:t>）一致</w:t>
      </w:r>
      <w:r>
        <w:rPr>
          <w:rFonts w:hint="eastAsia"/>
          <w:color w:val="auto"/>
          <w:highlight w:val="none"/>
          <w:lang w:eastAsia="zh-CN"/>
        </w:rPr>
        <w:t>）</w:t>
      </w:r>
      <w:r>
        <w:rPr>
          <w:rFonts w:hint="eastAsia"/>
          <w:color w:val="auto"/>
          <w:highlight w:val="none"/>
          <w:lang w:val="en-US" w:eastAsia="zh-CN"/>
        </w:rPr>
        <w:t>。</w:t>
      </w:r>
      <w:r>
        <w:rPr>
          <w:rFonts w:hint="eastAsia"/>
          <w:color w:val="auto"/>
          <w:highlight w:val="none"/>
        </w:rPr>
        <w:t>】</w:t>
      </w:r>
    </w:p>
    <w:p w14:paraId="7C6A7266">
      <w:pPr>
        <w:bidi w:val="0"/>
        <w:rPr>
          <w:rFonts w:hint="eastAsia"/>
          <w:color w:val="auto"/>
          <w:highlight w:val="none"/>
        </w:rPr>
      </w:pPr>
      <w:r>
        <w:rPr>
          <w:rFonts w:hint="eastAsia"/>
          <w:color w:val="auto"/>
          <w:highlight w:val="none"/>
        </w:rPr>
        <w:br w:type="page"/>
      </w:r>
    </w:p>
    <w:p w14:paraId="50C157E6">
      <w:pPr>
        <w:pStyle w:val="32"/>
        <w:bidi w:val="0"/>
        <w:rPr>
          <w:rFonts w:hint="eastAsia"/>
          <w:color w:val="auto"/>
          <w:highlight w:val="none"/>
          <w:lang w:val="zh-CN" w:eastAsia="zh-CN"/>
        </w:rPr>
      </w:pPr>
      <w:r>
        <w:rPr>
          <w:rFonts w:hint="eastAsia"/>
          <w:color w:val="auto"/>
          <w:highlight w:val="none"/>
          <w:lang w:val="zh-CN"/>
        </w:rPr>
        <w:t>（</w:t>
      </w:r>
      <w:r>
        <w:rPr>
          <w:rFonts w:hint="eastAsia"/>
          <w:color w:val="auto"/>
          <w:highlight w:val="none"/>
          <w:lang w:val="en-US" w:eastAsia="zh-CN"/>
        </w:rPr>
        <w:t>七</w:t>
      </w:r>
      <w:r>
        <w:rPr>
          <w:rFonts w:hint="eastAsia"/>
          <w:color w:val="auto"/>
          <w:highlight w:val="none"/>
          <w:lang w:val="zh-CN"/>
        </w:rPr>
        <w:t>）</w:t>
      </w:r>
      <w:r>
        <w:rPr>
          <w:color w:val="auto"/>
          <w:highlight w:val="none"/>
        </w:rPr>
        <w:t>服务水平协议（SLA）</w:t>
      </w:r>
    </w:p>
    <w:p w14:paraId="42D32D4F">
      <w:pPr>
        <w:rPr>
          <w:rFonts w:ascii="宋体"/>
          <w:b/>
          <w:bCs/>
          <w:color w:val="auto"/>
          <w:szCs w:val="24"/>
          <w:highlight w:val="none"/>
        </w:rPr>
      </w:pPr>
      <w:r>
        <w:rPr>
          <w:rFonts w:hint="eastAsia" w:ascii="宋体"/>
          <w:b/>
          <w:bCs/>
          <w:color w:val="auto"/>
          <w:kern w:val="32"/>
          <w:szCs w:val="24"/>
          <w:highlight w:val="none"/>
        </w:rPr>
        <w:t>1. 目标</w:t>
      </w:r>
    </w:p>
    <w:p w14:paraId="0C7C6CDC">
      <w:pPr>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38D0FC87">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明确甲方对外包乙方所提供服务水平的期望</w:t>
      </w:r>
    </w:p>
    <w:p w14:paraId="06FD2360">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规范和加强甲方对乙方所提供服务水平的控制</w:t>
      </w:r>
    </w:p>
    <w:p w14:paraId="1D3A97B8">
      <w:pPr>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34837117">
      <w:pPr>
        <w:rPr>
          <w:rFonts w:ascii="宋体"/>
          <w:b/>
          <w:bCs/>
          <w:color w:val="auto"/>
          <w:kern w:val="32"/>
          <w:szCs w:val="24"/>
          <w:highlight w:val="none"/>
        </w:rPr>
      </w:pPr>
      <w:r>
        <w:rPr>
          <w:rFonts w:hint="eastAsia" w:ascii="宋体"/>
          <w:b/>
          <w:bCs/>
          <w:color w:val="auto"/>
          <w:kern w:val="32"/>
          <w:szCs w:val="24"/>
          <w:highlight w:val="none"/>
        </w:rPr>
        <w:t>2. 协议期限</w:t>
      </w:r>
    </w:p>
    <w:p w14:paraId="2CE7D01F">
      <w:pPr>
        <w:ind w:firstLine="318"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5923E6C1">
      <w:pPr>
        <w:rPr>
          <w:rFonts w:ascii="宋体"/>
          <w:b/>
          <w:bCs/>
          <w:color w:val="auto"/>
          <w:kern w:val="32"/>
          <w:szCs w:val="24"/>
          <w:highlight w:val="none"/>
        </w:rPr>
      </w:pPr>
      <w:r>
        <w:rPr>
          <w:rFonts w:hint="eastAsia" w:ascii="宋体"/>
          <w:b/>
          <w:bCs/>
          <w:color w:val="auto"/>
          <w:kern w:val="32"/>
          <w:szCs w:val="24"/>
          <w:highlight w:val="none"/>
        </w:rPr>
        <w:t>3. 双方职责</w:t>
      </w:r>
    </w:p>
    <w:p w14:paraId="746BE59C">
      <w:pPr>
        <w:rPr>
          <w:rFonts w:ascii="宋体"/>
          <w:b/>
          <w:bCs/>
          <w:color w:val="auto"/>
          <w:kern w:val="32"/>
          <w:szCs w:val="24"/>
          <w:highlight w:val="none"/>
        </w:rPr>
      </w:pPr>
      <w:r>
        <w:rPr>
          <w:rFonts w:hint="eastAsia" w:ascii="宋体"/>
          <w:b/>
          <w:bCs/>
          <w:color w:val="auto"/>
          <w:kern w:val="32"/>
          <w:szCs w:val="24"/>
          <w:highlight w:val="none"/>
        </w:rPr>
        <w:t>3.1乙方</w:t>
      </w:r>
    </w:p>
    <w:p w14:paraId="528DEA84">
      <w:pPr>
        <w:rPr>
          <w:rFonts w:ascii="宋体"/>
          <w:color w:val="auto"/>
          <w:szCs w:val="24"/>
          <w:highlight w:val="none"/>
        </w:rPr>
      </w:pPr>
      <w:r>
        <w:rPr>
          <w:rFonts w:hint="eastAsia" w:ascii="宋体"/>
          <w:color w:val="auto"/>
          <w:szCs w:val="24"/>
          <w:highlight w:val="none"/>
        </w:rPr>
        <w:t>除本协议描述的服务水平衡量和目标外，乙方还应：</w:t>
      </w:r>
    </w:p>
    <w:p w14:paraId="639678FD">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尽快向甲方管理层汇报发现的问题；</w:t>
      </w:r>
    </w:p>
    <w:p w14:paraId="036CB04D">
      <w:pPr>
        <w:widowControl/>
        <w:numPr>
          <w:ilvl w:val="0"/>
          <w:numId w:val="4"/>
        </w:numPr>
        <w:autoSpaceDE/>
        <w:autoSpaceDN/>
        <w:ind w:left="900" w:firstLine="420" w:firstLineChars="0"/>
        <w:jc w:val="left"/>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06C7740B">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组织架构变更</w:t>
      </w:r>
    </w:p>
    <w:p w14:paraId="0C3D7111">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技术变更</w:t>
      </w:r>
    </w:p>
    <w:p w14:paraId="233C61BF">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职能变更</w:t>
      </w:r>
    </w:p>
    <w:p w14:paraId="2CF0406D">
      <w:pPr>
        <w:widowControl/>
        <w:numPr>
          <w:ilvl w:val="0"/>
          <w:numId w:val="5"/>
        </w:numPr>
        <w:autoSpaceDE/>
        <w:autoSpaceDN/>
        <w:ind w:left="1129" w:firstLine="420" w:firstLineChars="0"/>
        <w:jc w:val="left"/>
        <w:rPr>
          <w:rFonts w:ascii="宋体"/>
          <w:color w:val="auto"/>
          <w:szCs w:val="24"/>
          <w:highlight w:val="none"/>
        </w:rPr>
      </w:pPr>
      <w:r>
        <w:rPr>
          <w:rFonts w:ascii="宋体"/>
          <w:color w:val="auto"/>
          <w:szCs w:val="24"/>
          <w:highlight w:val="none"/>
        </w:rPr>
        <w:t>其他可能影响对甲方服务的突发事件</w:t>
      </w:r>
    </w:p>
    <w:p w14:paraId="7896D9BF">
      <w:pPr>
        <w:widowControl/>
        <w:numPr>
          <w:ilvl w:val="0"/>
          <w:numId w:val="4"/>
        </w:numPr>
        <w:autoSpaceDE/>
        <w:autoSpaceDN/>
        <w:ind w:left="709" w:firstLine="420" w:firstLineChars="0"/>
        <w:jc w:val="left"/>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6727431F">
      <w:pPr>
        <w:rPr>
          <w:rFonts w:ascii="宋体"/>
          <w:color w:val="auto"/>
          <w:szCs w:val="24"/>
          <w:highlight w:val="none"/>
        </w:rPr>
      </w:pPr>
    </w:p>
    <w:p w14:paraId="77B07FA9">
      <w:pPr>
        <w:rPr>
          <w:rFonts w:ascii="宋体"/>
          <w:b/>
          <w:bCs/>
          <w:color w:val="auto"/>
          <w:kern w:val="32"/>
          <w:szCs w:val="24"/>
          <w:highlight w:val="none"/>
        </w:rPr>
      </w:pPr>
      <w:r>
        <w:rPr>
          <w:rFonts w:hint="eastAsia" w:ascii="宋体"/>
          <w:b/>
          <w:bCs/>
          <w:color w:val="auto"/>
          <w:kern w:val="32"/>
          <w:szCs w:val="24"/>
          <w:highlight w:val="none"/>
        </w:rPr>
        <w:t>3.2甲方</w:t>
      </w:r>
    </w:p>
    <w:p w14:paraId="11C0EF06">
      <w:pPr>
        <w:widowControl/>
        <w:numPr>
          <w:ilvl w:val="0"/>
          <w:numId w:val="4"/>
        </w:numPr>
        <w:autoSpaceDE/>
        <w:autoSpaceDN/>
        <w:ind w:left="709" w:firstLine="420" w:firstLineChars="0"/>
        <w:jc w:val="left"/>
        <w:rPr>
          <w:rFonts w:ascii="宋体"/>
          <w:color w:val="auto"/>
          <w:szCs w:val="24"/>
          <w:highlight w:val="none"/>
        </w:rPr>
      </w:pPr>
      <w:r>
        <w:rPr>
          <w:rFonts w:hint="eastAsia" w:ascii="宋体"/>
          <w:color w:val="auto"/>
          <w:szCs w:val="24"/>
          <w:highlight w:val="none"/>
        </w:rPr>
        <w:t>甲方将尽快将问题汇报给乙方管理层；</w:t>
      </w:r>
    </w:p>
    <w:p w14:paraId="272265B0">
      <w:pPr>
        <w:widowControl/>
        <w:numPr>
          <w:ilvl w:val="0"/>
          <w:numId w:val="4"/>
        </w:numPr>
        <w:autoSpaceDE/>
        <w:autoSpaceDN/>
        <w:ind w:left="709" w:firstLine="420" w:firstLineChars="0"/>
        <w:jc w:val="left"/>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4399FA43">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组织架构变更</w:t>
      </w:r>
    </w:p>
    <w:p w14:paraId="29D41FE6">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技术变更</w:t>
      </w:r>
    </w:p>
    <w:p w14:paraId="18B6D561">
      <w:pPr>
        <w:widowControl/>
        <w:numPr>
          <w:ilvl w:val="0"/>
          <w:numId w:val="5"/>
        </w:numPr>
        <w:autoSpaceDE/>
        <w:autoSpaceDN/>
        <w:ind w:left="1129" w:firstLine="420" w:firstLineChars="0"/>
        <w:jc w:val="left"/>
        <w:rPr>
          <w:rFonts w:ascii="宋体"/>
          <w:color w:val="auto"/>
          <w:szCs w:val="24"/>
          <w:highlight w:val="none"/>
        </w:rPr>
      </w:pPr>
      <w:r>
        <w:rPr>
          <w:rFonts w:hint="eastAsia" w:ascii="宋体"/>
          <w:color w:val="auto"/>
          <w:szCs w:val="24"/>
          <w:highlight w:val="none"/>
        </w:rPr>
        <w:t>职能变更</w:t>
      </w:r>
    </w:p>
    <w:p w14:paraId="68D0505F">
      <w:pPr>
        <w:rPr>
          <w:rFonts w:ascii="宋体"/>
          <w:b/>
          <w:bCs/>
          <w:color w:val="auto"/>
          <w:kern w:val="32"/>
          <w:szCs w:val="24"/>
          <w:highlight w:val="none"/>
        </w:rPr>
      </w:pPr>
      <w:r>
        <w:rPr>
          <w:rFonts w:hint="eastAsia" w:ascii="宋体"/>
          <w:b/>
          <w:bCs/>
          <w:color w:val="auto"/>
          <w:kern w:val="32"/>
          <w:szCs w:val="24"/>
          <w:highlight w:val="none"/>
        </w:rPr>
        <w:t>4. 服务内容</w:t>
      </w:r>
    </w:p>
    <w:tbl>
      <w:tblPr>
        <w:tblStyle w:val="20"/>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4"/>
        <w:gridCol w:w="1588"/>
        <w:gridCol w:w="6285"/>
      </w:tblGrid>
      <w:tr w14:paraId="5B52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897" w:type="dxa"/>
            <w:gridSpan w:val="3"/>
            <w:tcBorders>
              <w:tl2br w:val="nil"/>
              <w:tr2bl w:val="nil"/>
            </w:tcBorders>
            <w:vAlign w:val="center"/>
          </w:tcPr>
          <w:p w14:paraId="225746DB">
            <w:pPr>
              <w:spacing w:line="240" w:lineRule="auto"/>
              <w:jc w:val="center"/>
              <w:rPr>
                <w:rFonts w:ascii="宋体"/>
                <w:color w:val="auto"/>
                <w:szCs w:val="24"/>
                <w:highlight w:val="none"/>
              </w:rPr>
            </w:pPr>
            <w:r>
              <w:rPr>
                <w:rFonts w:hint="eastAsia" w:ascii="宋体"/>
                <w:b/>
                <w:bCs/>
                <w:color w:val="auto"/>
                <w:kern w:val="32"/>
                <w:szCs w:val="24"/>
                <w:highlight w:val="none"/>
              </w:rPr>
              <w:t>4.1技术管理</w:t>
            </w:r>
          </w:p>
        </w:tc>
      </w:tr>
      <w:tr w14:paraId="2B8D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1024" w:type="dxa"/>
            <w:tcBorders>
              <w:tl2br w:val="nil"/>
              <w:tr2bl w:val="nil"/>
            </w:tcBorders>
            <w:vAlign w:val="center"/>
          </w:tcPr>
          <w:p w14:paraId="2E4BCAB6">
            <w:pPr>
              <w:spacing w:line="240" w:lineRule="auto"/>
              <w:ind w:firstLine="0" w:firstLineChars="0"/>
              <w:jc w:val="left"/>
              <w:rPr>
                <w:rFonts w:ascii="宋体"/>
                <w:color w:val="auto"/>
                <w:szCs w:val="24"/>
                <w:highlight w:val="none"/>
              </w:rPr>
            </w:pPr>
            <w:r>
              <w:rPr>
                <w:rFonts w:hint="eastAsia" w:ascii="宋体"/>
                <w:color w:val="auto"/>
                <w:szCs w:val="24"/>
                <w:highlight w:val="none"/>
              </w:rPr>
              <w:t>4.1.1</w:t>
            </w:r>
          </w:p>
        </w:tc>
        <w:tc>
          <w:tcPr>
            <w:tcW w:w="1588" w:type="dxa"/>
            <w:tcBorders>
              <w:tl2br w:val="nil"/>
              <w:tr2bl w:val="nil"/>
            </w:tcBorders>
            <w:vAlign w:val="center"/>
          </w:tcPr>
          <w:p w14:paraId="622CC1D5">
            <w:pPr>
              <w:spacing w:line="240" w:lineRule="auto"/>
              <w:ind w:firstLine="0" w:firstLineChars="0"/>
              <w:rPr>
                <w:rFonts w:ascii="宋体"/>
                <w:color w:val="auto"/>
                <w:szCs w:val="24"/>
                <w:highlight w:val="none"/>
              </w:rPr>
            </w:pPr>
            <w:r>
              <w:rPr>
                <w:rFonts w:hint="eastAsia" w:ascii="宋体"/>
                <w:color w:val="auto"/>
                <w:szCs w:val="24"/>
                <w:highlight w:val="none"/>
              </w:rPr>
              <w:t>项目执行控制</w:t>
            </w:r>
          </w:p>
        </w:tc>
        <w:tc>
          <w:tcPr>
            <w:tcW w:w="6285" w:type="dxa"/>
            <w:tcBorders>
              <w:tl2br w:val="nil"/>
              <w:tr2bl w:val="nil"/>
            </w:tcBorders>
            <w:vAlign w:val="center"/>
          </w:tcPr>
          <w:p w14:paraId="1932B27F">
            <w:pPr>
              <w:spacing w:line="240" w:lineRule="auto"/>
              <w:jc w:val="center"/>
              <w:rPr>
                <w:rFonts w:ascii="宋体"/>
                <w:color w:val="auto"/>
                <w:szCs w:val="24"/>
                <w:highlight w:val="none"/>
              </w:rPr>
            </w:pPr>
            <w:r>
              <w:rPr>
                <w:rFonts w:hint="eastAsia" w:ascii="宋体"/>
                <w:color w:val="auto"/>
                <w:szCs w:val="24"/>
                <w:highlight w:val="none"/>
              </w:rPr>
              <w:t>管理目标、沟通和范围</w:t>
            </w:r>
          </w:p>
        </w:tc>
      </w:tr>
      <w:tr w14:paraId="6706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1024" w:type="dxa"/>
            <w:tcBorders>
              <w:tl2br w:val="nil"/>
              <w:tr2bl w:val="nil"/>
            </w:tcBorders>
            <w:vAlign w:val="center"/>
          </w:tcPr>
          <w:p w14:paraId="0ABB3299">
            <w:pPr>
              <w:spacing w:line="240" w:lineRule="auto"/>
              <w:ind w:firstLine="0" w:firstLineChars="0"/>
              <w:jc w:val="left"/>
              <w:rPr>
                <w:rFonts w:ascii="宋体"/>
                <w:color w:val="auto"/>
                <w:szCs w:val="24"/>
                <w:highlight w:val="none"/>
              </w:rPr>
            </w:pPr>
            <w:r>
              <w:rPr>
                <w:rFonts w:hint="eastAsia" w:ascii="宋体"/>
                <w:color w:val="auto"/>
                <w:szCs w:val="24"/>
                <w:highlight w:val="none"/>
              </w:rPr>
              <w:t>4.1.2</w:t>
            </w:r>
          </w:p>
        </w:tc>
        <w:tc>
          <w:tcPr>
            <w:tcW w:w="1588" w:type="dxa"/>
            <w:tcBorders>
              <w:tl2br w:val="nil"/>
              <w:tr2bl w:val="nil"/>
            </w:tcBorders>
            <w:vAlign w:val="center"/>
          </w:tcPr>
          <w:p w14:paraId="3BD38B1D">
            <w:pPr>
              <w:spacing w:line="240" w:lineRule="auto"/>
              <w:ind w:firstLine="0" w:firstLineChars="0"/>
              <w:rPr>
                <w:rFonts w:ascii="宋体"/>
                <w:color w:val="auto"/>
                <w:szCs w:val="24"/>
                <w:highlight w:val="none"/>
              </w:rPr>
            </w:pPr>
            <w:r>
              <w:rPr>
                <w:rFonts w:hint="eastAsia" w:ascii="宋体"/>
                <w:color w:val="auto"/>
                <w:szCs w:val="24"/>
                <w:highlight w:val="none"/>
              </w:rPr>
              <w:t>系统部署</w:t>
            </w:r>
          </w:p>
        </w:tc>
        <w:tc>
          <w:tcPr>
            <w:tcW w:w="6285" w:type="dxa"/>
            <w:tcBorders>
              <w:tl2br w:val="nil"/>
              <w:tr2bl w:val="nil"/>
            </w:tcBorders>
            <w:vAlign w:val="center"/>
          </w:tcPr>
          <w:p w14:paraId="43687E50">
            <w:pPr>
              <w:spacing w:line="240" w:lineRule="auto"/>
              <w:jc w:val="center"/>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64DD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1024" w:type="dxa"/>
            <w:tcBorders>
              <w:tl2br w:val="nil"/>
              <w:tr2bl w:val="nil"/>
            </w:tcBorders>
            <w:vAlign w:val="center"/>
          </w:tcPr>
          <w:p w14:paraId="03E4A581">
            <w:pPr>
              <w:spacing w:line="240" w:lineRule="auto"/>
              <w:ind w:firstLine="0" w:firstLineChars="0"/>
              <w:jc w:val="left"/>
              <w:rPr>
                <w:rFonts w:ascii="宋体"/>
                <w:color w:val="auto"/>
                <w:szCs w:val="24"/>
                <w:highlight w:val="none"/>
              </w:rPr>
            </w:pPr>
            <w:r>
              <w:rPr>
                <w:rFonts w:hint="eastAsia" w:ascii="宋体"/>
                <w:color w:val="auto"/>
                <w:szCs w:val="24"/>
                <w:highlight w:val="none"/>
              </w:rPr>
              <w:t>4.1.3</w:t>
            </w:r>
          </w:p>
        </w:tc>
        <w:tc>
          <w:tcPr>
            <w:tcW w:w="1588" w:type="dxa"/>
            <w:tcBorders>
              <w:tl2br w:val="nil"/>
              <w:tr2bl w:val="nil"/>
            </w:tcBorders>
            <w:vAlign w:val="center"/>
          </w:tcPr>
          <w:p w14:paraId="37A4264E">
            <w:pPr>
              <w:spacing w:line="240" w:lineRule="auto"/>
              <w:ind w:firstLine="0" w:firstLineChars="0"/>
              <w:rPr>
                <w:rFonts w:ascii="宋体"/>
                <w:color w:val="auto"/>
                <w:szCs w:val="24"/>
                <w:highlight w:val="none"/>
              </w:rPr>
            </w:pPr>
            <w:r>
              <w:rPr>
                <w:rFonts w:hint="eastAsia" w:ascii="宋体"/>
                <w:color w:val="auto"/>
                <w:szCs w:val="24"/>
                <w:highlight w:val="none"/>
              </w:rPr>
              <w:t>管理系统</w:t>
            </w:r>
          </w:p>
        </w:tc>
        <w:tc>
          <w:tcPr>
            <w:tcW w:w="6285" w:type="dxa"/>
            <w:tcBorders>
              <w:tl2br w:val="nil"/>
              <w:tr2bl w:val="nil"/>
            </w:tcBorders>
            <w:vAlign w:val="center"/>
          </w:tcPr>
          <w:p w14:paraId="17F4BD5B">
            <w:pPr>
              <w:spacing w:line="240" w:lineRule="auto"/>
              <w:jc w:val="center"/>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3577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64AA2338">
            <w:pPr>
              <w:spacing w:line="240" w:lineRule="auto"/>
              <w:jc w:val="center"/>
              <w:rPr>
                <w:rFonts w:ascii="宋体"/>
                <w:b/>
                <w:color w:val="auto"/>
                <w:szCs w:val="24"/>
                <w:highlight w:val="none"/>
              </w:rPr>
            </w:pPr>
            <w:r>
              <w:rPr>
                <w:rFonts w:hint="eastAsia" w:ascii="宋体"/>
                <w:b/>
                <w:color w:val="auto"/>
                <w:szCs w:val="24"/>
                <w:highlight w:val="none"/>
              </w:rPr>
              <w:t>4.2系统处理</w:t>
            </w:r>
          </w:p>
        </w:tc>
      </w:tr>
      <w:tr w14:paraId="15B1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1024" w:type="dxa"/>
            <w:tcBorders>
              <w:tl2br w:val="nil"/>
              <w:tr2bl w:val="nil"/>
            </w:tcBorders>
            <w:vAlign w:val="center"/>
          </w:tcPr>
          <w:p w14:paraId="3104F10F">
            <w:pPr>
              <w:spacing w:line="240" w:lineRule="auto"/>
              <w:ind w:firstLine="0" w:firstLineChars="0"/>
              <w:rPr>
                <w:rFonts w:ascii="宋体"/>
                <w:color w:val="auto"/>
                <w:szCs w:val="24"/>
                <w:highlight w:val="none"/>
              </w:rPr>
            </w:pPr>
            <w:r>
              <w:rPr>
                <w:rFonts w:hint="eastAsia" w:ascii="宋体"/>
                <w:color w:val="auto"/>
                <w:szCs w:val="24"/>
                <w:highlight w:val="none"/>
              </w:rPr>
              <w:t>4.2.1</w:t>
            </w:r>
          </w:p>
        </w:tc>
        <w:tc>
          <w:tcPr>
            <w:tcW w:w="1588" w:type="dxa"/>
            <w:tcBorders>
              <w:tl2br w:val="nil"/>
              <w:tr2bl w:val="nil"/>
            </w:tcBorders>
            <w:vAlign w:val="center"/>
          </w:tcPr>
          <w:p w14:paraId="6196EAD2">
            <w:pPr>
              <w:spacing w:line="240" w:lineRule="auto"/>
              <w:ind w:firstLine="0" w:firstLineChars="0"/>
              <w:rPr>
                <w:rFonts w:ascii="宋体"/>
                <w:color w:val="auto"/>
                <w:szCs w:val="24"/>
                <w:highlight w:val="none"/>
              </w:rPr>
            </w:pPr>
            <w:r>
              <w:rPr>
                <w:rFonts w:hint="eastAsia" w:ascii="宋体"/>
                <w:color w:val="auto"/>
                <w:szCs w:val="24"/>
                <w:highlight w:val="none"/>
              </w:rPr>
              <w:t>备份</w:t>
            </w:r>
          </w:p>
        </w:tc>
        <w:tc>
          <w:tcPr>
            <w:tcW w:w="6285" w:type="dxa"/>
            <w:tcBorders>
              <w:tl2br w:val="nil"/>
              <w:tr2bl w:val="nil"/>
            </w:tcBorders>
            <w:vAlign w:val="center"/>
          </w:tcPr>
          <w:p w14:paraId="0CB2622A">
            <w:pPr>
              <w:spacing w:line="240" w:lineRule="auto"/>
              <w:jc w:val="center"/>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06DE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24" w:type="dxa"/>
            <w:tcBorders>
              <w:tl2br w:val="nil"/>
              <w:tr2bl w:val="nil"/>
            </w:tcBorders>
            <w:vAlign w:val="center"/>
          </w:tcPr>
          <w:p w14:paraId="477A60D0">
            <w:pPr>
              <w:spacing w:line="240" w:lineRule="auto"/>
              <w:ind w:firstLine="0" w:firstLineChars="0"/>
              <w:rPr>
                <w:rFonts w:ascii="宋体"/>
                <w:color w:val="auto"/>
                <w:szCs w:val="24"/>
                <w:highlight w:val="none"/>
              </w:rPr>
            </w:pPr>
            <w:r>
              <w:rPr>
                <w:rFonts w:hint="eastAsia" w:ascii="宋体"/>
                <w:color w:val="auto"/>
                <w:szCs w:val="24"/>
                <w:highlight w:val="none"/>
              </w:rPr>
              <w:t>4.2.2</w:t>
            </w:r>
          </w:p>
        </w:tc>
        <w:tc>
          <w:tcPr>
            <w:tcW w:w="1588" w:type="dxa"/>
            <w:tcBorders>
              <w:tl2br w:val="nil"/>
              <w:tr2bl w:val="nil"/>
            </w:tcBorders>
            <w:vAlign w:val="center"/>
          </w:tcPr>
          <w:p w14:paraId="6D65B362">
            <w:pPr>
              <w:spacing w:line="240" w:lineRule="auto"/>
              <w:ind w:firstLine="0" w:firstLineChars="0"/>
              <w:rPr>
                <w:rFonts w:ascii="宋体"/>
                <w:color w:val="auto"/>
                <w:szCs w:val="24"/>
                <w:highlight w:val="none"/>
              </w:rPr>
            </w:pPr>
            <w:r>
              <w:rPr>
                <w:rFonts w:hint="eastAsia" w:ascii="宋体"/>
                <w:color w:val="auto"/>
                <w:szCs w:val="24"/>
                <w:highlight w:val="none"/>
              </w:rPr>
              <w:t>恢复</w:t>
            </w:r>
          </w:p>
        </w:tc>
        <w:tc>
          <w:tcPr>
            <w:tcW w:w="6285" w:type="dxa"/>
            <w:tcBorders>
              <w:tl2br w:val="nil"/>
              <w:tr2bl w:val="nil"/>
            </w:tcBorders>
            <w:vAlign w:val="center"/>
          </w:tcPr>
          <w:p w14:paraId="75DAC5DE">
            <w:pPr>
              <w:spacing w:line="240" w:lineRule="auto"/>
              <w:jc w:val="center"/>
              <w:rPr>
                <w:rFonts w:ascii="宋体"/>
                <w:color w:val="auto"/>
                <w:szCs w:val="24"/>
                <w:highlight w:val="none"/>
              </w:rPr>
            </w:pPr>
            <w:r>
              <w:rPr>
                <w:rFonts w:hint="eastAsia" w:ascii="宋体"/>
                <w:color w:val="auto"/>
                <w:szCs w:val="24"/>
                <w:highlight w:val="none"/>
              </w:rPr>
              <w:t>设计系统的恢复策略，完成其有效性验证</w:t>
            </w:r>
          </w:p>
        </w:tc>
      </w:tr>
      <w:tr w14:paraId="4201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897" w:type="dxa"/>
            <w:gridSpan w:val="3"/>
            <w:tcBorders>
              <w:tl2br w:val="nil"/>
              <w:tr2bl w:val="nil"/>
            </w:tcBorders>
            <w:vAlign w:val="center"/>
          </w:tcPr>
          <w:p w14:paraId="59EE16FC">
            <w:pPr>
              <w:spacing w:line="240" w:lineRule="auto"/>
              <w:jc w:val="center"/>
              <w:rPr>
                <w:rFonts w:ascii="宋体"/>
                <w:b/>
                <w:color w:val="auto"/>
                <w:szCs w:val="24"/>
                <w:highlight w:val="none"/>
              </w:rPr>
            </w:pPr>
            <w:r>
              <w:rPr>
                <w:rFonts w:hint="eastAsia" w:ascii="宋体"/>
                <w:b/>
                <w:color w:val="auto"/>
                <w:szCs w:val="24"/>
                <w:highlight w:val="none"/>
              </w:rPr>
              <w:t>4.3软件开发及测试</w:t>
            </w:r>
          </w:p>
        </w:tc>
      </w:tr>
      <w:tr w14:paraId="48DF0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1024" w:type="dxa"/>
            <w:tcBorders>
              <w:tl2br w:val="nil"/>
              <w:tr2bl w:val="nil"/>
            </w:tcBorders>
            <w:vAlign w:val="center"/>
          </w:tcPr>
          <w:p w14:paraId="48D96EAB">
            <w:pPr>
              <w:spacing w:line="240" w:lineRule="auto"/>
              <w:ind w:firstLine="0" w:firstLineChars="0"/>
              <w:rPr>
                <w:rFonts w:ascii="宋体"/>
                <w:color w:val="auto"/>
                <w:szCs w:val="24"/>
                <w:highlight w:val="none"/>
              </w:rPr>
            </w:pPr>
            <w:r>
              <w:rPr>
                <w:rFonts w:hint="eastAsia" w:ascii="宋体"/>
                <w:color w:val="auto"/>
                <w:szCs w:val="24"/>
                <w:highlight w:val="none"/>
              </w:rPr>
              <w:t>4.3.1</w:t>
            </w:r>
          </w:p>
        </w:tc>
        <w:tc>
          <w:tcPr>
            <w:tcW w:w="1588" w:type="dxa"/>
            <w:tcBorders>
              <w:tl2br w:val="nil"/>
              <w:tr2bl w:val="nil"/>
            </w:tcBorders>
            <w:vAlign w:val="center"/>
          </w:tcPr>
          <w:p w14:paraId="2C88B498">
            <w:pPr>
              <w:spacing w:line="240" w:lineRule="auto"/>
              <w:ind w:firstLine="0" w:firstLineChars="0"/>
              <w:rPr>
                <w:rFonts w:ascii="宋体"/>
                <w:color w:val="auto"/>
                <w:szCs w:val="24"/>
                <w:highlight w:val="none"/>
              </w:rPr>
            </w:pPr>
            <w:r>
              <w:rPr>
                <w:rFonts w:hint="eastAsia" w:ascii="宋体"/>
                <w:color w:val="auto"/>
                <w:szCs w:val="24"/>
                <w:highlight w:val="none"/>
              </w:rPr>
              <w:t>软件管理</w:t>
            </w:r>
          </w:p>
        </w:tc>
        <w:tc>
          <w:tcPr>
            <w:tcW w:w="6285" w:type="dxa"/>
            <w:tcBorders>
              <w:tl2br w:val="nil"/>
              <w:tr2bl w:val="nil"/>
            </w:tcBorders>
            <w:vAlign w:val="center"/>
          </w:tcPr>
          <w:p w14:paraId="3211ADEB">
            <w:pPr>
              <w:spacing w:line="240" w:lineRule="auto"/>
              <w:jc w:val="center"/>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238E6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exact"/>
          <w:jc w:val="center"/>
        </w:trPr>
        <w:tc>
          <w:tcPr>
            <w:tcW w:w="1024" w:type="dxa"/>
            <w:tcBorders>
              <w:tl2br w:val="nil"/>
              <w:tr2bl w:val="nil"/>
            </w:tcBorders>
            <w:vAlign w:val="center"/>
          </w:tcPr>
          <w:p w14:paraId="297EB4D7">
            <w:pPr>
              <w:spacing w:line="240" w:lineRule="auto"/>
              <w:ind w:firstLine="0" w:firstLineChars="0"/>
              <w:rPr>
                <w:rFonts w:ascii="宋体"/>
                <w:color w:val="auto"/>
                <w:szCs w:val="24"/>
                <w:highlight w:val="none"/>
              </w:rPr>
            </w:pPr>
            <w:r>
              <w:rPr>
                <w:rFonts w:hint="eastAsia" w:ascii="宋体"/>
                <w:color w:val="auto"/>
                <w:szCs w:val="24"/>
                <w:highlight w:val="none"/>
              </w:rPr>
              <w:t>4.3.2</w:t>
            </w:r>
          </w:p>
        </w:tc>
        <w:tc>
          <w:tcPr>
            <w:tcW w:w="1588" w:type="dxa"/>
            <w:tcBorders>
              <w:tl2br w:val="nil"/>
              <w:tr2bl w:val="nil"/>
            </w:tcBorders>
            <w:vAlign w:val="center"/>
          </w:tcPr>
          <w:p w14:paraId="4D0FDC9F">
            <w:pPr>
              <w:spacing w:line="240" w:lineRule="auto"/>
              <w:ind w:firstLine="0" w:firstLineChars="0"/>
              <w:rPr>
                <w:rFonts w:ascii="宋体"/>
                <w:color w:val="auto"/>
                <w:szCs w:val="24"/>
                <w:highlight w:val="none"/>
              </w:rPr>
            </w:pPr>
            <w:r>
              <w:rPr>
                <w:rFonts w:hint="eastAsia" w:ascii="宋体"/>
                <w:color w:val="auto"/>
                <w:szCs w:val="24"/>
                <w:highlight w:val="none"/>
              </w:rPr>
              <w:t>系统接口开发</w:t>
            </w:r>
          </w:p>
        </w:tc>
        <w:tc>
          <w:tcPr>
            <w:tcW w:w="6285" w:type="dxa"/>
            <w:tcBorders>
              <w:tl2br w:val="nil"/>
              <w:tr2bl w:val="nil"/>
            </w:tcBorders>
            <w:vAlign w:val="center"/>
          </w:tcPr>
          <w:p w14:paraId="15FC6C31">
            <w:pPr>
              <w:spacing w:line="240" w:lineRule="auto"/>
              <w:jc w:val="center"/>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6FB7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jc w:val="center"/>
        </w:trPr>
        <w:tc>
          <w:tcPr>
            <w:tcW w:w="1024" w:type="dxa"/>
            <w:tcBorders>
              <w:tl2br w:val="nil"/>
              <w:tr2bl w:val="nil"/>
            </w:tcBorders>
            <w:vAlign w:val="center"/>
          </w:tcPr>
          <w:p w14:paraId="7E27CDA3">
            <w:pPr>
              <w:spacing w:line="240" w:lineRule="auto"/>
              <w:ind w:firstLine="0" w:firstLineChars="0"/>
              <w:rPr>
                <w:rFonts w:ascii="宋体"/>
                <w:color w:val="auto"/>
                <w:szCs w:val="24"/>
                <w:highlight w:val="none"/>
              </w:rPr>
            </w:pPr>
            <w:r>
              <w:rPr>
                <w:rFonts w:hint="eastAsia" w:ascii="宋体"/>
                <w:color w:val="auto"/>
                <w:szCs w:val="24"/>
                <w:highlight w:val="none"/>
              </w:rPr>
              <w:t>4.3.3</w:t>
            </w:r>
          </w:p>
        </w:tc>
        <w:tc>
          <w:tcPr>
            <w:tcW w:w="1588" w:type="dxa"/>
            <w:tcBorders>
              <w:tl2br w:val="nil"/>
              <w:tr2bl w:val="nil"/>
            </w:tcBorders>
            <w:vAlign w:val="center"/>
          </w:tcPr>
          <w:p w14:paraId="7EDD654D">
            <w:pPr>
              <w:spacing w:line="240" w:lineRule="auto"/>
              <w:ind w:firstLine="0" w:firstLineChars="0"/>
              <w:rPr>
                <w:rFonts w:ascii="宋体"/>
                <w:color w:val="auto"/>
                <w:szCs w:val="24"/>
                <w:highlight w:val="none"/>
              </w:rPr>
            </w:pPr>
            <w:r>
              <w:rPr>
                <w:rFonts w:hint="eastAsia" w:ascii="宋体"/>
                <w:color w:val="auto"/>
                <w:szCs w:val="24"/>
                <w:highlight w:val="none"/>
              </w:rPr>
              <w:t>代码开发和测试</w:t>
            </w:r>
          </w:p>
        </w:tc>
        <w:tc>
          <w:tcPr>
            <w:tcW w:w="6285" w:type="dxa"/>
            <w:tcBorders>
              <w:tl2br w:val="nil"/>
              <w:tr2bl w:val="nil"/>
            </w:tcBorders>
            <w:vAlign w:val="center"/>
          </w:tcPr>
          <w:p w14:paraId="4663AE3F">
            <w:pPr>
              <w:spacing w:line="240" w:lineRule="auto"/>
              <w:jc w:val="center"/>
              <w:rPr>
                <w:rFonts w:ascii="宋体"/>
                <w:color w:val="auto"/>
                <w:szCs w:val="24"/>
                <w:highlight w:val="none"/>
              </w:rPr>
            </w:pPr>
            <w:r>
              <w:rPr>
                <w:rFonts w:hint="eastAsia" w:ascii="宋体"/>
                <w:color w:val="auto"/>
                <w:szCs w:val="24"/>
                <w:highlight w:val="none"/>
              </w:rPr>
              <w:t>编写代码并且完成开发自测与系统测试</w:t>
            </w:r>
          </w:p>
        </w:tc>
      </w:tr>
      <w:tr w14:paraId="2ED20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1024" w:type="dxa"/>
            <w:tcBorders>
              <w:tl2br w:val="nil"/>
              <w:tr2bl w:val="nil"/>
            </w:tcBorders>
            <w:vAlign w:val="center"/>
          </w:tcPr>
          <w:p w14:paraId="05B1BB98">
            <w:pPr>
              <w:spacing w:line="240" w:lineRule="auto"/>
              <w:ind w:firstLine="0" w:firstLineChars="0"/>
              <w:rPr>
                <w:rFonts w:ascii="宋体"/>
                <w:color w:val="auto"/>
                <w:szCs w:val="24"/>
                <w:highlight w:val="none"/>
              </w:rPr>
            </w:pPr>
            <w:r>
              <w:rPr>
                <w:rFonts w:hint="eastAsia" w:ascii="宋体"/>
                <w:color w:val="auto"/>
                <w:szCs w:val="24"/>
                <w:highlight w:val="none"/>
              </w:rPr>
              <w:t>4.3.4</w:t>
            </w:r>
          </w:p>
        </w:tc>
        <w:tc>
          <w:tcPr>
            <w:tcW w:w="1588" w:type="dxa"/>
            <w:tcBorders>
              <w:tl2br w:val="nil"/>
              <w:tr2bl w:val="nil"/>
            </w:tcBorders>
            <w:vAlign w:val="center"/>
          </w:tcPr>
          <w:p w14:paraId="4DF6C222">
            <w:pPr>
              <w:spacing w:line="240" w:lineRule="auto"/>
              <w:ind w:firstLine="0" w:firstLineChars="0"/>
              <w:rPr>
                <w:rFonts w:ascii="宋体"/>
                <w:color w:val="auto"/>
                <w:szCs w:val="24"/>
                <w:highlight w:val="none"/>
              </w:rPr>
            </w:pPr>
            <w:r>
              <w:rPr>
                <w:rFonts w:hint="eastAsia" w:ascii="宋体"/>
                <w:color w:val="auto"/>
                <w:szCs w:val="24"/>
                <w:highlight w:val="none"/>
              </w:rPr>
              <w:t>知识转移</w:t>
            </w:r>
          </w:p>
        </w:tc>
        <w:tc>
          <w:tcPr>
            <w:tcW w:w="6285" w:type="dxa"/>
            <w:tcBorders>
              <w:tl2br w:val="nil"/>
              <w:tr2bl w:val="nil"/>
            </w:tcBorders>
            <w:vAlign w:val="center"/>
          </w:tcPr>
          <w:p w14:paraId="5C5A2679">
            <w:pPr>
              <w:spacing w:line="240" w:lineRule="auto"/>
              <w:jc w:val="center"/>
              <w:rPr>
                <w:rFonts w:ascii="宋体"/>
                <w:color w:val="auto"/>
                <w:szCs w:val="24"/>
                <w:highlight w:val="none"/>
              </w:rPr>
            </w:pPr>
            <w:r>
              <w:rPr>
                <w:rFonts w:hint="eastAsia" w:ascii="宋体"/>
                <w:color w:val="auto"/>
                <w:szCs w:val="24"/>
                <w:highlight w:val="none"/>
              </w:rPr>
              <w:t>负责现场培训</w:t>
            </w:r>
          </w:p>
        </w:tc>
      </w:tr>
      <w:tr w14:paraId="720B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97" w:type="dxa"/>
            <w:gridSpan w:val="3"/>
            <w:tcBorders>
              <w:tl2br w:val="nil"/>
              <w:tr2bl w:val="nil"/>
            </w:tcBorders>
            <w:vAlign w:val="center"/>
          </w:tcPr>
          <w:p w14:paraId="1D047AC5">
            <w:pPr>
              <w:spacing w:line="240" w:lineRule="auto"/>
              <w:jc w:val="center"/>
              <w:rPr>
                <w:rFonts w:ascii="宋体"/>
                <w:b/>
                <w:color w:val="auto"/>
                <w:szCs w:val="24"/>
                <w:highlight w:val="none"/>
              </w:rPr>
            </w:pPr>
            <w:r>
              <w:rPr>
                <w:rFonts w:hint="eastAsia" w:ascii="宋体"/>
                <w:b/>
                <w:color w:val="auto"/>
                <w:szCs w:val="24"/>
                <w:highlight w:val="none"/>
              </w:rPr>
              <w:t>4.4 支持和维护</w:t>
            </w:r>
          </w:p>
        </w:tc>
      </w:tr>
      <w:tr w14:paraId="6D08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exact"/>
          <w:jc w:val="center"/>
        </w:trPr>
        <w:tc>
          <w:tcPr>
            <w:tcW w:w="1024" w:type="dxa"/>
            <w:tcBorders>
              <w:tl2br w:val="nil"/>
              <w:tr2bl w:val="nil"/>
            </w:tcBorders>
            <w:vAlign w:val="center"/>
          </w:tcPr>
          <w:p w14:paraId="6C36A508">
            <w:pPr>
              <w:spacing w:line="240" w:lineRule="auto"/>
              <w:ind w:firstLine="0" w:firstLineChars="0"/>
              <w:rPr>
                <w:rFonts w:ascii="宋体"/>
                <w:color w:val="auto"/>
                <w:szCs w:val="24"/>
                <w:highlight w:val="none"/>
              </w:rPr>
            </w:pPr>
            <w:r>
              <w:rPr>
                <w:rFonts w:hint="eastAsia" w:ascii="宋体"/>
                <w:color w:val="auto"/>
                <w:szCs w:val="24"/>
                <w:highlight w:val="none"/>
              </w:rPr>
              <w:t>4.4.1</w:t>
            </w:r>
          </w:p>
        </w:tc>
        <w:tc>
          <w:tcPr>
            <w:tcW w:w="1588" w:type="dxa"/>
            <w:tcBorders>
              <w:tl2br w:val="nil"/>
              <w:tr2bl w:val="nil"/>
            </w:tcBorders>
            <w:vAlign w:val="center"/>
          </w:tcPr>
          <w:p w14:paraId="72450EDE">
            <w:pPr>
              <w:spacing w:line="240" w:lineRule="auto"/>
              <w:ind w:firstLine="0" w:firstLineChars="0"/>
              <w:rPr>
                <w:rFonts w:ascii="宋体"/>
                <w:color w:val="auto"/>
                <w:szCs w:val="24"/>
                <w:highlight w:val="none"/>
              </w:rPr>
            </w:pPr>
            <w:r>
              <w:rPr>
                <w:rFonts w:hint="eastAsia" w:ascii="宋体"/>
                <w:color w:val="auto"/>
                <w:szCs w:val="24"/>
                <w:highlight w:val="none"/>
              </w:rPr>
              <w:t>变更管理</w:t>
            </w:r>
          </w:p>
        </w:tc>
        <w:tc>
          <w:tcPr>
            <w:tcW w:w="6285" w:type="dxa"/>
            <w:tcBorders>
              <w:tl2br w:val="nil"/>
              <w:tr2bl w:val="nil"/>
            </w:tcBorders>
            <w:vAlign w:val="center"/>
          </w:tcPr>
          <w:p w14:paraId="66F24967">
            <w:pPr>
              <w:spacing w:line="240" w:lineRule="auto"/>
              <w:jc w:val="center"/>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18C8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exact"/>
          <w:jc w:val="center"/>
        </w:trPr>
        <w:tc>
          <w:tcPr>
            <w:tcW w:w="1024" w:type="dxa"/>
            <w:tcBorders>
              <w:tl2br w:val="nil"/>
              <w:tr2bl w:val="nil"/>
            </w:tcBorders>
            <w:vAlign w:val="center"/>
          </w:tcPr>
          <w:p w14:paraId="23823038">
            <w:pPr>
              <w:spacing w:line="240" w:lineRule="auto"/>
              <w:ind w:firstLine="0" w:firstLineChars="0"/>
              <w:rPr>
                <w:rFonts w:ascii="宋体"/>
                <w:color w:val="auto"/>
                <w:szCs w:val="24"/>
                <w:highlight w:val="none"/>
              </w:rPr>
            </w:pPr>
            <w:r>
              <w:rPr>
                <w:rFonts w:hint="eastAsia" w:ascii="宋体"/>
                <w:color w:val="auto"/>
                <w:szCs w:val="24"/>
                <w:highlight w:val="none"/>
              </w:rPr>
              <w:t>4.4.2</w:t>
            </w:r>
          </w:p>
        </w:tc>
        <w:tc>
          <w:tcPr>
            <w:tcW w:w="1588" w:type="dxa"/>
            <w:tcBorders>
              <w:tl2br w:val="nil"/>
              <w:tr2bl w:val="nil"/>
            </w:tcBorders>
            <w:vAlign w:val="center"/>
          </w:tcPr>
          <w:p w14:paraId="555F4BC0">
            <w:pPr>
              <w:spacing w:line="240" w:lineRule="auto"/>
              <w:ind w:firstLine="0" w:firstLineChars="0"/>
              <w:rPr>
                <w:rFonts w:ascii="宋体"/>
                <w:color w:val="auto"/>
                <w:szCs w:val="24"/>
                <w:highlight w:val="none"/>
              </w:rPr>
            </w:pPr>
            <w:r>
              <w:rPr>
                <w:rFonts w:hint="eastAsia" w:ascii="宋体"/>
                <w:color w:val="auto"/>
                <w:szCs w:val="24"/>
                <w:highlight w:val="none"/>
              </w:rPr>
              <w:t>系统监控</w:t>
            </w:r>
          </w:p>
        </w:tc>
        <w:tc>
          <w:tcPr>
            <w:tcW w:w="6285" w:type="dxa"/>
            <w:tcBorders>
              <w:tl2br w:val="nil"/>
              <w:tr2bl w:val="nil"/>
            </w:tcBorders>
            <w:vAlign w:val="center"/>
          </w:tcPr>
          <w:p w14:paraId="07884899">
            <w:pPr>
              <w:spacing w:line="240" w:lineRule="auto"/>
              <w:jc w:val="center"/>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4C52D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exact"/>
          <w:jc w:val="center"/>
        </w:trPr>
        <w:tc>
          <w:tcPr>
            <w:tcW w:w="1024" w:type="dxa"/>
            <w:tcBorders>
              <w:tl2br w:val="nil"/>
              <w:tr2bl w:val="nil"/>
            </w:tcBorders>
            <w:vAlign w:val="center"/>
          </w:tcPr>
          <w:p w14:paraId="28F811D6">
            <w:pPr>
              <w:spacing w:line="240" w:lineRule="auto"/>
              <w:ind w:firstLine="0" w:firstLineChars="0"/>
              <w:rPr>
                <w:rFonts w:ascii="宋体"/>
                <w:color w:val="auto"/>
                <w:szCs w:val="24"/>
                <w:highlight w:val="none"/>
              </w:rPr>
            </w:pPr>
            <w:r>
              <w:rPr>
                <w:rFonts w:hint="eastAsia" w:ascii="宋体"/>
                <w:color w:val="auto"/>
                <w:szCs w:val="24"/>
                <w:highlight w:val="none"/>
              </w:rPr>
              <w:t>4.4.3</w:t>
            </w:r>
          </w:p>
        </w:tc>
        <w:tc>
          <w:tcPr>
            <w:tcW w:w="1588" w:type="dxa"/>
            <w:tcBorders>
              <w:tl2br w:val="nil"/>
              <w:tr2bl w:val="nil"/>
            </w:tcBorders>
            <w:vAlign w:val="center"/>
          </w:tcPr>
          <w:p w14:paraId="51347FE3">
            <w:pPr>
              <w:spacing w:line="240" w:lineRule="auto"/>
              <w:ind w:firstLine="0" w:firstLineChars="0"/>
              <w:rPr>
                <w:rFonts w:ascii="宋体"/>
                <w:color w:val="auto"/>
                <w:szCs w:val="24"/>
                <w:highlight w:val="none"/>
              </w:rPr>
            </w:pPr>
            <w:r>
              <w:rPr>
                <w:rFonts w:hint="eastAsia" w:ascii="宋体"/>
                <w:color w:val="auto"/>
                <w:szCs w:val="24"/>
                <w:highlight w:val="none"/>
              </w:rPr>
              <w:t>发布管理</w:t>
            </w:r>
          </w:p>
        </w:tc>
        <w:tc>
          <w:tcPr>
            <w:tcW w:w="6285" w:type="dxa"/>
            <w:tcBorders>
              <w:tl2br w:val="nil"/>
              <w:tr2bl w:val="nil"/>
            </w:tcBorders>
            <w:vAlign w:val="center"/>
          </w:tcPr>
          <w:p w14:paraId="1A20B009">
            <w:pPr>
              <w:spacing w:line="240" w:lineRule="auto"/>
              <w:jc w:val="center"/>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5BE1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exact"/>
          <w:jc w:val="center"/>
        </w:trPr>
        <w:tc>
          <w:tcPr>
            <w:tcW w:w="1024" w:type="dxa"/>
            <w:tcBorders>
              <w:tl2br w:val="nil"/>
              <w:tr2bl w:val="nil"/>
            </w:tcBorders>
            <w:vAlign w:val="center"/>
          </w:tcPr>
          <w:p w14:paraId="6BCB4E34">
            <w:pPr>
              <w:spacing w:line="240" w:lineRule="auto"/>
              <w:ind w:firstLine="0" w:firstLineChars="0"/>
              <w:rPr>
                <w:rFonts w:ascii="宋体"/>
                <w:color w:val="auto"/>
                <w:szCs w:val="24"/>
                <w:highlight w:val="none"/>
              </w:rPr>
            </w:pPr>
            <w:r>
              <w:rPr>
                <w:rFonts w:hint="eastAsia" w:ascii="宋体"/>
                <w:color w:val="auto"/>
                <w:szCs w:val="24"/>
                <w:highlight w:val="none"/>
              </w:rPr>
              <w:t>4.4.4</w:t>
            </w:r>
          </w:p>
        </w:tc>
        <w:tc>
          <w:tcPr>
            <w:tcW w:w="1588" w:type="dxa"/>
            <w:tcBorders>
              <w:tl2br w:val="nil"/>
              <w:tr2bl w:val="nil"/>
            </w:tcBorders>
            <w:vAlign w:val="center"/>
          </w:tcPr>
          <w:p w14:paraId="7F60186E">
            <w:pPr>
              <w:spacing w:line="240" w:lineRule="auto"/>
              <w:ind w:firstLine="0" w:firstLineChars="0"/>
              <w:rPr>
                <w:rFonts w:ascii="宋体"/>
                <w:color w:val="auto"/>
                <w:szCs w:val="24"/>
                <w:highlight w:val="none"/>
              </w:rPr>
            </w:pPr>
            <w:r>
              <w:rPr>
                <w:rFonts w:hint="eastAsia" w:ascii="宋体"/>
                <w:color w:val="auto"/>
                <w:szCs w:val="24"/>
                <w:highlight w:val="none"/>
              </w:rPr>
              <w:t>安全管理</w:t>
            </w:r>
          </w:p>
        </w:tc>
        <w:tc>
          <w:tcPr>
            <w:tcW w:w="6285" w:type="dxa"/>
            <w:tcBorders>
              <w:tl2br w:val="nil"/>
              <w:tr2bl w:val="nil"/>
            </w:tcBorders>
            <w:vAlign w:val="center"/>
          </w:tcPr>
          <w:p w14:paraId="3F15D08C">
            <w:pPr>
              <w:spacing w:line="240" w:lineRule="auto"/>
              <w:jc w:val="center"/>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13AC3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897" w:type="dxa"/>
            <w:gridSpan w:val="3"/>
            <w:tcBorders>
              <w:tl2br w:val="nil"/>
              <w:tr2bl w:val="nil"/>
            </w:tcBorders>
            <w:vAlign w:val="center"/>
          </w:tcPr>
          <w:p w14:paraId="33E12011">
            <w:pPr>
              <w:spacing w:line="240" w:lineRule="auto"/>
              <w:jc w:val="center"/>
              <w:rPr>
                <w:rFonts w:ascii="宋体"/>
                <w:b/>
                <w:color w:val="auto"/>
                <w:szCs w:val="24"/>
                <w:highlight w:val="none"/>
              </w:rPr>
            </w:pPr>
            <w:r>
              <w:rPr>
                <w:rFonts w:hint="eastAsia" w:ascii="宋体"/>
                <w:b/>
                <w:color w:val="auto"/>
                <w:szCs w:val="24"/>
                <w:highlight w:val="none"/>
              </w:rPr>
              <w:t>4.5 后续支持</w:t>
            </w:r>
          </w:p>
        </w:tc>
      </w:tr>
      <w:tr w14:paraId="10D3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438E00CD">
            <w:pPr>
              <w:spacing w:line="240" w:lineRule="auto"/>
              <w:ind w:firstLine="0" w:firstLineChars="0"/>
              <w:rPr>
                <w:rFonts w:ascii="宋体"/>
                <w:color w:val="auto"/>
                <w:szCs w:val="24"/>
                <w:highlight w:val="none"/>
              </w:rPr>
            </w:pPr>
            <w:r>
              <w:rPr>
                <w:rFonts w:hint="eastAsia" w:ascii="宋体"/>
                <w:color w:val="auto"/>
                <w:szCs w:val="24"/>
                <w:highlight w:val="none"/>
              </w:rPr>
              <w:t>4.5.1</w:t>
            </w:r>
          </w:p>
        </w:tc>
        <w:tc>
          <w:tcPr>
            <w:tcW w:w="1588" w:type="dxa"/>
            <w:tcBorders>
              <w:tl2br w:val="nil"/>
              <w:tr2bl w:val="nil"/>
            </w:tcBorders>
            <w:vAlign w:val="center"/>
          </w:tcPr>
          <w:p w14:paraId="16B9D40B">
            <w:pPr>
              <w:spacing w:line="240" w:lineRule="auto"/>
              <w:ind w:firstLine="0" w:firstLineChars="0"/>
              <w:rPr>
                <w:rFonts w:ascii="宋体"/>
                <w:color w:val="auto"/>
                <w:szCs w:val="24"/>
                <w:highlight w:val="none"/>
              </w:rPr>
            </w:pPr>
            <w:r>
              <w:rPr>
                <w:rFonts w:hint="eastAsia" w:ascii="宋体"/>
                <w:color w:val="auto"/>
                <w:szCs w:val="24"/>
                <w:highlight w:val="none"/>
              </w:rPr>
              <w:t>版本安装、更新和升级</w:t>
            </w:r>
          </w:p>
        </w:tc>
        <w:tc>
          <w:tcPr>
            <w:tcW w:w="6285" w:type="dxa"/>
            <w:tcBorders>
              <w:tl2br w:val="nil"/>
              <w:tr2bl w:val="nil"/>
            </w:tcBorders>
            <w:vAlign w:val="center"/>
          </w:tcPr>
          <w:p w14:paraId="784A45BB">
            <w:pPr>
              <w:spacing w:line="240" w:lineRule="auto"/>
              <w:jc w:val="center"/>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106AA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jc w:val="center"/>
        </w:trPr>
        <w:tc>
          <w:tcPr>
            <w:tcW w:w="1024" w:type="dxa"/>
            <w:tcBorders>
              <w:tl2br w:val="nil"/>
              <w:tr2bl w:val="nil"/>
            </w:tcBorders>
            <w:vAlign w:val="center"/>
          </w:tcPr>
          <w:p w14:paraId="2302E902">
            <w:pPr>
              <w:spacing w:line="240" w:lineRule="auto"/>
              <w:ind w:firstLine="0" w:firstLineChars="0"/>
              <w:rPr>
                <w:rFonts w:ascii="宋体"/>
                <w:color w:val="auto"/>
                <w:szCs w:val="24"/>
                <w:highlight w:val="none"/>
              </w:rPr>
            </w:pPr>
            <w:r>
              <w:rPr>
                <w:rFonts w:hint="eastAsia" w:ascii="宋体"/>
                <w:color w:val="auto"/>
                <w:szCs w:val="24"/>
                <w:highlight w:val="none"/>
              </w:rPr>
              <w:t>4.5.2</w:t>
            </w:r>
          </w:p>
        </w:tc>
        <w:tc>
          <w:tcPr>
            <w:tcW w:w="1588" w:type="dxa"/>
            <w:tcBorders>
              <w:tl2br w:val="nil"/>
              <w:tr2bl w:val="nil"/>
            </w:tcBorders>
            <w:vAlign w:val="center"/>
          </w:tcPr>
          <w:p w14:paraId="78FAC844">
            <w:pPr>
              <w:spacing w:line="240" w:lineRule="auto"/>
              <w:ind w:firstLine="0" w:firstLineChars="0"/>
              <w:rPr>
                <w:rFonts w:ascii="宋体"/>
                <w:color w:val="auto"/>
                <w:szCs w:val="24"/>
                <w:highlight w:val="none"/>
              </w:rPr>
            </w:pPr>
            <w:r>
              <w:rPr>
                <w:rFonts w:hint="eastAsia" w:ascii="宋体"/>
                <w:color w:val="auto"/>
                <w:szCs w:val="24"/>
                <w:highlight w:val="none"/>
              </w:rPr>
              <w:t>安全漏洞整改</w:t>
            </w:r>
          </w:p>
        </w:tc>
        <w:tc>
          <w:tcPr>
            <w:tcW w:w="6285" w:type="dxa"/>
            <w:tcBorders>
              <w:tl2br w:val="nil"/>
              <w:tr2bl w:val="nil"/>
            </w:tcBorders>
            <w:vAlign w:val="center"/>
          </w:tcPr>
          <w:p w14:paraId="1E13C3F1">
            <w:pPr>
              <w:spacing w:line="240" w:lineRule="auto"/>
              <w:jc w:val="center"/>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7B3A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1024" w:type="dxa"/>
            <w:tcBorders>
              <w:tl2br w:val="nil"/>
              <w:tr2bl w:val="nil"/>
            </w:tcBorders>
            <w:vAlign w:val="center"/>
          </w:tcPr>
          <w:p w14:paraId="2D3139A8">
            <w:pPr>
              <w:spacing w:line="240" w:lineRule="auto"/>
              <w:ind w:firstLine="0" w:firstLineChars="0"/>
              <w:rPr>
                <w:rFonts w:ascii="宋体"/>
                <w:color w:val="auto"/>
                <w:szCs w:val="24"/>
                <w:highlight w:val="none"/>
              </w:rPr>
            </w:pPr>
            <w:r>
              <w:rPr>
                <w:rFonts w:hint="eastAsia" w:ascii="宋体"/>
                <w:color w:val="auto"/>
                <w:szCs w:val="24"/>
                <w:highlight w:val="none"/>
              </w:rPr>
              <w:t>4.5.3</w:t>
            </w:r>
          </w:p>
        </w:tc>
        <w:tc>
          <w:tcPr>
            <w:tcW w:w="1588" w:type="dxa"/>
            <w:tcBorders>
              <w:tl2br w:val="nil"/>
              <w:tr2bl w:val="nil"/>
            </w:tcBorders>
            <w:vAlign w:val="center"/>
          </w:tcPr>
          <w:p w14:paraId="16F19CC7">
            <w:pPr>
              <w:spacing w:line="240" w:lineRule="auto"/>
              <w:ind w:firstLine="0" w:firstLineChars="0"/>
              <w:rPr>
                <w:rFonts w:ascii="宋体"/>
                <w:color w:val="auto"/>
                <w:szCs w:val="24"/>
                <w:highlight w:val="none"/>
              </w:rPr>
            </w:pPr>
            <w:r>
              <w:rPr>
                <w:rFonts w:hint="eastAsia" w:ascii="宋体"/>
                <w:color w:val="auto"/>
                <w:szCs w:val="24"/>
                <w:highlight w:val="none"/>
              </w:rPr>
              <w:t>服务台支持</w:t>
            </w:r>
          </w:p>
        </w:tc>
        <w:tc>
          <w:tcPr>
            <w:tcW w:w="6285" w:type="dxa"/>
            <w:tcBorders>
              <w:tl2br w:val="nil"/>
              <w:tr2bl w:val="nil"/>
            </w:tcBorders>
            <w:vAlign w:val="center"/>
          </w:tcPr>
          <w:p w14:paraId="1681F51B">
            <w:pPr>
              <w:spacing w:line="240" w:lineRule="auto"/>
              <w:jc w:val="center"/>
              <w:rPr>
                <w:rFonts w:ascii="宋体"/>
                <w:color w:val="auto"/>
                <w:szCs w:val="24"/>
                <w:highlight w:val="none"/>
              </w:rPr>
            </w:pPr>
            <w:r>
              <w:rPr>
                <w:rFonts w:hint="eastAsia" w:ascii="宋体"/>
                <w:color w:val="auto"/>
                <w:szCs w:val="24"/>
                <w:highlight w:val="none"/>
              </w:rPr>
              <w:t>提供7×24小时的技术支持服务</w:t>
            </w:r>
          </w:p>
        </w:tc>
      </w:tr>
      <w:tr w14:paraId="15AF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jc w:val="center"/>
        </w:trPr>
        <w:tc>
          <w:tcPr>
            <w:tcW w:w="1024" w:type="dxa"/>
            <w:tcBorders>
              <w:tl2br w:val="nil"/>
              <w:tr2bl w:val="nil"/>
            </w:tcBorders>
            <w:vAlign w:val="center"/>
          </w:tcPr>
          <w:p w14:paraId="32909BCA">
            <w:pPr>
              <w:spacing w:line="240" w:lineRule="auto"/>
              <w:ind w:firstLine="0" w:firstLineChars="0"/>
              <w:rPr>
                <w:rFonts w:ascii="宋体"/>
                <w:color w:val="auto"/>
                <w:szCs w:val="24"/>
                <w:highlight w:val="none"/>
              </w:rPr>
            </w:pPr>
            <w:r>
              <w:rPr>
                <w:rFonts w:hint="eastAsia" w:ascii="宋体"/>
                <w:color w:val="auto"/>
                <w:szCs w:val="24"/>
                <w:highlight w:val="none"/>
              </w:rPr>
              <w:t>4.5.4</w:t>
            </w:r>
          </w:p>
        </w:tc>
        <w:tc>
          <w:tcPr>
            <w:tcW w:w="1588" w:type="dxa"/>
            <w:tcBorders>
              <w:tl2br w:val="nil"/>
              <w:tr2bl w:val="nil"/>
            </w:tcBorders>
            <w:vAlign w:val="center"/>
          </w:tcPr>
          <w:p w14:paraId="458E4B34">
            <w:pPr>
              <w:spacing w:line="240" w:lineRule="auto"/>
              <w:ind w:firstLine="0" w:firstLineChars="0"/>
              <w:rPr>
                <w:rFonts w:ascii="宋体"/>
                <w:color w:val="auto"/>
                <w:szCs w:val="24"/>
                <w:highlight w:val="none"/>
              </w:rPr>
            </w:pPr>
            <w:r>
              <w:rPr>
                <w:rFonts w:hint="eastAsia" w:ascii="宋体"/>
                <w:color w:val="auto"/>
                <w:szCs w:val="24"/>
                <w:highlight w:val="none"/>
              </w:rPr>
              <w:t>巡检服务</w:t>
            </w:r>
          </w:p>
        </w:tc>
        <w:tc>
          <w:tcPr>
            <w:tcW w:w="6285" w:type="dxa"/>
            <w:tcBorders>
              <w:tl2br w:val="nil"/>
              <w:tr2bl w:val="nil"/>
            </w:tcBorders>
            <w:vAlign w:val="center"/>
          </w:tcPr>
          <w:p w14:paraId="6D588662">
            <w:pPr>
              <w:spacing w:line="240" w:lineRule="auto"/>
              <w:jc w:val="center"/>
              <w:rPr>
                <w:rFonts w:ascii="宋体"/>
                <w:color w:val="auto"/>
                <w:szCs w:val="24"/>
                <w:highlight w:val="none"/>
              </w:rPr>
            </w:pPr>
            <w:r>
              <w:rPr>
                <w:rFonts w:hint="eastAsia" w:ascii="宋体"/>
                <w:color w:val="auto"/>
                <w:szCs w:val="24"/>
                <w:highlight w:val="none"/>
              </w:rPr>
              <w:t>提供系统运行状况报告</w:t>
            </w:r>
          </w:p>
        </w:tc>
      </w:tr>
      <w:tr w14:paraId="5A66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exact"/>
          <w:jc w:val="center"/>
        </w:trPr>
        <w:tc>
          <w:tcPr>
            <w:tcW w:w="1024" w:type="dxa"/>
            <w:tcBorders>
              <w:tl2br w:val="nil"/>
              <w:tr2bl w:val="nil"/>
            </w:tcBorders>
            <w:vAlign w:val="center"/>
          </w:tcPr>
          <w:p w14:paraId="478F2533">
            <w:pPr>
              <w:spacing w:line="240" w:lineRule="auto"/>
              <w:ind w:firstLine="0" w:firstLineChars="0"/>
              <w:rPr>
                <w:rFonts w:ascii="宋体"/>
                <w:color w:val="auto"/>
                <w:szCs w:val="24"/>
                <w:highlight w:val="none"/>
              </w:rPr>
            </w:pPr>
            <w:r>
              <w:rPr>
                <w:rFonts w:hint="eastAsia" w:ascii="宋体"/>
                <w:color w:val="auto"/>
                <w:szCs w:val="24"/>
                <w:highlight w:val="none"/>
              </w:rPr>
              <w:t>4.5.5</w:t>
            </w:r>
          </w:p>
        </w:tc>
        <w:tc>
          <w:tcPr>
            <w:tcW w:w="1588" w:type="dxa"/>
            <w:tcBorders>
              <w:tl2br w:val="nil"/>
              <w:tr2bl w:val="nil"/>
            </w:tcBorders>
            <w:vAlign w:val="center"/>
          </w:tcPr>
          <w:p w14:paraId="5EB7029F">
            <w:pPr>
              <w:spacing w:line="240" w:lineRule="auto"/>
              <w:ind w:firstLine="0" w:firstLineChars="0"/>
              <w:rPr>
                <w:rFonts w:ascii="宋体"/>
                <w:color w:val="auto"/>
                <w:szCs w:val="24"/>
                <w:highlight w:val="none"/>
              </w:rPr>
            </w:pPr>
            <w:r>
              <w:rPr>
                <w:rFonts w:hint="eastAsia" w:ascii="宋体"/>
                <w:color w:val="auto"/>
                <w:szCs w:val="24"/>
                <w:highlight w:val="none"/>
              </w:rPr>
              <w:t>现场问题解决</w:t>
            </w:r>
          </w:p>
        </w:tc>
        <w:tc>
          <w:tcPr>
            <w:tcW w:w="6285" w:type="dxa"/>
            <w:tcBorders>
              <w:tl2br w:val="nil"/>
              <w:tr2bl w:val="nil"/>
            </w:tcBorders>
            <w:vAlign w:val="center"/>
          </w:tcPr>
          <w:p w14:paraId="03F69CEB">
            <w:pPr>
              <w:spacing w:line="240" w:lineRule="auto"/>
              <w:jc w:val="center"/>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1E95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jc w:val="center"/>
        </w:trPr>
        <w:tc>
          <w:tcPr>
            <w:tcW w:w="1024" w:type="dxa"/>
            <w:tcBorders>
              <w:tl2br w:val="nil"/>
              <w:tr2bl w:val="nil"/>
            </w:tcBorders>
            <w:vAlign w:val="center"/>
          </w:tcPr>
          <w:p w14:paraId="55A64F03">
            <w:pPr>
              <w:spacing w:line="240" w:lineRule="auto"/>
              <w:ind w:firstLine="0" w:firstLineChars="0"/>
              <w:rPr>
                <w:rFonts w:ascii="宋体"/>
                <w:color w:val="auto"/>
                <w:szCs w:val="24"/>
                <w:highlight w:val="none"/>
              </w:rPr>
            </w:pPr>
            <w:r>
              <w:rPr>
                <w:rFonts w:hint="eastAsia" w:ascii="宋体"/>
                <w:color w:val="auto"/>
                <w:szCs w:val="24"/>
                <w:highlight w:val="none"/>
              </w:rPr>
              <w:t>4.5.6</w:t>
            </w:r>
          </w:p>
        </w:tc>
        <w:tc>
          <w:tcPr>
            <w:tcW w:w="1588" w:type="dxa"/>
            <w:tcBorders>
              <w:tl2br w:val="nil"/>
              <w:tr2bl w:val="nil"/>
            </w:tcBorders>
            <w:vAlign w:val="center"/>
          </w:tcPr>
          <w:p w14:paraId="75D90673">
            <w:pPr>
              <w:spacing w:line="240" w:lineRule="auto"/>
              <w:ind w:firstLine="0" w:firstLineChars="0"/>
              <w:rPr>
                <w:rFonts w:ascii="宋体"/>
                <w:color w:val="auto"/>
                <w:szCs w:val="24"/>
                <w:highlight w:val="none"/>
              </w:rPr>
            </w:pPr>
            <w:r>
              <w:rPr>
                <w:rFonts w:hint="eastAsia" w:ascii="宋体"/>
                <w:color w:val="auto"/>
                <w:szCs w:val="24"/>
                <w:highlight w:val="none"/>
              </w:rPr>
              <w:t>响应要求</w:t>
            </w:r>
          </w:p>
        </w:tc>
        <w:tc>
          <w:tcPr>
            <w:tcW w:w="6285" w:type="dxa"/>
            <w:tcBorders>
              <w:tl2br w:val="nil"/>
              <w:tr2bl w:val="nil"/>
            </w:tcBorders>
            <w:vAlign w:val="center"/>
          </w:tcPr>
          <w:p w14:paraId="2A48D27A">
            <w:pPr>
              <w:spacing w:line="240" w:lineRule="auto"/>
              <w:jc w:val="center"/>
              <w:rPr>
                <w:rFonts w:ascii="宋体"/>
                <w:color w:val="auto"/>
                <w:szCs w:val="24"/>
                <w:highlight w:val="none"/>
              </w:rPr>
            </w:pPr>
            <w:r>
              <w:rPr>
                <w:rFonts w:hint="eastAsia" w:ascii="宋体"/>
                <w:color w:val="auto"/>
                <w:szCs w:val="24"/>
                <w:highlight w:val="none"/>
              </w:rPr>
              <w:t>要求按服务水平和指标及时响应：</w:t>
            </w:r>
          </w:p>
          <w:p w14:paraId="46FA96AA">
            <w:pPr>
              <w:spacing w:line="240" w:lineRule="auto"/>
              <w:jc w:val="center"/>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3F3D15F2">
            <w:pPr>
              <w:spacing w:line="240" w:lineRule="auto"/>
              <w:jc w:val="center"/>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060AC270">
            <w:pPr>
              <w:spacing w:line="240" w:lineRule="auto"/>
              <w:jc w:val="center"/>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7126DE83">
            <w:pPr>
              <w:spacing w:line="240" w:lineRule="auto"/>
              <w:jc w:val="center"/>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6A0141F1">
      <w:pPr>
        <w:rPr>
          <w:rFonts w:ascii="宋体"/>
          <w:b/>
          <w:bCs/>
          <w:color w:val="auto"/>
          <w:kern w:val="32"/>
          <w:szCs w:val="24"/>
          <w:highlight w:val="none"/>
        </w:rPr>
      </w:pPr>
      <w:r>
        <w:rPr>
          <w:rFonts w:hint="eastAsia" w:ascii="宋体"/>
          <w:b/>
          <w:bCs/>
          <w:color w:val="auto"/>
          <w:kern w:val="32"/>
          <w:szCs w:val="24"/>
          <w:highlight w:val="none"/>
        </w:rPr>
        <w:t>5. 问题管理流程</w:t>
      </w:r>
    </w:p>
    <w:p w14:paraId="7768403F">
      <w:pPr>
        <w:rPr>
          <w:rFonts w:ascii="宋体"/>
          <w:b/>
          <w:bCs/>
          <w:color w:val="auto"/>
          <w:kern w:val="32"/>
          <w:szCs w:val="24"/>
          <w:highlight w:val="none"/>
        </w:rPr>
      </w:pPr>
      <w:r>
        <w:rPr>
          <w:rFonts w:hint="eastAsia" w:ascii="宋体"/>
          <w:b/>
          <w:bCs/>
          <w:color w:val="auto"/>
          <w:kern w:val="32"/>
          <w:szCs w:val="24"/>
          <w:highlight w:val="none"/>
        </w:rPr>
        <w:t>5.1问题处理流程</w:t>
      </w:r>
    </w:p>
    <w:p w14:paraId="1CEDB58F">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6FBC1B1E">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444EB54F">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1F2D84F5">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3B794B89">
      <w:pPr>
        <w:widowControl/>
        <w:numPr>
          <w:ilvl w:val="0"/>
          <w:numId w:val="6"/>
        </w:numPr>
        <w:autoSpaceDE/>
        <w:autoSpaceDN/>
        <w:ind w:left="0" w:firstLine="486"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0F140D85">
      <w:pPr>
        <w:rPr>
          <w:rFonts w:ascii="宋体"/>
          <w:b/>
          <w:bCs/>
          <w:color w:val="auto"/>
          <w:kern w:val="32"/>
          <w:szCs w:val="24"/>
          <w:highlight w:val="none"/>
        </w:rPr>
      </w:pPr>
      <w:r>
        <w:rPr>
          <w:rFonts w:hint="eastAsia" w:ascii="宋体"/>
          <w:b/>
          <w:bCs/>
          <w:color w:val="auto"/>
          <w:kern w:val="32"/>
          <w:szCs w:val="24"/>
          <w:highlight w:val="none"/>
        </w:rPr>
        <w:t>5.2问题升级流程</w:t>
      </w:r>
    </w:p>
    <w:p w14:paraId="70A4F574">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甲方或者乙方都有可能首先提出该流程；</w:t>
      </w:r>
    </w:p>
    <w:p w14:paraId="400035C9">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796987DB">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3F6E9C2D">
      <w:pPr>
        <w:widowControl/>
        <w:numPr>
          <w:ilvl w:val="0"/>
          <w:numId w:val="7"/>
        </w:numPr>
        <w:autoSpaceDE/>
        <w:autoSpaceDN/>
        <w:ind w:left="1080" w:firstLine="420"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64609381">
      <w:pPr>
        <w:rPr>
          <w:rFonts w:ascii="宋体"/>
          <w:b/>
          <w:bCs/>
          <w:color w:val="auto"/>
          <w:kern w:val="32"/>
          <w:szCs w:val="24"/>
          <w:highlight w:val="none"/>
        </w:rPr>
      </w:pPr>
      <w:r>
        <w:rPr>
          <w:rFonts w:hint="eastAsia" w:ascii="宋体"/>
          <w:b/>
          <w:bCs/>
          <w:color w:val="auto"/>
          <w:kern w:val="32"/>
          <w:szCs w:val="24"/>
          <w:highlight w:val="none"/>
        </w:rPr>
        <w:t>5.3联络表</w:t>
      </w:r>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7C1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2" w:type="dxa"/>
            <w:tcBorders>
              <w:top w:val="single" w:color="auto" w:sz="4" w:space="0"/>
              <w:left w:val="single" w:color="auto" w:sz="4" w:space="0"/>
              <w:bottom w:val="single" w:color="auto" w:sz="4" w:space="0"/>
              <w:right w:val="single" w:color="auto" w:sz="4" w:space="0"/>
              <w:tl2br w:val="nil"/>
              <w:tr2bl w:val="nil"/>
            </w:tcBorders>
          </w:tcPr>
          <w:p w14:paraId="77CE2A9D">
            <w:pPr>
              <w:spacing w:beforeAutospacing="0" w:afterAutospacing="0"/>
              <w:ind w:firstLine="0" w:firstLineChars="0"/>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3712104">
            <w:pPr>
              <w:spacing w:beforeAutospacing="0" w:afterAutospacing="0"/>
              <w:ind w:firstLine="0" w:firstLineChars="0"/>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1309BF7">
            <w:pPr>
              <w:spacing w:beforeAutospacing="0" w:afterAutospacing="0"/>
              <w:ind w:firstLine="0" w:firstLineChars="0"/>
              <w:jc w:val="center"/>
              <w:rPr>
                <w:rFonts w:ascii="宋体"/>
                <w:b/>
                <w:color w:val="auto"/>
                <w:szCs w:val="24"/>
                <w:highlight w:val="none"/>
              </w:rPr>
            </w:pPr>
            <w:r>
              <w:rPr>
                <w:rFonts w:hint="eastAsia" w:ascii="宋体"/>
                <w:b/>
                <w:color w:val="auto"/>
                <w:szCs w:val="24"/>
                <w:highlight w:val="none"/>
              </w:rPr>
              <w:t>电话</w:t>
            </w:r>
          </w:p>
        </w:tc>
      </w:tr>
      <w:tr w14:paraId="325A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842CC3A">
            <w:pPr>
              <w:spacing w:beforeAutospacing="0" w:afterAutospacing="0"/>
              <w:ind w:firstLine="0" w:firstLineChars="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218398A">
            <w:pPr>
              <w:spacing w:beforeAutospacing="0" w:afterAutospacing="0"/>
              <w:ind w:firstLine="0" w:firstLineChars="0"/>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B7787AE">
            <w:pPr>
              <w:spacing w:beforeAutospacing="0" w:afterAutospacing="0"/>
              <w:ind w:firstLine="0" w:firstLineChars="0"/>
              <w:jc w:val="center"/>
              <w:rPr>
                <w:rFonts w:ascii="宋体"/>
                <w:color w:val="auto"/>
                <w:szCs w:val="24"/>
                <w:highlight w:val="none"/>
              </w:rPr>
            </w:pPr>
          </w:p>
        </w:tc>
      </w:tr>
      <w:tr w14:paraId="18EF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4DACE47">
            <w:pPr>
              <w:spacing w:beforeAutospacing="0" w:afterAutospacing="0"/>
              <w:ind w:firstLine="0" w:firstLineChars="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106F3F5">
            <w:pPr>
              <w:spacing w:beforeAutospacing="0" w:afterAutospacing="0"/>
              <w:ind w:firstLine="0" w:firstLineChars="0"/>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748E29F">
            <w:pPr>
              <w:spacing w:beforeAutospacing="0" w:afterAutospacing="0"/>
              <w:ind w:firstLine="0" w:firstLineChars="0"/>
              <w:jc w:val="center"/>
              <w:rPr>
                <w:rFonts w:ascii="宋体"/>
                <w:color w:val="auto"/>
                <w:szCs w:val="24"/>
                <w:highlight w:val="none"/>
              </w:rPr>
            </w:pPr>
          </w:p>
        </w:tc>
      </w:tr>
      <w:tr w14:paraId="1957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2313657">
            <w:pPr>
              <w:spacing w:beforeAutospacing="0" w:afterAutospacing="0"/>
              <w:ind w:firstLine="0" w:firstLineChars="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5298E6C">
            <w:pPr>
              <w:spacing w:beforeAutospacing="0" w:afterAutospacing="0"/>
              <w:ind w:firstLine="0" w:firstLineChars="0"/>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351AB5C">
            <w:pPr>
              <w:spacing w:beforeAutospacing="0" w:afterAutospacing="0"/>
              <w:ind w:firstLine="0" w:firstLineChars="0"/>
              <w:jc w:val="center"/>
              <w:rPr>
                <w:rFonts w:ascii="宋体"/>
                <w:color w:val="auto"/>
                <w:szCs w:val="24"/>
                <w:highlight w:val="none"/>
              </w:rPr>
            </w:pPr>
          </w:p>
        </w:tc>
      </w:tr>
      <w:tr w14:paraId="2F23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8F44005">
            <w:pPr>
              <w:spacing w:beforeAutospacing="0" w:afterAutospacing="0"/>
              <w:ind w:firstLine="0" w:firstLineChars="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0BA0241">
            <w:pPr>
              <w:spacing w:beforeAutospacing="0" w:afterAutospacing="0"/>
              <w:ind w:firstLine="0" w:firstLineChars="0"/>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AA0FF1C">
            <w:pPr>
              <w:spacing w:beforeAutospacing="0" w:afterAutospacing="0"/>
              <w:ind w:firstLine="0" w:firstLineChars="0"/>
              <w:jc w:val="center"/>
              <w:rPr>
                <w:rFonts w:ascii="宋体"/>
                <w:color w:val="auto"/>
                <w:szCs w:val="24"/>
                <w:highlight w:val="none"/>
              </w:rPr>
            </w:pPr>
          </w:p>
        </w:tc>
      </w:tr>
    </w:tbl>
    <w:p w14:paraId="729D8762">
      <w:pPr>
        <w:rPr>
          <w:rFonts w:ascii="宋体"/>
          <w:b/>
          <w:bCs/>
          <w:color w:val="auto"/>
          <w:kern w:val="32"/>
          <w:szCs w:val="24"/>
          <w:highlight w:val="none"/>
        </w:rPr>
      </w:pPr>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p>
    <w:p w14:paraId="27E2A420">
      <w:pPr>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43BF69DB">
      <w:pPr>
        <w:rPr>
          <w:rFonts w:ascii="宋体"/>
          <w:b/>
          <w:bCs/>
          <w:color w:val="auto"/>
          <w:kern w:val="32"/>
          <w:szCs w:val="24"/>
          <w:highlight w:val="none"/>
        </w:rPr>
      </w:pPr>
      <w:r>
        <w:rPr>
          <w:rFonts w:hint="eastAsia" w:ascii="宋体"/>
          <w:b/>
          <w:bCs/>
          <w:color w:val="auto"/>
          <w:kern w:val="32"/>
          <w:szCs w:val="24"/>
          <w:highlight w:val="none"/>
        </w:rPr>
        <w:t>7. 服务水平和指标</w:t>
      </w:r>
    </w:p>
    <w:p w14:paraId="366C919F">
      <w:pPr>
        <w:rPr>
          <w:rFonts w:ascii="宋体"/>
          <w:color w:val="auto"/>
          <w:szCs w:val="24"/>
          <w:highlight w:val="none"/>
        </w:rPr>
      </w:pPr>
      <w:r>
        <w:rPr>
          <w:rFonts w:hint="eastAsia" w:ascii="宋体"/>
          <w:color w:val="auto"/>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4263345B">
      <w:pPr>
        <w:rPr>
          <w:rFonts w:ascii="宋体"/>
          <w:color w:val="auto"/>
          <w:szCs w:val="24"/>
          <w:highlight w:val="none"/>
        </w:rPr>
        <w:sectPr>
          <w:footerReference r:id="rId12" w:type="default"/>
          <w:pgSz w:w="11906" w:h="16838"/>
          <w:pgMar w:top="1384" w:right="1800" w:bottom="1440" w:left="1800" w:header="851" w:footer="992" w:gutter="0"/>
          <w:cols w:space="720" w:num="1"/>
          <w:docGrid w:type="lines" w:linePitch="326" w:charSpace="6144"/>
        </w:sectPr>
      </w:pPr>
    </w:p>
    <w:tbl>
      <w:tblPr>
        <w:tblStyle w:val="20"/>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454"/>
        <w:gridCol w:w="507"/>
        <w:gridCol w:w="1712"/>
        <w:gridCol w:w="3375"/>
        <w:gridCol w:w="1667"/>
        <w:gridCol w:w="461"/>
        <w:gridCol w:w="443"/>
      </w:tblGrid>
      <w:tr w14:paraId="620C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 w:type="pct"/>
            <w:vAlign w:val="center"/>
          </w:tcPr>
          <w:p w14:paraId="5371F2C1">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序号</w:t>
            </w:r>
          </w:p>
        </w:tc>
        <w:tc>
          <w:tcPr>
            <w:tcW w:w="251" w:type="pct"/>
            <w:vAlign w:val="center"/>
          </w:tcPr>
          <w:p w14:paraId="5EF0D4A3">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评价维度</w:t>
            </w:r>
          </w:p>
        </w:tc>
        <w:tc>
          <w:tcPr>
            <w:tcW w:w="280" w:type="pct"/>
            <w:vAlign w:val="center"/>
          </w:tcPr>
          <w:p w14:paraId="124F756D">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评价指标</w:t>
            </w:r>
          </w:p>
        </w:tc>
        <w:tc>
          <w:tcPr>
            <w:tcW w:w="946" w:type="pct"/>
            <w:vAlign w:val="center"/>
          </w:tcPr>
          <w:p w14:paraId="71C96438">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指标定义</w:t>
            </w:r>
          </w:p>
        </w:tc>
        <w:tc>
          <w:tcPr>
            <w:tcW w:w="1865" w:type="pct"/>
            <w:vAlign w:val="center"/>
          </w:tcPr>
          <w:p w14:paraId="6B6F96A6">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评分</w:t>
            </w:r>
            <w:r>
              <w:rPr>
                <w:rFonts w:hint="eastAsia" w:ascii="宋体"/>
                <w:b/>
                <w:color w:val="auto"/>
                <w:szCs w:val="21"/>
                <w:highlight w:val="none"/>
              </w:rPr>
              <w:t>/价</w:t>
            </w:r>
            <w:r>
              <w:rPr>
                <w:rFonts w:ascii="宋体"/>
                <w:b/>
                <w:color w:val="auto"/>
                <w:szCs w:val="21"/>
                <w:highlight w:val="none"/>
              </w:rPr>
              <w:t>标准</w:t>
            </w:r>
          </w:p>
        </w:tc>
        <w:tc>
          <w:tcPr>
            <w:tcW w:w="921" w:type="pct"/>
            <w:vAlign w:val="center"/>
          </w:tcPr>
          <w:p w14:paraId="70A0EE36">
            <w:pPr>
              <w:spacing w:beforeAutospacing="0" w:afterAutospacing="0" w:line="240" w:lineRule="auto"/>
              <w:ind w:firstLine="0" w:firstLineChars="0"/>
              <w:jc w:val="center"/>
              <w:rPr>
                <w:rFonts w:ascii="宋体"/>
                <w:b/>
                <w:color w:val="auto"/>
                <w:szCs w:val="21"/>
                <w:highlight w:val="none"/>
              </w:rPr>
            </w:pPr>
            <w:r>
              <w:rPr>
                <w:rFonts w:hint="eastAsia" w:ascii="宋体"/>
                <w:b/>
                <w:color w:val="auto"/>
                <w:szCs w:val="21"/>
                <w:highlight w:val="none"/>
              </w:rPr>
              <w:t>违约金标准</w:t>
            </w:r>
          </w:p>
        </w:tc>
        <w:tc>
          <w:tcPr>
            <w:tcW w:w="253" w:type="pct"/>
            <w:vAlign w:val="center"/>
          </w:tcPr>
          <w:p w14:paraId="7A9C60EC">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评价结果</w:t>
            </w:r>
          </w:p>
        </w:tc>
        <w:tc>
          <w:tcPr>
            <w:tcW w:w="244" w:type="pct"/>
            <w:vAlign w:val="center"/>
          </w:tcPr>
          <w:p w14:paraId="50A7C07A">
            <w:pPr>
              <w:spacing w:beforeAutospacing="0" w:afterAutospacing="0" w:line="240" w:lineRule="auto"/>
              <w:ind w:firstLine="0" w:firstLineChars="0"/>
              <w:jc w:val="center"/>
              <w:rPr>
                <w:rFonts w:ascii="宋体"/>
                <w:b/>
                <w:color w:val="auto"/>
                <w:szCs w:val="21"/>
                <w:highlight w:val="none"/>
              </w:rPr>
            </w:pPr>
            <w:r>
              <w:rPr>
                <w:rFonts w:ascii="宋体"/>
                <w:b/>
                <w:color w:val="auto"/>
                <w:szCs w:val="21"/>
                <w:highlight w:val="none"/>
              </w:rPr>
              <w:t>评价得分</w:t>
            </w:r>
          </w:p>
        </w:tc>
      </w:tr>
      <w:tr w14:paraId="6371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3A4207F9">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1</w:t>
            </w:r>
          </w:p>
        </w:tc>
        <w:tc>
          <w:tcPr>
            <w:tcW w:w="251" w:type="pct"/>
            <w:vMerge w:val="restart"/>
            <w:tcBorders>
              <w:left w:val="single" w:color="auto" w:sz="4" w:space="0"/>
            </w:tcBorders>
            <w:vAlign w:val="center"/>
          </w:tcPr>
          <w:p w14:paraId="70152E0C">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服务质量</w:t>
            </w:r>
          </w:p>
        </w:tc>
        <w:tc>
          <w:tcPr>
            <w:tcW w:w="280" w:type="pct"/>
            <w:tcBorders>
              <w:left w:val="single" w:color="auto" w:sz="4" w:space="0"/>
            </w:tcBorders>
            <w:vAlign w:val="center"/>
          </w:tcPr>
          <w:p w14:paraId="10D97CE3">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交付成果质量</w:t>
            </w:r>
          </w:p>
        </w:tc>
        <w:tc>
          <w:tcPr>
            <w:tcW w:w="946" w:type="pct"/>
            <w:tcBorders>
              <w:left w:val="single" w:color="auto" w:sz="4" w:space="0"/>
            </w:tcBorders>
            <w:vAlign w:val="center"/>
          </w:tcPr>
          <w:p w14:paraId="4FD0FB0B">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w:t>
            </w:r>
            <w:r>
              <w:rPr>
                <w:rFonts w:hint="eastAsia" w:ascii="宋体"/>
                <w:color w:val="auto"/>
                <w:szCs w:val="21"/>
                <w:highlight w:val="none"/>
              </w:rPr>
              <w:t>乙方</w:t>
            </w:r>
            <w:r>
              <w:rPr>
                <w:rFonts w:ascii="宋体"/>
                <w:color w:val="auto"/>
                <w:szCs w:val="21"/>
                <w:highlight w:val="none"/>
              </w:rPr>
              <w:t>所提交的项目交付成果与</w:t>
            </w:r>
            <w:r>
              <w:rPr>
                <w:rFonts w:hint="eastAsia" w:ascii="宋体"/>
                <w:color w:val="auto"/>
                <w:szCs w:val="21"/>
                <w:highlight w:val="none"/>
              </w:rPr>
              <w:t>甲方</w:t>
            </w:r>
            <w:r>
              <w:rPr>
                <w:rFonts w:ascii="宋体"/>
                <w:color w:val="auto"/>
                <w:szCs w:val="21"/>
                <w:highlight w:val="none"/>
              </w:rPr>
              <w:t>要求的项目交付成果的契合度或交付成果质量与合同所约定要求的项目交付成果质量的满足程度</w:t>
            </w:r>
          </w:p>
        </w:tc>
        <w:tc>
          <w:tcPr>
            <w:tcW w:w="1865" w:type="pct"/>
            <w:tcBorders>
              <w:left w:val="single" w:color="auto" w:sz="4" w:space="0"/>
            </w:tcBorders>
            <w:vAlign w:val="center"/>
          </w:tcPr>
          <w:p w14:paraId="2B1AE821">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能够主动快速与</w:t>
            </w:r>
            <w:r>
              <w:rPr>
                <w:rFonts w:hint="eastAsia" w:ascii="宋体"/>
                <w:color w:val="auto"/>
                <w:szCs w:val="21"/>
                <w:highlight w:val="none"/>
              </w:rPr>
              <w:t>甲方</w:t>
            </w:r>
            <w:r>
              <w:rPr>
                <w:rFonts w:ascii="宋体"/>
                <w:color w:val="auto"/>
                <w:szCs w:val="21"/>
                <w:highlight w:val="none"/>
              </w:rPr>
              <w:t>进行有效的沟通，交付成果高度契合需求，完全满足并超出合同约定的预期目标，给</w:t>
            </w:r>
            <w:r>
              <w:rPr>
                <w:rFonts w:hint="eastAsia" w:ascii="宋体"/>
                <w:color w:val="auto"/>
                <w:szCs w:val="21"/>
                <w:highlight w:val="none"/>
              </w:rPr>
              <w:t>甲方</w:t>
            </w:r>
            <w:r>
              <w:rPr>
                <w:rFonts w:ascii="宋体"/>
                <w:color w:val="auto"/>
                <w:szCs w:val="21"/>
                <w:highlight w:val="none"/>
              </w:rPr>
              <w:t>带来显著的附加价值</w:t>
            </w:r>
            <w:r>
              <w:rPr>
                <w:rFonts w:hint="eastAsia" w:ascii="宋体"/>
                <w:color w:val="auto"/>
                <w:szCs w:val="21"/>
                <w:highlight w:val="none"/>
              </w:rPr>
              <w:t>；</w:t>
            </w:r>
          </w:p>
          <w:p w14:paraId="43E2FF0F">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能够快速响应需求，交付成果达到合同约定的预期目标，基本契合需求，满足合同约定的预期目标</w:t>
            </w:r>
            <w:r>
              <w:rPr>
                <w:rFonts w:hint="eastAsia" w:ascii="宋体"/>
                <w:color w:val="auto"/>
                <w:szCs w:val="21"/>
                <w:highlight w:val="none"/>
              </w:rPr>
              <w:t>；</w:t>
            </w:r>
          </w:p>
          <w:p w14:paraId="00CD77A3">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能够按要求响应需求，交付成果</w:t>
            </w:r>
            <w:r>
              <w:rPr>
                <w:rFonts w:hint="eastAsia" w:ascii="宋体"/>
                <w:color w:val="auto"/>
                <w:szCs w:val="21"/>
                <w:highlight w:val="none"/>
              </w:rPr>
              <w:t>基本满足</w:t>
            </w:r>
            <w:r>
              <w:rPr>
                <w:rFonts w:ascii="宋体"/>
                <w:color w:val="auto"/>
                <w:szCs w:val="21"/>
                <w:highlight w:val="none"/>
              </w:rPr>
              <w:t>需求，但是总体可满足合同约定的预期目标</w:t>
            </w:r>
            <w:r>
              <w:rPr>
                <w:rFonts w:hint="eastAsia" w:ascii="宋体"/>
                <w:color w:val="auto"/>
                <w:szCs w:val="21"/>
                <w:highlight w:val="none"/>
              </w:rPr>
              <w:t>；</w:t>
            </w:r>
          </w:p>
          <w:p w14:paraId="0F47C877">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w:t>
            </w:r>
            <w:r>
              <w:rPr>
                <w:rFonts w:hint="eastAsia" w:ascii="宋体"/>
                <w:color w:val="auto"/>
                <w:szCs w:val="21"/>
                <w:highlight w:val="none"/>
              </w:rPr>
              <w:t>乙方未</w:t>
            </w:r>
            <w:r>
              <w:rPr>
                <w:rFonts w:ascii="宋体"/>
                <w:color w:val="auto"/>
                <w:szCs w:val="21"/>
                <w:highlight w:val="none"/>
              </w:rPr>
              <w:t>能够按要求响应需求，</w:t>
            </w:r>
            <w:r>
              <w:rPr>
                <w:rFonts w:hint="eastAsia" w:ascii="宋体"/>
                <w:color w:val="auto"/>
                <w:szCs w:val="21"/>
                <w:highlight w:val="none"/>
              </w:rPr>
              <w:t>或</w:t>
            </w:r>
            <w:r>
              <w:rPr>
                <w:rFonts w:ascii="宋体"/>
                <w:color w:val="auto"/>
                <w:szCs w:val="21"/>
                <w:highlight w:val="none"/>
              </w:rPr>
              <w:t>交付成果与需求</w:t>
            </w:r>
            <w:r>
              <w:rPr>
                <w:rFonts w:hint="eastAsia" w:ascii="宋体"/>
                <w:color w:val="auto"/>
                <w:szCs w:val="21"/>
                <w:highlight w:val="none"/>
              </w:rPr>
              <w:t>契合度</w:t>
            </w:r>
            <w:r>
              <w:rPr>
                <w:rFonts w:ascii="宋体"/>
                <w:color w:val="auto"/>
                <w:szCs w:val="21"/>
                <w:highlight w:val="none"/>
              </w:rPr>
              <w:t>差距较大，无法达到合同约定的预期目标</w:t>
            </w:r>
            <w:r>
              <w:rPr>
                <w:rFonts w:hint="eastAsia" w:ascii="宋体"/>
                <w:color w:val="auto"/>
                <w:szCs w:val="21"/>
                <w:highlight w:val="none"/>
              </w:rPr>
              <w:t>。</w:t>
            </w:r>
          </w:p>
        </w:tc>
        <w:tc>
          <w:tcPr>
            <w:tcW w:w="921" w:type="pct"/>
            <w:tcBorders>
              <w:left w:val="single" w:color="auto" w:sz="4" w:space="0"/>
            </w:tcBorders>
            <w:vAlign w:val="center"/>
          </w:tcPr>
          <w:p w14:paraId="4987F935">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交付成果每缺少一项扣除乙方金额人民币2</w:t>
            </w:r>
            <w:r>
              <w:rPr>
                <w:rFonts w:ascii="宋体"/>
                <w:color w:val="auto"/>
                <w:szCs w:val="21"/>
                <w:highlight w:val="none"/>
              </w:rPr>
              <w:t>000</w:t>
            </w:r>
            <w:r>
              <w:rPr>
                <w:rFonts w:hint="eastAsia" w:ascii="宋体"/>
                <w:color w:val="auto"/>
                <w:szCs w:val="21"/>
                <w:highlight w:val="none"/>
              </w:rPr>
              <w:t>元；每有一项交付成果质量不合格扣除乙方金额人民币2</w:t>
            </w:r>
            <w:r>
              <w:rPr>
                <w:rFonts w:ascii="宋体"/>
                <w:color w:val="auto"/>
                <w:szCs w:val="21"/>
                <w:highlight w:val="none"/>
              </w:rPr>
              <w:t>000</w:t>
            </w:r>
            <w:r>
              <w:rPr>
                <w:rFonts w:hint="eastAsia" w:ascii="宋体"/>
                <w:color w:val="auto"/>
                <w:szCs w:val="21"/>
                <w:highlight w:val="none"/>
              </w:rPr>
              <w:t>元。</w:t>
            </w:r>
          </w:p>
        </w:tc>
        <w:tc>
          <w:tcPr>
            <w:tcW w:w="253" w:type="pct"/>
            <w:tcBorders>
              <w:left w:val="single" w:color="auto" w:sz="4" w:space="0"/>
            </w:tcBorders>
            <w:vAlign w:val="center"/>
          </w:tcPr>
          <w:p w14:paraId="5F0FBC2C">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23B89668">
            <w:pPr>
              <w:spacing w:beforeAutospacing="0" w:afterAutospacing="0" w:line="240" w:lineRule="auto"/>
              <w:ind w:firstLine="0" w:firstLineChars="0"/>
              <w:jc w:val="both"/>
              <w:rPr>
                <w:rFonts w:ascii="宋体"/>
                <w:color w:val="auto"/>
                <w:szCs w:val="21"/>
                <w:highlight w:val="none"/>
              </w:rPr>
            </w:pPr>
          </w:p>
        </w:tc>
      </w:tr>
      <w:tr w14:paraId="67E1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3DB56074">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2</w:t>
            </w:r>
          </w:p>
        </w:tc>
        <w:tc>
          <w:tcPr>
            <w:tcW w:w="251" w:type="pct"/>
            <w:vMerge w:val="continue"/>
            <w:tcBorders>
              <w:left w:val="single" w:color="auto" w:sz="4" w:space="0"/>
            </w:tcBorders>
            <w:vAlign w:val="center"/>
          </w:tcPr>
          <w:p w14:paraId="4C471116">
            <w:pPr>
              <w:rPr>
                <w:color w:val="auto"/>
                <w:highlight w:val="none"/>
              </w:rPr>
            </w:pPr>
          </w:p>
        </w:tc>
        <w:tc>
          <w:tcPr>
            <w:tcW w:w="280" w:type="pct"/>
            <w:tcBorders>
              <w:left w:val="single" w:color="auto" w:sz="4" w:space="0"/>
            </w:tcBorders>
            <w:vAlign w:val="center"/>
          </w:tcPr>
          <w:p w14:paraId="7F54FE6E">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成果交付延期情况</w:t>
            </w:r>
          </w:p>
        </w:tc>
        <w:tc>
          <w:tcPr>
            <w:tcW w:w="946" w:type="pct"/>
            <w:tcBorders>
              <w:left w:val="single" w:color="auto" w:sz="4" w:space="0"/>
            </w:tcBorders>
            <w:vAlign w:val="center"/>
          </w:tcPr>
          <w:p w14:paraId="10AD6650">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w:t>
            </w:r>
            <w:r>
              <w:rPr>
                <w:rFonts w:hint="eastAsia" w:ascii="宋体"/>
                <w:color w:val="auto"/>
                <w:szCs w:val="21"/>
                <w:highlight w:val="none"/>
              </w:rPr>
              <w:t>因乙方原因导致</w:t>
            </w:r>
            <w:r>
              <w:rPr>
                <w:rFonts w:ascii="宋体"/>
                <w:color w:val="auto"/>
                <w:szCs w:val="21"/>
                <w:highlight w:val="none"/>
              </w:rPr>
              <w:t>项目交付成果时间与合同规定时间之间的差距</w:t>
            </w:r>
          </w:p>
        </w:tc>
        <w:tc>
          <w:tcPr>
            <w:tcW w:w="1865" w:type="pct"/>
            <w:tcBorders>
              <w:left w:val="single" w:color="auto" w:sz="4" w:space="0"/>
            </w:tcBorders>
            <w:vAlign w:val="center"/>
          </w:tcPr>
          <w:p w14:paraId="20EA228A">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实</w:t>
            </w:r>
            <w:r>
              <w:rPr>
                <w:rFonts w:ascii="宋体"/>
                <w:color w:val="auto"/>
                <w:szCs w:val="21"/>
                <w:highlight w:val="none"/>
              </w:rPr>
              <w:t>际交付成果日期与合同约定交付日期之差</w:t>
            </w:r>
          </w:p>
          <w:p w14:paraId="4E911CE2">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【得分上限5分】</w:t>
            </w:r>
          </w:p>
          <w:p w14:paraId="739221ED">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无延期：</w:t>
            </w:r>
            <w:r>
              <w:rPr>
                <w:rFonts w:hint="eastAsia" w:ascii="宋体"/>
                <w:color w:val="auto"/>
                <w:szCs w:val="21"/>
                <w:highlight w:val="none"/>
              </w:rPr>
              <w:t>指未出现延期，该项指标满分；</w:t>
            </w:r>
          </w:p>
          <w:p w14:paraId="094D9A46">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0＜延期≤3个月：</w:t>
            </w:r>
            <w:r>
              <w:rPr>
                <w:rFonts w:hint="eastAsia" w:ascii="宋体"/>
                <w:color w:val="auto"/>
                <w:szCs w:val="21"/>
                <w:highlight w:val="none"/>
              </w:rPr>
              <w:t>扣2分，指出现延期3个月</w:t>
            </w:r>
            <w:r>
              <w:rPr>
                <w:rFonts w:ascii="宋体"/>
                <w:color w:val="auto"/>
                <w:szCs w:val="21"/>
                <w:highlight w:val="none"/>
              </w:rPr>
              <w:t>（含）</w:t>
            </w:r>
            <w:r>
              <w:rPr>
                <w:rFonts w:hint="eastAsia" w:ascii="宋体"/>
                <w:color w:val="auto"/>
                <w:szCs w:val="21"/>
                <w:highlight w:val="none"/>
              </w:rPr>
              <w:t>以内；</w:t>
            </w:r>
          </w:p>
          <w:p w14:paraId="1B215514">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3＜延期≤6个月：</w:t>
            </w:r>
            <w:r>
              <w:rPr>
                <w:rFonts w:hint="eastAsia" w:ascii="宋体"/>
                <w:color w:val="auto"/>
                <w:szCs w:val="21"/>
                <w:highlight w:val="none"/>
              </w:rPr>
              <w:t>扣3分，指出现延期大于3个月且小于等于6个月；</w:t>
            </w:r>
          </w:p>
          <w:p w14:paraId="3C1C69F9">
            <w:pPr>
              <w:spacing w:beforeAutospacing="0" w:afterAutospacing="0" w:line="240" w:lineRule="auto"/>
              <w:ind w:firstLine="0" w:firstLineChars="0"/>
              <w:rPr>
                <w:rFonts w:ascii="宋体"/>
                <w:b/>
                <w:bCs/>
                <w:color w:val="auto"/>
                <w:szCs w:val="21"/>
                <w:highlight w:val="none"/>
              </w:rPr>
            </w:pPr>
            <w:r>
              <w:rPr>
                <w:rFonts w:hint="eastAsia" w:ascii="宋体"/>
                <w:b/>
                <w:bCs/>
                <w:color w:val="auto"/>
                <w:szCs w:val="21"/>
                <w:highlight w:val="none"/>
              </w:rPr>
              <w:t>延期6个月以上：</w:t>
            </w:r>
            <w:r>
              <w:rPr>
                <w:rFonts w:hint="eastAsia" w:ascii="宋体"/>
                <w:color w:val="auto"/>
                <w:szCs w:val="21"/>
                <w:highlight w:val="none"/>
              </w:rPr>
              <w:t>扣5分，指出现延期6个月以上。</w:t>
            </w:r>
          </w:p>
        </w:tc>
        <w:tc>
          <w:tcPr>
            <w:tcW w:w="921" w:type="pct"/>
            <w:tcBorders>
              <w:left w:val="single" w:color="auto" w:sz="4" w:space="0"/>
            </w:tcBorders>
            <w:vAlign w:val="center"/>
          </w:tcPr>
          <w:p w14:paraId="468FFF55">
            <w:pPr>
              <w:spacing w:beforeAutospacing="0" w:afterAutospacing="0" w:line="240" w:lineRule="auto"/>
              <w:ind w:firstLine="0" w:firstLineChars="0"/>
              <w:rPr>
                <w:rFonts w:ascii="宋体"/>
                <w:b/>
                <w:bCs/>
                <w:color w:val="auto"/>
                <w:szCs w:val="21"/>
                <w:highlight w:val="none"/>
              </w:rPr>
            </w:pPr>
            <w:r>
              <w:rPr>
                <w:rFonts w:hint="eastAsia" w:ascii="宋体"/>
                <w:color w:val="auto"/>
                <w:szCs w:val="21"/>
                <w:highlight w:val="none"/>
              </w:rPr>
              <w:t>若延期超过1个月，每延期增加一天扣除合同总金额的0.1%（注：最多扣除不超过合同总金额的10%）。</w:t>
            </w:r>
          </w:p>
        </w:tc>
        <w:tc>
          <w:tcPr>
            <w:tcW w:w="253" w:type="pct"/>
            <w:tcBorders>
              <w:left w:val="single" w:color="auto" w:sz="4" w:space="0"/>
            </w:tcBorders>
            <w:vAlign w:val="center"/>
          </w:tcPr>
          <w:p w14:paraId="46EC3441">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5D075127">
            <w:pPr>
              <w:spacing w:beforeAutospacing="0" w:afterAutospacing="0" w:line="240" w:lineRule="auto"/>
              <w:ind w:firstLine="0" w:firstLineChars="0"/>
              <w:jc w:val="both"/>
              <w:rPr>
                <w:rFonts w:ascii="宋体"/>
                <w:color w:val="auto"/>
                <w:szCs w:val="21"/>
                <w:highlight w:val="none"/>
              </w:rPr>
            </w:pPr>
          </w:p>
        </w:tc>
      </w:tr>
      <w:tr w14:paraId="2491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5340F024">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3</w:t>
            </w:r>
          </w:p>
        </w:tc>
        <w:tc>
          <w:tcPr>
            <w:tcW w:w="251" w:type="pct"/>
            <w:vMerge w:val="continue"/>
            <w:tcBorders>
              <w:left w:val="single" w:color="auto" w:sz="4" w:space="0"/>
            </w:tcBorders>
            <w:vAlign w:val="center"/>
          </w:tcPr>
          <w:p w14:paraId="72EDB1C3">
            <w:pPr>
              <w:rPr>
                <w:color w:val="auto"/>
                <w:highlight w:val="none"/>
              </w:rPr>
            </w:pPr>
          </w:p>
        </w:tc>
        <w:tc>
          <w:tcPr>
            <w:tcW w:w="280" w:type="pct"/>
            <w:tcBorders>
              <w:left w:val="single" w:color="auto" w:sz="4" w:space="0"/>
            </w:tcBorders>
            <w:vAlign w:val="center"/>
          </w:tcPr>
          <w:p w14:paraId="27EA4B52">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产品缺陷密度</w:t>
            </w:r>
          </w:p>
        </w:tc>
        <w:tc>
          <w:tcPr>
            <w:tcW w:w="946" w:type="pct"/>
            <w:tcBorders>
              <w:left w:val="single" w:color="auto" w:sz="4" w:space="0"/>
            </w:tcBorders>
            <w:vAlign w:val="center"/>
          </w:tcPr>
          <w:p w14:paraId="1AD9AB62">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用于记录统计周期内单位功能</w:t>
            </w:r>
            <w:r>
              <w:rPr>
                <w:rFonts w:hint="eastAsia" w:ascii="宋体"/>
                <w:color w:val="auto"/>
                <w:szCs w:val="21"/>
                <w:highlight w:val="none"/>
              </w:rPr>
              <w:t>（案例）</w:t>
            </w:r>
            <w:r>
              <w:rPr>
                <w:rFonts w:ascii="宋体"/>
                <w:color w:val="auto"/>
                <w:szCs w:val="21"/>
                <w:highlight w:val="none"/>
              </w:rPr>
              <w:t>点发现的缺陷数量</w:t>
            </w:r>
          </w:p>
        </w:tc>
        <w:tc>
          <w:tcPr>
            <w:tcW w:w="1865" w:type="pct"/>
            <w:tcBorders>
              <w:left w:val="single" w:color="auto" w:sz="4" w:space="0"/>
            </w:tcBorders>
            <w:vAlign w:val="center"/>
          </w:tcPr>
          <w:p w14:paraId="033D2DCA">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产</w:t>
            </w:r>
            <w:r>
              <w:rPr>
                <w:rFonts w:ascii="宋体"/>
                <w:color w:val="auto"/>
                <w:szCs w:val="21"/>
                <w:highlight w:val="none"/>
              </w:rPr>
              <w:t>品缺陷密度=统计周期内发现的该系统有效缺陷数/统计周期内该系统功能点总数</w:t>
            </w:r>
            <w:r>
              <w:rPr>
                <w:rFonts w:hint="eastAsia" w:ascii="宋体"/>
                <w:color w:val="auto"/>
                <w:szCs w:val="21"/>
                <w:highlight w:val="none"/>
              </w:rPr>
              <w:t>（案例数）</w:t>
            </w:r>
          </w:p>
          <w:p w14:paraId="1C3E14E4">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10分【0-5%】</w:t>
            </w:r>
          </w:p>
          <w:p w14:paraId="501AB500">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5分【5%-20%】</w:t>
            </w:r>
          </w:p>
          <w:p w14:paraId="452D0517">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0分【超过20%】</w:t>
            </w:r>
          </w:p>
        </w:tc>
        <w:tc>
          <w:tcPr>
            <w:tcW w:w="921" w:type="pct"/>
            <w:tcBorders>
              <w:left w:val="single" w:color="auto" w:sz="4" w:space="0"/>
            </w:tcBorders>
            <w:vAlign w:val="center"/>
          </w:tcPr>
          <w:p w14:paraId="20129FBE">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产</w:t>
            </w:r>
            <w:r>
              <w:rPr>
                <w:rFonts w:ascii="宋体"/>
                <w:color w:val="auto"/>
                <w:szCs w:val="21"/>
                <w:highlight w:val="none"/>
              </w:rPr>
              <w:t>品缺</w:t>
            </w:r>
            <w:r>
              <w:rPr>
                <w:rFonts w:hint="eastAsia" w:ascii="宋体"/>
                <w:color w:val="auto"/>
                <w:szCs w:val="21"/>
                <w:highlight w:val="none"/>
              </w:rPr>
              <w:t>陷</w:t>
            </w:r>
            <w:r>
              <w:rPr>
                <w:rFonts w:ascii="宋体"/>
                <w:color w:val="auto"/>
                <w:szCs w:val="21"/>
                <w:highlight w:val="none"/>
              </w:rPr>
              <w:t>密度</w:t>
            </w:r>
            <w:r>
              <w:rPr>
                <w:rFonts w:hint="eastAsia" w:ascii="宋体"/>
                <w:color w:val="auto"/>
                <w:szCs w:val="21"/>
                <w:highlight w:val="none"/>
              </w:rPr>
              <w:t>超过20%，缺陷密度每增加1%扣除合同总金额的0.1%。</w:t>
            </w:r>
          </w:p>
        </w:tc>
        <w:tc>
          <w:tcPr>
            <w:tcW w:w="253" w:type="pct"/>
            <w:tcBorders>
              <w:left w:val="single" w:color="auto" w:sz="4" w:space="0"/>
            </w:tcBorders>
            <w:vAlign w:val="center"/>
          </w:tcPr>
          <w:p w14:paraId="4A49F711">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4E249EC2">
            <w:pPr>
              <w:spacing w:beforeAutospacing="0" w:afterAutospacing="0" w:line="240" w:lineRule="auto"/>
              <w:ind w:firstLine="0" w:firstLineChars="0"/>
              <w:jc w:val="both"/>
              <w:rPr>
                <w:rFonts w:ascii="宋体"/>
                <w:color w:val="auto"/>
                <w:szCs w:val="21"/>
                <w:highlight w:val="none"/>
              </w:rPr>
            </w:pPr>
          </w:p>
        </w:tc>
      </w:tr>
      <w:tr w14:paraId="0ADD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5D0E22F9">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4</w:t>
            </w:r>
          </w:p>
        </w:tc>
        <w:tc>
          <w:tcPr>
            <w:tcW w:w="251" w:type="pct"/>
            <w:vMerge w:val="continue"/>
            <w:tcBorders>
              <w:left w:val="single" w:color="auto" w:sz="4" w:space="0"/>
            </w:tcBorders>
            <w:vAlign w:val="center"/>
          </w:tcPr>
          <w:p w14:paraId="1826F4DF">
            <w:pPr>
              <w:rPr>
                <w:color w:val="auto"/>
                <w:highlight w:val="none"/>
              </w:rPr>
            </w:pPr>
          </w:p>
        </w:tc>
        <w:tc>
          <w:tcPr>
            <w:tcW w:w="280" w:type="pct"/>
            <w:tcBorders>
              <w:left w:val="single" w:color="auto" w:sz="4" w:space="0"/>
            </w:tcBorders>
            <w:vAlign w:val="center"/>
          </w:tcPr>
          <w:p w14:paraId="48A80FE2">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缺陷</w:t>
            </w:r>
            <w:r>
              <w:rPr>
                <w:rFonts w:hint="eastAsia" w:ascii="宋体"/>
                <w:color w:val="auto"/>
                <w:szCs w:val="21"/>
                <w:highlight w:val="none"/>
              </w:rPr>
              <w:t>解决率</w:t>
            </w:r>
          </w:p>
        </w:tc>
        <w:tc>
          <w:tcPr>
            <w:tcW w:w="946" w:type="pct"/>
            <w:tcBorders>
              <w:left w:val="single" w:color="auto" w:sz="4" w:space="0"/>
            </w:tcBorders>
            <w:vAlign w:val="center"/>
          </w:tcPr>
          <w:p w14:paraId="75949E2E">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用于记录统计周期内测试发现的缺陷中已解决缺陷的比例</w:t>
            </w:r>
          </w:p>
        </w:tc>
        <w:tc>
          <w:tcPr>
            <w:tcW w:w="1865" w:type="pct"/>
            <w:tcBorders>
              <w:left w:val="single" w:color="auto" w:sz="4" w:space="0"/>
            </w:tcBorders>
            <w:vAlign w:val="center"/>
          </w:tcPr>
          <w:p w14:paraId="3B429474">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缺陷解决率=统计周期内测试发现的有效缺陷中已解决的数量/统计周期内测试发现的有效缺陷总数量</w:t>
            </w:r>
          </w:p>
          <w:p w14:paraId="461C60F3">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10分【98%-100%】</w:t>
            </w:r>
          </w:p>
          <w:p w14:paraId="51A75A03">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5分【95%-97%】</w:t>
            </w:r>
          </w:p>
          <w:p w14:paraId="7FFB89DE">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0分【低于95%】</w:t>
            </w:r>
          </w:p>
        </w:tc>
        <w:tc>
          <w:tcPr>
            <w:tcW w:w="921" w:type="pct"/>
            <w:tcBorders>
              <w:left w:val="single" w:color="auto" w:sz="4" w:space="0"/>
            </w:tcBorders>
            <w:vAlign w:val="center"/>
          </w:tcPr>
          <w:p w14:paraId="24AA9372">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若</w:t>
            </w:r>
            <w:r>
              <w:rPr>
                <w:rFonts w:ascii="宋体"/>
                <w:color w:val="auto"/>
                <w:szCs w:val="21"/>
                <w:highlight w:val="none"/>
              </w:rPr>
              <w:t>缺陷解决率</w:t>
            </w:r>
            <w:r>
              <w:rPr>
                <w:rFonts w:hint="eastAsia" w:ascii="宋体"/>
                <w:bCs/>
                <w:color w:val="auto"/>
                <w:szCs w:val="21"/>
                <w:highlight w:val="none"/>
              </w:rPr>
              <w:t>低于95</w:t>
            </w:r>
            <w:r>
              <w:rPr>
                <w:rFonts w:hint="eastAsia" w:ascii="宋体"/>
                <w:color w:val="auto"/>
                <w:szCs w:val="21"/>
                <w:highlight w:val="none"/>
              </w:rPr>
              <w:t>%，</w:t>
            </w:r>
            <w:r>
              <w:rPr>
                <w:rFonts w:ascii="宋体"/>
                <w:color w:val="auto"/>
                <w:szCs w:val="21"/>
                <w:highlight w:val="none"/>
              </w:rPr>
              <w:t>缺陷</w:t>
            </w:r>
            <w:r>
              <w:rPr>
                <w:rFonts w:hint="eastAsia" w:ascii="宋体"/>
                <w:color w:val="auto"/>
                <w:szCs w:val="21"/>
                <w:highlight w:val="none"/>
              </w:rPr>
              <w:t>解决率每低1%扣除合同总金额的0.1%。</w:t>
            </w:r>
          </w:p>
        </w:tc>
        <w:tc>
          <w:tcPr>
            <w:tcW w:w="253" w:type="pct"/>
            <w:tcBorders>
              <w:left w:val="single" w:color="auto" w:sz="4" w:space="0"/>
            </w:tcBorders>
            <w:vAlign w:val="center"/>
          </w:tcPr>
          <w:p w14:paraId="51E3087E">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02629A5D">
            <w:pPr>
              <w:spacing w:beforeAutospacing="0" w:afterAutospacing="0" w:line="240" w:lineRule="auto"/>
              <w:ind w:firstLine="0" w:firstLineChars="0"/>
              <w:jc w:val="both"/>
              <w:rPr>
                <w:rFonts w:ascii="宋体"/>
                <w:color w:val="auto"/>
                <w:szCs w:val="21"/>
                <w:highlight w:val="none"/>
              </w:rPr>
            </w:pPr>
          </w:p>
        </w:tc>
      </w:tr>
      <w:tr w14:paraId="5D26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151D1EFC">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5</w:t>
            </w:r>
          </w:p>
        </w:tc>
        <w:tc>
          <w:tcPr>
            <w:tcW w:w="251" w:type="pct"/>
            <w:vMerge w:val="restart"/>
            <w:tcBorders>
              <w:left w:val="single" w:color="auto" w:sz="4" w:space="0"/>
            </w:tcBorders>
            <w:vAlign w:val="center"/>
          </w:tcPr>
          <w:p w14:paraId="133C8446">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协议履行</w:t>
            </w:r>
          </w:p>
        </w:tc>
        <w:tc>
          <w:tcPr>
            <w:tcW w:w="280" w:type="pct"/>
            <w:tcBorders>
              <w:left w:val="single" w:color="auto" w:sz="4" w:space="0"/>
            </w:tcBorders>
            <w:vAlign w:val="center"/>
          </w:tcPr>
          <w:p w14:paraId="440EFCF7">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重大事项报告</w:t>
            </w:r>
          </w:p>
        </w:tc>
        <w:tc>
          <w:tcPr>
            <w:tcW w:w="946" w:type="pct"/>
            <w:tcBorders>
              <w:left w:val="single" w:color="auto" w:sz="4" w:space="0"/>
            </w:tcBorders>
            <w:vAlign w:val="center"/>
          </w:tcPr>
          <w:p w14:paraId="0CE5B02F">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865" w:type="pct"/>
            <w:tcBorders>
              <w:left w:val="single" w:color="auto" w:sz="4" w:space="0"/>
            </w:tcBorders>
            <w:vAlign w:val="center"/>
          </w:tcPr>
          <w:p w14:paraId="2D75797D">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指无重大事项或当发生重大事项时，能够于24小时内</w:t>
            </w:r>
            <w:r>
              <w:rPr>
                <w:rFonts w:hint="eastAsia" w:ascii="宋体"/>
                <w:color w:val="auto"/>
                <w:szCs w:val="21"/>
                <w:highlight w:val="none"/>
              </w:rPr>
              <w:t>告知甲方；</w:t>
            </w:r>
          </w:p>
          <w:p w14:paraId="411A0600">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指当发生重大事项时，能够于一周内告知</w:t>
            </w:r>
            <w:r>
              <w:rPr>
                <w:rFonts w:hint="eastAsia" w:ascii="宋体"/>
                <w:color w:val="auto"/>
                <w:szCs w:val="21"/>
                <w:highlight w:val="none"/>
              </w:rPr>
              <w:t>甲方；</w:t>
            </w:r>
          </w:p>
          <w:p w14:paraId="1E60A277">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指当发生重大事项时，能够于一</w:t>
            </w:r>
            <w:r>
              <w:rPr>
                <w:rFonts w:hint="eastAsia" w:ascii="宋体"/>
                <w:color w:val="auto"/>
                <w:szCs w:val="21"/>
                <w:highlight w:val="none"/>
              </w:rPr>
              <w:t>月</w:t>
            </w:r>
            <w:r>
              <w:rPr>
                <w:rFonts w:ascii="宋体"/>
                <w:color w:val="auto"/>
                <w:szCs w:val="21"/>
                <w:highlight w:val="none"/>
              </w:rPr>
              <w:t>内告知</w:t>
            </w:r>
            <w:r>
              <w:rPr>
                <w:rFonts w:hint="eastAsia" w:ascii="宋体"/>
                <w:color w:val="auto"/>
                <w:szCs w:val="21"/>
                <w:highlight w:val="none"/>
              </w:rPr>
              <w:t>甲方；</w:t>
            </w:r>
          </w:p>
          <w:p w14:paraId="5EC8E55B">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指当发生重大事项时，</w:t>
            </w:r>
            <w:r>
              <w:rPr>
                <w:rFonts w:hint="eastAsia" w:ascii="宋体"/>
                <w:color w:val="auto"/>
                <w:szCs w:val="21"/>
                <w:highlight w:val="none"/>
              </w:rPr>
              <w:t>未</w:t>
            </w:r>
            <w:r>
              <w:rPr>
                <w:rFonts w:ascii="宋体"/>
                <w:color w:val="auto"/>
                <w:szCs w:val="21"/>
                <w:highlight w:val="none"/>
              </w:rPr>
              <w:t>告知</w:t>
            </w:r>
            <w:r>
              <w:rPr>
                <w:rFonts w:hint="eastAsia" w:ascii="宋体"/>
                <w:color w:val="auto"/>
                <w:szCs w:val="21"/>
                <w:highlight w:val="none"/>
              </w:rPr>
              <w:t>甲方。</w:t>
            </w:r>
          </w:p>
        </w:tc>
        <w:tc>
          <w:tcPr>
            <w:tcW w:w="921" w:type="pct"/>
            <w:tcBorders>
              <w:left w:val="single" w:color="auto" w:sz="4" w:space="0"/>
            </w:tcBorders>
            <w:vAlign w:val="center"/>
          </w:tcPr>
          <w:p w14:paraId="7C2D2232">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评价为较差/差时，甲方根据实际情况有权终止合同，并要求乙方赔偿实际损失。</w:t>
            </w:r>
          </w:p>
        </w:tc>
        <w:tc>
          <w:tcPr>
            <w:tcW w:w="253" w:type="pct"/>
            <w:tcBorders>
              <w:left w:val="single" w:color="auto" w:sz="4" w:space="0"/>
            </w:tcBorders>
            <w:vAlign w:val="center"/>
          </w:tcPr>
          <w:p w14:paraId="55D3325E">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31E072A1">
            <w:pPr>
              <w:spacing w:beforeAutospacing="0" w:afterAutospacing="0" w:line="240" w:lineRule="auto"/>
              <w:ind w:firstLine="0" w:firstLineChars="0"/>
              <w:jc w:val="both"/>
              <w:rPr>
                <w:rFonts w:ascii="宋体"/>
                <w:color w:val="auto"/>
                <w:szCs w:val="21"/>
                <w:highlight w:val="none"/>
              </w:rPr>
            </w:pPr>
          </w:p>
        </w:tc>
      </w:tr>
      <w:tr w14:paraId="47F4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2E4EBE0C">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6</w:t>
            </w:r>
          </w:p>
        </w:tc>
        <w:tc>
          <w:tcPr>
            <w:tcW w:w="251" w:type="pct"/>
            <w:vMerge w:val="continue"/>
            <w:tcBorders>
              <w:left w:val="single" w:color="auto" w:sz="4" w:space="0"/>
            </w:tcBorders>
            <w:vAlign w:val="center"/>
          </w:tcPr>
          <w:p w14:paraId="37CFC1AA">
            <w:pPr>
              <w:rPr>
                <w:color w:val="auto"/>
                <w:highlight w:val="none"/>
              </w:rPr>
            </w:pPr>
          </w:p>
        </w:tc>
        <w:tc>
          <w:tcPr>
            <w:tcW w:w="280" w:type="pct"/>
            <w:tcBorders>
              <w:left w:val="single" w:color="auto" w:sz="4" w:space="0"/>
            </w:tcBorders>
            <w:vAlign w:val="center"/>
          </w:tcPr>
          <w:p w14:paraId="65A8E9DD">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重大</w:t>
            </w:r>
            <w:r>
              <w:rPr>
                <w:rFonts w:hint="eastAsia" w:ascii="宋体"/>
                <w:color w:val="auto"/>
                <w:szCs w:val="21"/>
                <w:highlight w:val="none"/>
              </w:rPr>
              <w:t>事件及质量缺陷</w:t>
            </w:r>
          </w:p>
        </w:tc>
        <w:tc>
          <w:tcPr>
            <w:tcW w:w="946" w:type="pct"/>
            <w:tcBorders>
              <w:left w:val="single" w:color="auto" w:sz="4" w:space="0"/>
            </w:tcBorders>
            <w:vAlign w:val="center"/>
          </w:tcPr>
          <w:p w14:paraId="2A8CBEE8">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w:t>
            </w:r>
            <w:r>
              <w:rPr>
                <w:rFonts w:hint="eastAsia" w:ascii="宋体"/>
                <w:color w:val="auto"/>
                <w:szCs w:val="21"/>
                <w:highlight w:val="none"/>
              </w:rPr>
              <w:t>乙方在服务</w:t>
            </w:r>
            <w:r>
              <w:rPr>
                <w:rFonts w:ascii="宋体"/>
                <w:color w:val="auto"/>
                <w:szCs w:val="21"/>
                <w:highlight w:val="none"/>
              </w:rPr>
              <w:t>期内出现</w:t>
            </w:r>
            <w:r>
              <w:rPr>
                <w:rFonts w:hint="eastAsia" w:ascii="宋体"/>
                <w:color w:val="auto"/>
                <w:szCs w:val="21"/>
                <w:highlight w:val="none"/>
              </w:rPr>
              <w:t>以下重大事件及质量缺陷次数：</w:t>
            </w:r>
          </w:p>
          <w:p w14:paraId="27953FC9">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a.应用软件出现I</w:t>
            </w:r>
            <w:r>
              <w:rPr>
                <w:rFonts w:ascii="宋体"/>
                <w:color w:val="auto"/>
                <w:szCs w:val="21"/>
                <w:highlight w:val="none"/>
              </w:rPr>
              <w:t>II</w:t>
            </w:r>
            <w:r>
              <w:rPr>
                <w:rFonts w:hint="eastAsia" w:ascii="宋体"/>
                <w:color w:val="auto"/>
                <w:szCs w:val="21"/>
                <w:highlight w:val="none"/>
              </w:rPr>
              <w:t>级（含）以上的运营中断事件；</w:t>
            </w:r>
          </w:p>
          <w:p w14:paraId="21694D85">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b.因乙方原因（含乙方合作的第三方）导致甲方发生网络安全事件；</w:t>
            </w:r>
          </w:p>
          <w:p w14:paraId="24D7FC2C">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c.应用软件出现严重缺陷和致命缺陷。</w:t>
            </w:r>
          </w:p>
        </w:tc>
        <w:tc>
          <w:tcPr>
            <w:tcW w:w="1865" w:type="pct"/>
            <w:tcBorders>
              <w:left w:val="single" w:color="auto" w:sz="4" w:space="0"/>
            </w:tcBorders>
            <w:vAlign w:val="center"/>
          </w:tcPr>
          <w:p w14:paraId="0744AFA3">
            <w:pPr>
              <w:spacing w:beforeAutospacing="0" w:afterAutospacing="0" w:line="240" w:lineRule="auto"/>
              <w:ind w:firstLine="0" w:firstLineChars="0"/>
              <w:rPr>
                <w:rFonts w:ascii="宋体"/>
                <w:b/>
                <w:bCs/>
                <w:color w:val="auto"/>
                <w:szCs w:val="21"/>
                <w:highlight w:val="none"/>
              </w:rPr>
            </w:pPr>
            <w:r>
              <w:rPr>
                <w:rFonts w:hint="eastAsia" w:ascii="宋体"/>
                <w:b/>
                <w:bCs/>
                <w:color w:val="auto"/>
                <w:szCs w:val="21"/>
                <w:highlight w:val="none"/>
              </w:rPr>
              <w:t>【得分上限10分】</w:t>
            </w:r>
          </w:p>
          <w:p w14:paraId="6E1C1926">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0次：</w:t>
            </w:r>
            <w:r>
              <w:rPr>
                <w:rFonts w:hint="eastAsia" w:ascii="宋体"/>
                <w:color w:val="auto"/>
                <w:szCs w:val="21"/>
                <w:highlight w:val="none"/>
              </w:rPr>
              <w:t>指未出现</w:t>
            </w:r>
            <w:r>
              <w:rPr>
                <w:rFonts w:ascii="宋体"/>
                <w:color w:val="auto"/>
                <w:szCs w:val="21"/>
                <w:highlight w:val="none"/>
              </w:rPr>
              <w:t>重大事件</w:t>
            </w:r>
            <w:r>
              <w:rPr>
                <w:rFonts w:hint="eastAsia" w:ascii="宋体"/>
                <w:color w:val="auto"/>
                <w:szCs w:val="21"/>
                <w:highlight w:val="none"/>
              </w:rPr>
              <w:t>及质量缺陷，该项指标满分；</w:t>
            </w:r>
          </w:p>
          <w:p w14:paraId="354E0DF4">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1次及以上：</w:t>
            </w:r>
            <w:r>
              <w:rPr>
                <w:rFonts w:hint="eastAsia" w:ascii="宋体"/>
                <w:color w:val="auto"/>
                <w:szCs w:val="21"/>
                <w:highlight w:val="none"/>
              </w:rPr>
              <w:t>0分，指出现1次及以上任意一项</w:t>
            </w:r>
            <w:r>
              <w:rPr>
                <w:rFonts w:ascii="宋体"/>
                <w:color w:val="auto"/>
                <w:szCs w:val="21"/>
                <w:highlight w:val="none"/>
              </w:rPr>
              <w:t>重大事件</w:t>
            </w:r>
            <w:r>
              <w:rPr>
                <w:rFonts w:hint="eastAsia" w:ascii="宋体"/>
                <w:color w:val="auto"/>
                <w:szCs w:val="21"/>
                <w:highlight w:val="none"/>
              </w:rPr>
              <w:t>或质量缺陷。</w:t>
            </w:r>
          </w:p>
        </w:tc>
        <w:tc>
          <w:tcPr>
            <w:tcW w:w="921" w:type="pct"/>
            <w:tcBorders>
              <w:left w:val="single" w:color="auto" w:sz="4" w:space="0"/>
            </w:tcBorders>
            <w:vAlign w:val="center"/>
          </w:tcPr>
          <w:p w14:paraId="1522D855">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每出现一次</w:t>
            </w:r>
            <w:r>
              <w:rPr>
                <w:rFonts w:ascii="宋体"/>
                <w:color w:val="auto"/>
                <w:szCs w:val="21"/>
                <w:highlight w:val="none"/>
              </w:rPr>
              <w:t>重大事件</w:t>
            </w:r>
            <w:r>
              <w:rPr>
                <w:rFonts w:hint="eastAsia" w:ascii="宋体"/>
                <w:color w:val="auto"/>
                <w:szCs w:val="21"/>
                <w:highlight w:val="none"/>
              </w:rPr>
              <w:t>或质量缺陷，扣除乙方合同总金额不低于5%（不低于2万元），并要求乙方赔偿实际损失。</w:t>
            </w:r>
          </w:p>
        </w:tc>
        <w:tc>
          <w:tcPr>
            <w:tcW w:w="253" w:type="pct"/>
            <w:tcBorders>
              <w:left w:val="single" w:color="auto" w:sz="4" w:space="0"/>
            </w:tcBorders>
            <w:vAlign w:val="center"/>
          </w:tcPr>
          <w:p w14:paraId="3EE7AC13">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69D717C9">
            <w:pPr>
              <w:spacing w:beforeAutospacing="0" w:afterAutospacing="0" w:line="240" w:lineRule="auto"/>
              <w:ind w:firstLine="0" w:firstLineChars="0"/>
              <w:jc w:val="both"/>
              <w:rPr>
                <w:rFonts w:ascii="宋体"/>
                <w:color w:val="auto"/>
                <w:szCs w:val="21"/>
                <w:highlight w:val="none"/>
              </w:rPr>
            </w:pPr>
          </w:p>
        </w:tc>
      </w:tr>
      <w:tr w14:paraId="7D90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73743557">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7</w:t>
            </w:r>
          </w:p>
        </w:tc>
        <w:tc>
          <w:tcPr>
            <w:tcW w:w="251" w:type="pct"/>
            <w:vMerge w:val="continue"/>
            <w:tcBorders>
              <w:left w:val="single" w:color="auto" w:sz="4" w:space="0"/>
            </w:tcBorders>
            <w:vAlign w:val="center"/>
          </w:tcPr>
          <w:p w14:paraId="698B74F4">
            <w:pPr>
              <w:rPr>
                <w:color w:val="auto"/>
                <w:highlight w:val="none"/>
              </w:rPr>
            </w:pPr>
          </w:p>
        </w:tc>
        <w:tc>
          <w:tcPr>
            <w:tcW w:w="280" w:type="pct"/>
            <w:tcBorders>
              <w:left w:val="single" w:color="auto" w:sz="4" w:space="0"/>
            </w:tcBorders>
            <w:vAlign w:val="center"/>
          </w:tcPr>
          <w:p w14:paraId="68CA6154">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信息安全管理</w:t>
            </w:r>
          </w:p>
        </w:tc>
        <w:tc>
          <w:tcPr>
            <w:tcW w:w="946" w:type="pct"/>
            <w:tcBorders>
              <w:left w:val="single" w:color="auto" w:sz="4" w:space="0"/>
            </w:tcBorders>
            <w:vAlign w:val="center"/>
          </w:tcPr>
          <w:p w14:paraId="4D14728A">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w:t>
            </w:r>
            <w:r>
              <w:rPr>
                <w:rFonts w:hint="eastAsia" w:ascii="宋体"/>
                <w:color w:val="auto"/>
                <w:szCs w:val="21"/>
                <w:highlight w:val="none"/>
              </w:rPr>
              <w:t>乙方在服务</w:t>
            </w:r>
            <w:r>
              <w:rPr>
                <w:rFonts w:ascii="宋体"/>
                <w:color w:val="auto"/>
                <w:szCs w:val="21"/>
                <w:highlight w:val="none"/>
              </w:rPr>
              <w:t>期内</w:t>
            </w:r>
            <w:r>
              <w:rPr>
                <w:rFonts w:hint="eastAsia" w:ascii="宋体"/>
                <w:color w:val="auto"/>
                <w:szCs w:val="21"/>
                <w:highlight w:val="none"/>
              </w:rPr>
              <w:t>网络和信息安全服务的管理能力，针对发现的安全漏洞及安全缺陷（包括源代码、第三方SDK或第三方小程序、第三方软件产品及开源组件等），须按甲方要求完成整改</w:t>
            </w:r>
          </w:p>
        </w:tc>
        <w:tc>
          <w:tcPr>
            <w:tcW w:w="1865" w:type="pct"/>
            <w:tcBorders>
              <w:left w:val="single" w:color="auto" w:sz="4" w:space="0"/>
            </w:tcBorders>
            <w:vAlign w:val="center"/>
          </w:tcPr>
          <w:p w14:paraId="114CA2F4">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互联网或电子银行类系统：</w:t>
            </w:r>
          </w:p>
          <w:p w14:paraId="21008B63">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1.安全漏洞及安全缺陷整改及时率=100%</w:t>
            </w:r>
          </w:p>
          <w:p w14:paraId="13E69B9D">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2.安全漏洞及安全缺陷整改通过率=100%</w:t>
            </w:r>
          </w:p>
          <w:p w14:paraId="1AD60B94">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非互联网或电子银行类系统：</w:t>
            </w:r>
          </w:p>
          <w:p w14:paraId="652156A0">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1.中高危安全漏洞及安全缺陷整改及时率=100%</w:t>
            </w:r>
          </w:p>
          <w:p w14:paraId="439E2187">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2.中高危安全漏洞及安全缺陷整改通过率=100%</w:t>
            </w:r>
          </w:p>
          <w:p w14:paraId="12BE48C8">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5分，指未出现安全漏洞及安全缺陷，该项指标满分；</w:t>
            </w:r>
          </w:p>
          <w:p w14:paraId="6386B47D">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3分，指出现安全漏洞或安全缺陷，但整改及时率、通过率均为100%；</w:t>
            </w:r>
          </w:p>
          <w:p w14:paraId="34F852C8">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0分，指出现安全漏洞及安全缺陷，但整改及时率或通过率未达到100%。</w:t>
            </w:r>
          </w:p>
        </w:tc>
        <w:tc>
          <w:tcPr>
            <w:tcW w:w="921" w:type="pct"/>
            <w:tcBorders>
              <w:left w:val="single" w:color="auto" w:sz="4" w:space="0"/>
            </w:tcBorders>
            <w:vAlign w:val="center"/>
          </w:tcPr>
          <w:p w14:paraId="185B7687">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若评价为较差/差时，扣除乙方金额人民币不低于2万元，并要求乙方赔偿实际损失。</w:t>
            </w:r>
          </w:p>
          <w:p w14:paraId="73B3892D">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若出现的安全漏洞或安全缺陷被上级或监管单位通报的，扣除乙方合同总金额不低于5%（不低于2万元），并要求乙方赔偿实际损失。</w:t>
            </w:r>
          </w:p>
        </w:tc>
        <w:tc>
          <w:tcPr>
            <w:tcW w:w="253" w:type="pct"/>
            <w:tcBorders>
              <w:left w:val="single" w:color="auto" w:sz="4" w:space="0"/>
            </w:tcBorders>
            <w:vAlign w:val="center"/>
          </w:tcPr>
          <w:p w14:paraId="39405379">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0F96D8F0">
            <w:pPr>
              <w:spacing w:beforeAutospacing="0" w:afterAutospacing="0" w:line="240" w:lineRule="auto"/>
              <w:ind w:firstLine="0" w:firstLineChars="0"/>
              <w:jc w:val="both"/>
              <w:rPr>
                <w:rFonts w:ascii="宋体"/>
                <w:color w:val="auto"/>
                <w:szCs w:val="21"/>
                <w:highlight w:val="none"/>
              </w:rPr>
            </w:pPr>
          </w:p>
        </w:tc>
      </w:tr>
      <w:tr w14:paraId="776C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10C8B9E9">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8</w:t>
            </w:r>
          </w:p>
        </w:tc>
        <w:tc>
          <w:tcPr>
            <w:tcW w:w="251" w:type="pct"/>
            <w:vMerge w:val="continue"/>
            <w:tcBorders>
              <w:left w:val="single" w:color="auto" w:sz="4" w:space="0"/>
            </w:tcBorders>
            <w:vAlign w:val="center"/>
          </w:tcPr>
          <w:p w14:paraId="454A1832">
            <w:pPr>
              <w:rPr>
                <w:color w:val="auto"/>
                <w:highlight w:val="none"/>
              </w:rPr>
            </w:pPr>
          </w:p>
        </w:tc>
        <w:tc>
          <w:tcPr>
            <w:tcW w:w="280" w:type="pct"/>
            <w:tcBorders>
              <w:left w:val="single" w:color="auto" w:sz="4" w:space="0"/>
            </w:tcBorders>
            <w:vAlign w:val="center"/>
          </w:tcPr>
          <w:p w14:paraId="19231896">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外包安全行为</w:t>
            </w:r>
          </w:p>
        </w:tc>
        <w:tc>
          <w:tcPr>
            <w:tcW w:w="946" w:type="pct"/>
            <w:tcBorders>
              <w:left w:val="single" w:color="auto" w:sz="4" w:space="0"/>
            </w:tcBorders>
            <w:vAlign w:val="center"/>
          </w:tcPr>
          <w:p w14:paraId="5F776508">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于记录在外包人员安全防护意识方面的管理有效</w:t>
            </w:r>
            <w:r>
              <w:rPr>
                <w:rFonts w:hint="eastAsia" w:ascii="宋体"/>
                <w:color w:val="auto"/>
                <w:szCs w:val="21"/>
                <w:highlight w:val="none"/>
              </w:rPr>
              <w:t>性</w:t>
            </w:r>
          </w:p>
        </w:tc>
        <w:tc>
          <w:tcPr>
            <w:tcW w:w="1865" w:type="pct"/>
            <w:tcBorders>
              <w:left w:val="single" w:color="auto" w:sz="4" w:space="0"/>
            </w:tcBorders>
            <w:vAlign w:val="center"/>
          </w:tcPr>
          <w:p w14:paraId="5847BD22">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统计周期内安全防护失效的次数。</w:t>
            </w:r>
          </w:p>
          <w:p w14:paraId="5BC7C5F9">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w:t>
            </w:r>
            <w:r>
              <w:rPr>
                <w:rFonts w:ascii="宋体"/>
                <w:color w:val="auto"/>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color w:val="auto"/>
                <w:szCs w:val="21"/>
                <w:highlight w:val="none"/>
              </w:rPr>
              <w:t>c）</w:t>
            </w:r>
            <w:r>
              <w:rPr>
                <w:rFonts w:ascii="宋体"/>
                <w:color w:val="auto"/>
                <w:szCs w:val="21"/>
                <w:highlight w:val="none"/>
              </w:rPr>
              <w:t>随意搭建测试环境导致信息泄露或被作为攻击入口</w:t>
            </w:r>
            <w:r>
              <w:rPr>
                <w:rFonts w:hint="eastAsia" w:ascii="宋体"/>
                <w:color w:val="auto"/>
                <w:szCs w:val="21"/>
                <w:highlight w:val="none"/>
              </w:rPr>
              <w:t>。d）在生产运营系统上违反规定进行操作或在实施过程中留下信息系统后门等</w:t>
            </w:r>
            <w:r>
              <w:rPr>
                <w:rFonts w:ascii="宋体"/>
                <w:color w:val="auto"/>
                <w:szCs w:val="21"/>
                <w:highlight w:val="none"/>
              </w:rPr>
              <w:t>。</w:t>
            </w:r>
          </w:p>
          <w:p w14:paraId="6DE4D1E4">
            <w:pPr>
              <w:spacing w:beforeAutospacing="0" w:afterAutospacing="0" w:line="240" w:lineRule="auto"/>
              <w:ind w:firstLine="0" w:firstLineChars="0"/>
              <w:rPr>
                <w:rFonts w:ascii="宋体"/>
                <w:b/>
                <w:bCs/>
                <w:color w:val="auto"/>
                <w:szCs w:val="21"/>
                <w:highlight w:val="none"/>
              </w:rPr>
            </w:pPr>
            <w:r>
              <w:rPr>
                <w:rFonts w:hint="eastAsia" w:ascii="宋体"/>
                <w:b/>
                <w:bCs/>
                <w:color w:val="auto"/>
                <w:szCs w:val="21"/>
                <w:highlight w:val="none"/>
              </w:rPr>
              <w:t>【得分上限10分】</w:t>
            </w:r>
          </w:p>
          <w:p w14:paraId="1BF06CD8">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0次：</w:t>
            </w:r>
            <w:r>
              <w:rPr>
                <w:rFonts w:hint="eastAsia" w:ascii="宋体"/>
                <w:color w:val="auto"/>
                <w:szCs w:val="21"/>
                <w:highlight w:val="none"/>
              </w:rPr>
              <w:t>未出现安全防护失效行为，10分；</w:t>
            </w:r>
          </w:p>
          <w:p w14:paraId="280FF97F">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1次及以上</w:t>
            </w:r>
            <w:r>
              <w:rPr>
                <w:rFonts w:hint="eastAsia" w:ascii="宋体"/>
                <w:color w:val="auto"/>
                <w:szCs w:val="21"/>
                <w:highlight w:val="none"/>
              </w:rPr>
              <w:t>：出现安全防护失效行为，每出现一次扣5分，最多扣10分。</w:t>
            </w:r>
          </w:p>
        </w:tc>
        <w:tc>
          <w:tcPr>
            <w:tcW w:w="921" w:type="pct"/>
            <w:tcBorders>
              <w:left w:val="single" w:color="auto" w:sz="4" w:space="0"/>
            </w:tcBorders>
            <w:vAlign w:val="center"/>
          </w:tcPr>
          <w:p w14:paraId="4F3943DC">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若出现信息安全防护失效行为未导致严重后果的，扣除乙方金额人民币不低于1万元；</w:t>
            </w:r>
          </w:p>
          <w:p w14:paraId="0B0270E0">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若出现信息安全防护失效行为导致严重后果，或被上级或监管单位通报的，扣除乙方合同总金额不低于5%（不低于2万元），并要求乙方赔偿实际损失。</w:t>
            </w:r>
          </w:p>
        </w:tc>
        <w:tc>
          <w:tcPr>
            <w:tcW w:w="253" w:type="pct"/>
            <w:tcBorders>
              <w:left w:val="single" w:color="auto" w:sz="4" w:space="0"/>
            </w:tcBorders>
            <w:vAlign w:val="center"/>
          </w:tcPr>
          <w:p w14:paraId="24ED013C">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78FA8A9E">
            <w:pPr>
              <w:spacing w:beforeAutospacing="0" w:afterAutospacing="0" w:line="240" w:lineRule="auto"/>
              <w:ind w:firstLine="0" w:firstLineChars="0"/>
              <w:jc w:val="both"/>
              <w:rPr>
                <w:rFonts w:ascii="宋体"/>
                <w:color w:val="auto"/>
                <w:szCs w:val="21"/>
                <w:highlight w:val="none"/>
              </w:rPr>
            </w:pPr>
          </w:p>
        </w:tc>
      </w:tr>
      <w:tr w14:paraId="23CB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42E1A4E0">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9</w:t>
            </w:r>
          </w:p>
        </w:tc>
        <w:tc>
          <w:tcPr>
            <w:tcW w:w="251" w:type="pct"/>
            <w:vMerge w:val="continue"/>
            <w:tcBorders>
              <w:left w:val="single" w:color="auto" w:sz="4" w:space="0"/>
            </w:tcBorders>
            <w:vAlign w:val="center"/>
          </w:tcPr>
          <w:p w14:paraId="2F810EFB">
            <w:pPr>
              <w:rPr>
                <w:color w:val="auto"/>
                <w:highlight w:val="none"/>
              </w:rPr>
            </w:pPr>
          </w:p>
        </w:tc>
        <w:tc>
          <w:tcPr>
            <w:tcW w:w="280" w:type="pct"/>
            <w:tcBorders>
              <w:left w:val="single" w:color="auto" w:sz="4" w:space="0"/>
            </w:tcBorders>
            <w:vAlign w:val="center"/>
          </w:tcPr>
          <w:p w14:paraId="1AC3271E">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响应与解决及时性</w:t>
            </w:r>
          </w:p>
        </w:tc>
        <w:tc>
          <w:tcPr>
            <w:tcW w:w="946" w:type="pct"/>
            <w:tcBorders>
              <w:left w:val="single" w:color="auto" w:sz="4" w:space="0"/>
            </w:tcBorders>
            <w:vAlign w:val="center"/>
          </w:tcPr>
          <w:p w14:paraId="009731B2">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w:t>
            </w:r>
            <w:r>
              <w:rPr>
                <w:rFonts w:hint="eastAsia" w:ascii="宋体"/>
                <w:color w:val="auto"/>
                <w:szCs w:val="21"/>
                <w:highlight w:val="none"/>
              </w:rPr>
              <w:t>乙方</w:t>
            </w:r>
            <w:r>
              <w:rPr>
                <w:rFonts w:ascii="宋体"/>
                <w:color w:val="auto"/>
                <w:szCs w:val="21"/>
                <w:highlight w:val="none"/>
              </w:rPr>
              <w:t>或服务项目对</w:t>
            </w:r>
            <w:r>
              <w:rPr>
                <w:rFonts w:hint="eastAsia" w:ascii="宋体"/>
                <w:color w:val="auto"/>
                <w:szCs w:val="21"/>
                <w:highlight w:val="none"/>
              </w:rPr>
              <w:t>甲方</w:t>
            </w:r>
            <w:r>
              <w:rPr>
                <w:rFonts w:ascii="宋体"/>
                <w:color w:val="auto"/>
                <w:szCs w:val="21"/>
                <w:highlight w:val="none"/>
              </w:rPr>
              <w:t>的响应与解决的及时性</w:t>
            </w:r>
          </w:p>
        </w:tc>
        <w:tc>
          <w:tcPr>
            <w:tcW w:w="1865" w:type="pct"/>
            <w:tcBorders>
              <w:left w:val="single" w:color="auto" w:sz="4" w:space="0"/>
            </w:tcBorders>
            <w:vAlign w:val="center"/>
          </w:tcPr>
          <w:p w14:paraId="422101CA">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或服务项目能够迅速响应需求，主动快速与</w:t>
            </w:r>
            <w:r>
              <w:rPr>
                <w:rFonts w:hint="eastAsia" w:ascii="宋体"/>
                <w:color w:val="auto"/>
                <w:szCs w:val="21"/>
                <w:highlight w:val="none"/>
              </w:rPr>
              <w:t>甲方</w:t>
            </w:r>
            <w:r>
              <w:rPr>
                <w:rFonts w:ascii="宋体"/>
                <w:color w:val="auto"/>
                <w:szCs w:val="21"/>
                <w:highlight w:val="none"/>
              </w:rPr>
              <w:t>进行有效的沟通，第一时间从专业角度给出解决方案并解决问题</w:t>
            </w:r>
            <w:r>
              <w:rPr>
                <w:rFonts w:hint="eastAsia" w:ascii="宋体"/>
                <w:color w:val="auto"/>
                <w:szCs w:val="21"/>
                <w:highlight w:val="none"/>
              </w:rPr>
              <w:t>；</w:t>
            </w:r>
          </w:p>
          <w:p w14:paraId="1C49EA7A">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或服务项目能够按要求响应需求，及时与</w:t>
            </w:r>
            <w:r>
              <w:rPr>
                <w:rFonts w:hint="eastAsia" w:ascii="宋体"/>
                <w:color w:val="auto"/>
                <w:szCs w:val="21"/>
                <w:highlight w:val="none"/>
              </w:rPr>
              <w:t>甲方</w:t>
            </w:r>
            <w:r>
              <w:rPr>
                <w:rFonts w:ascii="宋体"/>
                <w:color w:val="auto"/>
                <w:szCs w:val="21"/>
                <w:highlight w:val="none"/>
              </w:rPr>
              <w:t>进行有效的沟通，快速给出处理方案并解决问题</w:t>
            </w:r>
            <w:r>
              <w:rPr>
                <w:rFonts w:hint="eastAsia" w:ascii="宋体"/>
                <w:color w:val="auto"/>
                <w:szCs w:val="21"/>
                <w:highlight w:val="none"/>
              </w:rPr>
              <w:t>；</w:t>
            </w:r>
          </w:p>
          <w:p w14:paraId="0AAF4BF3">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或服务项目能够基本按要求响应需求</w:t>
            </w:r>
            <w:r>
              <w:rPr>
                <w:rFonts w:hint="eastAsia" w:ascii="宋体"/>
                <w:color w:val="auto"/>
                <w:szCs w:val="21"/>
                <w:highlight w:val="none"/>
              </w:rPr>
              <w:t>，</w:t>
            </w:r>
            <w:r>
              <w:rPr>
                <w:rFonts w:ascii="宋体"/>
                <w:color w:val="auto"/>
                <w:szCs w:val="21"/>
                <w:highlight w:val="none"/>
              </w:rPr>
              <w:t>保持与</w:t>
            </w:r>
            <w:r>
              <w:rPr>
                <w:rFonts w:hint="eastAsia" w:ascii="宋体"/>
                <w:color w:val="auto"/>
                <w:szCs w:val="21"/>
                <w:highlight w:val="none"/>
              </w:rPr>
              <w:t>甲方</w:t>
            </w:r>
            <w:r>
              <w:rPr>
                <w:rFonts w:ascii="宋体"/>
                <w:color w:val="auto"/>
                <w:szCs w:val="21"/>
                <w:highlight w:val="none"/>
              </w:rPr>
              <w:t>的沟通，按时解决问题</w:t>
            </w:r>
            <w:r>
              <w:rPr>
                <w:rFonts w:hint="eastAsia" w:ascii="宋体"/>
                <w:color w:val="auto"/>
                <w:szCs w:val="21"/>
                <w:highlight w:val="none"/>
              </w:rPr>
              <w:t>；</w:t>
            </w:r>
          </w:p>
          <w:p w14:paraId="61597827">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w:t>
            </w:r>
            <w:r>
              <w:rPr>
                <w:rFonts w:hint="eastAsia" w:ascii="宋体"/>
                <w:color w:val="auto"/>
                <w:szCs w:val="21"/>
                <w:highlight w:val="none"/>
              </w:rPr>
              <w:t>乙方</w:t>
            </w:r>
            <w:r>
              <w:rPr>
                <w:rFonts w:ascii="宋体"/>
                <w:color w:val="auto"/>
                <w:szCs w:val="21"/>
                <w:highlight w:val="none"/>
              </w:rPr>
              <w:t>或服务项目未及时响应需求，或响应需求后无法</w:t>
            </w:r>
            <w:r>
              <w:rPr>
                <w:rFonts w:hint="eastAsia" w:ascii="宋体"/>
                <w:color w:val="auto"/>
                <w:szCs w:val="21"/>
                <w:highlight w:val="none"/>
              </w:rPr>
              <w:t>及时</w:t>
            </w:r>
            <w:r>
              <w:rPr>
                <w:rFonts w:ascii="宋体"/>
                <w:color w:val="auto"/>
                <w:szCs w:val="21"/>
                <w:highlight w:val="none"/>
              </w:rPr>
              <w:t>解决问题</w:t>
            </w:r>
            <w:r>
              <w:rPr>
                <w:rFonts w:hint="eastAsia" w:ascii="宋体"/>
                <w:color w:val="auto"/>
                <w:szCs w:val="21"/>
                <w:highlight w:val="none"/>
              </w:rPr>
              <w:t>。</w:t>
            </w:r>
          </w:p>
        </w:tc>
        <w:tc>
          <w:tcPr>
            <w:tcW w:w="921" w:type="pct"/>
            <w:tcBorders>
              <w:left w:val="single" w:color="auto" w:sz="4" w:space="0"/>
            </w:tcBorders>
            <w:vAlign w:val="center"/>
          </w:tcPr>
          <w:p w14:paraId="6F9AC5BE">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评价为较差/差，即乙方</w:t>
            </w:r>
            <w:r>
              <w:rPr>
                <w:rFonts w:ascii="宋体"/>
                <w:color w:val="auto"/>
                <w:szCs w:val="21"/>
                <w:highlight w:val="none"/>
              </w:rPr>
              <w:t>或服务项目未及时响应需求，或响应需求后无法</w:t>
            </w:r>
            <w:r>
              <w:rPr>
                <w:rFonts w:hint="eastAsia" w:ascii="宋体"/>
                <w:color w:val="auto"/>
                <w:szCs w:val="21"/>
                <w:highlight w:val="none"/>
              </w:rPr>
              <w:t>及时</w:t>
            </w:r>
            <w:r>
              <w:rPr>
                <w:rFonts w:ascii="宋体"/>
                <w:color w:val="auto"/>
                <w:szCs w:val="21"/>
                <w:highlight w:val="none"/>
              </w:rPr>
              <w:t>解决问题</w:t>
            </w:r>
            <w:r>
              <w:rPr>
                <w:rFonts w:hint="eastAsia" w:ascii="宋体"/>
                <w:color w:val="auto"/>
                <w:szCs w:val="21"/>
                <w:highlight w:val="none"/>
              </w:rPr>
              <w:t>，扣除乙方金额人民币不低于1000元。</w:t>
            </w:r>
          </w:p>
        </w:tc>
        <w:tc>
          <w:tcPr>
            <w:tcW w:w="253" w:type="pct"/>
            <w:tcBorders>
              <w:left w:val="single" w:color="auto" w:sz="4" w:space="0"/>
            </w:tcBorders>
            <w:vAlign w:val="center"/>
          </w:tcPr>
          <w:p w14:paraId="30CC5F20">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3DD5335B">
            <w:pPr>
              <w:spacing w:beforeAutospacing="0" w:afterAutospacing="0" w:line="240" w:lineRule="auto"/>
              <w:ind w:firstLine="0" w:firstLineChars="0"/>
              <w:jc w:val="both"/>
              <w:rPr>
                <w:rFonts w:ascii="宋体"/>
                <w:color w:val="auto"/>
                <w:szCs w:val="21"/>
                <w:highlight w:val="none"/>
              </w:rPr>
            </w:pPr>
          </w:p>
        </w:tc>
      </w:tr>
      <w:tr w14:paraId="5C94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3AB908D3">
            <w:pPr>
              <w:spacing w:beforeAutospacing="0" w:afterAutospacing="0" w:line="240" w:lineRule="auto"/>
              <w:ind w:firstLine="0" w:firstLineChars="0"/>
              <w:jc w:val="both"/>
              <w:rPr>
                <w:rFonts w:ascii="宋体"/>
                <w:color w:val="auto"/>
                <w:szCs w:val="21"/>
                <w:highlight w:val="none"/>
              </w:rPr>
            </w:pPr>
            <w:r>
              <w:rPr>
                <w:rFonts w:ascii="宋体"/>
                <w:color w:val="auto"/>
                <w:szCs w:val="21"/>
                <w:highlight w:val="none"/>
              </w:rPr>
              <w:t>1</w:t>
            </w:r>
            <w:r>
              <w:rPr>
                <w:rFonts w:hint="eastAsia" w:ascii="宋体"/>
                <w:color w:val="auto"/>
                <w:szCs w:val="21"/>
                <w:highlight w:val="none"/>
              </w:rPr>
              <w:t>0</w:t>
            </w:r>
          </w:p>
        </w:tc>
        <w:tc>
          <w:tcPr>
            <w:tcW w:w="251" w:type="pct"/>
            <w:vMerge w:val="continue"/>
            <w:tcBorders>
              <w:left w:val="single" w:color="auto" w:sz="4" w:space="0"/>
            </w:tcBorders>
            <w:vAlign w:val="center"/>
          </w:tcPr>
          <w:p w14:paraId="4763832F">
            <w:pPr>
              <w:rPr>
                <w:color w:val="auto"/>
                <w:highlight w:val="none"/>
              </w:rPr>
            </w:pPr>
          </w:p>
        </w:tc>
        <w:tc>
          <w:tcPr>
            <w:tcW w:w="280" w:type="pct"/>
            <w:tcBorders>
              <w:left w:val="single" w:color="auto" w:sz="4" w:space="0"/>
            </w:tcBorders>
            <w:vAlign w:val="center"/>
          </w:tcPr>
          <w:p w14:paraId="72A9126A">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需求排期率</w:t>
            </w:r>
          </w:p>
        </w:tc>
        <w:tc>
          <w:tcPr>
            <w:tcW w:w="946" w:type="pct"/>
            <w:tcBorders>
              <w:left w:val="single" w:color="auto" w:sz="4" w:space="0"/>
            </w:tcBorders>
            <w:vAlign w:val="center"/>
          </w:tcPr>
          <w:p w14:paraId="3BFE9381">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用于记录统计周期内对</w:t>
            </w:r>
            <w:r>
              <w:rPr>
                <w:rFonts w:hint="eastAsia" w:ascii="宋体"/>
                <w:color w:val="auto"/>
                <w:szCs w:val="21"/>
                <w:highlight w:val="none"/>
              </w:rPr>
              <w:t>甲方</w:t>
            </w:r>
            <w:r>
              <w:rPr>
                <w:rFonts w:ascii="宋体"/>
                <w:color w:val="auto"/>
                <w:szCs w:val="21"/>
                <w:highlight w:val="none"/>
              </w:rPr>
              <w:t>需求进行投产计划安排的比例</w:t>
            </w:r>
          </w:p>
        </w:tc>
        <w:tc>
          <w:tcPr>
            <w:tcW w:w="1865" w:type="pct"/>
            <w:tcBorders>
              <w:left w:val="single" w:color="auto" w:sz="4" w:space="0"/>
            </w:tcBorders>
            <w:vAlign w:val="center"/>
          </w:tcPr>
          <w:p w14:paraId="1F79776A">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需求排期率=已排期需求数/总需求数</w:t>
            </w:r>
          </w:p>
          <w:p w14:paraId="6F6B671E">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注：已排期需求数指统计周期内已经纳入投产计划的需求个数。总需求数指统计周期内由</w:t>
            </w:r>
            <w:r>
              <w:rPr>
                <w:rFonts w:hint="eastAsia" w:ascii="宋体"/>
                <w:color w:val="auto"/>
                <w:szCs w:val="21"/>
                <w:highlight w:val="none"/>
              </w:rPr>
              <w:t>甲方</w:t>
            </w:r>
            <w:r>
              <w:rPr>
                <w:rFonts w:ascii="宋体"/>
                <w:color w:val="auto"/>
                <w:szCs w:val="21"/>
                <w:highlight w:val="none"/>
              </w:rPr>
              <w:t>提出到达服务商项目组的需求数。</w:t>
            </w:r>
          </w:p>
          <w:p w14:paraId="01BEEC3A">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5分【98%-100%】</w:t>
            </w:r>
          </w:p>
          <w:p w14:paraId="1FC62D8E">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3分【95%-97%】</w:t>
            </w:r>
          </w:p>
          <w:p w14:paraId="4B0BC34B">
            <w:pPr>
              <w:spacing w:beforeAutospacing="0" w:afterAutospacing="0" w:line="240" w:lineRule="auto"/>
              <w:ind w:firstLine="0" w:firstLineChars="0"/>
              <w:rPr>
                <w:rFonts w:ascii="宋体"/>
                <w:b/>
                <w:bCs/>
                <w:color w:val="auto"/>
                <w:szCs w:val="21"/>
                <w:highlight w:val="none"/>
              </w:rPr>
            </w:pPr>
            <w:r>
              <w:rPr>
                <w:rFonts w:hint="eastAsia" w:ascii="宋体"/>
                <w:b/>
                <w:color w:val="auto"/>
                <w:szCs w:val="21"/>
                <w:highlight w:val="none"/>
              </w:rPr>
              <w:t>0分【低于95%】</w:t>
            </w:r>
          </w:p>
        </w:tc>
        <w:tc>
          <w:tcPr>
            <w:tcW w:w="921" w:type="pct"/>
            <w:tcBorders>
              <w:left w:val="single" w:color="auto" w:sz="4" w:space="0"/>
            </w:tcBorders>
            <w:vAlign w:val="center"/>
          </w:tcPr>
          <w:p w14:paraId="6F3BBDE6">
            <w:pPr>
              <w:spacing w:beforeAutospacing="0" w:afterAutospacing="0" w:line="240" w:lineRule="auto"/>
              <w:ind w:firstLine="0" w:firstLineChars="0"/>
              <w:rPr>
                <w:rFonts w:ascii="宋体"/>
                <w:color w:val="auto"/>
                <w:szCs w:val="21"/>
                <w:highlight w:val="none"/>
              </w:rPr>
            </w:pPr>
          </w:p>
        </w:tc>
        <w:tc>
          <w:tcPr>
            <w:tcW w:w="253" w:type="pct"/>
            <w:tcBorders>
              <w:left w:val="single" w:color="auto" w:sz="4" w:space="0"/>
            </w:tcBorders>
            <w:vAlign w:val="center"/>
          </w:tcPr>
          <w:p w14:paraId="4E04CD6A">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6B093702">
            <w:pPr>
              <w:spacing w:beforeAutospacing="0" w:afterAutospacing="0" w:line="240" w:lineRule="auto"/>
              <w:ind w:firstLine="0" w:firstLineChars="0"/>
              <w:jc w:val="both"/>
              <w:rPr>
                <w:rFonts w:ascii="宋体"/>
                <w:color w:val="auto"/>
                <w:szCs w:val="21"/>
                <w:highlight w:val="none"/>
              </w:rPr>
            </w:pPr>
          </w:p>
        </w:tc>
      </w:tr>
      <w:tr w14:paraId="622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7AF4E2B1">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11</w:t>
            </w:r>
          </w:p>
        </w:tc>
        <w:tc>
          <w:tcPr>
            <w:tcW w:w="251" w:type="pct"/>
            <w:vMerge w:val="continue"/>
            <w:tcBorders>
              <w:left w:val="single" w:color="auto" w:sz="4" w:space="0"/>
            </w:tcBorders>
            <w:vAlign w:val="center"/>
          </w:tcPr>
          <w:p w14:paraId="353F1810">
            <w:pPr>
              <w:rPr>
                <w:color w:val="auto"/>
                <w:highlight w:val="none"/>
              </w:rPr>
            </w:pPr>
          </w:p>
        </w:tc>
        <w:tc>
          <w:tcPr>
            <w:tcW w:w="280" w:type="pct"/>
            <w:tcBorders>
              <w:left w:val="single" w:color="auto" w:sz="4" w:space="0"/>
            </w:tcBorders>
            <w:vAlign w:val="center"/>
          </w:tcPr>
          <w:p w14:paraId="45BFA7BD">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需求完成率</w:t>
            </w:r>
          </w:p>
        </w:tc>
        <w:tc>
          <w:tcPr>
            <w:tcW w:w="946" w:type="pct"/>
            <w:tcBorders>
              <w:left w:val="single" w:color="auto" w:sz="4" w:space="0"/>
            </w:tcBorders>
            <w:vAlign w:val="center"/>
          </w:tcPr>
          <w:p w14:paraId="452B9447">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用于记录统计周期内</w:t>
            </w:r>
            <w:r>
              <w:rPr>
                <w:rFonts w:hint="eastAsia" w:ascii="宋体"/>
                <w:color w:val="auto"/>
                <w:szCs w:val="21"/>
                <w:highlight w:val="none"/>
              </w:rPr>
              <w:t>甲方</w:t>
            </w:r>
            <w:r>
              <w:rPr>
                <w:rFonts w:ascii="宋体"/>
                <w:color w:val="auto"/>
                <w:szCs w:val="21"/>
                <w:highlight w:val="none"/>
              </w:rPr>
              <w:t>需求完成投产的比例</w:t>
            </w:r>
          </w:p>
        </w:tc>
        <w:tc>
          <w:tcPr>
            <w:tcW w:w="1865" w:type="pct"/>
            <w:tcBorders>
              <w:left w:val="single" w:color="auto" w:sz="4" w:space="0"/>
            </w:tcBorders>
            <w:vAlign w:val="center"/>
          </w:tcPr>
          <w:p w14:paraId="5D2A62A4">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需</w:t>
            </w:r>
            <w:r>
              <w:rPr>
                <w:rFonts w:ascii="宋体"/>
                <w:color w:val="auto"/>
                <w:szCs w:val="21"/>
                <w:highlight w:val="none"/>
              </w:rPr>
              <w:t>求完成率=流程完结需求数/总需求数</w:t>
            </w:r>
          </w:p>
          <w:p w14:paraId="6D7EE4C9">
            <w:pPr>
              <w:spacing w:beforeAutospacing="0" w:afterAutospacing="0" w:line="240" w:lineRule="auto"/>
              <w:ind w:firstLine="0" w:firstLineChars="0"/>
              <w:rPr>
                <w:rFonts w:ascii="宋体"/>
                <w:color w:val="auto"/>
                <w:szCs w:val="21"/>
                <w:highlight w:val="none"/>
              </w:rPr>
            </w:pPr>
            <w:r>
              <w:rPr>
                <w:rFonts w:ascii="宋体"/>
                <w:color w:val="auto"/>
                <w:szCs w:val="21"/>
                <w:highlight w:val="none"/>
              </w:rPr>
              <w:t>注：流程完结需求数指统计周期内已完成投产的需求个数</w:t>
            </w:r>
            <w:r>
              <w:rPr>
                <w:rFonts w:hint="eastAsia" w:ascii="宋体"/>
                <w:color w:val="auto"/>
                <w:szCs w:val="21"/>
                <w:highlight w:val="none"/>
              </w:rPr>
              <w:t>；</w:t>
            </w:r>
            <w:r>
              <w:rPr>
                <w:rFonts w:ascii="宋体"/>
                <w:color w:val="auto"/>
                <w:szCs w:val="21"/>
                <w:highlight w:val="none"/>
              </w:rPr>
              <w:t>总需求数指统计周期内由</w:t>
            </w:r>
            <w:r>
              <w:rPr>
                <w:rFonts w:hint="eastAsia" w:ascii="宋体"/>
                <w:color w:val="auto"/>
                <w:szCs w:val="21"/>
                <w:highlight w:val="none"/>
              </w:rPr>
              <w:t>甲方</w:t>
            </w:r>
            <w:r>
              <w:rPr>
                <w:rFonts w:ascii="宋体"/>
                <w:color w:val="auto"/>
                <w:szCs w:val="21"/>
                <w:highlight w:val="none"/>
              </w:rPr>
              <w:t>提出到达服务商项目组的需求个数。</w:t>
            </w:r>
          </w:p>
          <w:p w14:paraId="6109CF99">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5分【98%-100%】</w:t>
            </w:r>
          </w:p>
          <w:p w14:paraId="26260E08">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3分【95%-97%】</w:t>
            </w:r>
          </w:p>
          <w:p w14:paraId="7F3A0A69">
            <w:pPr>
              <w:spacing w:beforeAutospacing="0" w:afterAutospacing="0" w:line="240" w:lineRule="auto"/>
              <w:ind w:firstLine="0" w:firstLineChars="0"/>
              <w:rPr>
                <w:rFonts w:ascii="宋体"/>
                <w:b/>
                <w:bCs/>
                <w:color w:val="auto"/>
                <w:szCs w:val="21"/>
                <w:highlight w:val="none"/>
              </w:rPr>
            </w:pPr>
            <w:r>
              <w:rPr>
                <w:rFonts w:hint="eastAsia" w:ascii="宋体"/>
                <w:b/>
                <w:color w:val="auto"/>
                <w:szCs w:val="21"/>
                <w:highlight w:val="none"/>
              </w:rPr>
              <w:t>0分【低于95%】</w:t>
            </w:r>
          </w:p>
        </w:tc>
        <w:tc>
          <w:tcPr>
            <w:tcW w:w="921" w:type="pct"/>
            <w:tcBorders>
              <w:left w:val="single" w:color="auto" w:sz="4" w:space="0"/>
            </w:tcBorders>
            <w:vAlign w:val="center"/>
          </w:tcPr>
          <w:p w14:paraId="5A014C3A">
            <w:pPr>
              <w:spacing w:beforeAutospacing="0" w:afterAutospacing="0" w:line="240" w:lineRule="auto"/>
              <w:ind w:firstLine="0" w:firstLineChars="0"/>
              <w:rPr>
                <w:rFonts w:ascii="宋体"/>
                <w:color w:val="auto"/>
                <w:szCs w:val="21"/>
                <w:highlight w:val="none"/>
              </w:rPr>
            </w:pPr>
          </w:p>
        </w:tc>
        <w:tc>
          <w:tcPr>
            <w:tcW w:w="253" w:type="pct"/>
            <w:tcBorders>
              <w:left w:val="single" w:color="auto" w:sz="4" w:space="0"/>
            </w:tcBorders>
            <w:vAlign w:val="center"/>
          </w:tcPr>
          <w:p w14:paraId="09B4B636">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66EC741B">
            <w:pPr>
              <w:spacing w:beforeAutospacing="0" w:afterAutospacing="0" w:line="240" w:lineRule="auto"/>
              <w:ind w:firstLine="0" w:firstLineChars="0"/>
              <w:jc w:val="both"/>
              <w:rPr>
                <w:rFonts w:ascii="宋体"/>
                <w:color w:val="auto"/>
                <w:szCs w:val="21"/>
                <w:highlight w:val="none"/>
              </w:rPr>
            </w:pPr>
          </w:p>
        </w:tc>
      </w:tr>
      <w:tr w14:paraId="6E44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6E2B53D7">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12</w:t>
            </w:r>
          </w:p>
        </w:tc>
        <w:tc>
          <w:tcPr>
            <w:tcW w:w="251" w:type="pct"/>
            <w:vMerge w:val="continue"/>
            <w:tcBorders>
              <w:left w:val="single" w:color="auto" w:sz="4" w:space="0"/>
            </w:tcBorders>
            <w:vAlign w:val="center"/>
          </w:tcPr>
          <w:p w14:paraId="6601ADB2">
            <w:pPr>
              <w:rPr>
                <w:color w:val="auto"/>
                <w:highlight w:val="none"/>
              </w:rPr>
            </w:pPr>
          </w:p>
        </w:tc>
        <w:tc>
          <w:tcPr>
            <w:tcW w:w="280" w:type="pct"/>
            <w:tcBorders>
              <w:left w:val="single" w:color="auto" w:sz="4" w:space="0"/>
            </w:tcBorders>
            <w:vAlign w:val="center"/>
          </w:tcPr>
          <w:p w14:paraId="50F20020">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人员行为规范性</w:t>
            </w:r>
          </w:p>
        </w:tc>
        <w:tc>
          <w:tcPr>
            <w:tcW w:w="946" w:type="pct"/>
            <w:tcBorders>
              <w:left w:val="single" w:color="auto" w:sz="4" w:space="0"/>
            </w:tcBorders>
            <w:vAlign w:val="center"/>
          </w:tcPr>
          <w:p w14:paraId="76FD4311">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于记录外包场地日常管理或</w:t>
            </w:r>
            <w:r>
              <w:rPr>
                <w:rFonts w:hint="eastAsia" w:ascii="宋体"/>
                <w:color w:val="auto"/>
                <w:szCs w:val="21"/>
                <w:highlight w:val="none"/>
              </w:rPr>
              <w:t>检查</w:t>
            </w:r>
            <w:r>
              <w:rPr>
                <w:rFonts w:ascii="宋体"/>
                <w:color w:val="auto"/>
                <w:szCs w:val="21"/>
                <w:highlight w:val="none"/>
              </w:rPr>
              <w:t>过程中发现外包人员</w:t>
            </w:r>
            <w:r>
              <w:rPr>
                <w:rFonts w:hint="eastAsia" w:ascii="宋体"/>
                <w:color w:val="auto"/>
                <w:szCs w:val="21"/>
                <w:highlight w:val="none"/>
              </w:rPr>
              <w:t>行为</w:t>
            </w:r>
            <w:r>
              <w:rPr>
                <w:rFonts w:ascii="宋体"/>
                <w:color w:val="auto"/>
                <w:szCs w:val="21"/>
                <w:highlight w:val="none"/>
              </w:rPr>
              <w:t>违</w:t>
            </w:r>
            <w:r>
              <w:rPr>
                <w:rFonts w:hint="eastAsia" w:ascii="宋体"/>
                <w:color w:val="auto"/>
                <w:szCs w:val="21"/>
                <w:highlight w:val="none"/>
              </w:rPr>
              <w:t>规（包括但不限于办公纪律、造成办公环境物理安全隐患等）</w:t>
            </w:r>
            <w:r>
              <w:rPr>
                <w:rFonts w:ascii="宋体"/>
                <w:color w:val="auto"/>
                <w:szCs w:val="21"/>
                <w:highlight w:val="none"/>
              </w:rPr>
              <w:t>的次数</w:t>
            </w:r>
          </w:p>
        </w:tc>
        <w:tc>
          <w:tcPr>
            <w:tcW w:w="1865" w:type="pct"/>
            <w:tcBorders>
              <w:left w:val="single" w:color="auto" w:sz="4" w:space="0"/>
            </w:tcBorders>
            <w:vAlign w:val="center"/>
          </w:tcPr>
          <w:p w14:paraId="028594ED">
            <w:pPr>
              <w:spacing w:beforeAutospacing="0" w:afterAutospacing="0" w:line="240" w:lineRule="auto"/>
              <w:ind w:firstLine="0" w:firstLineChars="0"/>
              <w:rPr>
                <w:rFonts w:ascii="宋体"/>
                <w:b/>
                <w:bCs/>
                <w:color w:val="auto"/>
                <w:szCs w:val="21"/>
                <w:highlight w:val="none"/>
              </w:rPr>
            </w:pPr>
            <w:r>
              <w:rPr>
                <w:rFonts w:hint="eastAsia" w:ascii="宋体"/>
                <w:b/>
                <w:bCs/>
                <w:color w:val="auto"/>
                <w:szCs w:val="21"/>
                <w:highlight w:val="none"/>
              </w:rPr>
              <w:t>【得分上限1</w:t>
            </w:r>
            <w:r>
              <w:rPr>
                <w:rFonts w:ascii="宋体"/>
                <w:b/>
                <w:bCs/>
                <w:color w:val="auto"/>
                <w:szCs w:val="21"/>
                <w:highlight w:val="none"/>
              </w:rPr>
              <w:t>0</w:t>
            </w:r>
            <w:r>
              <w:rPr>
                <w:rFonts w:hint="eastAsia" w:ascii="宋体"/>
                <w:b/>
                <w:bCs/>
                <w:color w:val="auto"/>
                <w:szCs w:val="21"/>
                <w:highlight w:val="none"/>
              </w:rPr>
              <w:t>分】</w:t>
            </w:r>
          </w:p>
          <w:p w14:paraId="47333D5F">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0次：</w:t>
            </w:r>
            <w:r>
              <w:rPr>
                <w:rFonts w:hint="eastAsia" w:ascii="宋体"/>
                <w:color w:val="auto"/>
                <w:szCs w:val="21"/>
                <w:highlight w:val="none"/>
              </w:rPr>
              <w:t>指未出现外包人员行为违规，该项指标满分；</w:t>
            </w:r>
          </w:p>
          <w:p w14:paraId="2EB415A6">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1次及以上：</w:t>
            </w:r>
            <w:r>
              <w:rPr>
                <w:rFonts w:hint="eastAsia" w:ascii="宋体"/>
                <w:color w:val="auto"/>
                <w:szCs w:val="21"/>
                <w:highlight w:val="none"/>
              </w:rPr>
              <w:t>指检查发现外包人员行为违规1次及以上（每人次扣5分，最高扣除1</w:t>
            </w:r>
            <w:r>
              <w:rPr>
                <w:rFonts w:ascii="宋体"/>
                <w:color w:val="auto"/>
                <w:szCs w:val="21"/>
                <w:highlight w:val="none"/>
              </w:rPr>
              <w:t>0</w:t>
            </w:r>
            <w:r>
              <w:rPr>
                <w:rFonts w:hint="eastAsia" w:ascii="宋体"/>
                <w:color w:val="auto"/>
                <w:szCs w:val="21"/>
                <w:highlight w:val="none"/>
              </w:rPr>
              <w:t>分）</w:t>
            </w:r>
          </w:p>
        </w:tc>
        <w:tc>
          <w:tcPr>
            <w:tcW w:w="921" w:type="pct"/>
            <w:tcBorders>
              <w:left w:val="single" w:color="auto" w:sz="4" w:space="0"/>
            </w:tcBorders>
            <w:vAlign w:val="center"/>
          </w:tcPr>
          <w:p w14:paraId="288F4CFA">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每出现一次人员行为</w:t>
            </w:r>
            <w:r>
              <w:rPr>
                <w:rFonts w:ascii="宋体"/>
                <w:color w:val="auto"/>
                <w:szCs w:val="21"/>
                <w:highlight w:val="none"/>
              </w:rPr>
              <w:t>违规</w:t>
            </w:r>
            <w:r>
              <w:rPr>
                <w:rFonts w:hint="eastAsia" w:ascii="宋体"/>
                <w:color w:val="auto"/>
                <w:szCs w:val="21"/>
                <w:highlight w:val="none"/>
              </w:rPr>
              <w:t>，扣除乙方金额人民币不低于500元。</w:t>
            </w:r>
          </w:p>
        </w:tc>
        <w:tc>
          <w:tcPr>
            <w:tcW w:w="253" w:type="pct"/>
            <w:tcBorders>
              <w:left w:val="single" w:color="auto" w:sz="4" w:space="0"/>
            </w:tcBorders>
            <w:vAlign w:val="center"/>
          </w:tcPr>
          <w:p w14:paraId="625E3A94">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57B5B7EB">
            <w:pPr>
              <w:spacing w:beforeAutospacing="0" w:afterAutospacing="0" w:line="240" w:lineRule="auto"/>
              <w:ind w:firstLine="0" w:firstLineChars="0"/>
              <w:jc w:val="both"/>
              <w:rPr>
                <w:rFonts w:ascii="宋体"/>
                <w:color w:val="auto"/>
                <w:szCs w:val="21"/>
                <w:highlight w:val="none"/>
              </w:rPr>
            </w:pPr>
          </w:p>
        </w:tc>
      </w:tr>
      <w:tr w14:paraId="60F4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4A675F3E">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13</w:t>
            </w:r>
          </w:p>
        </w:tc>
        <w:tc>
          <w:tcPr>
            <w:tcW w:w="251" w:type="pct"/>
            <w:vMerge w:val="continue"/>
            <w:tcBorders>
              <w:left w:val="single" w:color="auto" w:sz="4" w:space="0"/>
            </w:tcBorders>
            <w:vAlign w:val="center"/>
          </w:tcPr>
          <w:p w14:paraId="3C570B00">
            <w:pPr>
              <w:rPr>
                <w:color w:val="auto"/>
                <w:highlight w:val="none"/>
              </w:rPr>
            </w:pPr>
          </w:p>
        </w:tc>
        <w:tc>
          <w:tcPr>
            <w:tcW w:w="280" w:type="pct"/>
            <w:tcBorders>
              <w:left w:val="single" w:color="auto" w:sz="4" w:space="0"/>
            </w:tcBorders>
            <w:vAlign w:val="center"/>
          </w:tcPr>
          <w:p w14:paraId="24A7CF7C">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人员变动率</w:t>
            </w:r>
          </w:p>
        </w:tc>
        <w:tc>
          <w:tcPr>
            <w:tcW w:w="946" w:type="pct"/>
            <w:tcBorders>
              <w:left w:val="single" w:color="auto" w:sz="4" w:space="0"/>
            </w:tcBorders>
            <w:vAlign w:val="center"/>
          </w:tcPr>
          <w:p w14:paraId="7951B34B">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用</w:t>
            </w:r>
            <w:r>
              <w:rPr>
                <w:rFonts w:ascii="宋体"/>
                <w:color w:val="auto"/>
                <w:szCs w:val="21"/>
                <w:highlight w:val="none"/>
              </w:rPr>
              <w:t>于记录统计周期内</w:t>
            </w:r>
            <w:r>
              <w:rPr>
                <w:rFonts w:hint="eastAsia" w:ascii="宋体"/>
                <w:color w:val="auto"/>
                <w:szCs w:val="21"/>
                <w:highlight w:val="none"/>
              </w:rPr>
              <w:t>乙方未经甲方同意</w:t>
            </w:r>
            <w:r>
              <w:rPr>
                <w:rFonts w:ascii="宋体"/>
                <w:color w:val="auto"/>
                <w:szCs w:val="21"/>
                <w:highlight w:val="none"/>
              </w:rPr>
              <w:t>更换外包人员数量占</w:t>
            </w:r>
            <w:r>
              <w:rPr>
                <w:rFonts w:hint="eastAsia" w:ascii="宋体"/>
                <w:color w:val="auto"/>
                <w:szCs w:val="21"/>
                <w:highlight w:val="none"/>
              </w:rPr>
              <w:t>乙方</w:t>
            </w:r>
            <w:r>
              <w:rPr>
                <w:rFonts w:ascii="宋体"/>
                <w:color w:val="auto"/>
                <w:szCs w:val="21"/>
                <w:highlight w:val="none"/>
              </w:rPr>
              <w:t>驻场外包人员总数量的比率</w:t>
            </w:r>
          </w:p>
        </w:tc>
        <w:tc>
          <w:tcPr>
            <w:tcW w:w="1865" w:type="pct"/>
            <w:tcBorders>
              <w:left w:val="single" w:color="auto" w:sz="4" w:space="0"/>
            </w:tcBorders>
            <w:vAlign w:val="center"/>
          </w:tcPr>
          <w:p w14:paraId="7B0381AD">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人</w:t>
            </w:r>
            <w:r>
              <w:rPr>
                <w:rFonts w:ascii="宋体"/>
                <w:color w:val="auto"/>
                <w:szCs w:val="21"/>
                <w:highlight w:val="none"/>
              </w:rPr>
              <w:t>员变动率=</w:t>
            </w:r>
            <w:r>
              <w:rPr>
                <w:rFonts w:hint="eastAsia" w:ascii="宋体"/>
                <w:color w:val="auto"/>
                <w:szCs w:val="21"/>
                <w:highlight w:val="none"/>
              </w:rPr>
              <w:t>乙方未经甲方同意</w:t>
            </w:r>
            <w:r>
              <w:rPr>
                <w:rFonts w:ascii="宋体"/>
                <w:color w:val="auto"/>
                <w:szCs w:val="21"/>
                <w:highlight w:val="none"/>
              </w:rPr>
              <w:t>更换外包人员数量/</w:t>
            </w:r>
            <w:r>
              <w:rPr>
                <w:rFonts w:hint="eastAsia" w:ascii="宋体"/>
                <w:color w:val="auto"/>
                <w:szCs w:val="21"/>
                <w:highlight w:val="none"/>
              </w:rPr>
              <w:t>乙方</w:t>
            </w:r>
            <w:r>
              <w:rPr>
                <w:rFonts w:ascii="宋体"/>
                <w:color w:val="auto"/>
                <w:szCs w:val="21"/>
                <w:highlight w:val="none"/>
              </w:rPr>
              <w:t>驻场外包人员总数量</w:t>
            </w:r>
          </w:p>
          <w:p w14:paraId="53E26A12">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10分【0-20%】</w:t>
            </w:r>
          </w:p>
          <w:p w14:paraId="1403C753">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5分【20%-40%】</w:t>
            </w:r>
          </w:p>
          <w:p w14:paraId="6148DBC1">
            <w:pPr>
              <w:spacing w:beforeAutospacing="0" w:afterAutospacing="0" w:line="240" w:lineRule="auto"/>
              <w:ind w:firstLine="0" w:firstLineChars="0"/>
              <w:rPr>
                <w:rFonts w:ascii="宋体"/>
                <w:b/>
                <w:color w:val="auto"/>
                <w:szCs w:val="21"/>
                <w:highlight w:val="none"/>
              </w:rPr>
            </w:pPr>
            <w:r>
              <w:rPr>
                <w:rFonts w:hint="eastAsia" w:ascii="宋体"/>
                <w:b/>
                <w:color w:val="auto"/>
                <w:szCs w:val="21"/>
                <w:highlight w:val="none"/>
              </w:rPr>
              <w:t>0分【超过40%】</w:t>
            </w:r>
          </w:p>
        </w:tc>
        <w:tc>
          <w:tcPr>
            <w:tcW w:w="921" w:type="pct"/>
            <w:tcBorders>
              <w:left w:val="single" w:color="auto" w:sz="4" w:space="0"/>
            </w:tcBorders>
            <w:vAlign w:val="center"/>
          </w:tcPr>
          <w:p w14:paraId="265B10FD">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技术骨干或项目经理未经甲方同意变动，扣除乙方金额人民币不低于3万元；其余人员变动率超过40</w:t>
            </w:r>
            <w:r>
              <w:rPr>
                <w:rFonts w:ascii="宋体"/>
                <w:color w:val="auto"/>
                <w:szCs w:val="21"/>
                <w:highlight w:val="none"/>
              </w:rPr>
              <w:t>%</w:t>
            </w:r>
            <w:r>
              <w:rPr>
                <w:rFonts w:hint="eastAsia" w:ascii="宋体"/>
                <w:color w:val="auto"/>
                <w:szCs w:val="21"/>
                <w:highlight w:val="none"/>
              </w:rPr>
              <w:t>，扣除不低于合同总金额的1%。</w:t>
            </w:r>
          </w:p>
        </w:tc>
        <w:tc>
          <w:tcPr>
            <w:tcW w:w="253" w:type="pct"/>
            <w:tcBorders>
              <w:left w:val="single" w:color="auto" w:sz="4" w:space="0"/>
            </w:tcBorders>
            <w:vAlign w:val="center"/>
          </w:tcPr>
          <w:p w14:paraId="370E5E21">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21894A54">
            <w:pPr>
              <w:spacing w:beforeAutospacing="0" w:afterAutospacing="0" w:line="240" w:lineRule="auto"/>
              <w:ind w:firstLine="0" w:firstLineChars="0"/>
              <w:jc w:val="both"/>
              <w:rPr>
                <w:rFonts w:ascii="宋体"/>
                <w:color w:val="auto"/>
                <w:szCs w:val="21"/>
                <w:highlight w:val="none"/>
              </w:rPr>
            </w:pPr>
          </w:p>
        </w:tc>
      </w:tr>
      <w:tr w14:paraId="3158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0638DE2F">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14</w:t>
            </w:r>
          </w:p>
        </w:tc>
        <w:tc>
          <w:tcPr>
            <w:tcW w:w="251" w:type="pct"/>
            <w:vMerge w:val="continue"/>
            <w:tcBorders>
              <w:left w:val="single" w:color="auto" w:sz="4" w:space="0"/>
            </w:tcBorders>
            <w:vAlign w:val="center"/>
          </w:tcPr>
          <w:p w14:paraId="61D85789">
            <w:pPr>
              <w:rPr>
                <w:color w:val="auto"/>
                <w:highlight w:val="none"/>
              </w:rPr>
            </w:pPr>
          </w:p>
        </w:tc>
        <w:tc>
          <w:tcPr>
            <w:tcW w:w="280" w:type="pct"/>
            <w:tcBorders>
              <w:left w:val="single" w:color="auto" w:sz="4" w:space="0"/>
            </w:tcBorders>
            <w:vAlign w:val="center"/>
          </w:tcPr>
          <w:p w14:paraId="42BF32C5">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人员满意度评价</w:t>
            </w:r>
          </w:p>
        </w:tc>
        <w:tc>
          <w:tcPr>
            <w:tcW w:w="946" w:type="pct"/>
            <w:tcBorders>
              <w:left w:val="single" w:color="auto" w:sz="4" w:space="0"/>
            </w:tcBorders>
            <w:vAlign w:val="center"/>
          </w:tcPr>
          <w:p w14:paraId="6C0197ED">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甲方</w:t>
            </w:r>
            <w:r>
              <w:rPr>
                <w:rFonts w:ascii="宋体"/>
                <w:color w:val="auto"/>
                <w:szCs w:val="21"/>
                <w:highlight w:val="none"/>
              </w:rPr>
              <w:t>对</w:t>
            </w:r>
            <w:r>
              <w:rPr>
                <w:rFonts w:hint="eastAsia" w:ascii="宋体"/>
                <w:color w:val="auto"/>
                <w:szCs w:val="21"/>
                <w:highlight w:val="none"/>
              </w:rPr>
              <w:t>乙方</w:t>
            </w:r>
            <w:r>
              <w:rPr>
                <w:rFonts w:ascii="宋体"/>
                <w:color w:val="auto"/>
                <w:szCs w:val="21"/>
                <w:highlight w:val="none"/>
              </w:rPr>
              <w:t>外包人员表现的满意度评价</w:t>
            </w:r>
          </w:p>
        </w:tc>
        <w:tc>
          <w:tcPr>
            <w:tcW w:w="1865" w:type="pct"/>
            <w:tcBorders>
              <w:left w:val="single" w:color="auto" w:sz="4" w:space="0"/>
            </w:tcBorders>
            <w:vAlign w:val="center"/>
          </w:tcPr>
          <w:p w14:paraId="2C9CCE60">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优秀：</w:t>
            </w:r>
            <w:r>
              <w:rPr>
                <w:rFonts w:hint="eastAsia" w:ascii="宋体"/>
                <w:color w:val="auto"/>
                <w:szCs w:val="21"/>
                <w:highlight w:val="none"/>
              </w:rPr>
              <w:t>5分，</w:t>
            </w:r>
            <w:r>
              <w:rPr>
                <w:rFonts w:ascii="宋体"/>
                <w:color w:val="auto"/>
                <w:szCs w:val="21"/>
                <w:highlight w:val="none"/>
              </w:rPr>
              <w:t>指</w:t>
            </w:r>
            <w:r>
              <w:rPr>
                <w:rFonts w:hint="eastAsia" w:ascii="宋体"/>
                <w:color w:val="auto"/>
                <w:szCs w:val="21"/>
                <w:highlight w:val="none"/>
              </w:rPr>
              <w:t>工作效率高，态度积极主动，</w:t>
            </w:r>
            <w:r>
              <w:rPr>
                <w:rFonts w:ascii="宋体"/>
                <w:color w:val="auto"/>
                <w:szCs w:val="21"/>
                <w:highlight w:val="none"/>
              </w:rPr>
              <w:t>保质保量完成工作任务</w:t>
            </w:r>
            <w:r>
              <w:rPr>
                <w:rFonts w:hint="eastAsia" w:ascii="宋体"/>
                <w:color w:val="auto"/>
                <w:szCs w:val="21"/>
                <w:highlight w:val="none"/>
              </w:rPr>
              <w:t>，</w:t>
            </w:r>
            <w:r>
              <w:rPr>
                <w:rFonts w:ascii="宋体"/>
                <w:color w:val="auto"/>
                <w:szCs w:val="21"/>
                <w:highlight w:val="none"/>
              </w:rPr>
              <w:t>对团队有突出贡献，日常行为能起到模范带头作用</w:t>
            </w:r>
            <w:r>
              <w:rPr>
                <w:rFonts w:hint="eastAsia" w:ascii="宋体"/>
                <w:color w:val="auto"/>
                <w:szCs w:val="21"/>
                <w:highlight w:val="none"/>
              </w:rPr>
              <w:t>的；</w:t>
            </w:r>
          </w:p>
          <w:p w14:paraId="6783BECA">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良好：</w:t>
            </w:r>
            <w:r>
              <w:rPr>
                <w:rFonts w:hint="eastAsia" w:ascii="宋体"/>
                <w:color w:val="auto"/>
                <w:szCs w:val="21"/>
                <w:highlight w:val="none"/>
              </w:rPr>
              <w:t>4分，</w:t>
            </w:r>
            <w:r>
              <w:rPr>
                <w:rFonts w:ascii="宋体"/>
                <w:color w:val="auto"/>
                <w:szCs w:val="21"/>
                <w:highlight w:val="none"/>
              </w:rPr>
              <w:t>指</w:t>
            </w:r>
            <w:r>
              <w:rPr>
                <w:rFonts w:hint="eastAsia" w:ascii="宋体"/>
                <w:color w:val="auto"/>
                <w:szCs w:val="21"/>
                <w:highlight w:val="none"/>
              </w:rPr>
              <w:t>工作效率较高，态度比较主动，较好</w:t>
            </w:r>
            <w:r>
              <w:rPr>
                <w:rFonts w:ascii="宋体"/>
                <w:color w:val="auto"/>
                <w:szCs w:val="21"/>
                <w:highlight w:val="none"/>
              </w:rPr>
              <w:t>完成工作任务</w:t>
            </w:r>
            <w:r>
              <w:rPr>
                <w:rFonts w:hint="eastAsia" w:ascii="宋体"/>
                <w:color w:val="auto"/>
                <w:szCs w:val="21"/>
                <w:highlight w:val="none"/>
              </w:rPr>
              <w:t>，</w:t>
            </w:r>
            <w:r>
              <w:rPr>
                <w:rFonts w:ascii="宋体"/>
                <w:color w:val="auto"/>
                <w:szCs w:val="21"/>
                <w:highlight w:val="none"/>
              </w:rPr>
              <w:t>对团队有</w:t>
            </w:r>
            <w:r>
              <w:rPr>
                <w:rFonts w:hint="eastAsia" w:ascii="宋体"/>
                <w:color w:val="auto"/>
                <w:szCs w:val="21"/>
                <w:highlight w:val="none"/>
              </w:rPr>
              <w:t>一定</w:t>
            </w:r>
            <w:r>
              <w:rPr>
                <w:rFonts w:ascii="宋体"/>
                <w:color w:val="auto"/>
                <w:szCs w:val="21"/>
                <w:highlight w:val="none"/>
              </w:rPr>
              <w:t>贡献，日常行为</w:t>
            </w:r>
            <w:r>
              <w:rPr>
                <w:rFonts w:hint="eastAsia" w:ascii="宋体"/>
                <w:color w:val="auto"/>
                <w:szCs w:val="21"/>
                <w:highlight w:val="none"/>
              </w:rPr>
              <w:t>表现较好的；</w:t>
            </w:r>
          </w:p>
          <w:p w14:paraId="113F4A9A">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合格：</w:t>
            </w:r>
            <w:r>
              <w:rPr>
                <w:rFonts w:hint="eastAsia" w:ascii="宋体"/>
                <w:color w:val="auto"/>
                <w:szCs w:val="21"/>
                <w:highlight w:val="none"/>
              </w:rPr>
              <w:t>3分，</w:t>
            </w:r>
            <w:r>
              <w:rPr>
                <w:rFonts w:ascii="宋体"/>
                <w:color w:val="auto"/>
                <w:szCs w:val="21"/>
                <w:highlight w:val="none"/>
              </w:rPr>
              <w:t>指</w:t>
            </w:r>
            <w:r>
              <w:rPr>
                <w:rFonts w:hint="eastAsia" w:ascii="宋体"/>
                <w:color w:val="auto"/>
                <w:szCs w:val="21"/>
                <w:highlight w:val="none"/>
              </w:rPr>
              <w:t>工作效率一般，态度合格，能够按时</w:t>
            </w:r>
            <w:r>
              <w:rPr>
                <w:rFonts w:ascii="宋体"/>
                <w:color w:val="auto"/>
                <w:szCs w:val="21"/>
                <w:highlight w:val="none"/>
              </w:rPr>
              <w:t>完成工作任务</w:t>
            </w:r>
            <w:r>
              <w:rPr>
                <w:rFonts w:hint="eastAsia" w:ascii="宋体"/>
                <w:color w:val="auto"/>
                <w:szCs w:val="21"/>
                <w:highlight w:val="none"/>
              </w:rPr>
              <w:t>的；</w:t>
            </w:r>
          </w:p>
          <w:p w14:paraId="02F5891A">
            <w:pPr>
              <w:spacing w:beforeAutospacing="0" w:afterAutospacing="0" w:line="240" w:lineRule="auto"/>
              <w:ind w:firstLine="0" w:firstLineChars="0"/>
              <w:rPr>
                <w:rFonts w:ascii="宋体"/>
                <w:color w:val="auto"/>
                <w:szCs w:val="21"/>
                <w:highlight w:val="none"/>
              </w:rPr>
            </w:pPr>
            <w:r>
              <w:rPr>
                <w:rFonts w:hint="eastAsia" w:ascii="宋体"/>
                <w:b/>
                <w:bCs/>
                <w:color w:val="auto"/>
                <w:szCs w:val="21"/>
                <w:highlight w:val="none"/>
              </w:rPr>
              <w:t>较差/差：</w:t>
            </w:r>
            <w:r>
              <w:rPr>
                <w:rFonts w:hint="eastAsia" w:ascii="宋体"/>
                <w:color w:val="auto"/>
                <w:szCs w:val="21"/>
                <w:highlight w:val="none"/>
              </w:rPr>
              <w:t>0分，</w:t>
            </w:r>
            <w:r>
              <w:rPr>
                <w:rFonts w:ascii="宋体"/>
                <w:color w:val="auto"/>
                <w:szCs w:val="21"/>
                <w:highlight w:val="none"/>
              </w:rPr>
              <w:t>指</w:t>
            </w:r>
            <w:r>
              <w:rPr>
                <w:rFonts w:hint="eastAsia" w:ascii="宋体"/>
                <w:color w:val="auto"/>
                <w:szCs w:val="21"/>
                <w:highlight w:val="none"/>
              </w:rPr>
              <w:t>工作效率低下，态度懈怠散漫，不能按时</w:t>
            </w:r>
            <w:r>
              <w:rPr>
                <w:rFonts w:ascii="宋体"/>
                <w:color w:val="auto"/>
                <w:szCs w:val="21"/>
                <w:highlight w:val="none"/>
              </w:rPr>
              <w:t>完成工作任务</w:t>
            </w:r>
            <w:r>
              <w:rPr>
                <w:rFonts w:hint="eastAsia" w:ascii="宋体"/>
                <w:color w:val="auto"/>
                <w:szCs w:val="21"/>
                <w:highlight w:val="none"/>
              </w:rPr>
              <w:t>的。</w:t>
            </w:r>
          </w:p>
        </w:tc>
        <w:tc>
          <w:tcPr>
            <w:tcW w:w="921" w:type="pct"/>
            <w:tcBorders>
              <w:left w:val="single" w:color="auto" w:sz="4" w:space="0"/>
            </w:tcBorders>
            <w:vAlign w:val="center"/>
          </w:tcPr>
          <w:p w14:paraId="520E6679">
            <w:pPr>
              <w:spacing w:beforeAutospacing="0" w:afterAutospacing="0" w:line="240" w:lineRule="auto"/>
              <w:ind w:firstLine="0" w:firstLineChars="0"/>
              <w:rPr>
                <w:rFonts w:ascii="宋体"/>
                <w:color w:val="auto"/>
                <w:szCs w:val="21"/>
                <w:highlight w:val="none"/>
              </w:rPr>
            </w:pPr>
            <w:r>
              <w:rPr>
                <w:rFonts w:hint="eastAsia" w:ascii="宋体"/>
                <w:color w:val="auto"/>
                <w:szCs w:val="21"/>
                <w:highlight w:val="none"/>
              </w:rPr>
              <w:t>评价为较差/差时，甲方有权要求乙方更换人员并赔偿实际损失。</w:t>
            </w:r>
          </w:p>
        </w:tc>
        <w:tc>
          <w:tcPr>
            <w:tcW w:w="253" w:type="pct"/>
            <w:tcBorders>
              <w:left w:val="single" w:color="auto" w:sz="4" w:space="0"/>
            </w:tcBorders>
            <w:vAlign w:val="center"/>
          </w:tcPr>
          <w:p w14:paraId="1A350DFD">
            <w:pPr>
              <w:spacing w:beforeAutospacing="0" w:afterAutospacing="0" w:line="240" w:lineRule="auto"/>
              <w:ind w:firstLine="0" w:firstLineChars="0"/>
              <w:jc w:val="both"/>
              <w:rPr>
                <w:rFonts w:ascii="宋体"/>
                <w:color w:val="auto"/>
                <w:szCs w:val="21"/>
                <w:highlight w:val="none"/>
              </w:rPr>
            </w:pPr>
          </w:p>
        </w:tc>
        <w:tc>
          <w:tcPr>
            <w:tcW w:w="244" w:type="pct"/>
            <w:tcBorders>
              <w:left w:val="single" w:color="auto" w:sz="4" w:space="0"/>
            </w:tcBorders>
            <w:vAlign w:val="center"/>
          </w:tcPr>
          <w:p w14:paraId="32F04A2F">
            <w:pPr>
              <w:spacing w:beforeAutospacing="0" w:afterAutospacing="0" w:line="240" w:lineRule="auto"/>
              <w:ind w:firstLine="0" w:firstLineChars="0"/>
              <w:jc w:val="both"/>
              <w:rPr>
                <w:rFonts w:ascii="宋体"/>
                <w:color w:val="auto"/>
                <w:szCs w:val="21"/>
                <w:highlight w:val="none"/>
              </w:rPr>
            </w:pPr>
          </w:p>
        </w:tc>
      </w:tr>
      <w:tr w14:paraId="445C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5" w:type="pct"/>
            <w:gridSpan w:val="7"/>
            <w:vAlign w:val="center"/>
          </w:tcPr>
          <w:p w14:paraId="6699056D">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综合得分：</w:t>
            </w:r>
          </w:p>
        </w:tc>
        <w:tc>
          <w:tcPr>
            <w:tcW w:w="244" w:type="pct"/>
            <w:tcBorders>
              <w:left w:val="single" w:color="auto" w:sz="4" w:space="0"/>
            </w:tcBorders>
            <w:vAlign w:val="center"/>
          </w:tcPr>
          <w:p w14:paraId="2F4DB211">
            <w:pPr>
              <w:spacing w:beforeAutospacing="0" w:afterAutospacing="0" w:line="240" w:lineRule="auto"/>
              <w:ind w:firstLine="0" w:firstLineChars="0"/>
              <w:jc w:val="both"/>
              <w:rPr>
                <w:rFonts w:ascii="宋体"/>
                <w:color w:val="auto"/>
                <w:szCs w:val="21"/>
                <w:highlight w:val="none"/>
              </w:rPr>
            </w:pPr>
          </w:p>
        </w:tc>
      </w:tr>
      <w:tr w14:paraId="4954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8"/>
            <w:vAlign w:val="center"/>
          </w:tcPr>
          <w:p w14:paraId="3F266160">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综合评价结果：</w:t>
            </w:r>
          </w:p>
          <w:p w14:paraId="5E3F2097">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（注：根据评价得分填写评价等级，填写完成后删除此内容）</w:t>
            </w:r>
          </w:p>
          <w:p w14:paraId="7DA9CD78">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综合评价描述：</w:t>
            </w:r>
          </w:p>
          <w:p w14:paraId="6BE7184C">
            <w:pPr>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（注：不满足服务要求的情况，需详细阐述不满足的内容及扣除合同违约金，填写完成后删除此内容）</w:t>
            </w:r>
          </w:p>
          <w:p w14:paraId="1E9271B9">
            <w:pPr>
              <w:spacing w:beforeAutospacing="0" w:afterAutospacing="0" w:line="240" w:lineRule="auto"/>
              <w:ind w:firstLine="0" w:firstLineChars="0"/>
              <w:jc w:val="both"/>
              <w:rPr>
                <w:rFonts w:ascii="宋体"/>
                <w:color w:val="auto"/>
                <w:szCs w:val="21"/>
                <w:highlight w:val="none"/>
              </w:rPr>
            </w:pPr>
          </w:p>
          <w:p w14:paraId="28DAF6DF">
            <w:pPr>
              <w:wordWrap/>
              <w:autoSpaceDE w:val="0"/>
              <w:autoSpaceDN w:val="0"/>
              <w:spacing w:beforeAutospacing="0" w:afterAutospacing="0" w:line="240" w:lineRule="auto"/>
              <w:ind w:firstLine="0" w:firstLineChars="0"/>
              <w:jc w:val="both"/>
              <w:rPr>
                <w:rFonts w:ascii="宋体"/>
                <w:color w:val="auto"/>
                <w:szCs w:val="21"/>
                <w:highlight w:val="none"/>
              </w:rPr>
            </w:pPr>
            <w:r>
              <w:rPr>
                <w:rFonts w:hint="eastAsia" w:ascii="宋体"/>
                <w:color w:val="auto"/>
                <w:szCs w:val="21"/>
                <w:highlight w:val="none"/>
              </w:rPr>
              <w:t xml:space="preserve">评价人：                                       </w:t>
            </w:r>
          </w:p>
        </w:tc>
      </w:tr>
    </w:tbl>
    <w:p w14:paraId="4C35EBFA">
      <w:pPr>
        <w:rPr>
          <w:rFonts w:ascii="宋体"/>
          <w:color w:val="auto"/>
          <w:highlight w:val="none"/>
        </w:rPr>
      </w:pPr>
      <w:r>
        <w:rPr>
          <w:rFonts w:hint="eastAsia" w:ascii="宋体"/>
          <w:color w:val="auto"/>
          <w:highlight w:val="none"/>
        </w:rPr>
        <w:t>注：综合评价等级划分优秀、良好、合格、差</w:t>
      </w:r>
    </w:p>
    <w:p w14:paraId="7D511448">
      <w:pPr>
        <w:rPr>
          <w:rFonts w:ascii="宋体"/>
          <w:color w:val="auto"/>
          <w:highlight w:val="none"/>
        </w:rPr>
      </w:pPr>
      <w:r>
        <w:rPr>
          <w:rFonts w:hint="eastAsia" w:ascii="宋体"/>
          <w:color w:val="auto"/>
          <w:highlight w:val="none"/>
        </w:rPr>
        <w:t>优秀：评价得分达90分以上；</w:t>
      </w:r>
    </w:p>
    <w:p w14:paraId="3BDD1148">
      <w:pPr>
        <w:rPr>
          <w:rFonts w:ascii="宋体"/>
          <w:color w:val="auto"/>
          <w:highlight w:val="none"/>
        </w:rPr>
      </w:pPr>
      <w:r>
        <w:rPr>
          <w:rFonts w:hint="eastAsia" w:ascii="宋体"/>
          <w:color w:val="auto"/>
          <w:highlight w:val="none"/>
        </w:rPr>
        <w:t>良好：评价得分达75-90分；</w:t>
      </w:r>
    </w:p>
    <w:p w14:paraId="7A7F19AB">
      <w:pPr>
        <w:rPr>
          <w:rFonts w:ascii="宋体"/>
          <w:color w:val="auto"/>
          <w:highlight w:val="none"/>
        </w:rPr>
      </w:pPr>
      <w:r>
        <w:rPr>
          <w:rFonts w:hint="eastAsia" w:ascii="宋体"/>
          <w:color w:val="auto"/>
          <w:highlight w:val="none"/>
        </w:rPr>
        <w:t>合格：评价得分达60-75分；</w:t>
      </w:r>
    </w:p>
    <w:p w14:paraId="43400CF5">
      <w:pPr>
        <w:rPr>
          <w:rFonts w:ascii="宋体"/>
          <w:color w:val="auto"/>
          <w:highlight w:val="none"/>
        </w:rPr>
      </w:pPr>
      <w:r>
        <w:rPr>
          <w:rFonts w:hint="eastAsia" w:ascii="宋体"/>
          <w:color w:val="auto"/>
          <w:highlight w:val="none"/>
        </w:rPr>
        <w:t>差：评价得分在60分以下。</w:t>
      </w:r>
    </w:p>
    <w:p w14:paraId="7B5A5AF0">
      <w:pPr>
        <w:rPr>
          <w:rFonts w:ascii="宋体"/>
          <w:color w:val="auto"/>
          <w:highlight w:val="none"/>
        </w:rPr>
      </w:pPr>
      <w:r>
        <w:rPr>
          <w:rFonts w:hint="eastAsia" w:ascii="宋体"/>
          <w:color w:val="auto"/>
          <w:highlight w:val="none"/>
        </w:rPr>
        <w:t>评价结果将作为服务提供商后续准入的重要参考依据。</w:t>
      </w:r>
    </w:p>
    <w:p w14:paraId="12AF7B10">
      <w:pPr>
        <w:keepNext w:val="0"/>
        <w:keepLines w:val="0"/>
        <w:widowControl w:val="0"/>
        <w:suppressLineNumbers w:val="0"/>
        <w:spacing w:before="0" w:beforeAutospacing="0" w:after="0" w:afterAutospacing="0" w:line="600" w:lineRule="exact"/>
        <w:ind w:left="0"/>
        <w:rPr>
          <w:rFonts w:cs="Times New Roman"/>
          <w:color w:val="auto"/>
          <w:kern w:val="2"/>
          <w:szCs w:val="21"/>
          <w:highlight w:val="none"/>
        </w:rPr>
      </w:pPr>
      <w:r>
        <w:rPr>
          <w:rFonts w:cs="Times New Roman"/>
          <w:color w:val="auto"/>
          <w:kern w:val="2"/>
          <w:szCs w:val="21"/>
          <w:highlight w:val="none"/>
          <w:lang w:val="en-US" w:eastAsia="zh-CN"/>
        </w:rPr>
        <w:t>注：该《服务水平协议（SLA）》无需填写，仅需供应商</w:t>
      </w:r>
      <w:r>
        <w:rPr>
          <w:rFonts w:hint="eastAsia" w:cs="Times New Roman"/>
          <w:color w:val="auto"/>
          <w:kern w:val="2"/>
          <w:szCs w:val="21"/>
          <w:highlight w:val="none"/>
          <w:lang w:val="en-US" w:eastAsia="zh-CN"/>
        </w:rPr>
        <w:t>响应人</w:t>
      </w:r>
      <w:r>
        <w:rPr>
          <w:rFonts w:cs="Times New Roman"/>
          <w:color w:val="auto"/>
          <w:kern w:val="2"/>
          <w:szCs w:val="21"/>
          <w:highlight w:val="none"/>
          <w:lang w:val="en-US" w:eastAsia="zh-CN"/>
        </w:rPr>
        <w:t>认可、承认此协议内容并加盖公章。</w:t>
      </w:r>
    </w:p>
    <w:p w14:paraId="579740C6">
      <w:pPr>
        <w:pStyle w:val="2"/>
        <w:rPr>
          <w:color w:val="auto"/>
          <w:highlight w:val="none"/>
          <w:lang w:val="en-US" w:eastAsia="zh-CN"/>
        </w:rPr>
      </w:pPr>
      <w:r>
        <w:rPr>
          <w:color w:val="auto"/>
          <w:highlight w:val="none"/>
          <w:lang w:val="en-US" w:eastAsia="zh-CN"/>
        </w:rPr>
        <w:br w:type="page"/>
      </w:r>
    </w:p>
    <w:p w14:paraId="4C13E927">
      <w:pPr>
        <w:pStyle w:val="32"/>
        <w:ind w:firstLine="420"/>
        <w:rPr>
          <w:rFonts w:hint="eastAsia"/>
          <w:color w:val="auto"/>
          <w:highlight w:val="none"/>
        </w:rPr>
      </w:pPr>
      <w:r>
        <w:rPr>
          <w:rFonts w:hint="eastAsia"/>
          <w:color w:val="auto"/>
          <w:highlight w:val="none"/>
          <w:lang w:val="zh-CN"/>
        </w:rPr>
        <w:t>（</w:t>
      </w:r>
      <w:r>
        <w:rPr>
          <w:rFonts w:hint="eastAsia"/>
          <w:color w:val="auto"/>
          <w:highlight w:val="none"/>
          <w:lang w:val="en-US" w:eastAsia="zh-CN"/>
        </w:rPr>
        <w:t>八</w:t>
      </w:r>
      <w:r>
        <w:rPr>
          <w:rFonts w:hint="eastAsia"/>
          <w:color w:val="auto"/>
          <w:highlight w:val="none"/>
          <w:lang w:val="zh-CN"/>
        </w:rPr>
        <w:t>）</w:t>
      </w:r>
      <w:r>
        <w:rPr>
          <w:rFonts w:hint="eastAsia"/>
          <w:color w:val="auto"/>
          <w:highlight w:val="none"/>
        </w:rPr>
        <w:t>认证证明材料</w:t>
      </w:r>
    </w:p>
    <w:p w14:paraId="6BE88357">
      <w:pPr>
        <w:rPr>
          <w:rFonts w:hint="eastAsia"/>
          <w:color w:val="auto"/>
          <w:highlight w:val="none"/>
        </w:rPr>
      </w:pPr>
      <w:r>
        <w:rPr>
          <w:rFonts w:hint="eastAsia"/>
          <w:color w:val="auto"/>
          <w:highlight w:val="none"/>
        </w:rPr>
        <w:br w:type="page"/>
      </w:r>
    </w:p>
    <w:p w14:paraId="28D239C9">
      <w:pPr>
        <w:rPr>
          <w:color w:val="auto"/>
          <w:highlight w:val="none"/>
        </w:rPr>
      </w:pPr>
    </w:p>
    <w:p w14:paraId="54C5593C">
      <w:pPr>
        <w:pStyle w:val="32"/>
        <w:rPr>
          <w:color w:val="auto"/>
          <w:highlight w:val="none"/>
          <w:lang w:val="zh-CN"/>
        </w:rPr>
      </w:pP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hint="eastAsia"/>
          <w:color w:val="auto"/>
          <w:highlight w:val="none"/>
        </w:rPr>
        <w:t>服务连续性预案</w:t>
      </w:r>
    </w:p>
    <w:p w14:paraId="479D9055">
      <w:pPr>
        <w:ind w:firstLine="0" w:firstLineChars="0"/>
        <w:jc w:val="center"/>
        <w:rPr>
          <w:color w:val="auto"/>
          <w:highlight w:val="none"/>
        </w:rPr>
      </w:pPr>
      <w:r>
        <w:rPr>
          <w:rFonts w:hint="eastAsia"/>
          <w:color w:val="auto"/>
          <w:highlight w:val="none"/>
        </w:rPr>
        <w:t>（应考虑供应链风险产生的影响）</w:t>
      </w:r>
    </w:p>
    <w:p w14:paraId="4CD0CFEE">
      <w:pPr>
        <w:rPr>
          <w:color w:val="auto"/>
          <w:highlight w:val="none"/>
        </w:rPr>
      </w:pPr>
    </w:p>
    <w:p w14:paraId="2ABF31B1">
      <w:pPr>
        <w:ind w:firstLine="0" w:firstLineChars="0"/>
        <w:rPr>
          <w:color w:val="auto"/>
          <w:highlight w:val="none"/>
          <w:lang w:val="zh-CN"/>
        </w:rPr>
        <w:sectPr>
          <w:pgSz w:w="11906" w:h="16838"/>
          <w:pgMar w:top="1440" w:right="1800" w:bottom="1440" w:left="1800" w:header="851" w:footer="992" w:gutter="0"/>
          <w:cols w:space="425" w:num="1"/>
          <w:docGrid w:type="lines" w:linePitch="312" w:charSpace="6144"/>
        </w:sectPr>
      </w:pPr>
    </w:p>
    <w:p w14:paraId="217C13AB">
      <w:pPr>
        <w:widowControl/>
        <w:autoSpaceDE/>
        <w:autoSpaceDN/>
        <w:spacing w:line="240" w:lineRule="auto"/>
        <w:ind w:firstLine="0" w:firstLineChars="0"/>
        <w:jc w:val="left"/>
        <w:rPr>
          <w:b/>
          <w:color w:val="auto"/>
          <w:sz w:val="28"/>
          <w:highlight w:val="none"/>
        </w:rPr>
      </w:pPr>
    </w:p>
    <w:p w14:paraId="7518E0A9">
      <w:pPr>
        <w:pStyle w:val="32"/>
        <w:rPr>
          <w:color w:val="auto"/>
          <w:highlight w:val="none"/>
          <w:lang w:val="zh-CN"/>
        </w:rPr>
      </w:pPr>
      <w:r>
        <w:rPr>
          <w:rFonts w:hint="eastAsia"/>
          <w:color w:val="auto"/>
          <w:highlight w:val="none"/>
          <w:lang w:val="zh-CN"/>
        </w:rPr>
        <w:t>（</w:t>
      </w:r>
      <w:r>
        <w:rPr>
          <w:rFonts w:hint="eastAsia"/>
          <w:color w:val="auto"/>
          <w:highlight w:val="none"/>
          <w:lang w:val="en-US" w:eastAsia="zh-CN"/>
        </w:rPr>
        <w:t>十</w:t>
      </w:r>
      <w:r>
        <w:rPr>
          <w:rFonts w:hint="eastAsia"/>
          <w:color w:val="auto"/>
          <w:highlight w:val="none"/>
          <w:lang w:val="zh-CN"/>
        </w:rPr>
        <w:t>）</w:t>
      </w:r>
      <w:r>
        <w:rPr>
          <w:color w:val="auto"/>
          <w:highlight w:val="none"/>
          <w:lang w:val="zh-CN"/>
        </w:rPr>
        <w:t>项目实施方案</w:t>
      </w:r>
    </w:p>
    <w:p w14:paraId="7F3AE71E">
      <w:pPr>
        <w:tabs>
          <w:tab w:val="left" w:pos="6300"/>
        </w:tabs>
        <w:snapToGrid w:val="0"/>
        <w:jc w:val="center"/>
        <w:rPr>
          <w:snapToGrid w:val="0"/>
          <w:color w:val="auto"/>
          <w:kern w:val="0"/>
          <w:szCs w:val="24"/>
          <w:highlight w:val="none"/>
        </w:rPr>
      </w:pPr>
      <w:r>
        <w:rPr>
          <w:rFonts w:hint="eastAsia"/>
          <w:snapToGrid w:val="0"/>
          <w:color w:val="auto"/>
          <w:kern w:val="0"/>
          <w:szCs w:val="24"/>
          <w:highlight w:val="none"/>
        </w:rPr>
        <w:t>（实施方案包括履行合同的时间计划、提交资料、人员安排等）</w:t>
      </w:r>
    </w:p>
    <w:p w14:paraId="4BA00F42">
      <w:pPr>
        <w:rPr>
          <w:rStyle w:val="46"/>
          <w:b/>
          <w:color w:val="auto"/>
          <w:highlight w:val="none"/>
        </w:rPr>
      </w:pPr>
    </w:p>
    <w:p w14:paraId="6898D23C">
      <w:pPr>
        <w:rPr>
          <w:rStyle w:val="46"/>
          <w:b/>
          <w:color w:val="auto"/>
          <w:highlight w:val="none"/>
        </w:rPr>
      </w:pPr>
    </w:p>
    <w:p w14:paraId="5AEF6FE5">
      <w:pPr>
        <w:widowControl/>
        <w:autoSpaceDE/>
        <w:autoSpaceDN/>
        <w:spacing w:line="240" w:lineRule="auto"/>
        <w:ind w:firstLine="0" w:firstLineChars="0"/>
        <w:jc w:val="left"/>
        <w:rPr>
          <w:b/>
          <w:color w:val="auto"/>
          <w:sz w:val="28"/>
          <w:highlight w:val="none"/>
        </w:rPr>
      </w:pPr>
      <w:r>
        <w:rPr>
          <w:color w:val="auto"/>
          <w:highlight w:val="none"/>
        </w:rPr>
        <w:br w:type="page"/>
      </w:r>
    </w:p>
    <w:p w14:paraId="5C5C9DC8">
      <w:pPr>
        <w:pStyle w:val="32"/>
        <w:rPr>
          <w:color w:val="auto"/>
          <w:highlight w:val="none"/>
          <w:lang w:val="zh-CN"/>
        </w:rPr>
      </w:pPr>
      <w:r>
        <w:rPr>
          <w:rFonts w:hint="eastAsia"/>
          <w:color w:val="auto"/>
          <w:highlight w:val="none"/>
          <w:lang w:val="zh-CN"/>
        </w:rPr>
        <w:t>（十</w:t>
      </w:r>
      <w:r>
        <w:rPr>
          <w:rFonts w:hint="eastAsia"/>
          <w:color w:val="auto"/>
          <w:highlight w:val="none"/>
          <w:lang w:val="en-US" w:eastAsia="zh-CN"/>
        </w:rPr>
        <w:t>一</w:t>
      </w:r>
      <w:r>
        <w:rPr>
          <w:rFonts w:hint="eastAsia"/>
          <w:color w:val="auto"/>
          <w:highlight w:val="none"/>
          <w:lang w:val="zh-CN"/>
        </w:rPr>
        <w:t>）</w:t>
      </w:r>
      <w:r>
        <w:rPr>
          <w:color w:val="auto"/>
          <w:highlight w:val="none"/>
          <w:lang w:val="zh-CN"/>
        </w:rPr>
        <w:t>售后服务和培训方案</w:t>
      </w:r>
    </w:p>
    <w:p w14:paraId="68AE4BB6">
      <w:pPr>
        <w:rPr>
          <w:color w:val="auto"/>
          <w:highlight w:val="none"/>
        </w:rPr>
      </w:pPr>
    </w:p>
    <w:p w14:paraId="37F4BD47">
      <w:pPr>
        <w:rPr>
          <w:color w:val="auto"/>
          <w:highlight w:val="none"/>
        </w:rPr>
      </w:pPr>
    </w:p>
    <w:p w14:paraId="49A4BB7D">
      <w:pPr>
        <w:rPr>
          <w:color w:val="auto"/>
          <w:highlight w:val="none"/>
        </w:rPr>
      </w:pPr>
    </w:p>
    <w:p w14:paraId="69654CE0">
      <w:pPr>
        <w:rPr>
          <w:color w:val="auto"/>
          <w:highlight w:val="none"/>
        </w:rPr>
      </w:pPr>
    </w:p>
    <w:p w14:paraId="0BA38A5D">
      <w:pPr>
        <w:rPr>
          <w:color w:val="auto"/>
          <w:highlight w:val="none"/>
        </w:rPr>
      </w:pPr>
    </w:p>
    <w:p w14:paraId="6DA293F0">
      <w:pPr>
        <w:rPr>
          <w:color w:val="auto"/>
          <w:highlight w:val="none"/>
        </w:rPr>
      </w:pPr>
    </w:p>
    <w:p w14:paraId="5CF942C4">
      <w:pPr>
        <w:widowControl/>
        <w:autoSpaceDE/>
        <w:autoSpaceDN/>
        <w:spacing w:line="240" w:lineRule="auto"/>
        <w:ind w:firstLine="0" w:firstLineChars="0"/>
        <w:jc w:val="left"/>
        <w:rPr>
          <w:color w:val="auto"/>
          <w:highlight w:val="none"/>
        </w:rPr>
      </w:pPr>
    </w:p>
    <w:p w14:paraId="4D158675">
      <w:pPr>
        <w:pStyle w:val="2"/>
        <w:rPr>
          <w:rFonts w:hint="eastAsia"/>
          <w:color w:val="auto"/>
          <w:highlight w:val="none"/>
          <w:lang w:val="en-US" w:eastAsia="zh-CN"/>
        </w:rPr>
      </w:pPr>
    </w:p>
    <w:p w14:paraId="27582597">
      <w:pPr>
        <w:bidi w:val="0"/>
        <w:rPr>
          <w:rFonts w:hint="eastAsia"/>
          <w:color w:val="auto"/>
          <w:highlight w:val="none"/>
          <w:lang w:val="en-US" w:eastAsia="zh-CN"/>
        </w:rPr>
      </w:pPr>
    </w:p>
    <w:p w14:paraId="787B7ED8">
      <w:pPr>
        <w:bidi w:val="0"/>
        <w:rPr>
          <w:color w:val="auto"/>
          <w:highlight w:val="none"/>
        </w:rPr>
      </w:pPr>
      <w:r>
        <w:rPr>
          <w:color w:val="auto"/>
          <w:highlight w:val="none"/>
        </w:rPr>
        <w:br w:type="page"/>
      </w:r>
    </w:p>
    <w:p w14:paraId="57EEDC1B">
      <w:pPr>
        <w:pStyle w:val="32"/>
        <w:jc w:val="center"/>
        <w:rPr>
          <w:rFonts w:hint="eastAsia"/>
          <w:snapToGrid w:val="0"/>
          <w:color w:val="auto"/>
          <w:kern w:val="0"/>
          <w:sz w:val="21"/>
          <w:szCs w:val="21"/>
          <w:highlight w:val="none"/>
          <w:lang w:val="zh-CN"/>
        </w:rPr>
      </w:pPr>
      <w:r>
        <w:rPr>
          <w:rFonts w:hint="eastAsia"/>
          <w:color w:val="auto"/>
          <w:sz w:val="21"/>
          <w:szCs w:val="21"/>
          <w:highlight w:val="none"/>
          <w:lang w:val="zh-CN"/>
        </w:rPr>
        <w:t>（</w:t>
      </w:r>
      <w:r>
        <w:rPr>
          <w:color w:val="auto"/>
          <w:sz w:val="21"/>
          <w:szCs w:val="21"/>
          <w:highlight w:val="none"/>
          <w:lang w:val="zh-CN"/>
        </w:rPr>
        <w:t>十</w:t>
      </w:r>
      <w:r>
        <w:rPr>
          <w:rFonts w:hint="eastAsia"/>
          <w:color w:val="auto"/>
          <w:sz w:val="21"/>
          <w:szCs w:val="21"/>
          <w:highlight w:val="none"/>
          <w:lang w:val="en-US" w:eastAsia="zh-CN"/>
        </w:rPr>
        <w:t>二</w:t>
      </w:r>
      <w:r>
        <w:rPr>
          <w:rFonts w:hint="eastAsia"/>
          <w:color w:val="auto"/>
          <w:sz w:val="21"/>
          <w:szCs w:val="21"/>
          <w:highlight w:val="none"/>
          <w:lang w:val="zh-CN"/>
        </w:rPr>
        <w:t>）项目组全体人员名单、简历信息、社保</w:t>
      </w:r>
      <w:r>
        <w:rPr>
          <w:rFonts w:hint="eastAsia"/>
          <w:color w:val="auto"/>
          <w:sz w:val="21"/>
          <w:szCs w:val="21"/>
          <w:highlight w:val="none"/>
          <w:lang w:val="zh-CN" w:eastAsia="zh-CN"/>
        </w:rPr>
        <w:t>、</w:t>
      </w:r>
      <w:r>
        <w:rPr>
          <w:rFonts w:hint="eastAsia"/>
          <w:color w:val="auto"/>
          <w:sz w:val="21"/>
          <w:szCs w:val="21"/>
          <w:highlight w:val="none"/>
          <w:lang w:val="zh-CN"/>
        </w:rPr>
        <w:t>工作经验以及经历等相关证明材料</w:t>
      </w:r>
    </w:p>
    <w:p w14:paraId="322542BB">
      <w:pPr>
        <w:rPr>
          <w:color w:val="auto"/>
          <w:highlight w:val="none"/>
        </w:rPr>
      </w:pPr>
    </w:p>
    <w:p w14:paraId="1691E90B">
      <w:pPr>
        <w:ind w:left="0" w:firstLine="0" w:firstLineChars="0"/>
        <w:rPr>
          <w:color w:val="auto"/>
          <w:highlight w:val="none"/>
        </w:rPr>
      </w:pPr>
      <w:r>
        <w:rPr>
          <w:snapToGrid w:val="0"/>
          <w:color w:val="auto"/>
          <w:kern w:val="0"/>
          <w:highlight w:val="none"/>
        </w:rPr>
        <w:t>（</w:t>
      </w:r>
      <w:r>
        <w:rPr>
          <w:rFonts w:hint="eastAsia"/>
          <w:snapToGrid w:val="0"/>
          <w:color w:val="auto"/>
          <w:kern w:val="0"/>
          <w:highlight w:val="none"/>
        </w:rPr>
        <w:t>格式自拟</w:t>
      </w:r>
      <w:r>
        <w:rPr>
          <w:rFonts w:hint="eastAsia"/>
          <w:snapToGrid w:val="0"/>
          <w:color w:val="auto"/>
          <w:kern w:val="0"/>
          <w:highlight w:val="none"/>
          <w:lang w:eastAsia="zh-CN"/>
        </w:rPr>
        <w:t>，</w:t>
      </w:r>
      <w:r>
        <w:rPr>
          <w:rFonts w:hint="eastAsia"/>
          <w:snapToGrid w:val="0"/>
          <w:color w:val="auto"/>
          <w:kern w:val="0"/>
          <w:highlight w:val="none"/>
          <w:lang w:val="en-US" w:eastAsia="zh-CN"/>
        </w:rPr>
        <w:t>劳动合同复印件，社保证明材料复印件，专业认证证书复印件，参与过相关项目证明材料等</w:t>
      </w:r>
      <w:r>
        <w:rPr>
          <w:rFonts w:hint="eastAsia"/>
          <w:snapToGrid w:val="0"/>
          <w:color w:val="auto"/>
          <w:kern w:val="0"/>
          <w:highlight w:val="none"/>
        </w:rPr>
        <w:t>）</w:t>
      </w:r>
    </w:p>
    <w:p w14:paraId="074456C1">
      <w:pPr>
        <w:bidi w:val="0"/>
        <w:rPr>
          <w:color w:val="auto"/>
          <w:highlight w:val="none"/>
        </w:rPr>
      </w:pPr>
      <w:r>
        <w:rPr>
          <w:color w:val="auto"/>
          <w:highlight w:val="none"/>
        </w:rPr>
        <w:br w:type="page"/>
      </w:r>
    </w:p>
    <w:p w14:paraId="5DA52324">
      <w:pPr>
        <w:pStyle w:val="32"/>
        <w:jc w:val="center"/>
        <w:rPr>
          <w:color w:val="auto"/>
          <w:highlight w:val="none"/>
          <w:lang w:val="en-US"/>
        </w:rPr>
      </w:pPr>
      <w:r>
        <w:rPr>
          <w:rFonts w:hint="eastAsia"/>
          <w:color w:val="auto"/>
          <w:highlight w:val="none"/>
          <w:lang w:val="zh-CN"/>
        </w:rPr>
        <w:t>（</w:t>
      </w:r>
      <w:r>
        <w:rPr>
          <w:color w:val="auto"/>
          <w:highlight w:val="none"/>
          <w:lang w:val="zh-CN"/>
        </w:rPr>
        <w:t>十</w:t>
      </w:r>
      <w:r>
        <w:rPr>
          <w:rFonts w:hint="eastAsia"/>
          <w:color w:val="auto"/>
          <w:highlight w:val="none"/>
          <w:lang w:val="en-US" w:eastAsia="zh-CN"/>
        </w:rPr>
        <w:t>三</w:t>
      </w:r>
      <w:r>
        <w:rPr>
          <w:rFonts w:hint="eastAsia"/>
          <w:color w:val="auto"/>
          <w:highlight w:val="none"/>
          <w:lang w:val="zh-CN"/>
        </w:rPr>
        <w:t>）</w:t>
      </w:r>
      <w:r>
        <w:rPr>
          <w:rFonts w:hint="eastAsia"/>
          <w:color w:val="auto"/>
          <w:highlight w:val="none"/>
          <w:lang w:val="en-US" w:eastAsia="zh-CN"/>
        </w:rPr>
        <w:t>其他资料（如有）</w:t>
      </w:r>
    </w:p>
    <w:p w14:paraId="1965C5B5">
      <w:pPr>
        <w:rPr>
          <w:color w:val="auto"/>
          <w:highlight w:val="none"/>
          <w:lang w:val="zh-CN"/>
        </w:rPr>
      </w:pPr>
    </w:p>
    <w:p w14:paraId="0E4A3E1D">
      <w:pPr>
        <w:bidi w:val="0"/>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CESI宋体-GB2312">
    <w:altName w:val="宋体"/>
    <w:panose1 w:val="00000000000000000000"/>
    <w:charset w:val="86"/>
    <w:family w:val="script"/>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83B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662FA2F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CI6rHgFAgAA9QMAAA4AAAAAAAAAAQAgAAAAJgEA&#10;AGRycy9lMm9Eb2MueG1sUEsFBgAAAAAGAAYAWQEAAJ0FAAAAAA==&#10;">
              <v:fill on="f" focussize="0,0"/>
              <v:stroke on="f" weight="0.5pt" joinstyle="round"/>
              <v:imagedata o:title=""/>
              <o:lock v:ext="edit" aspectratio="f"/>
              <v:textbox inset="0mm,0mm,0mm,0mm" style="mso-fit-shape-to-text:t;">
                <w:txbxContent>
                  <w:p w14:paraId="662FA2F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1AC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5" name="文本框 5"/>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35D224D9">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23</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FcCu9IFAgAA9QMAAA4AAAAAAAAAAQAgAAAAJgEA&#10;AGRycy9lMm9Eb2MueG1sUEsFBgAAAAAGAAYAWQEAAJ0FAAAAAA==&#10;">
              <v:fill on="f" focussize="0,0"/>
              <v:stroke on="f" weight="0.5pt" joinstyle="round"/>
              <v:imagedata o:title=""/>
              <o:lock v:ext="edit" aspectratio="f"/>
              <v:textbox inset="0mm,0mm,0mm,0mm" style="mso-fit-shape-to-text:t;">
                <w:txbxContent>
                  <w:p w14:paraId="35D224D9">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23</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228600" cy="394335"/>
              <wp:effectExtent l="0" t="0" r="0" b="0"/>
              <wp:wrapNone/>
              <wp:docPr id="6" name="文本框 6"/>
              <wp:cNvGraphicFramePr/>
              <a:graphic xmlns:a="http://schemas.openxmlformats.org/drawingml/2006/main">
                <a:graphicData uri="http://schemas.microsoft.com/office/word/2010/wordprocessingShape">
                  <wps:wsp>
                    <wps:cNvSpPr/>
                    <wps:spPr>
                      <a:xfrm>
                        <a:off x="0" y="0"/>
                        <a:ext cx="228600" cy="394299"/>
                      </a:xfrm>
                      <a:prstGeom prst="rect">
                        <a:avLst/>
                      </a:prstGeom>
                      <a:noFill/>
                      <a:ln w="6350" cap="flat" cmpd="sng">
                        <a:noFill/>
                        <a:prstDash val="solid"/>
                        <a:round/>
                      </a:ln>
                    </wps:spPr>
                    <wps:txbx>
                      <w:txbxContent>
                        <w:p w14:paraId="5954BBE3">
                          <w:pPr>
                            <w:pStyle w:val="14"/>
                          </w:pPr>
                        </w:p>
                        <w:p w14:paraId="3FF121B1"/>
                      </w:txbxContent>
                    </wps:txbx>
                    <wps:bodyPr vert="horz" wrap="none" lIns="0" tIns="0" rIns="0" bIns="0" anchor="t" anchorCtr="0" upright="0">
                      <a:spAutoFit/>
                    </wps:bodyPr>
                  </wps:wsp>
                </a:graphicData>
              </a:graphic>
            </wp:anchor>
          </w:drawing>
        </mc:Choice>
        <mc:Fallback>
          <w:pict>
            <v:rect id="文本框 6" o:spid="_x0000_s1026" o:spt="1" style="position:absolute;left:0pt;margin-top:-774.15pt;height:31.05pt;width:18pt;mso-position-horizontal:center;mso-position-horizontal-relative:margin;mso-wrap-style:none;z-index:251659264;mso-width-relative:page;mso-height-relative:page;" filled="f" stroked="f" coordsize="21600,21600" o:gfxdata="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K4cct0AAAALAQAADwAAAAAAAAABACAAAAAiAAAA&#10;ZHJzL2Rvd25yZXYueG1sUEsBAhQAFAAAAAgAh07iQB/7wFQCAgAA9AMAAA4AAAAAAAAAAQAgAAAA&#10;LAEAAGRycy9lMm9Eb2MueG1sUEsFBgAAAAAGAAYAWQEAAKAFAAAAAA==&#10;">
              <v:fill on="f" focussize="0,0"/>
              <v:stroke on="f" weight="0.5pt" joinstyle="round"/>
              <v:imagedata o:title=""/>
              <o:lock v:ext="edit" aspectratio="f"/>
              <v:textbox inset="0mm,0mm,0mm,0mm" style="mso-fit-shape-to-text:t;">
                <w:txbxContent>
                  <w:p w14:paraId="5954BBE3">
                    <w:pPr>
                      <w:pStyle w:val="14"/>
                    </w:pPr>
                  </w:p>
                  <w:p w14:paraId="3FF121B1"/>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996B">
    <w:pPr>
      <w:pStyle w:val="14"/>
      <w:framePr w:wrap="around" w:vAnchor="text" w:hAnchor="margin" w:xAlign="center" w:y="1"/>
      <w:rPr>
        <w:rStyle w:val="23"/>
      </w:rPr>
    </w:pPr>
    <w:r>
      <w:rPr>
        <w:rStyle w:val="23"/>
      </w:rPr>
      <w:fldChar w:fldCharType="begin"/>
    </w:r>
    <w:r>
      <w:rPr>
        <w:rStyle w:val="23"/>
      </w:rPr>
      <w:instrText xml:space="preserve">PAGE  </w:instrText>
    </w:r>
    <w:r>
      <w:fldChar w:fldCharType="separate"/>
    </w:r>
    <w:r>
      <w:t xml:space="preserve"> </w:t>
    </w:r>
    <w:r>
      <w:fldChar w:fldCharType="end"/>
    </w:r>
  </w:p>
  <w:p w14:paraId="5809CE13">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1E13">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3DF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7" name="文本框 7"/>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1B4FEAE9">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45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CLuWpgFAgAA9QMAAA4AAAAAAAAAAQAgAAAAJgEA&#10;AGRycy9lMm9Eb2MueG1sUEsFBgAAAAAGAAYAWQEAAJ0FAAAAAA==&#10;">
              <v:fill on="f" focussize="0,0"/>
              <v:stroke on="f" weight="0.5pt" joinstyle="round"/>
              <v:imagedata o:title=""/>
              <o:lock v:ext="edit" aspectratio="f"/>
              <v:textbox inset="0mm,0mm,0mm,0mm" style="mso-fit-shape-to-text:t;">
                <w:txbxContent>
                  <w:p w14:paraId="1B4FEAE9">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45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228600" cy="394335"/>
              <wp:effectExtent l="0" t="0" r="0" b="0"/>
              <wp:wrapNone/>
              <wp:docPr id="8" name="文本框 8"/>
              <wp:cNvGraphicFramePr/>
              <a:graphic xmlns:a="http://schemas.openxmlformats.org/drawingml/2006/main">
                <a:graphicData uri="http://schemas.microsoft.com/office/word/2010/wordprocessingShape">
                  <wps:wsp>
                    <wps:cNvSpPr/>
                    <wps:spPr>
                      <a:xfrm>
                        <a:off x="0" y="0"/>
                        <a:ext cx="228600" cy="394299"/>
                      </a:xfrm>
                      <a:prstGeom prst="rect">
                        <a:avLst/>
                      </a:prstGeom>
                      <a:noFill/>
                      <a:ln w="6350" cap="flat" cmpd="sng">
                        <a:noFill/>
                        <a:prstDash val="solid"/>
                        <a:round/>
                      </a:ln>
                    </wps:spPr>
                    <wps:txbx>
                      <w:txbxContent>
                        <w:p w14:paraId="645B9782">
                          <w:pPr>
                            <w:pStyle w:val="14"/>
                          </w:pPr>
                        </w:p>
                        <w:p w14:paraId="7053DD76"/>
                      </w:txbxContent>
                    </wps:txbx>
                    <wps:bodyPr vert="horz" wrap="none" lIns="0" tIns="0" rIns="0" bIns="0" anchor="t" anchorCtr="0" upright="0">
                      <a:spAutoFit/>
                    </wps:bodyPr>
                  </wps:wsp>
                </a:graphicData>
              </a:graphic>
            </wp:anchor>
          </w:drawing>
        </mc:Choice>
        <mc:Fallback>
          <w:pict>
            <v:rect id="文本框 8" o:spid="_x0000_s1026" o:spt="1" style="position:absolute;left:0pt;margin-top:-774.15pt;height:31.05pt;width:18pt;mso-position-horizontal:center;mso-position-horizontal-relative:margin;mso-wrap-style:none;z-index:251659264;mso-width-relative:page;mso-height-relative:page;" filled="f" stroked="f" coordsize="21600,21600" o:gfxdata="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yuHHLdAAAACwEAAA8AAAAAAAAAAQAgAAAAIgAA&#10;AGRycy9kb3ducmV2LnhtbFBLAQIUABQAAAAIAIdO4kAjdj/vAwIAAPQDAAAOAAAAAAAAAAEAIAAA&#10;ACwBAABkcnMvZTJvRG9jLnhtbFBLBQYAAAAABgAGAFkBAAChBQAAAAA=&#10;">
              <v:fill on="f" focussize="0,0"/>
              <v:stroke on="f" weight="0.5pt" joinstyle="round"/>
              <v:imagedata o:title=""/>
              <o:lock v:ext="edit" aspectratio="f"/>
              <v:textbox inset="0mm,0mm,0mm,0mm" style="mso-fit-shape-to-text:t;">
                <w:txbxContent>
                  <w:p w14:paraId="645B9782">
                    <w:pPr>
                      <w:pStyle w:val="14"/>
                    </w:pPr>
                  </w:p>
                  <w:p w14:paraId="7053DD76"/>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B9E6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82700" cy="346075"/>
              <wp:effectExtent l="0" t="0" r="0" b="0"/>
              <wp:wrapNone/>
              <wp:docPr id="9" name="文本框 9"/>
              <wp:cNvGraphicFramePr/>
              <a:graphic xmlns:a="http://schemas.openxmlformats.org/drawingml/2006/main">
                <a:graphicData uri="http://schemas.microsoft.com/office/word/2010/wordprocessingShape">
                  <wps:wsp>
                    <wps:cNvSpPr/>
                    <wps:spPr>
                      <a:xfrm>
                        <a:off x="0" y="0"/>
                        <a:ext cx="1282700" cy="345876"/>
                      </a:xfrm>
                      <a:prstGeom prst="rect">
                        <a:avLst/>
                      </a:prstGeom>
                      <a:noFill/>
                      <a:ln w="6350" cap="flat" cmpd="sng">
                        <a:noFill/>
                        <a:prstDash val="solid"/>
                        <a:round/>
                      </a:ln>
                    </wps:spPr>
                    <wps:txbx>
                      <w:txbxContent>
                        <w:p w14:paraId="2D5C87A1">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90</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27.25pt;width:101pt;mso-position-horizontal:center;mso-position-horizontal-relative:margin;mso-wrap-style:none;z-index:251659264;mso-width-relative:page;mso-height-relative:page;" filled="f" stroked="f" coordsize="21600,21600" o:gfxdata="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Rm31gAAAAQBAAAPAAAAAAAAAAEAIAAAACIAAABkcnMv&#10;ZG93bnJldi54bWxQSwECFAAUAAAACACHTuJAoZ+0YQUCAAD1AwAADgAAAAAAAAABACAAAAAlAQAA&#10;ZHJzL2Uyb0RvYy54bWxQSwUGAAAAAAYABgBZAQAAnAUAAAAA&#10;">
              <v:fill on="f" focussize="0,0"/>
              <v:stroke on="f" weight="0.5pt" joinstyle="round"/>
              <v:imagedata o:title=""/>
              <o:lock v:ext="edit" aspectratio="f"/>
              <v:textbox inset="0mm,0mm,0mm,0mm" style="mso-fit-shape-to-text:t;">
                <w:txbxContent>
                  <w:p w14:paraId="2D5C87A1">
                    <w:pPr>
                      <w:pStyle w:val="14"/>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90</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228600" cy="394335"/>
              <wp:effectExtent l="0" t="0" r="0" b="0"/>
              <wp:wrapNone/>
              <wp:docPr id="10" name="文本框 10"/>
              <wp:cNvGraphicFramePr/>
              <a:graphic xmlns:a="http://schemas.openxmlformats.org/drawingml/2006/main">
                <a:graphicData uri="http://schemas.microsoft.com/office/word/2010/wordprocessingShape">
                  <wps:wsp>
                    <wps:cNvSpPr/>
                    <wps:spPr>
                      <a:xfrm>
                        <a:off x="0" y="0"/>
                        <a:ext cx="228600" cy="394299"/>
                      </a:xfrm>
                      <a:prstGeom prst="rect">
                        <a:avLst/>
                      </a:prstGeom>
                      <a:noFill/>
                      <a:ln w="6350" cap="flat" cmpd="sng">
                        <a:noFill/>
                        <a:prstDash val="solid"/>
                        <a:round/>
                      </a:ln>
                    </wps:spPr>
                    <wps:txbx>
                      <w:txbxContent>
                        <w:p w14:paraId="3428B336">
                          <w:pPr>
                            <w:pStyle w:val="14"/>
                          </w:pPr>
                        </w:p>
                        <w:p w14:paraId="1E8B1544"/>
                      </w:txbxContent>
                    </wps:txbx>
                    <wps:bodyPr vert="horz" wrap="none" lIns="0" tIns="0" rIns="0" bIns="0" anchor="t" anchorCtr="0" upright="0">
                      <a:spAutoFit/>
                    </wps:bodyPr>
                  </wps:wsp>
                </a:graphicData>
              </a:graphic>
            </wp:anchor>
          </w:drawing>
        </mc:Choice>
        <mc:Fallback>
          <w:pict>
            <v:rect id="文本框 10" o:spid="_x0000_s1026" o:spt="1" style="position:absolute;left:0pt;margin-top:-774.15pt;height:31.05pt;width:18pt;mso-position-horizontal:center;mso-position-horizontal-relative:margin;mso-wrap-style:none;z-index:251659264;mso-width-relative:page;mso-height-relative:page;" filled="f" stroked="f" coordsize="21600,21600" o:gfxdata="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K4cct0AAAALAQAADwAAAAAAAAABACAAAAAiAAAA&#10;ZHJzL2Rvd25yZXYueG1sUEsBAhQAFAAAAAgAh07iQDaT2XYCAgAA9gMAAA4AAAAAAAAAAQAgAAAA&#10;LAEAAGRycy9lMm9Eb2MueG1sUEsFBgAAAAAGAAYAWQEAAKAFAAAAAA==&#10;">
              <v:fill on="f" focussize="0,0"/>
              <v:stroke on="f" weight="0.5pt" joinstyle="round"/>
              <v:imagedata o:title=""/>
              <o:lock v:ext="edit" aspectratio="f"/>
              <v:textbox inset="0mm,0mm,0mm,0mm" style="mso-fit-shape-to-text:t;">
                <w:txbxContent>
                  <w:p w14:paraId="3428B336">
                    <w:pPr>
                      <w:pStyle w:val="14"/>
                    </w:pPr>
                  </w:p>
                  <w:p w14:paraId="1E8B1544"/>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60"/>
      </w:pPr>
      <w:r>
        <w:separator/>
      </w:r>
    </w:p>
  </w:footnote>
  <w:footnote w:type="continuationSeparator" w:id="1">
    <w:p>
      <w:pPr>
        <w:spacing w:line="360" w:lineRule="auto"/>
        <w:ind w:firstLine="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F139">
    <w:pPr>
      <w:pStyle w:val="15"/>
      <w:pBdr>
        <w:bottom w:val="none" w:color="auto" w:sz="0" w:space="0"/>
      </w:pBdr>
      <w:tabs>
        <w:tab w:val="right" w:pos="14015"/>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7F1F">
    <w:pPr>
      <w:pStyle w:val="15"/>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13CF5E75"/>
    <w:rsid w:val="1B5012B1"/>
    <w:rsid w:val="23505946"/>
    <w:rsid w:val="3A5169AB"/>
    <w:rsid w:val="4CE3367C"/>
    <w:rsid w:val="5EB153BA"/>
    <w:rsid w:val="73267CCD"/>
    <w:rsid w:val="7DA2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qFormat="1" w:unhideWhenUsed="0" w:uiPriority="0"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qFormat="1" w:unhideWhenUsed="0" w:uiPriority="0"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18"/>
      <w:szCs w:val="18"/>
      <w:lang w:val="en-US" w:eastAsia="zh-CN" w:bidi="ar-SA"/>
    </w:rPr>
  </w:style>
  <w:style w:type="paragraph" w:styleId="3">
    <w:name w:val="heading 1"/>
    <w:basedOn w:val="1"/>
    <w:next w:val="1"/>
    <w:link w:val="24"/>
    <w:autoRedefine/>
    <w:qFormat/>
    <w:locked/>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25"/>
    <w:autoRedefine/>
    <w:qFormat/>
    <w:locked/>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link w:val="26"/>
    <w:autoRedefine/>
    <w:qFormat/>
    <w:locked/>
    <w:uiPriority w:val="0"/>
    <w:pPr>
      <w:keepNext w:val="0"/>
      <w:keepLines w:val="0"/>
      <w:spacing w:before="0" w:after="0" w:line="360" w:lineRule="auto"/>
      <w:outlineLvl w:val="2"/>
    </w:pPr>
    <w:rPr>
      <w:b/>
      <w:bCs/>
      <w:szCs w:val="32"/>
    </w:rPr>
  </w:style>
  <w:style w:type="paragraph" w:styleId="6">
    <w:name w:val="heading 4"/>
    <w:basedOn w:val="1"/>
    <w:next w:val="1"/>
    <w:link w:val="27"/>
    <w:autoRedefine/>
    <w:qFormat/>
    <w:locked/>
    <w:uiPriority w:val="0"/>
    <w:pPr>
      <w:keepNext w:val="0"/>
      <w:keepLines w:val="0"/>
      <w:spacing w:line="360" w:lineRule="auto"/>
      <w:ind w:firstLine="200" w:firstLineChars="200"/>
      <w:outlineLvl w:val="3"/>
    </w:pPr>
    <w:rPr>
      <w:rFonts w:cs="Times New Roman"/>
      <w:bCs/>
      <w:szCs w:val="28"/>
    </w:rPr>
  </w:style>
  <w:style w:type="paragraph" w:styleId="7">
    <w:name w:val="heading 5"/>
    <w:basedOn w:val="1"/>
    <w:next w:val="1"/>
    <w:link w:val="28"/>
    <w:autoRedefine/>
    <w:qFormat/>
    <w:locked/>
    <w:uiPriority w:val="0"/>
    <w:pPr>
      <w:keepNext w:val="0"/>
      <w:keepLines w:val="0"/>
      <w:spacing w:beforeAutospacing="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29"/>
    <w:autoRedefine/>
    <w:qFormat/>
    <w:locked/>
    <w:uiPriority w:val="0"/>
    <w:pPr>
      <w:keepNext/>
      <w:keepLines/>
      <w:spacing w:before="240" w:beforeAutospacing="0" w:after="64" w:afterAutospacing="0" w:line="317" w:lineRule="auto"/>
      <w:outlineLvl w:val="5"/>
    </w:pPr>
    <w:rPr>
      <w:rFonts w:ascii="Times New Roman" w:hAnsi="Times New Roman" w:eastAsia="黑体"/>
      <w:b/>
    </w:rPr>
  </w:style>
  <w:style w:type="paragraph" w:styleId="9">
    <w:name w:val="heading 7"/>
    <w:basedOn w:val="1"/>
    <w:next w:val="1"/>
    <w:link w:val="30"/>
    <w:qFormat/>
    <w:locked/>
    <w:uiPriority w:val="0"/>
    <w:pPr>
      <w:keepNext/>
      <w:keepLines/>
      <w:spacing w:before="240" w:beforeAutospacing="0" w:after="64" w:afterAutospacing="0" w:line="317" w:lineRule="auto"/>
      <w:outlineLvl w:val="6"/>
    </w:pPr>
    <w:rPr>
      <w:rFonts w:ascii="Times New Roman" w:hAnsi="Times New Roman" w:eastAsia="宋体"/>
      <w:b/>
    </w:rPr>
  </w:style>
  <w:style w:type="character" w:default="1" w:styleId="21">
    <w:name w:val="Default Paragraph Font"/>
    <w:autoRedefine/>
    <w:qFormat/>
    <w:uiPriority w:val="0"/>
  </w:style>
  <w:style w:type="table" w:default="1" w:styleId="20">
    <w:name w:val="Normal Table"/>
    <w:qFormat/>
    <w:uiPriority w:val="4294967295"/>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10">
    <w:name w:val="annotation text"/>
    <w:basedOn w:val="1"/>
    <w:qFormat/>
    <w:locked/>
    <w:uiPriority w:val="0"/>
    <w:pPr>
      <w:jc w:val="left"/>
    </w:pPr>
  </w:style>
  <w:style w:type="paragraph" w:styleId="11">
    <w:name w:val="Body Text Indent"/>
    <w:basedOn w:val="1"/>
    <w:qFormat/>
    <w:uiPriority w:val="0"/>
    <w:pPr>
      <w:spacing w:after="120"/>
      <w:ind w:left="200" w:leftChars="200"/>
    </w:pPr>
  </w:style>
  <w:style w:type="paragraph" w:styleId="12">
    <w:name w:val="Plain Text"/>
    <w:basedOn w:val="1"/>
    <w:qFormat/>
    <w:uiPriority w:val="0"/>
    <w:pPr>
      <w:autoSpaceDE/>
      <w:autoSpaceDN/>
      <w:spacing w:line="240" w:lineRule="auto"/>
      <w:ind w:firstLine="0" w:firstLineChars="0"/>
    </w:pPr>
    <w:rPr>
      <w:rFonts w:ascii="宋体" w:cs="Times New Roman"/>
      <w:szCs w:val="21"/>
    </w:rPr>
  </w:style>
  <w:style w:type="paragraph" w:styleId="13">
    <w:name w:val="Body Text Indent 2"/>
    <w:basedOn w:val="1"/>
    <w:qFormat/>
    <w:uiPriority w:val="0"/>
    <w:pPr>
      <w:spacing w:after="120" w:line="480" w:lineRule="auto"/>
      <w:ind w:left="200" w:leftChars="200"/>
    </w:p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toc 4"/>
    <w:basedOn w:val="1"/>
    <w:next w:val="1"/>
    <w:autoRedefine/>
    <w:qFormat/>
    <w:uiPriority w:val="0"/>
    <w:pPr>
      <w:ind w:left="1260"/>
    </w:pPr>
  </w:style>
  <w:style w:type="paragraph" w:styleId="18">
    <w:name w:val="Subtitle"/>
    <w:basedOn w:val="1"/>
    <w:autoRedefine/>
    <w:qFormat/>
    <w:locked/>
    <w:uiPriority w:val="0"/>
    <w:pPr>
      <w:spacing w:before="240" w:beforeAutospacing="0" w:after="60" w:afterAutospacing="0" w:line="312" w:lineRule="auto"/>
      <w:jc w:val="center"/>
      <w:outlineLvl w:val="1"/>
    </w:pPr>
    <w:rPr>
      <w:rFonts w:ascii="Arial" w:hAnsi="Arial"/>
      <w:b/>
      <w:kern w:val="28"/>
      <w:sz w:val="32"/>
    </w:rPr>
  </w:style>
  <w:style w:type="paragraph" w:styleId="19">
    <w:name w:val="toc 9"/>
    <w:basedOn w:val="1"/>
    <w:next w:val="1"/>
    <w:autoRedefine/>
    <w:qFormat/>
    <w:uiPriority w:val="0"/>
    <w:pPr>
      <w:ind w:left="3360"/>
    </w:pPr>
  </w:style>
  <w:style w:type="character" w:styleId="22">
    <w:name w:val="Strong"/>
    <w:qFormat/>
    <w:uiPriority w:val="0"/>
    <w:rPr>
      <w:b/>
      <w:bCs/>
    </w:rPr>
  </w:style>
  <w:style w:type="character" w:styleId="23">
    <w:name w:val="page number"/>
    <w:basedOn w:val="21"/>
    <w:qFormat/>
    <w:uiPriority w:val="0"/>
  </w:style>
  <w:style w:type="character" w:customStyle="1" w:styleId="24">
    <w:name w:val="heading 1 Char"/>
    <w:basedOn w:val="21"/>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1"/>
    <w:link w:val="4"/>
    <w:autoRedefine/>
    <w:qFormat/>
    <w:uiPriority w:val="0"/>
    <w:rPr>
      <w:rFonts w:ascii="Times New Roman" w:hAnsi="Times New Roman" w:eastAsia="宋体" w:cs="Times New Roman"/>
      <w:b/>
      <w:bCs/>
      <w:snapToGrid w:val="0"/>
      <w:kern w:val="2"/>
      <w:sz w:val="18"/>
      <w:szCs w:val="24"/>
      <w:lang w:val="en-US" w:eastAsia="zh-CN" w:bidi="ar-SA"/>
    </w:rPr>
  </w:style>
  <w:style w:type="character" w:customStyle="1" w:styleId="26">
    <w:name w:val="heading 3 Char"/>
    <w:basedOn w:val="21"/>
    <w:link w:val="5"/>
    <w:autoRedefine/>
    <w:qFormat/>
    <w:uiPriority w:val="0"/>
    <w:rPr>
      <w:rFonts w:ascii="Times New Roman" w:hAnsi="Times New Roman" w:eastAsia="宋体" w:cs="Cambria Math"/>
      <w:b/>
      <w:bCs/>
      <w:kern w:val="2"/>
      <w:sz w:val="18"/>
      <w:szCs w:val="32"/>
      <w:lang w:val="en-US" w:eastAsia="zh-CN" w:bidi="ar-SA"/>
    </w:rPr>
  </w:style>
  <w:style w:type="character" w:customStyle="1" w:styleId="27">
    <w:name w:val="heading 4 Char"/>
    <w:basedOn w:val="21"/>
    <w:link w:val="6"/>
    <w:autoRedefine/>
    <w:qFormat/>
    <w:uiPriority w:val="0"/>
    <w:rPr>
      <w:rFonts w:ascii="Times New Roman" w:hAnsi="Times New Roman" w:eastAsia="宋体" w:cs="Times New Roman"/>
      <w:bCs/>
      <w:kern w:val="2"/>
      <w:sz w:val="18"/>
      <w:szCs w:val="28"/>
      <w:lang w:val="en-US" w:eastAsia="zh-CN" w:bidi="ar-SA"/>
    </w:rPr>
  </w:style>
  <w:style w:type="character" w:customStyle="1" w:styleId="28">
    <w:name w:val="heading 5 Char"/>
    <w:basedOn w:val="21"/>
    <w:link w:val="7"/>
    <w:autoRedefine/>
    <w:qFormat/>
    <w:uiPriority w:val="0"/>
    <w:rPr>
      <w:rFonts w:ascii="Times New Roman" w:hAnsi="Times New Roman" w:eastAsia="宋体" w:cs="Cambria Math"/>
      <w:b/>
      <w:kern w:val="2"/>
      <w:sz w:val="28"/>
      <w:szCs w:val="18"/>
      <w:lang w:val="en-US" w:eastAsia="zh-CN" w:bidi="ar-SA"/>
    </w:rPr>
  </w:style>
  <w:style w:type="character" w:customStyle="1" w:styleId="29">
    <w:name w:val="heading 6 Char"/>
    <w:basedOn w:val="21"/>
    <w:link w:val="8"/>
    <w:autoRedefine/>
    <w:qFormat/>
    <w:uiPriority w:val="0"/>
    <w:rPr>
      <w:rFonts w:ascii="Times New Roman" w:hAnsi="Times New Roman" w:eastAsia="黑体" w:cs="Cambria Math"/>
      <w:b/>
      <w:kern w:val="2"/>
      <w:sz w:val="18"/>
      <w:szCs w:val="18"/>
      <w:lang w:val="en-US" w:eastAsia="zh-CN" w:bidi="ar-SA"/>
    </w:rPr>
  </w:style>
  <w:style w:type="character" w:customStyle="1" w:styleId="30">
    <w:name w:val="heading 7 Char"/>
    <w:basedOn w:val="21"/>
    <w:link w:val="9"/>
    <w:qFormat/>
    <w:uiPriority w:val="0"/>
    <w:rPr>
      <w:rFonts w:ascii="Times New Roman" w:hAnsi="Times New Roman" w:eastAsia="宋体" w:cs="Cambria Math"/>
      <w:b/>
      <w:kern w:val="2"/>
      <w:sz w:val="18"/>
      <w:szCs w:val="18"/>
      <w:lang w:val="en-US" w:eastAsia="zh-CN" w:bidi="ar-SA"/>
    </w:rPr>
  </w:style>
  <w:style w:type="paragraph" w:customStyle="1" w:styleId="31">
    <w:name w:val="参选文件格式1"/>
    <w:basedOn w:val="1"/>
    <w:next w:val="1"/>
    <w:autoRedefine/>
    <w:qFormat/>
    <w:locked/>
    <w:uiPriority w:val="0"/>
    <w:pPr>
      <w:spacing w:line="360" w:lineRule="auto"/>
      <w:ind w:firstLine="0" w:firstLineChars="0"/>
      <w:jc w:val="center"/>
      <w:outlineLvl w:val="1"/>
    </w:pPr>
    <w:rPr>
      <w:rFonts w:eastAsia="宋体"/>
      <w:b/>
      <w:sz w:val="28"/>
    </w:rPr>
  </w:style>
  <w:style w:type="paragraph" w:customStyle="1" w:styleId="32">
    <w:name w:val="参选文件格式2"/>
    <w:basedOn w:val="1"/>
    <w:next w:val="1"/>
    <w:autoRedefine/>
    <w:qFormat/>
    <w:locked/>
    <w:uiPriority w:val="0"/>
    <w:pPr>
      <w:ind w:firstLine="0" w:firstLineChars="0"/>
      <w:jc w:val="center"/>
      <w:outlineLvl w:val="2"/>
    </w:pPr>
    <w:rPr>
      <w:rFonts w:eastAsia="宋体"/>
      <w:bCs/>
      <w:sz w:val="21"/>
      <w:szCs w:val="21"/>
    </w:rPr>
  </w:style>
  <w:style w:type="paragraph" w:customStyle="1" w:styleId="33">
    <w:name w:val="参选文件格式3"/>
    <w:basedOn w:val="1"/>
    <w:link w:val="34"/>
    <w:autoRedefine/>
    <w:qFormat/>
    <w:locked/>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34">
    <w:name w:val="参选文件格式3 Char"/>
    <w:basedOn w:val="21"/>
    <w:link w:val="33"/>
    <w:autoRedefine/>
    <w:uiPriority w:val="0"/>
    <w:rPr>
      <w:rFonts w:ascii="宋体" w:hAnsi="宋体" w:eastAsia="宋体" w:cs="Cambria Math"/>
      <w:b/>
      <w:snapToGrid w:val="0"/>
      <w:kern w:val="0"/>
      <w:sz w:val="18"/>
      <w:szCs w:val="18"/>
      <w:u w:val="none"/>
      <w:lang w:val="en-US" w:eastAsia="zh-CN" w:bidi="ar-SA"/>
    </w:rPr>
  </w:style>
  <w:style w:type="paragraph" w:customStyle="1" w:styleId="35">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36">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7">
    <w:name w:val="标题2（无级别）"/>
    <w:basedOn w:val="1"/>
    <w:next w:val="1"/>
    <w:qFormat/>
    <w:locked/>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38">
    <w:name w:val="标题3（无级别）"/>
    <w:basedOn w:val="1"/>
    <w:next w:val="1"/>
    <w:qFormat/>
    <w:locked/>
    <w:uiPriority w:val="0"/>
    <w:pPr>
      <w:outlineLvl w:val="9"/>
    </w:pPr>
    <w:rPr>
      <w:rFonts w:ascii="Times New Roman" w:hAnsi="Times New Roman"/>
      <w:b/>
      <w:bCs/>
      <w:sz w:val="21"/>
      <w:szCs w:val="32"/>
    </w:rPr>
  </w:style>
  <w:style w:type="paragraph" w:customStyle="1" w:styleId="39">
    <w:name w:val="小五"/>
    <w:basedOn w:val="1"/>
    <w:next w:val="1"/>
    <w:qFormat/>
    <w:locked/>
    <w:uiPriority w:val="0"/>
    <w:pPr>
      <w:spacing w:line="240" w:lineRule="auto"/>
      <w:ind w:firstLine="0" w:firstLineChars="0"/>
    </w:pPr>
    <w:rPr>
      <w:rFonts w:ascii="Times New Roman" w:hAnsi="Times New Roman"/>
      <w:color w:val="auto"/>
      <w:sz w:val="18"/>
      <w:szCs w:val="18"/>
    </w:rPr>
  </w:style>
  <w:style w:type="paragraph" w:customStyle="1" w:styleId="40">
    <w:name w:val="封面标题"/>
    <w:basedOn w:val="1"/>
    <w:qFormat/>
    <w:locked/>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41">
    <w:name w:val="封面文件名"/>
    <w:basedOn w:val="1"/>
    <w:qFormat/>
    <w:locked/>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42">
    <w:name w:val="正文居中"/>
    <w:basedOn w:val="1"/>
    <w:qFormat/>
    <w:locked/>
    <w:uiPriority w:val="0"/>
    <w:pPr>
      <w:ind w:firstLine="0" w:firstLineChars="0"/>
      <w:jc w:val="center"/>
    </w:pPr>
    <w:rPr>
      <w:rFonts w:ascii="Times New Roman" w:hAnsi="Times New Roman"/>
      <w:color w:val="auto"/>
    </w:rPr>
  </w:style>
  <w:style w:type="paragraph" w:customStyle="1" w:styleId="43">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customStyle="1" w:styleId="44">
    <w:name w:val="正文文字"/>
    <w:basedOn w:val="1"/>
    <w:next w:val="1"/>
    <w:qFormat/>
    <w:uiPriority w:val="0"/>
    <w:pPr>
      <w:spacing w:after="120"/>
    </w:pPr>
  </w:style>
  <w:style w:type="character" w:customStyle="1" w:styleId="45">
    <w:name w:val="font_text_1"/>
    <w:basedOn w:val="21"/>
    <w:qFormat/>
    <w:uiPriority w:val="0"/>
  </w:style>
  <w:style w:type="character" w:customStyle="1" w:styleId="46">
    <w:name w:val="标题 4 Char"/>
    <w:autoRedefine/>
    <w:qFormat/>
    <w:uiPriority w:val="0"/>
    <w:rPr>
      <w:rFonts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A62F8-CF62-4B68-A8BD-EE0AC54353AD}">
  <ds:schemaRefs/>
</ds:datastoreItem>
</file>

<file path=docProps/app.xml><?xml version="1.0" encoding="utf-8"?>
<Properties xmlns="http://schemas.openxmlformats.org/officeDocument/2006/extended-properties" xmlns:vt="http://schemas.openxmlformats.org/officeDocument/2006/docPropsVTypes">
  <Template>Normal.eit</Template>
  <Pages>105</Pages>
  <Words>5657</Words>
  <Characters>6303</Characters>
  <Lines>0</Lines>
  <Paragraphs>1351</Paragraphs>
  <TotalTime>6</TotalTime>
  <ScaleCrop>false</ScaleCrop>
  <LinksUpToDate>false</LinksUpToDate>
  <CharactersWithSpaces>6500</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交易中心-邵</cp:lastModifiedBy>
  <cp:lastPrinted>2025-01-03T01:34:00Z</cp:lastPrinted>
  <dcterms:modified xsi:type="dcterms:W3CDTF">2025-12-25T01:54:59Z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C13AB95EB1404DF3A29D9F8748FCAA23_13</vt:lpwstr>
  </property>
  <property fmtid="{D5CDD505-2E9C-101B-9397-08002B2CF9AE}" pid="4" name="KSOTemplateDocerSaveRecord">
    <vt:lpwstr>eyJoZGlkIjoiNGEzY2Y4NDY0NmFjOTE0MjY0NWNkZjdlMWI4NThlYWIiLCJ1c2VySWQiOiIxNzQ5MDg4Mjg2In0=</vt:lpwstr>
  </property>
</Properties>
</file>